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3980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EDCB16D" w14:textId="5B86B7A2" w:rsidR="00C17FAB" w:rsidRDefault="0015111C">
      <w:pPr>
        <w:pStyle w:val="Billname"/>
        <w:spacing w:before="700"/>
      </w:pPr>
      <w:r>
        <w:t>Gaming Machine (Payment from Gambling Harm Prevention and Mitigation Fund</w:t>
      </w:r>
      <w:r w:rsidRPr="00984905">
        <w:t>—</w:t>
      </w:r>
      <w:r>
        <w:t>Minimum Community Contributions) Guidelines 2022 (No 1)</w:t>
      </w:r>
    </w:p>
    <w:p w14:paraId="538F78D7" w14:textId="43292BAB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B0E93">
        <w:rPr>
          <w:rFonts w:ascii="Arial" w:hAnsi="Arial" w:cs="Arial"/>
          <w:b/>
          <w:bCs/>
        </w:rPr>
        <w:t>2022</w:t>
      </w:r>
      <w:r w:rsidR="00C17FAB">
        <w:rPr>
          <w:rFonts w:ascii="Arial" w:hAnsi="Arial" w:cs="Arial"/>
          <w:b/>
          <w:bCs/>
        </w:rPr>
        <w:t>–</w:t>
      </w:r>
      <w:r w:rsidR="00452DEE">
        <w:rPr>
          <w:rFonts w:ascii="Arial" w:hAnsi="Arial" w:cs="Arial"/>
          <w:b/>
          <w:bCs/>
        </w:rPr>
        <w:t>87</w:t>
      </w:r>
    </w:p>
    <w:p w14:paraId="421BAC91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4AE8028" w14:textId="3D37D39F" w:rsidR="002B7890" w:rsidRDefault="002B7890" w:rsidP="002B789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Gaming Machine Act 2004, section 163D</w:t>
      </w:r>
      <w:r w:rsidR="0015111C">
        <w:rPr>
          <w:rFonts w:cs="Arial"/>
          <w:sz w:val="20"/>
        </w:rPr>
        <w:t xml:space="preserve"> </w:t>
      </w:r>
      <w:r>
        <w:rPr>
          <w:rFonts w:cs="Arial"/>
          <w:sz w:val="20"/>
        </w:rPr>
        <w:t>(3) (Payment from gambling harm prevention and mitigation fund – minimum community contributions)</w:t>
      </w:r>
    </w:p>
    <w:p w14:paraId="4333200E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B61946D" w14:textId="77777777" w:rsidR="00C17FAB" w:rsidRDefault="00C17FAB">
      <w:pPr>
        <w:pStyle w:val="N-line3"/>
        <w:pBdr>
          <w:bottom w:val="none" w:sz="0" w:space="0" w:color="auto"/>
        </w:pBdr>
      </w:pPr>
    </w:p>
    <w:p w14:paraId="0987DD30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71AF7BA" w14:textId="0052B9BC" w:rsidR="002B0E93" w:rsidRDefault="002B0E93" w:rsidP="002B0E93">
      <w:r>
        <w:t xml:space="preserve">The </w:t>
      </w:r>
      <w:r w:rsidRPr="002B0E93">
        <w:rPr>
          <w:i/>
          <w:iCs/>
        </w:rPr>
        <w:t>Gaming Machine Act 2004</w:t>
      </w:r>
      <w:r>
        <w:t xml:space="preserve"> (the Act) provides for the establishment of a Gambling Harm Prevention and Mitigation Fund (the Fund) which is maintained by the ACT Gambling and Racing Commission (the Commission) (</w:t>
      </w:r>
      <w:r w:rsidR="009E2EA8">
        <w:t xml:space="preserve">Gaming Machine Act </w:t>
      </w:r>
      <w:r>
        <w:t>s</w:t>
      </w:r>
      <w:r w:rsidR="009E2EA8">
        <w:t>ection</w:t>
      </w:r>
      <w:r>
        <w:t xml:space="preserve"> 163B). </w:t>
      </w:r>
    </w:p>
    <w:p w14:paraId="40D44CC4" w14:textId="77777777" w:rsidR="002B0E93" w:rsidRDefault="002B0E93" w:rsidP="002B0E93"/>
    <w:p w14:paraId="709E8125" w14:textId="151ED0F3" w:rsidR="002B0E93" w:rsidRDefault="002B0E93" w:rsidP="002B0E93">
      <w:r>
        <w:t>The Fund is sourced from a 0.75 percent levy on gaming machine licensees’ Gross Gaming Machine Revenue, a 0.4 percent contribution from each club’s net revenue, as well as contributions from Tabcorp and Casino Canberra Limited.</w:t>
      </w:r>
    </w:p>
    <w:p w14:paraId="45FB1D8A" w14:textId="77777777" w:rsidR="002B0E93" w:rsidRDefault="002B0E93" w:rsidP="002B0E93"/>
    <w:p w14:paraId="0BCD5BD6" w14:textId="2B5DBBD1" w:rsidR="002B0E93" w:rsidRDefault="002B0E93" w:rsidP="002B0E93">
      <w:r>
        <w:t>There are two sections in the Act under which payments can be made from the Fund:</w:t>
      </w:r>
    </w:p>
    <w:p w14:paraId="6048C9BA" w14:textId="182F623D" w:rsidR="002B0E93" w:rsidRDefault="002B0E93" w:rsidP="002B0E93">
      <w:pPr>
        <w:pStyle w:val="ListParagraph"/>
        <w:numPr>
          <w:ilvl w:val="0"/>
          <w:numId w:val="10"/>
        </w:numPr>
      </w:pPr>
      <w:r>
        <w:t xml:space="preserve">section 163C, which provides that payments can be made from the Fund in relation to money which comes into the Fund as a required payment or as a community purpose contribution by gaming machine licensees; and </w:t>
      </w:r>
    </w:p>
    <w:p w14:paraId="3C3D27C5" w14:textId="6730D0E9" w:rsidR="00C17FAB" w:rsidRDefault="002B0E93" w:rsidP="002B0E93">
      <w:pPr>
        <w:pStyle w:val="ListParagraph"/>
        <w:numPr>
          <w:ilvl w:val="0"/>
          <w:numId w:val="10"/>
        </w:numPr>
      </w:pPr>
      <w:r>
        <w:t>section 163D which provides that payments can be made in relation to money which comes in as a minimum community contribution by gaming machine licensees.</w:t>
      </w:r>
    </w:p>
    <w:p w14:paraId="56CB72D5" w14:textId="3255B06A" w:rsidR="002B0E93" w:rsidRDefault="002B0E93" w:rsidP="002B0E93"/>
    <w:p w14:paraId="2A8C8FA8" w14:textId="6F3F39F8" w:rsidR="009E2EA8" w:rsidRDefault="0033319D" w:rsidP="002B0E93">
      <w:r>
        <w:t xml:space="preserve">The </w:t>
      </w:r>
      <w:r w:rsidR="0015111C" w:rsidRPr="008F631D">
        <w:rPr>
          <w:i/>
          <w:iCs/>
        </w:rPr>
        <w:t>Gaming Machine (Payment from Gambling Harm Prevention and Mitigation Fund—Minimum Community Contributions) Guidelines 2022 (No 1)</w:t>
      </w:r>
      <w:r>
        <w:rPr>
          <w:i/>
          <w:iCs/>
        </w:rPr>
        <w:t xml:space="preserve"> </w:t>
      </w:r>
      <w:r>
        <w:t>(t</w:t>
      </w:r>
      <w:r w:rsidR="009E2EA8">
        <w:t>he Guidelines</w:t>
      </w:r>
      <w:r>
        <w:t>)</w:t>
      </w:r>
      <w:r w:rsidR="009E2EA8">
        <w:t xml:space="preserve"> relate to payments made under section 163D of the Act.</w:t>
      </w:r>
    </w:p>
    <w:p w14:paraId="79480EE8" w14:textId="77777777" w:rsidR="009E2EA8" w:rsidRDefault="009E2EA8" w:rsidP="002B0E93"/>
    <w:p w14:paraId="0FD4B57F" w14:textId="77777777" w:rsidR="009E2EA8" w:rsidRPr="009E2EA8" w:rsidRDefault="009E2EA8" w:rsidP="002B0E93">
      <w:pPr>
        <w:rPr>
          <w:b/>
          <w:bCs/>
        </w:rPr>
      </w:pPr>
      <w:r w:rsidRPr="009E2EA8">
        <w:rPr>
          <w:b/>
          <w:bCs/>
        </w:rPr>
        <w:t>Purpose of the Guidelines</w:t>
      </w:r>
    </w:p>
    <w:p w14:paraId="2F387763" w14:textId="77777777" w:rsidR="009E2EA8" w:rsidRDefault="009E2EA8" w:rsidP="002B0E93"/>
    <w:p w14:paraId="699B2383" w14:textId="679FE06B" w:rsidR="009E2EA8" w:rsidRDefault="002B0E93" w:rsidP="002B0E93">
      <w:r>
        <w:t>The Act provides that t</w:t>
      </w:r>
      <w:r w:rsidR="009E2EA8" w:rsidRPr="009E2EA8">
        <w:t xml:space="preserve">he Minister may make </w:t>
      </w:r>
      <w:r w:rsidR="0033319D">
        <w:t>G</w:t>
      </w:r>
      <w:r w:rsidR="009E2EA8" w:rsidRPr="009E2EA8">
        <w:t>uidelines about gambling harm prevention and mitigation</w:t>
      </w:r>
      <w:r w:rsidR="009E2EA8">
        <w:t xml:space="preserve"> (Gaming Machine Act section 163D</w:t>
      </w:r>
      <w:r w:rsidR="00A1528A">
        <w:t xml:space="preserve"> </w:t>
      </w:r>
      <w:r w:rsidR="009E2EA8">
        <w:t>(3)).</w:t>
      </w:r>
    </w:p>
    <w:p w14:paraId="5BE23FCA" w14:textId="77777777" w:rsidR="009E2EA8" w:rsidRDefault="009E2EA8" w:rsidP="002B0E93"/>
    <w:p w14:paraId="1C5DB138" w14:textId="7FAE46E2" w:rsidR="002B0E93" w:rsidRDefault="009E2EA8" w:rsidP="002B0E93">
      <w:r>
        <w:lastRenderedPageBreak/>
        <w:t xml:space="preserve">The </w:t>
      </w:r>
      <w:r w:rsidR="002B0E93">
        <w:t xml:space="preserve">Commission may make a payment </w:t>
      </w:r>
      <w:r>
        <w:t>out</w:t>
      </w:r>
      <w:r w:rsidR="002B0E93">
        <w:t xml:space="preserve"> of the Fund under section 163D only</w:t>
      </w:r>
      <w:r>
        <w:t xml:space="preserve"> for a purpose set out in th</w:t>
      </w:r>
      <w:r w:rsidR="002B0E93">
        <w:t>e Guidelines</w:t>
      </w:r>
      <w:r>
        <w:t xml:space="preserve"> under section 163D(3), and with the written approval from the Minister. </w:t>
      </w:r>
    </w:p>
    <w:p w14:paraId="3AC061AD" w14:textId="016FF8D4" w:rsidR="009E2EA8" w:rsidRDefault="009E2EA8" w:rsidP="002B0E93"/>
    <w:p w14:paraId="62667691" w14:textId="1861C754" w:rsidR="0078758F" w:rsidRDefault="009E2EA8" w:rsidP="0078758F">
      <w:r>
        <w:t xml:space="preserve">The Guidelines made under section 163D(3) outline </w:t>
      </w:r>
      <w:r w:rsidR="0078758F">
        <w:t xml:space="preserve">the purposes for which payments can be made from the Fund. The purposes specify that funding proposals must: </w:t>
      </w:r>
    </w:p>
    <w:p w14:paraId="0FDF8028" w14:textId="61C75174" w:rsidR="0078758F" w:rsidRDefault="00584AA4" w:rsidP="0078758F">
      <w:pPr>
        <w:pStyle w:val="ListParagraph"/>
        <w:numPr>
          <w:ilvl w:val="0"/>
          <w:numId w:val="12"/>
        </w:numPr>
      </w:pPr>
      <w:bookmarkStart w:id="1" w:name="_Hlk101526549"/>
      <w:r>
        <w:t>have a purpose of gambling harm prevention and mitigation, which while not required to be the primary or dominant purpose must in the opinion of the Commission be a material purpose</w:t>
      </w:r>
      <w:bookmarkEnd w:id="1"/>
      <w:r w:rsidR="0078758F">
        <w:t>;</w:t>
      </w:r>
    </w:p>
    <w:p w14:paraId="0C442C17" w14:textId="6BDC7847" w:rsidR="0078758F" w:rsidRDefault="00584AA4" w:rsidP="0078758F">
      <w:pPr>
        <w:pStyle w:val="ListParagraph"/>
        <w:numPr>
          <w:ilvl w:val="0"/>
          <w:numId w:val="12"/>
        </w:numPr>
      </w:pPr>
      <w:r>
        <w:t>be actionable in the ACT and directly or indirectly benefit the ACT community or a group within it</w:t>
      </w:r>
      <w:r w:rsidR="0078758F">
        <w:t xml:space="preserve">; </w:t>
      </w:r>
    </w:p>
    <w:p w14:paraId="3FA97B5D" w14:textId="6A8C8471" w:rsidR="009E2EA8" w:rsidRDefault="0078758F" w:rsidP="0078758F">
      <w:pPr>
        <w:pStyle w:val="ListParagraph"/>
        <w:numPr>
          <w:ilvl w:val="0"/>
          <w:numId w:val="12"/>
        </w:numPr>
      </w:pPr>
      <w:r>
        <w:t>demonstrate value for money</w:t>
      </w:r>
      <w:r w:rsidR="00584AA4">
        <w:t xml:space="preserve"> or have a clear return on investment</w:t>
      </w:r>
      <w:r>
        <w:t>.</w:t>
      </w:r>
    </w:p>
    <w:p w14:paraId="26781E1B" w14:textId="6B5C8B6F" w:rsidR="009E2EA8" w:rsidRDefault="009E2EA8" w:rsidP="002B0E93"/>
    <w:p w14:paraId="585E2114" w14:textId="1E82D0AF" w:rsidR="0078758F" w:rsidRDefault="0078758F" w:rsidP="002B0E93">
      <w:r>
        <w:t>The Guideline</w:t>
      </w:r>
      <w:r w:rsidR="00584AA4">
        <w:t>s</w:t>
      </w:r>
      <w:r>
        <w:t xml:space="preserve"> also note </w:t>
      </w:r>
      <w:r w:rsidRPr="0078758F">
        <w:t xml:space="preserve">the funding priority for payments made under s 163D of the Act is projects which support the implementation of one or more of the gaming commitments under Part E (Reducing harm from gaming while supporting sustainable clubs) of the </w:t>
      </w:r>
      <w:r w:rsidRPr="0078758F">
        <w:rPr>
          <w:i/>
          <w:iCs/>
        </w:rPr>
        <w:t>Parliamentary and Governing Agreement for the 10th Legislative Assembly</w:t>
      </w:r>
      <w:r w:rsidRPr="00497AAB">
        <w:t>.</w:t>
      </w:r>
      <w:r w:rsidR="008F74FE" w:rsidRPr="00497AAB">
        <w:t xml:space="preserve">  </w:t>
      </w:r>
      <w:bookmarkStart w:id="2" w:name="_Hlk104455642"/>
      <w:r w:rsidR="008F74FE" w:rsidRPr="00497AAB">
        <w:t xml:space="preserve">Having regard to this link to the </w:t>
      </w:r>
      <w:r w:rsidR="008F74FE" w:rsidRPr="00497AAB">
        <w:rPr>
          <w:i/>
          <w:iCs/>
        </w:rPr>
        <w:t>Parliamentary and Governing Agreement for the 10th Legislative Assembly</w:t>
      </w:r>
      <w:r w:rsidR="008F74FE" w:rsidRPr="00497AAB">
        <w:t>, and the anticipated timing of the election for the 11</w:t>
      </w:r>
      <w:r w:rsidR="008F74FE" w:rsidRPr="00497AAB">
        <w:rPr>
          <w:vertAlign w:val="superscript"/>
        </w:rPr>
        <w:t>th</w:t>
      </w:r>
      <w:r w:rsidR="008F74FE" w:rsidRPr="00497AAB">
        <w:t xml:space="preserve"> Legislative Assembly, the Guidelines will expire on 31 August 2024.</w:t>
      </w:r>
      <w:bookmarkEnd w:id="2"/>
    </w:p>
    <w:p w14:paraId="00EEFC95" w14:textId="77777777" w:rsidR="0078758F" w:rsidRDefault="0078758F" w:rsidP="002B0E93"/>
    <w:p w14:paraId="35A2BDA7" w14:textId="771B6D73" w:rsidR="009E2EA8" w:rsidRDefault="009E2EA8" w:rsidP="002B0E93">
      <w:r>
        <w:t>The Guideline</w:t>
      </w:r>
      <w:r w:rsidR="00584AA4">
        <w:t>s</w:t>
      </w:r>
      <w:r>
        <w:t xml:space="preserve"> </w:t>
      </w:r>
      <w:r w:rsidR="00584AA4">
        <w:rPr>
          <w:color w:val="000000"/>
          <w:shd w:val="clear" w:color="auto" w:fill="FFFFFF"/>
        </w:rPr>
        <w:t>are</w:t>
      </w:r>
      <w:r>
        <w:rPr>
          <w:color w:val="000000"/>
          <w:shd w:val="clear" w:color="auto" w:fill="FFFFFF"/>
        </w:rPr>
        <w:t xml:space="preserve"> a disallowable instrument and must be </w:t>
      </w:r>
      <w:r w:rsidR="00584AA4">
        <w:rPr>
          <w:color w:val="000000"/>
          <w:shd w:val="clear" w:color="auto" w:fill="FFFFFF"/>
        </w:rPr>
        <w:t>presented to</w:t>
      </w:r>
      <w:r>
        <w:rPr>
          <w:color w:val="000000"/>
          <w:shd w:val="clear" w:color="auto" w:fill="FFFFFF"/>
        </w:rPr>
        <w:t xml:space="preserve"> the</w:t>
      </w:r>
      <w:r w:rsidR="00584AA4">
        <w:rPr>
          <w:color w:val="000000"/>
          <w:shd w:val="clear" w:color="auto" w:fill="FFFFFF"/>
        </w:rPr>
        <w:t xml:space="preserve"> ACT</w:t>
      </w:r>
      <w:r>
        <w:rPr>
          <w:color w:val="000000"/>
          <w:shd w:val="clear" w:color="auto" w:fill="FFFFFF"/>
        </w:rPr>
        <w:t xml:space="preserve"> Legislative Assembly.</w:t>
      </w:r>
    </w:p>
    <w:sectPr w:rsidR="009E2EA8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E345" w14:textId="77777777" w:rsidR="003C64A6" w:rsidRDefault="003C64A6" w:rsidP="00C17FAB">
      <w:r>
        <w:separator/>
      </w:r>
    </w:p>
  </w:endnote>
  <w:endnote w:type="continuationSeparator" w:id="0">
    <w:p w14:paraId="523134BE" w14:textId="77777777" w:rsidR="003C64A6" w:rsidRDefault="003C64A6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5402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BC3F" w14:textId="334E8FFA" w:rsidR="00DA3B00" w:rsidRPr="00006B72" w:rsidRDefault="00006B72" w:rsidP="00006B72">
    <w:pPr>
      <w:pStyle w:val="Footer"/>
      <w:jc w:val="center"/>
      <w:rPr>
        <w:rFonts w:cs="Arial"/>
        <w:sz w:val="14"/>
      </w:rPr>
    </w:pPr>
    <w:r w:rsidRPr="00006B7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F026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1CBD" w14:textId="77777777" w:rsidR="003C64A6" w:rsidRDefault="003C64A6" w:rsidP="00C17FAB">
      <w:r>
        <w:separator/>
      </w:r>
    </w:p>
  </w:footnote>
  <w:footnote w:type="continuationSeparator" w:id="0">
    <w:p w14:paraId="603721BE" w14:textId="77777777" w:rsidR="003C64A6" w:rsidRDefault="003C64A6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9AD7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5F65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B4D2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3464FA5"/>
    <w:multiLevelType w:val="hybridMultilevel"/>
    <w:tmpl w:val="27287F6A"/>
    <w:lvl w:ilvl="0" w:tplc="E7D2E30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A1F7980"/>
    <w:multiLevelType w:val="hybridMultilevel"/>
    <w:tmpl w:val="E556B49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3D78661B"/>
    <w:multiLevelType w:val="hybridMultilevel"/>
    <w:tmpl w:val="E662CC9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C1B50"/>
    <w:multiLevelType w:val="hybridMultilevel"/>
    <w:tmpl w:val="48148100"/>
    <w:lvl w:ilvl="0" w:tplc="56BCF30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06B72"/>
    <w:rsid w:val="000B3301"/>
    <w:rsid w:val="000B65DF"/>
    <w:rsid w:val="0015111C"/>
    <w:rsid w:val="002174A2"/>
    <w:rsid w:val="00241F57"/>
    <w:rsid w:val="002B0E93"/>
    <w:rsid w:val="002B7890"/>
    <w:rsid w:val="002D7C60"/>
    <w:rsid w:val="0031730D"/>
    <w:rsid w:val="0033319D"/>
    <w:rsid w:val="003C64A6"/>
    <w:rsid w:val="00452DEE"/>
    <w:rsid w:val="00497AAB"/>
    <w:rsid w:val="00584AA4"/>
    <w:rsid w:val="00683245"/>
    <w:rsid w:val="007346AC"/>
    <w:rsid w:val="0078758F"/>
    <w:rsid w:val="00834978"/>
    <w:rsid w:val="00877F45"/>
    <w:rsid w:val="008F631D"/>
    <w:rsid w:val="008F74FE"/>
    <w:rsid w:val="009508A5"/>
    <w:rsid w:val="009E2EA8"/>
    <w:rsid w:val="00A1528A"/>
    <w:rsid w:val="00B77D02"/>
    <w:rsid w:val="00C17FAB"/>
    <w:rsid w:val="00C25807"/>
    <w:rsid w:val="00CD0FFB"/>
    <w:rsid w:val="00CE599C"/>
    <w:rsid w:val="00D613F6"/>
    <w:rsid w:val="00D946C9"/>
    <w:rsid w:val="00DA3B00"/>
    <w:rsid w:val="00E54C7F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F881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2B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2550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2006-03-31T04:28:00Z</cp:lastPrinted>
  <dcterms:created xsi:type="dcterms:W3CDTF">2022-06-15T03:10:00Z</dcterms:created>
  <dcterms:modified xsi:type="dcterms:W3CDTF">2022-06-15T03:10:00Z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9480115</vt:lpwstr>
  </property>
  <property fmtid="{D5CDD505-2E9C-101B-9397-08002B2CF9AE}" pid="4" name="JMSREQUIREDCHECKIN">
    <vt:lpwstr/>
  </property>
</Properties>
</file>