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ED29" w14:textId="77777777" w:rsidR="000F3F08" w:rsidRDefault="000F3F08" w:rsidP="00E70D04">
      <w:pPr>
        <w:pStyle w:val="Header"/>
        <w:spacing w:before="120"/>
        <w:rPr>
          <w:rFonts w:ascii="Arial" w:hAnsi="Arial" w:cs="Arial"/>
        </w:rPr>
      </w:pPr>
      <w:smartTag w:uri="urn:schemas-microsoft-com:office:smarttags" w:element="State">
        <w:smartTag w:uri="urn:schemas-microsoft-com:office:smarttags" w:element="Street">
          <w:r>
            <w:rPr>
              <w:rFonts w:ascii="Arial" w:hAnsi="Arial" w:cs="Arial"/>
            </w:rPr>
            <w:t>Australian Capital Territory</w:t>
          </w:r>
        </w:smartTag>
      </w:smartTag>
    </w:p>
    <w:p w14:paraId="2B5C00A8" w14:textId="52E0758C" w:rsidR="000F3F08" w:rsidRDefault="000F3F08" w:rsidP="00E70D04">
      <w:pPr>
        <w:pStyle w:val="Billname"/>
        <w:spacing w:before="700"/>
      </w:pPr>
      <w:r>
        <w:t>Building (Fees) Determination 20</w:t>
      </w:r>
      <w:r w:rsidR="00126EF4">
        <w:t>2</w:t>
      </w:r>
      <w:r w:rsidR="0096126E">
        <w:t>2</w:t>
      </w:r>
    </w:p>
    <w:p w14:paraId="039200CE" w14:textId="526154F8" w:rsidR="00333E37" w:rsidRDefault="000F3F08" w:rsidP="00E70D04">
      <w:pPr>
        <w:spacing w:before="340"/>
        <w:rPr>
          <w:rFonts w:ascii="Arial" w:hAnsi="Arial" w:cs="Arial"/>
          <w:b/>
          <w:bCs/>
        </w:rPr>
      </w:pPr>
      <w:r w:rsidRPr="00F82FA8">
        <w:rPr>
          <w:rFonts w:ascii="Arial" w:hAnsi="Arial" w:cs="Arial"/>
          <w:b/>
          <w:bCs/>
        </w:rPr>
        <w:t xml:space="preserve">Disallowable </w:t>
      </w:r>
      <w:r w:rsidR="00E70D04">
        <w:rPr>
          <w:rFonts w:ascii="Arial" w:hAnsi="Arial" w:cs="Arial"/>
          <w:b/>
          <w:bCs/>
        </w:rPr>
        <w:t>i</w:t>
      </w:r>
      <w:r w:rsidRPr="00F82FA8">
        <w:rPr>
          <w:rFonts w:ascii="Arial" w:hAnsi="Arial" w:cs="Arial"/>
          <w:b/>
          <w:bCs/>
        </w:rPr>
        <w:t>nstrument DI20</w:t>
      </w:r>
      <w:r w:rsidR="00126EF4">
        <w:rPr>
          <w:rFonts w:ascii="Arial" w:hAnsi="Arial" w:cs="Arial"/>
          <w:b/>
          <w:bCs/>
        </w:rPr>
        <w:t>2</w:t>
      </w:r>
      <w:r w:rsidR="0096126E">
        <w:rPr>
          <w:rFonts w:ascii="Arial" w:hAnsi="Arial" w:cs="Arial"/>
          <w:b/>
          <w:bCs/>
        </w:rPr>
        <w:t>2</w:t>
      </w:r>
      <w:r w:rsidR="00333E37">
        <w:rPr>
          <w:rFonts w:ascii="Arial" w:hAnsi="Arial" w:cs="Arial"/>
          <w:b/>
          <w:bCs/>
        </w:rPr>
        <w:t>–</w:t>
      </w:r>
      <w:r w:rsidR="000470D1">
        <w:rPr>
          <w:rFonts w:ascii="Arial" w:hAnsi="Arial" w:cs="Arial"/>
          <w:b/>
          <w:bCs/>
        </w:rPr>
        <w:t>119</w:t>
      </w:r>
    </w:p>
    <w:p w14:paraId="13359529" w14:textId="77777777" w:rsidR="000F3F08" w:rsidRDefault="000F3F08" w:rsidP="00E70D04">
      <w:pPr>
        <w:spacing w:before="300"/>
      </w:pPr>
      <w:r>
        <w:t>made under the</w:t>
      </w:r>
    </w:p>
    <w:p w14:paraId="09A813D3" w14:textId="77777777" w:rsidR="000F3F08" w:rsidRDefault="000F3F08" w:rsidP="00E70D04">
      <w:pPr>
        <w:pStyle w:val="CoverActName"/>
        <w:spacing w:before="320" w:after="0"/>
        <w:rPr>
          <w:rFonts w:ascii="Times New Roman" w:hAnsi="Times New Roman" w:cs="Times New Roman"/>
          <w:vertAlign w:val="superscript"/>
        </w:rPr>
      </w:pPr>
      <w:r w:rsidRPr="00A56294">
        <w:rPr>
          <w:sz w:val="20"/>
          <w:szCs w:val="20"/>
        </w:rPr>
        <w:t>Building Act 2004</w:t>
      </w:r>
      <w:r>
        <w:rPr>
          <w:sz w:val="20"/>
          <w:szCs w:val="20"/>
        </w:rPr>
        <w:t>, s 150 (Determination of fees)</w:t>
      </w:r>
    </w:p>
    <w:p w14:paraId="100D3589" w14:textId="77777777" w:rsidR="000F3F08" w:rsidRDefault="000F3F08" w:rsidP="00E70D04">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65CB7EDE" w14:textId="77777777" w:rsidR="000F3F08" w:rsidRDefault="000F3F08" w:rsidP="00E70D04">
      <w:pPr>
        <w:pStyle w:val="Header"/>
        <w:pBdr>
          <w:bottom w:val="single" w:sz="12" w:space="1" w:color="auto"/>
        </w:pBdr>
        <w:tabs>
          <w:tab w:val="clear" w:pos="4153"/>
          <w:tab w:val="clear" w:pos="8306"/>
        </w:tabs>
        <w:rPr>
          <w:rFonts w:ascii="Arial" w:hAnsi="Arial" w:cs="Arial"/>
          <w:b/>
          <w:bCs/>
        </w:rPr>
      </w:pPr>
    </w:p>
    <w:p w14:paraId="2B8A37D7" w14:textId="77777777" w:rsidR="00B7253A" w:rsidRDefault="00B7253A" w:rsidP="00A56294">
      <w:pPr>
        <w:pStyle w:val="LongTitle"/>
        <w:spacing w:before="0" w:after="0"/>
        <w:jc w:val="left"/>
        <w:rPr>
          <w:color w:val="000000"/>
        </w:rPr>
      </w:pPr>
    </w:p>
    <w:p w14:paraId="7EF51782" w14:textId="7A29AACB" w:rsidR="00A56294" w:rsidRDefault="00A56294" w:rsidP="00A56294">
      <w:pPr>
        <w:pStyle w:val="LongTitle"/>
        <w:spacing w:before="0" w:after="0"/>
        <w:jc w:val="left"/>
        <w:rPr>
          <w:color w:val="000000"/>
        </w:rPr>
      </w:pPr>
      <w:r>
        <w:rPr>
          <w:color w:val="000000"/>
        </w:rPr>
        <w:t xml:space="preserve">Section 150 of the </w:t>
      </w:r>
      <w:r>
        <w:rPr>
          <w:i/>
          <w:color w:val="000000"/>
        </w:rPr>
        <w:t xml:space="preserve">Building Act 2004 </w:t>
      </w:r>
      <w:r>
        <w:rPr>
          <w:color w:val="000000"/>
        </w:rPr>
        <w:t xml:space="preserve">(the </w:t>
      </w:r>
      <w:r w:rsidRPr="00E70D04">
        <w:rPr>
          <w:b/>
          <w:i/>
          <w:color w:val="000000"/>
        </w:rPr>
        <w:t>Act</w:t>
      </w:r>
      <w:r>
        <w:rPr>
          <w:color w:val="000000"/>
        </w:rPr>
        <w:t>)</w:t>
      </w:r>
      <w:r>
        <w:rPr>
          <w:i/>
          <w:color w:val="000000"/>
        </w:rPr>
        <w:t xml:space="preserve"> </w:t>
      </w:r>
      <w:r>
        <w:rPr>
          <w:color w:val="000000"/>
        </w:rPr>
        <w:t>permits the Minister to determine fees for the purposes of the Act.</w:t>
      </w:r>
    </w:p>
    <w:p w14:paraId="1B93D7EE" w14:textId="77777777" w:rsidR="00A56294" w:rsidRDefault="00A56294" w:rsidP="00A56294">
      <w:pPr>
        <w:pStyle w:val="LongTitle"/>
        <w:spacing w:before="0" w:after="0"/>
        <w:jc w:val="left"/>
        <w:rPr>
          <w:color w:val="000000"/>
        </w:rPr>
      </w:pPr>
    </w:p>
    <w:p w14:paraId="11CF8920" w14:textId="65D7DB10" w:rsidR="00A56294" w:rsidRDefault="00A56294" w:rsidP="00A56294">
      <w:pPr>
        <w:pStyle w:val="LongTitle"/>
        <w:spacing w:before="0" w:after="0"/>
        <w:rPr>
          <w:color w:val="000000"/>
        </w:rPr>
      </w:pPr>
      <w:r>
        <w:rPr>
          <w:color w:val="000000"/>
        </w:rPr>
        <w:t>The purpose of this instrument is to determine the fees for goods and services under the Act for the 20</w:t>
      </w:r>
      <w:r w:rsidR="00086B27">
        <w:rPr>
          <w:color w:val="000000"/>
        </w:rPr>
        <w:t>2</w:t>
      </w:r>
      <w:r w:rsidR="0096126E">
        <w:rPr>
          <w:color w:val="000000"/>
        </w:rPr>
        <w:t>2</w:t>
      </w:r>
      <w:r>
        <w:rPr>
          <w:color w:val="000000"/>
        </w:rPr>
        <w:t>-</w:t>
      </w:r>
      <w:r w:rsidR="00FB7E01">
        <w:rPr>
          <w:color w:val="000000"/>
        </w:rPr>
        <w:t>2</w:t>
      </w:r>
      <w:r w:rsidR="0096126E">
        <w:rPr>
          <w:color w:val="000000"/>
        </w:rPr>
        <w:t>3</w:t>
      </w:r>
      <w:r>
        <w:rPr>
          <w:color w:val="000000"/>
        </w:rPr>
        <w:t xml:space="preserve"> financial year. </w:t>
      </w:r>
    </w:p>
    <w:p w14:paraId="24FBE941" w14:textId="6F30206D" w:rsidR="00CC0C5B" w:rsidRDefault="00CC0C5B" w:rsidP="00A56294">
      <w:pPr>
        <w:pStyle w:val="LongTitle"/>
        <w:spacing w:before="0" w:after="0"/>
        <w:rPr>
          <w:color w:val="000000"/>
        </w:rPr>
      </w:pPr>
    </w:p>
    <w:p w14:paraId="2458F02F" w14:textId="7EDB7463" w:rsidR="00CC0C5B" w:rsidRPr="00CC0C5B" w:rsidRDefault="00CC0C5B" w:rsidP="00CC0C5B">
      <w:pPr>
        <w:pStyle w:val="LongTitle"/>
        <w:spacing w:before="0" w:after="0"/>
        <w:jc w:val="left"/>
        <w:rPr>
          <w:lang w:eastAsia="en-AU"/>
        </w:rPr>
      </w:pPr>
      <w:r>
        <w:rPr>
          <w:lang w:eastAsia="en-AU"/>
        </w:rPr>
        <w:t>Under section 28 of the Act, the building levy has been increased from 1.17% (class 1 and 2) and 1.07% (other classes) to 1.25% (class 1 and 2) and 1.14% (other classes) of total cost of works. This increase boosts resources for the Territory to address ongoing building quality matters and to respond to the increasing volume in the construction sector.</w:t>
      </w:r>
    </w:p>
    <w:p w14:paraId="7BE9C415" w14:textId="77777777" w:rsidR="00BC3A57" w:rsidRDefault="00BC3A57" w:rsidP="001779FB">
      <w:pPr>
        <w:pStyle w:val="LongTitle"/>
        <w:spacing w:before="0" w:after="0"/>
        <w:jc w:val="left"/>
        <w:rPr>
          <w:lang w:eastAsia="en-AU"/>
        </w:rPr>
      </w:pPr>
    </w:p>
    <w:p w14:paraId="52145256" w14:textId="3FB8E88B" w:rsidR="001779FB" w:rsidRDefault="00894E30" w:rsidP="001779FB">
      <w:pPr>
        <w:pStyle w:val="LongTitle"/>
        <w:spacing w:before="0" w:after="0"/>
        <w:jc w:val="left"/>
      </w:pPr>
      <w:r>
        <w:rPr>
          <w:lang w:eastAsia="en-AU"/>
        </w:rPr>
        <w:t xml:space="preserve">All </w:t>
      </w:r>
      <w:r w:rsidR="00CC3878" w:rsidRPr="0080286E">
        <w:rPr>
          <w:lang w:eastAsia="en-AU"/>
        </w:rPr>
        <w:t>fees in the determination</w:t>
      </w:r>
      <w:r w:rsidR="00D35CA4">
        <w:rPr>
          <w:lang w:eastAsia="en-AU"/>
        </w:rPr>
        <w:t>,</w:t>
      </w:r>
      <w:r w:rsidR="00D35CA4" w:rsidRPr="00D35CA4">
        <w:t xml:space="preserve"> </w:t>
      </w:r>
      <w:r w:rsidR="00D35CA4">
        <w:t>which applied in the 202</w:t>
      </w:r>
      <w:r w:rsidR="0096126E">
        <w:t>1</w:t>
      </w:r>
      <w:r w:rsidR="00D35CA4">
        <w:t>-2</w:t>
      </w:r>
      <w:r w:rsidR="0096126E">
        <w:t>2</w:t>
      </w:r>
      <w:r w:rsidR="00D35CA4">
        <w:t xml:space="preserve"> financial years,</w:t>
      </w:r>
      <w:r w:rsidR="00CC3878" w:rsidRPr="0080286E">
        <w:rPr>
          <w:lang w:eastAsia="en-AU"/>
        </w:rPr>
        <w:t xml:space="preserve"> have been increased</w:t>
      </w:r>
      <w:r w:rsidR="00CC3878">
        <w:rPr>
          <w:lang w:eastAsia="en-AU"/>
        </w:rPr>
        <w:t xml:space="preserve"> by </w:t>
      </w:r>
      <w:r w:rsidR="002A791A">
        <w:rPr>
          <w:lang w:eastAsia="en-AU"/>
        </w:rPr>
        <w:t>3</w:t>
      </w:r>
      <w:r w:rsidR="00126EF4">
        <w:rPr>
          <w:lang w:eastAsia="en-AU"/>
        </w:rPr>
        <w:t>.</w:t>
      </w:r>
      <w:r w:rsidR="00B7253A">
        <w:rPr>
          <w:lang w:eastAsia="en-AU"/>
        </w:rPr>
        <w:t>25</w:t>
      </w:r>
      <w:r w:rsidR="00CC3878">
        <w:rPr>
          <w:lang w:eastAsia="en-AU"/>
        </w:rPr>
        <w:t xml:space="preserve">% </w:t>
      </w:r>
      <w:r w:rsidR="002310F7">
        <w:t xml:space="preserve">for the </w:t>
      </w:r>
      <w:r w:rsidR="00126EF4">
        <w:t>202</w:t>
      </w:r>
      <w:r w:rsidR="0096126E">
        <w:t>2</w:t>
      </w:r>
      <w:r w:rsidR="00126EF4">
        <w:t>-2</w:t>
      </w:r>
      <w:r w:rsidR="0096126E">
        <w:t>3</w:t>
      </w:r>
      <w:r w:rsidR="001779FB">
        <w:t xml:space="preserve"> financial year</w:t>
      </w:r>
      <w:r w:rsidR="001779FB">
        <w:rPr>
          <w:lang w:eastAsia="en-AU"/>
        </w:rPr>
        <w:t>, based on the wage price index as per government’s advice</w:t>
      </w:r>
      <w:r w:rsidR="00FA406F">
        <w:rPr>
          <w:lang w:eastAsia="en-AU"/>
        </w:rPr>
        <w:t xml:space="preserve">. </w:t>
      </w:r>
    </w:p>
    <w:p w14:paraId="70A79F0E" w14:textId="77777777" w:rsidR="00A56294" w:rsidRDefault="00A56294" w:rsidP="00A56294">
      <w:pPr>
        <w:pStyle w:val="Header"/>
        <w:tabs>
          <w:tab w:val="clear" w:pos="4153"/>
          <w:tab w:val="clear" w:pos="8306"/>
        </w:tabs>
      </w:pPr>
    </w:p>
    <w:p w14:paraId="698DD8EA" w14:textId="7C28EDB0" w:rsidR="00A56294" w:rsidRDefault="00A56294" w:rsidP="00A56294">
      <w:pPr>
        <w:pStyle w:val="Header"/>
        <w:tabs>
          <w:tab w:val="clear" w:pos="4153"/>
          <w:tab w:val="clear" w:pos="8306"/>
        </w:tabs>
      </w:pPr>
      <w:r>
        <w:t>The instrument commences on 1 July 20</w:t>
      </w:r>
      <w:r w:rsidR="00126EF4">
        <w:t>2</w:t>
      </w:r>
      <w:r w:rsidR="0096126E">
        <w:t>2</w:t>
      </w:r>
      <w:r>
        <w:t>.</w:t>
      </w:r>
    </w:p>
    <w:p w14:paraId="01C77A87" w14:textId="77777777" w:rsidR="00A56294" w:rsidRDefault="00A56294" w:rsidP="00A56294">
      <w:pPr>
        <w:pStyle w:val="Header"/>
        <w:tabs>
          <w:tab w:val="clear" w:pos="4153"/>
          <w:tab w:val="clear" w:pos="8306"/>
        </w:tabs>
      </w:pPr>
    </w:p>
    <w:p w14:paraId="5CB447A3" w14:textId="7B464E87" w:rsidR="00A56294" w:rsidRPr="00543F67" w:rsidRDefault="00A56294" w:rsidP="00A56294">
      <w:pPr>
        <w:pStyle w:val="Header"/>
        <w:tabs>
          <w:tab w:val="clear" w:pos="4153"/>
          <w:tab w:val="clear" w:pos="8306"/>
        </w:tabs>
      </w:pPr>
      <w:r>
        <w:t xml:space="preserve">This instrument revokes the </w:t>
      </w:r>
      <w:r w:rsidR="00111EAB">
        <w:rPr>
          <w:i/>
          <w:color w:val="000000"/>
        </w:rPr>
        <w:t>Bu</w:t>
      </w:r>
      <w:r w:rsidR="002310F7">
        <w:rPr>
          <w:i/>
          <w:color w:val="000000"/>
        </w:rPr>
        <w:t>ilding (Fees) Determination 20</w:t>
      </w:r>
      <w:r w:rsidR="0096126E">
        <w:rPr>
          <w:i/>
          <w:color w:val="000000"/>
        </w:rPr>
        <w:t>21</w:t>
      </w:r>
      <w:r w:rsidR="002310F7">
        <w:rPr>
          <w:i/>
          <w:color w:val="000000"/>
        </w:rPr>
        <w:t xml:space="preserve"> </w:t>
      </w:r>
      <w:r w:rsidR="002310F7">
        <w:rPr>
          <w:color w:val="000000"/>
        </w:rPr>
        <w:t>(DI20</w:t>
      </w:r>
      <w:r w:rsidR="0096126E">
        <w:rPr>
          <w:color w:val="000000"/>
        </w:rPr>
        <w:t>21</w:t>
      </w:r>
      <w:r w:rsidR="002310F7">
        <w:rPr>
          <w:color w:val="000000"/>
        </w:rPr>
        <w:noBreakHyphen/>
      </w:r>
      <w:r w:rsidR="0096126E">
        <w:rPr>
          <w:color w:val="000000"/>
        </w:rPr>
        <w:t>73</w:t>
      </w:r>
      <w:r w:rsidR="00111EAB">
        <w:rPr>
          <w:color w:val="000000"/>
        </w:rPr>
        <w:t>)</w:t>
      </w:r>
      <w:r w:rsidR="00CC3878">
        <w:t>.</w:t>
      </w:r>
    </w:p>
    <w:p w14:paraId="0B2D13B5" w14:textId="77777777" w:rsidR="00A56294" w:rsidRDefault="00A56294" w:rsidP="00A56294">
      <w:pPr>
        <w:pStyle w:val="Header"/>
        <w:tabs>
          <w:tab w:val="clear" w:pos="4153"/>
          <w:tab w:val="clear" w:pos="8306"/>
        </w:tabs>
      </w:pPr>
    </w:p>
    <w:p w14:paraId="5B59C8EA" w14:textId="77777777" w:rsidR="00CC3878" w:rsidRDefault="00A56294" w:rsidP="00CC3878">
      <w:pPr>
        <w:pStyle w:val="Header"/>
        <w:tabs>
          <w:tab w:val="clear" w:pos="4153"/>
          <w:tab w:val="clear" w:pos="8306"/>
        </w:tabs>
      </w:pPr>
      <w:r>
        <w:t>The determination under section 150 of the Act is a disallowable instrument</w:t>
      </w:r>
      <w:r w:rsidR="00CC3878">
        <w:t xml:space="preserve"> </w:t>
      </w:r>
      <w:r w:rsidR="00CC3878" w:rsidRPr="008B4B31">
        <w:rPr>
          <w:lang w:eastAsia="en-AU"/>
        </w:rPr>
        <w:t xml:space="preserve">and must be presented to the Legislative Assembly within 6 sitting days after its notification pursuant to section 64 of the </w:t>
      </w:r>
      <w:r w:rsidR="00CC3878" w:rsidRPr="008B4B31">
        <w:rPr>
          <w:i/>
          <w:iCs/>
          <w:lang w:eastAsia="en-AU"/>
        </w:rPr>
        <w:t>Legislation</w:t>
      </w:r>
      <w:r w:rsidR="00CC3878">
        <w:rPr>
          <w:i/>
          <w:iCs/>
          <w:lang w:eastAsia="en-AU"/>
        </w:rPr>
        <w:t> </w:t>
      </w:r>
      <w:r w:rsidR="00CC3878" w:rsidRPr="008B4B31">
        <w:rPr>
          <w:i/>
          <w:iCs/>
          <w:lang w:eastAsia="en-AU"/>
        </w:rPr>
        <w:t>Act 2001</w:t>
      </w:r>
      <w:r w:rsidR="00734D6B">
        <w:rPr>
          <w:i/>
          <w:iCs/>
          <w:lang w:eastAsia="en-AU"/>
        </w:rPr>
        <w:t xml:space="preserve"> </w:t>
      </w:r>
      <w:r w:rsidR="00734D6B">
        <w:rPr>
          <w:iCs/>
          <w:lang w:eastAsia="en-AU"/>
        </w:rPr>
        <w:t>(Legislation Act)</w:t>
      </w:r>
      <w:r w:rsidR="00CC3878" w:rsidRPr="008B4B31">
        <w:rPr>
          <w:lang w:eastAsia="en-AU"/>
        </w:rPr>
        <w:t>.</w:t>
      </w:r>
    </w:p>
    <w:p w14:paraId="1E7DA1C3" w14:textId="77777777" w:rsidR="00CC3878" w:rsidRDefault="00CC3878" w:rsidP="00CC3878">
      <w:pPr>
        <w:pStyle w:val="Header"/>
        <w:tabs>
          <w:tab w:val="clear" w:pos="4153"/>
          <w:tab w:val="clear" w:pos="8306"/>
        </w:tabs>
      </w:pPr>
    </w:p>
    <w:p w14:paraId="54B366C4" w14:textId="77777777" w:rsidR="00CC3878" w:rsidRDefault="00CC3878" w:rsidP="00CC3878">
      <w:pPr>
        <w:autoSpaceDE w:val="0"/>
        <w:autoSpaceDN w:val="0"/>
        <w:adjustRightInd w:val="0"/>
        <w:rPr>
          <w:b/>
          <w:lang w:eastAsia="en-AU"/>
        </w:rPr>
      </w:pPr>
      <w:r w:rsidRPr="00E50E4F">
        <w:rPr>
          <w:b/>
          <w:lang w:eastAsia="en-AU"/>
        </w:rPr>
        <w:t>Regulatory Impact Statement</w:t>
      </w:r>
      <w:r>
        <w:rPr>
          <w:b/>
          <w:lang w:eastAsia="en-AU"/>
        </w:rPr>
        <w:t xml:space="preserve"> (RIS)</w:t>
      </w:r>
    </w:p>
    <w:p w14:paraId="017A5E80" w14:textId="77777777" w:rsidR="00CC3878" w:rsidRDefault="00CC3878" w:rsidP="00CC3878">
      <w:pPr>
        <w:autoSpaceDE w:val="0"/>
        <w:autoSpaceDN w:val="0"/>
        <w:adjustRightInd w:val="0"/>
        <w:rPr>
          <w:lang w:eastAsia="en-AU"/>
        </w:rPr>
      </w:pPr>
      <w:r>
        <w:rPr>
          <w:lang w:eastAsia="en-AU"/>
        </w:rPr>
        <w:t>A RIS is not required for this fee determination due to s</w:t>
      </w:r>
      <w:r w:rsidR="00E70D04">
        <w:rPr>
          <w:lang w:eastAsia="en-AU"/>
        </w:rPr>
        <w:t>ection</w:t>
      </w:r>
      <w:r>
        <w:rPr>
          <w:lang w:eastAsia="en-AU"/>
        </w:rPr>
        <w:t xml:space="preserve"> 36</w:t>
      </w:r>
      <w:r w:rsidR="00E70D04">
        <w:rPr>
          <w:lang w:eastAsia="en-AU"/>
        </w:rPr>
        <w:t xml:space="preserve"> </w:t>
      </w:r>
      <w:r>
        <w:rPr>
          <w:lang w:eastAsia="en-AU"/>
        </w:rPr>
        <w:t>(1)</w:t>
      </w:r>
      <w:r w:rsidR="00E70D04">
        <w:rPr>
          <w:lang w:eastAsia="en-AU"/>
        </w:rPr>
        <w:t xml:space="preserve"> </w:t>
      </w:r>
      <w:r>
        <w:rPr>
          <w:lang w:eastAsia="en-AU"/>
        </w:rPr>
        <w:t xml:space="preserve">(k) of the Legislation Act, which </w:t>
      </w:r>
      <w:r w:rsidR="00E70D04">
        <w:rPr>
          <w:lang w:eastAsia="en-AU"/>
        </w:rPr>
        <w:t>provides</w:t>
      </w:r>
      <w:r>
        <w:rPr>
          <w:lang w:eastAsia="en-AU"/>
        </w:rPr>
        <w:t xml:space="preserve"> that a RIS need not be prepared for an amendment of a fee consistent with announced government policy. </w:t>
      </w:r>
    </w:p>
    <w:p w14:paraId="4E87FA30" w14:textId="77777777" w:rsidR="00CC3878" w:rsidRDefault="00CC3878" w:rsidP="00CC3878">
      <w:pPr>
        <w:autoSpaceDE w:val="0"/>
        <w:autoSpaceDN w:val="0"/>
        <w:adjustRightInd w:val="0"/>
        <w:rPr>
          <w:lang w:eastAsia="en-AU"/>
        </w:rPr>
      </w:pPr>
    </w:p>
    <w:p w14:paraId="5195EB4A" w14:textId="77777777" w:rsidR="00CC3878" w:rsidRPr="00477EDE" w:rsidRDefault="00CC3878" w:rsidP="00CC3878">
      <w:pPr>
        <w:autoSpaceDE w:val="0"/>
        <w:autoSpaceDN w:val="0"/>
        <w:adjustRightInd w:val="0"/>
        <w:rPr>
          <w:b/>
          <w:color w:val="000000"/>
        </w:rPr>
      </w:pPr>
      <w:r w:rsidRPr="00EB3913">
        <w:rPr>
          <w:b/>
          <w:color w:val="000000"/>
        </w:rPr>
        <w:t>Human Rights</w:t>
      </w:r>
    </w:p>
    <w:p w14:paraId="7F7051BE" w14:textId="77777777" w:rsidR="00A56294" w:rsidRDefault="00CC3878" w:rsidP="00894E30">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sectPr w:rsidR="00A56294" w:rsidSect="00894E30">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276"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EE88" w14:textId="77777777" w:rsidR="00962BA0" w:rsidRDefault="00962BA0" w:rsidP="00E70D04">
      <w:r>
        <w:separator/>
      </w:r>
    </w:p>
  </w:endnote>
  <w:endnote w:type="continuationSeparator" w:id="0">
    <w:p w14:paraId="5651A000" w14:textId="77777777" w:rsidR="00962BA0" w:rsidRDefault="00962BA0" w:rsidP="00E7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57D3" w14:textId="77777777" w:rsidR="00181A0E" w:rsidRDefault="0018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E28B" w14:textId="23081E58" w:rsidR="00E37F73" w:rsidRPr="00754780" w:rsidRDefault="00E37F73" w:rsidP="00E37F73">
    <w:pPr>
      <w:pStyle w:val="Footer"/>
      <w:jc w:val="center"/>
      <w:rPr>
        <w:sz w:val="16"/>
        <w:szCs w:val="16"/>
      </w:rPr>
    </w:pPr>
  </w:p>
  <w:p w14:paraId="1BFB2E72" w14:textId="2B0FC1B0" w:rsidR="00937C43" w:rsidRPr="00181A0E" w:rsidRDefault="00181A0E" w:rsidP="00181A0E">
    <w:pPr>
      <w:pStyle w:val="Footer"/>
      <w:jc w:val="center"/>
      <w:rPr>
        <w:rFonts w:ascii="Arial" w:hAnsi="Arial" w:cs="Arial"/>
        <w:sz w:val="14"/>
      </w:rPr>
    </w:pPr>
    <w:r w:rsidRPr="00181A0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A07E" w14:textId="77777777" w:rsidR="00181A0E" w:rsidRDefault="0018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A7F8" w14:textId="77777777" w:rsidR="00962BA0" w:rsidRDefault="00962BA0" w:rsidP="00E70D04">
      <w:r>
        <w:separator/>
      </w:r>
    </w:p>
  </w:footnote>
  <w:footnote w:type="continuationSeparator" w:id="0">
    <w:p w14:paraId="43C7F9B7" w14:textId="77777777" w:rsidR="00962BA0" w:rsidRDefault="00962BA0" w:rsidP="00E7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A0D" w14:textId="77777777" w:rsidR="00181A0E" w:rsidRDefault="0018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AE39" w14:textId="77777777" w:rsidR="00181A0E" w:rsidRDefault="00181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6277" w14:textId="77777777" w:rsidR="00181A0E" w:rsidRDefault="0018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4"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5"/>
  </w:num>
  <w:num w:numId="2">
    <w:abstractNumId w:val="2"/>
  </w:num>
  <w:num w:numId="3">
    <w:abstractNumId w:val="4"/>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4D"/>
    <w:rsid w:val="000470D1"/>
    <w:rsid w:val="00054FAB"/>
    <w:rsid w:val="00086B27"/>
    <w:rsid w:val="00092ADA"/>
    <w:rsid w:val="000D52AC"/>
    <w:rsid w:val="000F3F08"/>
    <w:rsid w:val="00111EAB"/>
    <w:rsid w:val="00126EF4"/>
    <w:rsid w:val="001657EF"/>
    <w:rsid w:val="0017049E"/>
    <w:rsid w:val="001779FB"/>
    <w:rsid w:val="00181A0E"/>
    <w:rsid w:val="00181C6D"/>
    <w:rsid w:val="001925CE"/>
    <w:rsid w:val="001A7ABA"/>
    <w:rsid w:val="001B0685"/>
    <w:rsid w:val="00214C45"/>
    <w:rsid w:val="002310F7"/>
    <w:rsid w:val="00235F11"/>
    <w:rsid w:val="00286DFF"/>
    <w:rsid w:val="00292FA4"/>
    <w:rsid w:val="002A791A"/>
    <w:rsid w:val="002F042E"/>
    <w:rsid w:val="00316DB0"/>
    <w:rsid w:val="00333E37"/>
    <w:rsid w:val="00395C5E"/>
    <w:rsid w:val="003E3068"/>
    <w:rsid w:val="00442FB7"/>
    <w:rsid w:val="00471E57"/>
    <w:rsid w:val="004F62EE"/>
    <w:rsid w:val="005233BA"/>
    <w:rsid w:val="00565AAC"/>
    <w:rsid w:val="00597D9F"/>
    <w:rsid w:val="005A095F"/>
    <w:rsid w:val="005A27FB"/>
    <w:rsid w:val="005C647B"/>
    <w:rsid w:val="006515BE"/>
    <w:rsid w:val="00651DE6"/>
    <w:rsid w:val="00652B9D"/>
    <w:rsid w:val="0066169B"/>
    <w:rsid w:val="00691EDE"/>
    <w:rsid w:val="006A69E8"/>
    <w:rsid w:val="006B3CE4"/>
    <w:rsid w:val="006B79FA"/>
    <w:rsid w:val="00703681"/>
    <w:rsid w:val="00713B91"/>
    <w:rsid w:val="00730C45"/>
    <w:rsid w:val="00734D6B"/>
    <w:rsid w:val="00755D66"/>
    <w:rsid w:val="007D347C"/>
    <w:rsid w:val="007E528A"/>
    <w:rsid w:val="0083656A"/>
    <w:rsid w:val="00893F41"/>
    <w:rsid w:val="00894E30"/>
    <w:rsid w:val="008A0033"/>
    <w:rsid w:val="008C4317"/>
    <w:rsid w:val="008D1605"/>
    <w:rsid w:val="008F25C5"/>
    <w:rsid w:val="00927E12"/>
    <w:rsid w:val="00937C43"/>
    <w:rsid w:val="0096126E"/>
    <w:rsid w:val="00962BA0"/>
    <w:rsid w:val="009B06A9"/>
    <w:rsid w:val="009B3BCF"/>
    <w:rsid w:val="009E0A32"/>
    <w:rsid w:val="009F6AE0"/>
    <w:rsid w:val="00A56294"/>
    <w:rsid w:val="00A63B59"/>
    <w:rsid w:val="00A7555B"/>
    <w:rsid w:val="00A809B4"/>
    <w:rsid w:val="00AD4454"/>
    <w:rsid w:val="00B06B5C"/>
    <w:rsid w:val="00B267E2"/>
    <w:rsid w:val="00B5088A"/>
    <w:rsid w:val="00B5544D"/>
    <w:rsid w:val="00B7253A"/>
    <w:rsid w:val="00B90F35"/>
    <w:rsid w:val="00BA7B68"/>
    <w:rsid w:val="00BC3A57"/>
    <w:rsid w:val="00C32503"/>
    <w:rsid w:val="00C67F68"/>
    <w:rsid w:val="00CA48F1"/>
    <w:rsid w:val="00CC0C5B"/>
    <w:rsid w:val="00CC3878"/>
    <w:rsid w:val="00CE3D2E"/>
    <w:rsid w:val="00D01007"/>
    <w:rsid w:val="00D35CA4"/>
    <w:rsid w:val="00D371E1"/>
    <w:rsid w:val="00D4770B"/>
    <w:rsid w:val="00D612E0"/>
    <w:rsid w:val="00D872B9"/>
    <w:rsid w:val="00D90A17"/>
    <w:rsid w:val="00D94AA2"/>
    <w:rsid w:val="00DB7A82"/>
    <w:rsid w:val="00E22F0C"/>
    <w:rsid w:val="00E37F73"/>
    <w:rsid w:val="00E41AF8"/>
    <w:rsid w:val="00E70D04"/>
    <w:rsid w:val="00E90775"/>
    <w:rsid w:val="00E90D81"/>
    <w:rsid w:val="00EA6A82"/>
    <w:rsid w:val="00EE6758"/>
    <w:rsid w:val="00F11777"/>
    <w:rsid w:val="00F15FD9"/>
    <w:rsid w:val="00F271ED"/>
    <w:rsid w:val="00F475E8"/>
    <w:rsid w:val="00F70DED"/>
    <w:rsid w:val="00F82FA8"/>
    <w:rsid w:val="00FA406F"/>
    <w:rsid w:val="00FB7E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2050"/>
    <o:shapelayout v:ext="edit">
      <o:idmap v:ext="edit" data="2"/>
    </o:shapelayout>
  </w:shapeDefaults>
  <w:decimalSymbol w:val="."/>
  <w:listSeparator w:val=","/>
  <w14:docId w14:val="6EBA6A1C"/>
  <w15:chartTrackingRefBased/>
  <w15:docId w15:val="{3A0917BE-8EA1-4C79-8A67-5461B33E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153"/>
        <w:tab w:val="right" w:pos="8306"/>
      </w:tabs>
    </w:pPr>
    <w:rPr>
      <w:lang w:val="en-U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dot">
    <w:name w:val="dot"/>
    <w:basedOn w:val="Normal"/>
    <w:uiPriority w:val="99"/>
    <w:pPr>
      <w:numPr>
        <w:numId w:val="1"/>
      </w:numPr>
    </w:pPr>
    <w:rPr>
      <w:rFonts w:ascii="Arial" w:hAnsi="Arial" w:cs="Arial"/>
    </w:rPr>
  </w:style>
  <w:style w:type="paragraph" w:customStyle="1" w:styleId="dot2">
    <w:name w:val="dot 2"/>
    <w:basedOn w:val="Normal"/>
    <w:pPr>
      <w:numPr>
        <w:numId w:val="2"/>
      </w:numPr>
    </w:pPr>
    <w:rPr>
      <w:rFonts w:ascii="Arial" w:hAnsi="Arial" w:cs="Arial"/>
    </w:rPr>
  </w:style>
  <w:style w:type="paragraph" w:customStyle="1" w:styleId="para">
    <w:name w:val="para"/>
    <w:basedOn w:val="Normal"/>
    <w:pPr>
      <w:spacing w:before="120" w:after="120"/>
    </w:pPr>
    <w:rPr>
      <w:rFonts w:ascii="Arial" w:hAnsi="Arial" w:cs="Arial"/>
    </w:rPr>
  </w:style>
  <w:style w:type="paragraph" w:customStyle="1" w:styleId="textbox">
    <w:name w:val="text box"/>
    <w:basedOn w:val="Normal"/>
    <w:pPr>
      <w:spacing w:before="60" w:after="60"/>
    </w:pPr>
    <w:rPr>
      <w:rFonts w:ascii="Tahoma" w:hAnsi="Tahoma" w:cs="Tahoma"/>
    </w:rPr>
  </w:style>
  <w:style w:type="paragraph" w:customStyle="1" w:styleId="Dotpoint">
    <w:name w:val="Dot point"/>
    <w:basedOn w:val="Normal"/>
    <w:pPr>
      <w:numPr>
        <w:numId w:val="4"/>
      </w:numPr>
      <w:tabs>
        <w:tab w:val="left" w:pos="851"/>
      </w:tabs>
      <w:spacing w:before="60" w:after="60"/>
    </w:pPr>
    <w:rPr>
      <w:rFonts w:ascii="Arial" w:hAnsi="Arial" w:cs="Arial"/>
      <w:lang w:val="en-US"/>
    </w:rPr>
  </w:style>
  <w:style w:type="paragraph" w:customStyle="1" w:styleId="madeunder">
    <w:name w:val="made under"/>
    <w:basedOn w:val="Normal"/>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customStyle="1" w:styleId="N-line3">
    <w:name w:val="N-line3"/>
    <w:basedOn w:val="Normal"/>
    <w:next w:val="Normal"/>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link w:val="FooterChar"/>
    <w:uiPriority w:val="99"/>
    <w:pPr>
      <w:tabs>
        <w:tab w:val="center" w:pos="4153"/>
        <w:tab w:val="right" w:pos="8306"/>
      </w:tabs>
    </w:p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Amain">
    <w:name w:val="A main"/>
    <w:basedOn w:val="Normal"/>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pPr>
      <w:keepNext/>
      <w:tabs>
        <w:tab w:val="left" w:pos="700"/>
      </w:tabs>
      <w:autoSpaceDE w:val="0"/>
      <w:autoSpaceDN w:val="0"/>
      <w:spacing w:before="180" w:after="60"/>
      <w:ind w:left="700" w:hanging="700"/>
    </w:pPr>
    <w:rPr>
      <w:rFonts w:ascii="Arial" w:hAnsi="Arial" w:cs="Arial"/>
      <w:b/>
      <w:bCs/>
      <w:sz w:val="20"/>
    </w:rPr>
  </w:style>
  <w:style w:type="paragraph" w:styleId="BalloonText">
    <w:name w:val="Balloon Text"/>
    <w:basedOn w:val="Normal"/>
    <w:link w:val="BalloonTextChar"/>
    <w:rsid w:val="0066169B"/>
    <w:rPr>
      <w:rFonts w:ascii="Tahoma" w:hAnsi="Tahoma" w:cs="Tahoma"/>
      <w:sz w:val="16"/>
      <w:szCs w:val="16"/>
    </w:rPr>
  </w:style>
  <w:style w:type="character" w:customStyle="1" w:styleId="BalloonTextChar">
    <w:name w:val="Balloon Text Char"/>
    <w:link w:val="BalloonText"/>
    <w:rsid w:val="0066169B"/>
    <w:rPr>
      <w:rFonts w:ascii="Tahoma" w:hAnsi="Tahoma" w:cs="Tahoma"/>
      <w:sz w:val="16"/>
      <w:szCs w:val="16"/>
      <w:lang w:eastAsia="en-US"/>
    </w:rPr>
  </w:style>
  <w:style w:type="character" w:customStyle="1" w:styleId="HeaderChar">
    <w:name w:val="Header Char"/>
    <w:link w:val="Header"/>
    <w:uiPriority w:val="99"/>
    <w:locked/>
    <w:rsid w:val="00A56294"/>
    <w:rPr>
      <w:sz w:val="24"/>
      <w:szCs w:val="24"/>
      <w:lang w:val="en-US" w:eastAsia="en-US"/>
    </w:rPr>
  </w:style>
  <w:style w:type="character" w:customStyle="1" w:styleId="FooterChar">
    <w:name w:val="Footer Char"/>
    <w:basedOn w:val="DefaultParagraphFont"/>
    <w:link w:val="Footer"/>
    <w:uiPriority w:val="99"/>
    <w:rsid w:val="00E37F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9458F7E8-5CF6-4DE6-BC66-2950777B628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1523</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adrian walsh</dc:creator>
  <cp:keywords/>
  <dc:description/>
  <cp:lastModifiedBy>Moxon, KarenL</cp:lastModifiedBy>
  <cp:revision>4</cp:revision>
  <cp:lastPrinted>2018-05-21T00:30:00Z</cp:lastPrinted>
  <dcterms:created xsi:type="dcterms:W3CDTF">2022-06-23T05:28:00Z</dcterms:created>
  <dcterms:modified xsi:type="dcterms:W3CDTF">2022-06-23T05:28:00Z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A33307675</vt:lpwstr>
  </property>
  <property fmtid="{D5CDD505-2E9C-101B-9397-08002B2CF9AE}" pid="3" name="Objective-Comment">
    <vt:lpwstr/>
  </property>
  <property fmtid="{D5CDD505-2E9C-101B-9397-08002B2CF9AE}" pid="4" name="Objective-CreationStamp">
    <vt:filetime>2022-03-24T02:46:26Z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2022-05-23T00:28:43Z</vt:filetime>
  </property>
  <property fmtid="{D5CDD505-2E9C-101B-9397-08002B2CF9AE}" pid="8" name="Objective-ModificationStamp">
    <vt:filetime>2022-05-23T00:28:43Z</vt:filetime>
  </property>
  <property fmtid="{D5CDD505-2E9C-101B-9397-08002B2CF9AE}" pid="9" name="Objective-Owner">
    <vt:lpwstr>Sara Banks</vt:lpwstr>
  </property>
  <property fmtid="{D5CDD505-2E9C-101B-9397-08002B2CF9AE}" pid="10" name="Objective-Path">
    <vt:lpwstr>Whole of ACT Government:EPSDD - Environment Planning and Sustainable Development Directorate:07. Ministerial, Cabinet and Government Relations:06. Ministerials:2022 - Ministerial and Chief Ministerial Briefs / Correspondence:Corporate Services and Operations  (Chief Operating Officer):04. April:22/38062 Ministerial - Information Brief - Vassarotti - EPSDD 2022-23 Fees and Charges:Att B10-18 - Explanatory Statements:</vt:lpwstr>
  </property>
  <property fmtid="{D5CDD505-2E9C-101B-9397-08002B2CF9AE}" pid="11" name="Objective-Parent">
    <vt:lpwstr>Att B10-18 - Explanatory Statements</vt:lpwstr>
  </property>
  <property fmtid="{D5CDD505-2E9C-101B-9397-08002B2CF9AE}" pid="12" name="Objective-State">
    <vt:lpwstr>Published</vt:lpwstr>
  </property>
  <property fmtid="{D5CDD505-2E9C-101B-9397-08002B2CF9AE}" pid="13" name="Objective-Title">
    <vt:lpwstr>B11 - 2022-XX - Building (Fees) Determination 2022 Explanatory Statement</vt:lpwstr>
  </property>
  <property fmtid="{D5CDD505-2E9C-101B-9397-08002B2CF9AE}" pid="14" name="Objective-Version">
    <vt:lpwstr>7.0</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7a184d29-85d2-4402-9bff-372f8d50e8ca</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ies>
</file>