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A921" w14:textId="77777777" w:rsidR="009A2FA8" w:rsidRPr="00B00457" w:rsidRDefault="009A2FA8" w:rsidP="004452E1">
      <w:pPr>
        <w:spacing w:before="120"/>
        <w:rPr>
          <w:rFonts w:ascii="Arial" w:hAnsi="Arial" w:cs="Arial"/>
        </w:rPr>
      </w:pPr>
      <w:r w:rsidRPr="00B00457">
        <w:rPr>
          <w:rFonts w:ascii="Arial" w:hAnsi="Arial" w:cs="Arial"/>
        </w:rPr>
        <w:t>Australian Capital Territory</w:t>
      </w:r>
    </w:p>
    <w:p w14:paraId="5AF44ECC" w14:textId="0418A296" w:rsidR="009A2FA8" w:rsidRPr="00B00457" w:rsidRDefault="009A2FA8" w:rsidP="004452E1">
      <w:pPr>
        <w:spacing w:before="700" w:after="10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Fisheries</w:t>
      </w:r>
      <w:r w:rsidR="000D0C13">
        <w:rPr>
          <w:rFonts w:ascii="Arial" w:hAnsi="Arial" w:cs="Arial"/>
          <w:b/>
          <w:bCs/>
          <w:sz w:val="40"/>
          <w:szCs w:val="40"/>
        </w:rPr>
        <w:t xml:space="preserve"> (Fees) Determination 20</w:t>
      </w:r>
      <w:r w:rsidR="00507EE5">
        <w:rPr>
          <w:rFonts w:ascii="Arial" w:hAnsi="Arial" w:cs="Arial"/>
          <w:b/>
          <w:bCs/>
          <w:sz w:val="40"/>
          <w:szCs w:val="40"/>
        </w:rPr>
        <w:t>2</w:t>
      </w:r>
      <w:r w:rsidR="00C73324">
        <w:rPr>
          <w:rFonts w:ascii="Arial" w:hAnsi="Arial" w:cs="Arial"/>
          <w:b/>
          <w:bCs/>
          <w:sz w:val="40"/>
          <w:szCs w:val="40"/>
        </w:rPr>
        <w:t>2</w:t>
      </w:r>
      <w:r w:rsidRPr="00B00457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697FD2F4" w14:textId="5BA04611" w:rsidR="00357EA2" w:rsidRDefault="008C2272" w:rsidP="004452E1">
      <w:pPr>
        <w:spacing w:before="340"/>
        <w:rPr>
          <w:rFonts w:ascii="Arial" w:hAnsi="Arial" w:cs="Arial"/>
          <w:b/>
          <w:bCs/>
        </w:rPr>
      </w:pPr>
      <w:bookmarkStart w:id="0" w:name="Citation"/>
      <w:r>
        <w:rPr>
          <w:rFonts w:ascii="Arial" w:hAnsi="Arial" w:cs="Arial"/>
          <w:b/>
          <w:bCs/>
        </w:rPr>
        <w:t xml:space="preserve">Disallowable </w:t>
      </w:r>
      <w:r w:rsidR="004452E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DI20</w:t>
      </w:r>
      <w:r w:rsidR="00507EE5">
        <w:rPr>
          <w:rFonts w:ascii="Arial" w:hAnsi="Arial" w:cs="Arial"/>
          <w:b/>
          <w:bCs/>
        </w:rPr>
        <w:t>2</w:t>
      </w:r>
      <w:r w:rsidR="00C73324">
        <w:rPr>
          <w:rFonts w:ascii="Arial" w:hAnsi="Arial" w:cs="Arial"/>
          <w:b/>
          <w:bCs/>
        </w:rPr>
        <w:t>2</w:t>
      </w:r>
      <w:r w:rsidR="006A0F4C">
        <w:rPr>
          <w:rFonts w:ascii="Arial" w:hAnsi="Arial" w:cs="Arial"/>
          <w:b/>
          <w:bCs/>
        </w:rPr>
        <w:t>–</w:t>
      </w:r>
      <w:r w:rsidR="00070EF0">
        <w:rPr>
          <w:rFonts w:ascii="Arial" w:hAnsi="Arial" w:cs="Arial"/>
          <w:b/>
          <w:bCs/>
        </w:rPr>
        <w:t>140</w:t>
      </w:r>
    </w:p>
    <w:p w14:paraId="67CCDB97" w14:textId="77777777" w:rsidR="009A2FA8" w:rsidRDefault="009A2FA8" w:rsidP="004452E1">
      <w:pPr>
        <w:spacing w:before="300"/>
      </w:pPr>
      <w:r>
        <w:t>made under the</w:t>
      </w:r>
    </w:p>
    <w:p w14:paraId="391120D9" w14:textId="77777777" w:rsidR="009A2FA8" w:rsidRPr="00E23576" w:rsidRDefault="009A2FA8" w:rsidP="004452E1">
      <w:pPr>
        <w:spacing w:before="320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FE1C59">
        <w:rPr>
          <w:rFonts w:ascii="Arial" w:hAnsi="Arial" w:cs="Arial"/>
          <w:b/>
          <w:bCs/>
          <w:sz w:val="20"/>
          <w:szCs w:val="20"/>
        </w:rPr>
        <w:t>Fisheries Act 2000</w:t>
      </w:r>
      <w:r w:rsidRPr="00E23576">
        <w:rPr>
          <w:rFonts w:ascii="Arial" w:hAnsi="Arial" w:cs="Arial"/>
          <w:b/>
          <w:bCs/>
          <w:sz w:val="20"/>
          <w:szCs w:val="20"/>
        </w:rPr>
        <w:t xml:space="preserve">, s </w:t>
      </w:r>
      <w:r>
        <w:rPr>
          <w:rFonts w:ascii="Arial" w:hAnsi="Arial" w:cs="Arial"/>
          <w:b/>
          <w:bCs/>
          <w:sz w:val="20"/>
          <w:szCs w:val="20"/>
        </w:rPr>
        <w:t xml:space="preserve">114 </w:t>
      </w:r>
      <w:r w:rsidR="00CA2DB0">
        <w:rPr>
          <w:rFonts w:ascii="Arial" w:hAnsi="Arial" w:cs="Arial"/>
          <w:b/>
          <w:bCs/>
          <w:sz w:val="20"/>
          <w:szCs w:val="20"/>
        </w:rPr>
        <w:t>(</w:t>
      </w:r>
      <w:r w:rsidRPr="00E23576">
        <w:rPr>
          <w:rFonts w:ascii="Arial" w:hAnsi="Arial" w:cs="Arial"/>
          <w:b/>
          <w:bCs/>
          <w:sz w:val="20"/>
          <w:szCs w:val="20"/>
        </w:rPr>
        <w:t>Determination of fees</w:t>
      </w:r>
      <w:r w:rsidR="00CA2DB0">
        <w:rPr>
          <w:rFonts w:ascii="Arial" w:hAnsi="Arial" w:cs="Arial"/>
          <w:b/>
          <w:bCs/>
          <w:sz w:val="20"/>
          <w:szCs w:val="20"/>
        </w:rPr>
        <w:t>)</w:t>
      </w:r>
    </w:p>
    <w:bookmarkEnd w:id="0"/>
    <w:p w14:paraId="6125FB5F" w14:textId="77777777" w:rsidR="0073396A" w:rsidRPr="009A2FA8" w:rsidRDefault="0073396A" w:rsidP="004452E1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 w:rsidRPr="009A2FA8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92963DA" w14:textId="77777777" w:rsidR="0073396A" w:rsidRPr="004452E1" w:rsidRDefault="0073396A" w:rsidP="004452E1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spacing w:before="60"/>
        <w:rPr>
          <w:rFonts w:ascii="Arial" w:hAnsi="Arial" w:cs="Arial"/>
          <w:bCs/>
        </w:rPr>
      </w:pPr>
    </w:p>
    <w:p w14:paraId="13E84ABC" w14:textId="77777777" w:rsidR="0073396A" w:rsidRPr="008921BB" w:rsidRDefault="0073396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5187CC09" w14:textId="77777777" w:rsidR="008921BB" w:rsidRDefault="008921BB" w:rsidP="008921BB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114 of the </w:t>
      </w:r>
      <w:r>
        <w:rPr>
          <w:i/>
          <w:iCs/>
          <w:color w:val="000000"/>
        </w:rPr>
        <w:t>Fisheries Act 2000</w:t>
      </w:r>
      <w:r>
        <w:rPr>
          <w:color w:val="000000"/>
        </w:rPr>
        <w:t xml:space="preserve"> </w:t>
      </w:r>
      <w:r w:rsidR="00CF1AD0">
        <w:rPr>
          <w:color w:val="000000"/>
        </w:rPr>
        <w:t xml:space="preserve">(the </w:t>
      </w:r>
      <w:r w:rsidR="00CF1AD0" w:rsidRPr="004452E1">
        <w:rPr>
          <w:b/>
          <w:i/>
          <w:color w:val="000000"/>
        </w:rPr>
        <w:t>Act</w:t>
      </w:r>
      <w:r w:rsidR="00CF1AD0">
        <w:rPr>
          <w:color w:val="000000"/>
        </w:rPr>
        <w:t xml:space="preserve">) </w:t>
      </w:r>
      <w:r>
        <w:rPr>
          <w:color w:val="000000"/>
        </w:rPr>
        <w:t>p</w:t>
      </w:r>
      <w:r w:rsidR="00870457">
        <w:rPr>
          <w:color w:val="000000"/>
        </w:rPr>
        <w:t>ermits</w:t>
      </w:r>
      <w:r>
        <w:rPr>
          <w:color w:val="000000"/>
        </w:rPr>
        <w:t xml:space="preserve"> the Minister to determine fees for the purposes of the Act.</w:t>
      </w:r>
    </w:p>
    <w:p w14:paraId="61AB68E2" w14:textId="77777777" w:rsidR="008921BB" w:rsidRDefault="008921BB" w:rsidP="008921BB">
      <w:pPr>
        <w:pStyle w:val="LongTitle"/>
        <w:spacing w:before="0" w:after="0"/>
        <w:jc w:val="left"/>
        <w:rPr>
          <w:color w:val="000000"/>
        </w:rPr>
      </w:pPr>
    </w:p>
    <w:p w14:paraId="07E38A5C" w14:textId="71267EF7" w:rsidR="00FB7A7B" w:rsidRDefault="00FB7A7B" w:rsidP="004452E1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The purpose of this </w:t>
      </w:r>
      <w:r w:rsidR="00CF1AD0">
        <w:rPr>
          <w:color w:val="000000"/>
        </w:rPr>
        <w:t xml:space="preserve">instrument is to determine the fees for </w:t>
      </w:r>
      <w:r w:rsidR="004452E1">
        <w:rPr>
          <w:color w:val="000000"/>
        </w:rPr>
        <w:t>licences issued</w:t>
      </w:r>
      <w:r w:rsidR="00CF1AD0">
        <w:rPr>
          <w:color w:val="000000"/>
        </w:rPr>
        <w:t xml:space="preserve"> under the </w:t>
      </w:r>
      <w:r w:rsidR="004452E1">
        <w:rPr>
          <w:color w:val="000000"/>
        </w:rPr>
        <w:t>Act</w:t>
      </w:r>
      <w:r w:rsidR="00CF1AD0">
        <w:rPr>
          <w:color w:val="000000"/>
        </w:rPr>
        <w:t xml:space="preserve"> for the 20</w:t>
      </w:r>
      <w:r w:rsidR="00507EE5">
        <w:rPr>
          <w:color w:val="000000"/>
        </w:rPr>
        <w:t>2</w:t>
      </w:r>
      <w:r w:rsidR="00C73324">
        <w:rPr>
          <w:color w:val="000000"/>
        </w:rPr>
        <w:t>2</w:t>
      </w:r>
      <w:r w:rsidR="00CF1AD0">
        <w:rPr>
          <w:color w:val="000000"/>
        </w:rPr>
        <w:t>-</w:t>
      </w:r>
      <w:r w:rsidR="00507EE5">
        <w:rPr>
          <w:color w:val="000000"/>
        </w:rPr>
        <w:t>2</w:t>
      </w:r>
      <w:r w:rsidR="00C73324">
        <w:rPr>
          <w:color w:val="000000"/>
        </w:rPr>
        <w:t>3</w:t>
      </w:r>
      <w:r w:rsidR="00CF1AD0">
        <w:rPr>
          <w:color w:val="000000"/>
        </w:rPr>
        <w:t xml:space="preserve"> financial year.</w:t>
      </w:r>
    </w:p>
    <w:p w14:paraId="3F3FA03F" w14:textId="77777777" w:rsidR="00FB7A7B" w:rsidRDefault="00FB7A7B" w:rsidP="00FB7A7B">
      <w:pPr>
        <w:pStyle w:val="Header"/>
        <w:tabs>
          <w:tab w:val="clear" w:pos="4153"/>
          <w:tab w:val="clear" w:pos="8306"/>
        </w:tabs>
      </w:pPr>
    </w:p>
    <w:p w14:paraId="06F36CE7" w14:textId="5C16406B" w:rsidR="003F2FAD" w:rsidRDefault="003F2FAD" w:rsidP="003F2FAD">
      <w:r>
        <w:rPr>
          <w:lang w:eastAsia="en-AU"/>
        </w:rPr>
        <w:t>The regulatory fees in the determination</w:t>
      </w:r>
      <w:r w:rsidR="00A36357">
        <w:rPr>
          <w:lang w:eastAsia="en-AU"/>
        </w:rPr>
        <w:t xml:space="preserve">, which applied in </w:t>
      </w:r>
      <w:r w:rsidR="002509EA">
        <w:rPr>
          <w:lang w:eastAsia="en-AU"/>
        </w:rPr>
        <w:t>the 202</w:t>
      </w:r>
      <w:r w:rsidR="00C73324">
        <w:rPr>
          <w:lang w:eastAsia="en-AU"/>
        </w:rPr>
        <w:t>1</w:t>
      </w:r>
      <w:r w:rsidR="002509EA">
        <w:rPr>
          <w:lang w:eastAsia="en-AU"/>
        </w:rPr>
        <w:t>-2</w:t>
      </w:r>
      <w:r w:rsidR="00C73324">
        <w:rPr>
          <w:lang w:eastAsia="en-AU"/>
        </w:rPr>
        <w:t>2</w:t>
      </w:r>
      <w:r w:rsidR="002509EA">
        <w:rPr>
          <w:lang w:eastAsia="en-AU"/>
        </w:rPr>
        <w:t xml:space="preserve"> financial year</w:t>
      </w:r>
      <w:r w:rsidR="00A36357">
        <w:rPr>
          <w:lang w:eastAsia="en-AU"/>
        </w:rPr>
        <w:t>,</w:t>
      </w:r>
      <w:r>
        <w:rPr>
          <w:lang w:eastAsia="en-AU"/>
        </w:rPr>
        <w:t xml:space="preserve"> have been increased by </w:t>
      </w:r>
      <w:r w:rsidR="00521779">
        <w:rPr>
          <w:lang w:eastAsia="en-AU"/>
        </w:rPr>
        <w:t>3</w:t>
      </w:r>
      <w:r w:rsidR="00507EE5">
        <w:rPr>
          <w:lang w:eastAsia="en-AU"/>
        </w:rPr>
        <w:t>.</w:t>
      </w:r>
      <w:r w:rsidR="00D25F60">
        <w:rPr>
          <w:lang w:eastAsia="en-AU"/>
        </w:rPr>
        <w:t>25</w:t>
      </w:r>
      <w:r>
        <w:rPr>
          <w:lang w:eastAsia="en-AU"/>
        </w:rPr>
        <w:t xml:space="preserve">% </w:t>
      </w:r>
      <w:r w:rsidR="003C7C90">
        <w:t>for the 20</w:t>
      </w:r>
      <w:r w:rsidR="00507EE5">
        <w:t>2</w:t>
      </w:r>
      <w:r w:rsidR="00C73324">
        <w:t>2</w:t>
      </w:r>
      <w:r w:rsidR="003C7C90">
        <w:t>-</w:t>
      </w:r>
      <w:r w:rsidR="00507EE5">
        <w:t>2</w:t>
      </w:r>
      <w:r w:rsidR="00C73324">
        <w:t>3</w:t>
      </w:r>
      <w:r>
        <w:t xml:space="preserve"> financial year</w:t>
      </w:r>
      <w:r>
        <w:rPr>
          <w:lang w:eastAsia="en-AU"/>
        </w:rPr>
        <w:t xml:space="preserve"> based on the wage price index as per government’s advice</w:t>
      </w:r>
      <w:r w:rsidR="00A83FD9">
        <w:rPr>
          <w:lang w:eastAsia="en-AU"/>
        </w:rPr>
        <w:t>.</w:t>
      </w:r>
      <w:r>
        <w:rPr>
          <w:lang w:eastAsia="en-AU"/>
        </w:rPr>
        <w:t xml:space="preserve"> </w:t>
      </w:r>
      <w:r w:rsidR="00A83FD9">
        <w:rPr>
          <w:lang w:eastAsia="en-AU"/>
        </w:rPr>
        <w:t>A</w:t>
      </w:r>
      <w:r>
        <w:t>ppropriate rounding has been made in relation to increases.</w:t>
      </w:r>
    </w:p>
    <w:p w14:paraId="43A58F7E" w14:textId="77777777" w:rsidR="00CC7ED4" w:rsidRDefault="00CC7ED4" w:rsidP="003F2FAD"/>
    <w:p w14:paraId="417EA9BE" w14:textId="4FB7D621" w:rsidR="002509EA" w:rsidRDefault="00A36357" w:rsidP="002509EA">
      <w:r>
        <w:t xml:space="preserve">The determination also includes </w:t>
      </w:r>
      <w:r w:rsidR="003C5CF9">
        <w:t xml:space="preserve">an </w:t>
      </w:r>
      <w:r w:rsidR="002509EA">
        <w:t>amendment</w:t>
      </w:r>
      <w:r w:rsidR="003C5CF9">
        <w:t xml:space="preserve"> to the following fee</w:t>
      </w:r>
      <w:r w:rsidR="006A0F4C">
        <w:t xml:space="preserve">: </w:t>
      </w:r>
    </w:p>
    <w:p w14:paraId="3342B71D" w14:textId="77777777" w:rsidR="002509EA" w:rsidRDefault="002509EA" w:rsidP="002509EA"/>
    <w:p w14:paraId="125DDB8A" w14:textId="798AF8BB" w:rsidR="00A36357" w:rsidRDefault="00A36357" w:rsidP="00CC7ED4">
      <w:pPr>
        <w:numPr>
          <w:ilvl w:val="0"/>
          <w:numId w:val="6"/>
        </w:numPr>
        <w:rPr>
          <w:snapToGrid w:val="0"/>
          <w:color w:val="000000"/>
        </w:rPr>
      </w:pPr>
      <w:r w:rsidRPr="00524BFB">
        <w:rPr>
          <w:snapToGrid w:val="0"/>
          <w:color w:val="000000"/>
        </w:rPr>
        <w:t>Important and exporting live fish (s 76)</w:t>
      </w:r>
    </w:p>
    <w:p w14:paraId="7DC11B51" w14:textId="7441DCD2" w:rsidR="003C5CF9" w:rsidRDefault="003C5CF9" w:rsidP="003C5CF9">
      <w:pPr>
        <w:rPr>
          <w:snapToGrid w:val="0"/>
          <w:color w:val="000000"/>
        </w:rPr>
      </w:pPr>
    </w:p>
    <w:p w14:paraId="0063430B" w14:textId="5A9E9F55" w:rsidR="003C5CF9" w:rsidRDefault="003C5CF9" w:rsidP="003C5CF9">
      <w:pPr>
        <w:rPr>
          <w:snapToGrid w:val="0"/>
          <w:color w:val="000000"/>
        </w:rPr>
      </w:pPr>
      <w:r>
        <w:rPr>
          <w:snapToGrid w:val="0"/>
          <w:color w:val="000000"/>
        </w:rPr>
        <w:t>The above fee description is now</w:t>
      </w:r>
      <w:r w:rsidR="006A0F4C">
        <w:rPr>
          <w:snapToGrid w:val="0"/>
          <w:color w:val="000000"/>
        </w:rPr>
        <w:t>:</w:t>
      </w:r>
    </w:p>
    <w:p w14:paraId="1DC16D56" w14:textId="446C0E09" w:rsidR="003C5CF9" w:rsidRDefault="003C5CF9" w:rsidP="003C5CF9">
      <w:pPr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</w:p>
    <w:p w14:paraId="47ADF97D" w14:textId="34290624" w:rsidR="003C5CF9" w:rsidRPr="00524BFB" w:rsidRDefault="003C5CF9" w:rsidP="003C5CF9">
      <w:pPr>
        <w:numPr>
          <w:ilvl w:val="0"/>
          <w:numId w:val="6"/>
        </w:numPr>
        <w:rPr>
          <w:snapToGrid w:val="0"/>
          <w:color w:val="000000"/>
        </w:rPr>
      </w:pPr>
      <w:r w:rsidRPr="003C5CF9">
        <w:rPr>
          <w:snapToGrid w:val="0"/>
          <w:color w:val="000000"/>
        </w:rPr>
        <w:t>Importing or exporting live fish or both (s 76)</w:t>
      </w:r>
    </w:p>
    <w:p w14:paraId="75495031" w14:textId="77777777" w:rsidR="00FB7A7B" w:rsidRDefault="00FB7A7B" w:rsidP="00FB7A7B">
      <w:pPr>
        <w:rPr>
          <w:bCs/>
        </w:rPr>
      </w:pPr>
    </w:p>
    <w:p w14:paraId="18965E57" w14:textId="25B77448" w:rsidR="00FB7A7B" w:rsidRDefault="00FB7A7B" w:rsidP="00FB7A7B">
      <w:pPr>
        <w:pStyle w:val="Header"/>
        <w:tabs>
          <w:tab w:val="clear" w:pos="4153"/>
          <w:tab w:val="clear" w:pos="8306"/>
        </w:tabs>
      </w:pPr>
      <w:r>
        <w:t xml:space="preserve">The </w:t>
      </w:r>
      <w:r w:rsidR="00CF1AD0">
        <w:t xml:space="preserve">instrument </w:t>
      </w:r>
      <w:r w:rsidR="00FE1C59">
        <w:t>commences</w:t>
      </w:r>
      <w:r>
        <w:t xml:space="preserve"> on 1 July 20</w:t>
      </w:r>
      <w:r w:rsidR="00507EE5">
        <w:rPr>
          <w:lang w:val="en-US"/>
        </w:rPr>
        <w:t>2</w:t>
      </w:r>
      <w:r w:rsidR="00C73324">
        <w:rPr>
          <w:lang w:val="en-US"/>
        </w:rPr>
        <w:t>2</w:t>
      </w:r>
      <w:r>
        <w:t>.</w:t>
      </w:r>
    </w:p>
    <w:p w14:paraId="5BADF0DE" w14:textId="77777777" w:rsidR="00CF1AD0" w:rsidRDefault="00CF1AD0" w:rsidP="00FB7A7B">
      <w:pPr>
        <w:pStyle w:val="Header"/>
        <w:tabs>
          <w:tab w:val="clear" w:pos="4153"/>
          <w:tab w:val="clear" w:pos="8306"/>
        </w:tabs>
      </w:pPr>
    </w:p>
    <w:p w14:paraId="3AFE5681" w14:textId="14FB906C" w:rsidR="00CF1AD0" w:rsidRPr="00CF1AD0" w:rsidRDefault="00CF1AD0" w:rsidP="00FB7A7B">
      <w:pPr>
        <w:pStyle w:val="Header"/>
        <w:tabs>
          <w:tab w:val="clear" w:pos="4153"/>
          <w:tab w:val="clear" w:pos="8306"/>
        </w:tabs>
      </w:pPr>
      <w:r>
        <w:t xml:space="preserve">This instrument revokes </w:t>
      </w:r>
      <w:r w:rsidR="004452E1">
        <w:rPr>
          <w:lang w:val="en-AU"/>
        </w:rPr>
        <w:t xml:space="preserve">the </w:t>
      </w:r>
      <w:r w:rsidR="00223575">
        <w:rPr>
          <w:i/>
        </w:rPr>
        <w:t>Fis</w:t>
      </w:r>
      <w:r w:rsidR="003C7C90">
        <w:rPr>
          <w:i/>
        </w:rPr>
        <w:t>heries (Fees) Determination 20</w:t>
      </w:r>
      <w:r w:rsidR="00C73324">
        <w:rPr>
          <w:i/>
          <w:lang w:val="en-US"/>
        </w:rPr>
        <w:t>21</w:t>
      </w:r>
      <w:r w:rsidR="00223575">
        <w:rPr>
          <w:i/>
        </w:rPr>
        <w:t xml:space="preserve"> </w:t>
      </w:r>
      <w:r w:rsidR="00223575">
        <w:t>(</w:t>
      </w:r>
      <w:r w:rsidR="00223575" w:rsidRPr="00277EB2">
        <w:t>DI</w:t>
      </w:r>
      <w:r w:rsidR="00223575" w:rsidRPr="006B2D5B">
        <w:t>20</w:t>
      </w:r>
      <w:r w:rsidR="00C73324">
        <w:rPr>
          <w:lang w:val="en-US"/>
        </w:rPr>
        <w:t>21</w:t>
      </w:r>
      <w:r w:rsidR="004452E1">
        <w:rPr>
          <w:lang w:val="en-AU"/>
        </w:rPr>
        <w:noBreakHyphen/>
      </w:r>
      <w:r w:rsidR="00C73324">
        <w:rPr>
          <w:lang w:val="en-US"/>
        </w:rPr>
        <w:t>70</w:t>
      </w:r>
      <w:r w:rsidR="00223575">
        <w:t>).</w:t>
      </w:r>
    </w:p>
    <w:p w14:paraId="4A49753E" w14:textId="77777777" w:rsidR="00FB7A7B" w:rsidRDefault="00FB7A7B" w:rsidP="00FB7A7B">
      <w:pPr>
        <w:pStyle w:val="Header"/>
        <w:tabs>
          <w:tab w:val="clear" w:pos="4153"/>
          <w:tab w:val="clear" w:pos="8306"/>
        </w:tabs>
      </w:pPr>
    </w:p>
    <w:p w14:paraId="7F23B851" w14:textId="77777777" w:rsidR="001B7D3B" w:rsidRDefault="00CF1AD0" w:rsidP="001B7D3B">
      <w:pPr>
        <w:pStyle w:val="Header"/>
        <w:tabs>
          <w:tab w:val="clear" w:pos="4153"/>
          <w:tab w:val="clear" w:pos="8306"/>
        </w:tabs>
      </w:pPr>
      <w:r>
        <w:t xml:space="preserve">A </w:t>
      </w:r>
      <w:r w:rsidR="00FB7A7B">
        <w:t xml:space="preserve">determination </w:t>
      </w:r>
      <w:r w:rsidR="004452E1">
        <w:rPr>
          <w:lang w:val="en-AU"/>
        </w:rPr>
        <w:t xml:space="preserve">made </w:t>
      </w:r>
      <w:r w:rsidR="00FB7A7B">
        <w:t xml:space="preserve">under section 114 of the Act is a </w:t>
      </w:r>
      <w:r>
        <w:t>d</w:t>
      </w:r>
      <w:r w:rsidR="00FB7A7B">
        <w:t xml:space="preserve">isallowable </w:t>
      </w:r>
      <w:r>
        <w:t>i</w:t>
      </w:r>
      <w:r w:rsidR="00FB7A7B">
        <w:t>nstrument</w:t>
      </w:r>
      <w:r w:rsidR="001B7D3B">
        <w:t xml:space="preserve"> </w:t>
      </w:r>
      <w:r w:rsidR="001B7D3B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1B7D3B" w:rsidRPr="008B4B31">
        <w:rPr>
          <w:i/>
          <w:iCs/>
          <w:lang w:eastAsia="en-AU"/>
        </w:rPr>
        <w:t>Legislation</w:t>
      </w:r>
      <w:r w:rsidR="001B7D3B">
        <w:rPr>
          <w:i/>
          <w:iCs/>
          <w:lang w:eastAsia="en-AU"/>
        </w:rPr>
        <w:t> </w:t>
      </w:r>
      <w:r w:rsidR="001B7D3B" w:rsidRPr="008B4B31">
        <w:rPr>
          <w:i/>
          <w:iCs/>
          <w:lang w:eastAsia="en-AU"/>
        </w:rPr>
        <w:t>Act 2001</w:t>
      </w:r>
      <w:r w:rsidR="00702A66">
        <w:rPr>
          <w:i/>
          <w:iCs/>
          <w:lang w:val="en-AU" w:eastAsia="en-AU"/>
        </w:rPr>
        <w:t xml:space="preserve"> </w:t>
      </w:r>
      <w:r w:rsidR="00702A66" w:rsidRPr="00702A66">
        <w:rPr>
          <w:iCs/>
          <w:lang w:val="en-AU" w:eastAsia="en-AU"/>
        </w:rPr>
        <w:t>(</w:t>
      </w:r>
      <w:r w:rsidR="00702A66" w:rsidRPr="00D25F60">
        <w:rPr>
          <w:b/>
          <w:bCs/>
          <w:i/>
          <w:lang w:val="en-AU" w:eastAsia="en-AU"/>
        </w:rPr>
        <w:t>Legislation Act</w:t>
      </w:r>
      <w:r w:rsidR="00702A66" w:rsidRPr="00702A66">
        <w:rPr>
          <w:iCs/>
          <w:lang w:val="en-AU" w:eastAsia="en-AU"/>
        </w:rPr>
        <w:t>)</w:t>
      </w:r>
      <w:r w:rsidR="001B7D3B" w:rsidRPr="00702A66">
        <w:rPr>
          <w:lang w:eastAsia="en-AU"/>
        </w:rPr>
        <w:t>.</w:t>
      </w:r>
    </w:p>
    <w:p w14:paraId="1862F1BE" w14:textId="77777777" w:rsidR="001B7D3B" w:rsidRDefault="001B7D3B" w:rsidP="001B7D3B">
      <w:pPr>
        <w:pStyle w:val="Header"/>
        <w:tabs>
          <w:tab w:val="clear" w:pos="4153"/>
          <w:tab w:val="clear" w:pos="8306"/>
        </w:tabs>
      </w:pPr>
    </w:p>
    <w:p w14:paraId="26E0B24F" w14:textId="77777777" w:rsidR="001B7D3B" w:rsidRDefault="001B7D3B" w:rsidP="001B7D3B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</w:t>
      </w:r>
      <w:r w:rsidRPr="00D25F60">
        <w:rPr>
          <w:b/>
          <w:i/>
          <w:iCs/>
          <w:lang w:eastAsia="en-AU"/>
        </w:rPr>
        <w:t>RIS</w:t>
      </w:r>
      <w:r>
        <w:rPr>
          <w:b/>
          <w:lang w:eastAsia="en-AU"/>
        </w:rPr>
        <w:t>)</w:t>
      </w:r>
    </w:p>
    <w:p w14:paraId="15254197" w14:textId="30531687" w:rsidR="001B7D3B" w:rsidRDefault="001B7D3B" w:rsidP="001B7D3B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6A0F4C">
        <w:rPr>
          <w:lang w:eastAsia="en-AU"/>
        </w:rPr>
        <w:t>ection</w:t>
      </w:r>
      <w:r>
        <w:rPr>
          <w:lang w:eastAsia="en-AU"/>
        </w:rPr>
        <w:t xml:space="preserve"> 36</w:t>
      </w:r>
      <w:r w:rsidR="004452E1">
        <w:rPr>
          <w:lang w:eastAsia="en-AU"/>
        </w:rPr>
        <w:t xml:space="preserve"> </w:t>
      </w:r>
      <w:r>
        <w:rPr>
          <w:lang w:eastAsia="en-AU"/>
        </w:rPr>
        <w:t>(1)</w:t>
      </w:r>
      <w:r w:rsidR="004452E1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4452E1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5ECD77DA" w14:textId="77777777" w:rsidR="003C5CF9" w:rsidRDefault="003C5CF9" w:rsidP="001B7D3B">
      <w:pPr>
        <w:autoSpaceDE w:val="0"/>
        <w:autoSpaceDN w:val="0"/>
        <w:adjustRightInd w:val="0"/>
        <w:rPr>
          <w:lang w:eastAsia="en-AU"/>
        </w:rPr>
      </w:pPr>
    </w:p>
    <w:p w14:paraId="5151FCDF" w14:textId="77777777" w:rsidR="001B7D3B" w:rsidRDefault="001B7D3B" w:rsidP="001B7D3B">
      <w:pPr>
        <w:autoSpaceDE w:val="0"/>
        <w:autoSpaceDN w:val="0"/>
        <w:adjustRightInd w:val="0"/>
        <w:rPr>
          <w:lang w:eastAsia="en-AU"/>
        </w:rPr>
      </w:pPr>
    </w:p>
    <w:p w14:paraId="515EC7A2" w14:textId="77777777" w:rsidR="001B7D3B" w:rsidRPr="00477EDE" w:rsidRDefault="001B7D3B" w:rsidP="001B7D3B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lastRenderedPageBreak/>
        <w:t>Human Rights</w:t>
      </w:r>
    </w:p>
    <w:p w14:paraId="3C1D7CC6" w14:textId="77777777" w:rsidR="001B7D3B" w:rsidRDefault="001B7D3B" w:rsidP="001B7D3B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14:paraId="5248997C" w14:textId="77777777" w:rsidR="00FB7A7B" w:rsidRDefault="00FB7A7B" w:rsidP="00FB7A7B">
      <w:pPr>
        <w:pStyle w:val="Header"/>
        <w:tabs>
          <w:tab w:val="clear" w:pos="4153"/>
          <w:tab w:val="clear" w:pos="8306"/>
        </w:tabs>
      </w:pPr>
    </w:p>
    <w:p w14:paraId="463516EB" w14:textId="77777777" w:rsidR="009A2FA8" w:rsidRDefault="009A2FA8" w:rsidP="009A2FA8"/>
    <w:sectPr w:rsidR="009A2FA8" w:rsidSect="006A0F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671B" w14:textId="77777777" w:rsidR="00EE5DCF" w:rsidRDefault="00EE5DCF">
      <w:r>
        <w:separator/>
      </w:r>
    </w:p>
  </w:endnote>
  <w:endnote w:type="continuationSeparator" w:id="0">
    <w:p w14:paraId="7F100556" w14:textId="77777777" w:rsidR="00EE5DCF" w:rsidRDefault="00EE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59B6" w14:textId="77777777" w:rsidR="008A6BB8" w:rsidRDefault="008A6B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3782" w14:textId="77777777" w:rsidR="00EC332E" w:rsidRPr="00484FF9" w:rsidRDefault="00EC332E" w:rsidP="00EC332E">
    <w:pPr>
      <w:pStyle w:val="Footer"/>
    </w:pPr>
  </w:p>
  <w:p w14:paraId="18110B10" w14:textId="1A49A39D" w:rsidR="004452E1" w:rsidRPr="008A6BB8" w:rsidRDefault="008A6BB8" w:rsidP="008A6BB8">
    <w:pPr>
      <w:pStyle w:val="Footer"/>
      <w:jc w:val="center"/>
      <w:rPr>
        <w:rFonts w:ascii="Arial" w:hAnsi="Arial" w:cs="Arial"/>
        <w:sz w:val="14"/>
      </w:rPr>
    </w:pPr>
    <w:r w:rsidRPr="008A6BB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BF1D" w14:textId="77777777" w:rsidR="008A6BB8" w:rsidRDefault="008A6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1B9F" w14:textId="77777777" w:rsidR="00EE5DCF" w:rsidRDefault="00EE5DCF">
      <w:r>
        <w:separator/>
      </w:r>
    </w:p>
  </w:footnote>
  <w:footnote w:type="continuationSeparator" w:id="0">
    <w:p w14:paraId="3F48D277" w14:textId="77777777" w:rsidR="00EE5DCF" w:rsidRDefault="00EE5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5A00" w14:textId="77777777" w:rsidR="008A6BB8" w:rsidRDefault="008A6B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963A" w14:textId="77777777" w:rsidR="008A6BB8" w:rsidRDefault="008A6B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20C6" w14:textId="77777777" w:rsidR="008A6BB8" w:rsidRDefault="008A6B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0A4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A3EC4"/>
    <w:multiLevelType w:val="hybridMultilevel"/>
    <w:tmpl w:val="0D189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E0"/>
    <w:rsid w:val="00004325"/>
    <w:rsid w:val="00025074"/>
    <w:rsid w:val="00036ADE"/>
    <w:rsid w:val="00070EF0"/>
    <w:rsid w:val="000B28D0"/>
    <w:rsid w:val="000D0C13"/>
    <w:rsid w:val="000D78D0"/>
    <w:rsid w:val="00107479"/>
    <w:rsid w:val="001427E8"/>
    <w:rsid w:val="0014328E"/>
    <w:rsid w:val="00182EDF"/>
    <w:rsid w:val="001A03A5"/>
    <w:rsid w:val="001A71D0"/>
    <w:rsid w:val="001B4AF9"/>
    <w:rsid w:val="001B7D3B"/>
    <w:rsid w:val="001C1202"/>
    <w:rsid w:val="001C7917"/>
    <w:rsid w:val="001D3037"/>
    <w:rsid w:val="001D4C4F"/>
    <w:rsid w:val="001E27E0"/>
    <w:rsid w:val="00223575"/>
    <w:rsid w:val="00237298"/>
    <w:rsid w:val="002509EA"/>
    <w:rsid w:val="002A581E"/>
    <w:rsid w:val="002D1F8A"/>
    <w:rsid w:val="002E2FAB"/>
    <w:rsid w:val="00331BBB"/>
    <w:rsid w:val="00347990"/>
    <w:rsid w:val="00351BDE"/>
    <w:rsid w:val="00357EA2"/>
    <w:rsid w:val="003604E8"/>
    <w:rsid w:val="003C5CF9"/>
    <w:rsid w:val="003C7C90"/>
    <w:rsid w:val="003F2FAD"/>
    <w:rsid w:val="00431327"/>
    <w:rsid w:val="00435085"/>
    <w:rsid w:val="004452E1"/>
    <w:rsid w:val="004610AA"/>
    <w:rsid w:val="00472668"/>
    <w:rsid w:val="00484DFB"/>
    <w:rsid w:val="004A04C6"/>
    <w:rsid w:val="004D3575"/>
    <w:rsid w:val="004D7314"/>
    <w:rsid w:val="004E638E"/>
    <w:rsid w:val="004E6888"/>
    <w:rsid w:val="004F1316"/>
    <w:rsid w:val="00507EE5"/>
    <w:rsid w:val="00510552"/>
    <w:rsid w:val="00516CAF"/>
    <w:rsid w:val="00521779"/>
    <w:rsid w:val="00524BFB"/>
    <w:rsid w:val="00545071"/>
    <w:rsid w:val="00585BC9"/>
    <w:rsid w:val="005A40B1"/>
    <w:rsid w:val="005C522D"/>
    <w:rsid w:val="005F55BF"/>
    <w:rsid w:val="0062488A"/>
    <w:rsid w:val="00634F2C"/>
    <w:rsid w:val="00673662"/>
    <w:rsid w:val="006A0F4C"/>
    <w:rsid w:val="006B2185"/>
    <w:rsid w:val="006B455C"/>
    <w:rsid w:val="006B7E4C"/>
    <w:rsid w:val="006D1DF0"/>
    <w:rsid w:val="006D748D"/>
    <w:rsid w:val="006F4B3A"/>
    <w:rsid w:val="00701812"/>
    <w:rsid w:val="00702A66"/>
    <w:rsid w:val="00722A07"/>
    <w:rsid w:val="00725F5A"/>
    <w:rsid w:val="0073396A"/>
    <w:rsid w:val="00733A4F"/>
    <w:rsid w:val="007462AD"/>
    <w:rsid w:val="00755D0B"/>
    <w:rsid w:val="0076763A"/>
    <w:rsid w:val="007967B1"/>
    <w:rsid w:val="007E2BAF"/>
    <w:rsid w:val="0080300D"/>
    <w:rsid w:val="0081348D"/>
    <w:rsid w:val="00870457"/>
    <w:rsid w:val="008921BB"/>
    <w:rsid w:val="008A046F"/>
    <w:rsid w:val="008A6BB8"/>
    <w:rsid w:val="008C2272"/>
    <w:rsid w:val="008C40B1"/>
    <w:rsid w:val="008C4C30"/>
    <w:rsid w:val="008D6043"/>
    <w:rsid w:val="008E5706"/>
    <w:rsid w:val="00922C86"/>
    <w:rsid w:val="00954DF2"/>
    <w:rsid w:val="009A2FA8"/>
    <w:rsid w:val="00A17A1B"/>
    <w:rsid w:val="00A23357"/>
    <w:rsid w:val="00A34FA5"/>
    <w:rsid w:val="00A36357"/>
    <w:rsid w:val="00A46707"/>
    <w:rsid w:val="00A57AA7"/>
    <w:rsid w:val="00A72107"/>
    <w:rsid w:val="00A7463D"/>
    <w:rsid w:val="00A83FD9"/>
    <w:rsid w:val="00B00457"/>
    <w:rsid w:val="00B07491"/>
    <w:rsid w:val="00B35BE7"/>
    <w:rsid w:val="00B426E6"/>
    <w:rsid w:val="00B5129A"/>
    <w:rsid w:val="00B75BDF"/>
    <w:rsid w:val="00B76AAE"/>
    <w:rsid w:val="00B84051"/>
    <w:rsid w:val="00B91EE0"/>
    <w:rsid w:val="00BA646C"/>
    <w:rsid w:val="00BF2EE0"/>
    <w:rsid w:val="00BF3FD2"/>
    <w:rsid w:val="00C101C0"/>
    <w:rsid w:val="00C24ED1"/>
    <w:rsid w:val="00C327A1"/>
    <w:rsid w:val="00C33788"/>
    <w:rsid w:val="00C56448"/>
    <w:rsid w:val="00C62B9C"/>
    <w:rsid w:val="00C73324"/>
    <w:rsid w:val="00C80E40"/>
    <w:rsid w:val="00CA2DB0"/>
    <w:rsid w:val="00CB511E"/>
    <w:rsid w:val="00CB5859"/>
    <w:rsid w:val="00CC11BD"/>
    <w:rsid w:val="00CC416E"/>
    <w:rsid w:val="00CC7ED4"/>
    <w:rsid w:val="00CD6D0B"/>
    <w:rsid w:val="00CF1AD0"/>
    <w:rsid w:val="00D1752F"/>
    <w:rsid w:val="00D25F60"/>
    <w:rsid w:val="00D81092"/>
    <w:rsid w:val="00DA685F"/>
    <w:rsid w:val="00DB2B46"/>
    <w:rsid w:val="00DB681B"/>
    <w:rsid w:val="00E23576"/>
    <w:rsid w:val="00E30294"/>
    <w:rsid w:val="00E91DE0"/>
    <w:rsid w:val="00EB1873"/>
    <w:rsid w:val="00EC332E"/>
    <w:rsid w:val="00EE56BA"/>
    <w:rsid w:val="00EE5DCF"/>
    <w:rsid w:val="00F314D1"/>
    <w:rsid w:val="00F64B94"/>
    <w:rsid w:val="00F822AA"/>
    <w:rsid w:val="00F86786"/>
    <w:rsid w:val="00FB04D8"/>
    <w:rsid w:val="00FB7A7B"/>
    <w:rsid w:val="00FD0567"/>
    <w:rsid w:val="00FE1C59"/>
    <w:rsid w:val="00FF390D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8A81AB"/>
  <w15:chartTrackingRefBased/>
  <w15:docId w15:val="{BAB17287-AF91-4CA9-AAF9-D53A8720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uiPriority w:val="99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A2FA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uiPriority w:val="99"/>
    <w:semiHidden/>
    <w:unhideWhenUsed/>
    <w:rsid w:val="00CF1A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AD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F1AD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D0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1B7D3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C300107-B733-488C-94C9-C0E17B324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0CAFBA-347B-4CD3-BDAF-0D8648A1AC6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1453</Characters>
  <Application>Microsoft Office Word</Application>
  <DocSecurity>0</DocSecurity>
  <Lines>46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4</cp:revision>
  <cp:lastPrinted>2018-05-21T03:00:00Z</cp:lastPrinted>
  <dcterms:created xsi:type="dcterms:W3CDTF">2022-06-24T06:04:00Z</dcterms:created>
  <dcterms:modified xsi:type="dcterms:W3CDTF">2022-06-24T06:04:00Z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A33308378</vt:lpwstr>
  </property>
  <property fmtid="{D5CDD505-2E9C-101B-9397-08002B2CF9AE}" pid="3" name="Objective-Title">
    <vt:lpwstr>B09 - 2022-XX - Fisheries (Fees) Determination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2022-03-24T03:21:21Z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2022-05-23T08:46:40Z</vt:filetime>
  </property>
  <property fmtid="{D5CDD505-2E9C-101B-9397-08002B2CF9AE}" pid="9" name="Objective-ModificationStamp">
    <vt:filetime>2022-05-23T08:46:40Z</vt:filetime>
  </property>
  <property fmtid="{D5CDD505-2E9C-101B-9397-08002B2CF9AE}" pid="10" name="Objective-Owner">
    <vt:lpwstr>Sara Banks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Ministerials:2022 - Ministerial and Chief Ministerial Briefs / Correspondence:Corporate Services and Operations  (Chief Operating Officer):04. April:22/38061 Ministerial - Information Brief - Rattenbury - EPSDD 2022-23 Fees and Charges:Att B08-B09 - Explanatory Statements:</vt:lpwstr>
  </property>
  <property fmtid="{D5CDD505-2E9C-101B-9397-08002B2CF9AE}" pid="12" name="Objective-Parent">
    <vt:lpwstr>Att B08-B09 - Explanatory Statements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8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cefa8da7-d3fe-4915-aba4-5f7b6add8732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