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A86D" w14:textId="77777777" w:rsidR="00624D1C" w:rsidRPr="003A7C6E" w:rsidRDefault="00326CD2" w:rsidP="003A7C6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3A7C6E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3B6DC5E" w14:textId="6C8F34D3" w:rsidR="00624D1C" w:rsidRDefault="00326CD2" w:rsidP="003A7C6E">
      <w:pPr>
        <w:pStyle w:val="Billname"/>
        <w:spacing w:before="700"/>
      </w:pPr>
      <w:r>
        <w:t>Unlawful</w:t>
      </w:r>
      <w:r w:rsidRPr="003A7C6E">
        <w:t xml:space="preserve"> </w:t>
      </w:r>
      <w:r>
        <w:t>Gambling</w:t>
      </w:r>
      <w:r w:rsidRPr="003A7C6E">
        <w:t xml:space="preserve"> </w:t>
      </w:r>
      <w:r>
        <w:t>(Charitable</w:t>
      </w:r>
      <w:r w:rsidRPr="003A7C6E">
        <w:t xml:space="preserve"> </w:t>
      </w:r>
      <w:r>
        <w:t>Gaming Application Fees) Determination 202</w:t>
      </w:r>
      <w:r w:rsidR="002B12C7">
        <w:t>2</w:t>
      </w:r>
    </w:p>
    <w:p w14:paraId="3930BE64" w14:textId="5B5794E3" w:rsidR="00624D1C" w:rsidRPr="003A7C6E" w:rsidRDefault="00326CD2" w:rsidP="003A7C6E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3A7C6E">
        <w:rPr>
          <w:rFonts w:ascii="Arial" w:hAnsi="Arial" w:cs="Arial"/>
          <w:b/>
          <w:bCs/>
          <w:sz w:val="24"/>
          <w:szCs w:val="20"/>
          <w:lang w:val="en-AU"/>
        </w:rPr>
        <w:t>Disallowable Instrument DI202</w:t>
      </w:r>
      <w:r w:rsidR="002B12C7" w:rsidRPr="003A7C6E">
        <w:rPr>
          <w:rFonts w:ascii="Arial" w:hAnsi="Arial" w:cs="Arial"/>
          <w:b/>
          <w:bCs/>
          <w:sz w:val="24"/>
          <w:szCs w:val="20"/>
          <w:lang w:val="en-AU"/>
        </w:rPr>
        <w:t>2</w:t>
      </w:r>
      <w:r w:rsidRPr="003A7C6E">
        <w:rPr>
          <w:rFonts w:ascii="Arial" w:hAnsi="Arial" w:cs="Arial"/>
          <w:b/>
          <w:bCs/>
          <w:sz w:val="24"/>
          <w:szCs w:val="20"/>
          <w:lang w:val="en-AU"/>
        </w:rPr>
        <w:t>–</w:t>
      </w:r>
      <w:r w:rsidR="003E4289">
        <w:rPr>
          <w:rFonts w:ascii="Arial" w:hAnsi="Arial" w:cs="Arial"/>
          <w:b/>
          <w:bCs/>
          <w:sz w:val="24"/>
          <w:szCs w:val="20"/>
          <w:lang w:val="en-AU"/>
        </w:rPr>
        <w:t>146</w:t>
      </w:r>
    </w:p>
    <w:p w14:paraId="3BB8ACB5" w14:textId="77777777" w:rsidR="00624D1C" w:rsidRDefault="00326CD2" w:rsidP="003A7C6E">
      <w:pPr>
        <w:pStyle w:val="madeunder"/>
        <w:spacing w:before="300" w:after="0"/>
      </w:pPr>
      <w:r>
        <w:t>made</w:t>
      </w:r>
      <w:r w:rsidRPr="003A7C6E">
        <w:t xml:space="preserve"> </w:t>
      </w:r>
      <w:r>
        <w:t xml:space="preserve">under </w:t>
      </w:r>
      <w:r w:rsidRPr="003A7C6E">
        <w:t>the</w:t>
      </w:r>
    </w:p>
    <w:p w14:paraId="36C66F73" w14:textId="77777777" w:rsidR="00624D1C" w:rsidRPr="003A7C6E" w:rsidRDefault="00326CD2" w:rsidP="003A7C6E">
      <w:pPr>
        <w:pStyle w:val="CoverActName"/>
        <w:spacing w:before="320" w:after="0"/>
        <w:rPr>
          <w:rFonts w:cs="Arial"/>
          <w:sz w:val="20"/>
        </w:rPr>
      </w:pPr>
      <w:r w:rsidRPr="003A7C6E">
        <w:rPr>
          <w:rFonts w:cs="Arial"/>
          <w:sz w:val="20"/>
        </w:rPr>
        <w:t>Unlawful Gambling Act 2009, section 48 (Determination of fees)</w:t>
      </w:r>
    </w:p>
    <w:p w14:paraId="71C29704" w14:textId="77777777" w:rsidR="00624D1C" w:rsidRDefault="00326CD2" w:rsidP="003A7C6E">
      <w:pPr>
        <w:spacing w:before="6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EXPLANATORY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STATEMENT</w:t>
      </w:r>
    </w:p>
    <w:p w14:paraId="34D1AB70" w14:textId="77777777" w:rsidR="003A7C6E" w:rsidRDefault="003A7C6E" w:rsidP="003A7C6E">
      <w:pPr>
        <w:pStyle w:val="N-line3"/>
        <w:pBdr>
          <w:bottom w:val="none" w:sz="0" w:space="0" w:color="auto"/>
        </w:pBdr>
        <w:spacing w:before="60"/>
      </w:pPr>
    </w:p>
    <w:p w14:paraId="6AAABE87" w14:textId="77777777" w:rsidR="003A7C6E" w:rsidRDefault="003A7C6E" w:rsidP="003A7C6E">
      <w:pPr>
        <w:pStyle w:val="N-line3"/>
        <w:pBdr>
          <w:top w:val="single" w:sz="12" w:space="1" w:color="auto"/>
          <w:bottom w:val="none" w:sz="0" w:space="0" w:color="auto"/>
        </w:pBdr>
      </w:pPr>
    </w:p>
    <w:p w14:paraId="4AE05D3F" w14:textId="60FC2208" w:rsidR="00CD58BA" w:rsidRDefault="00326CD2" w:rsidP="003A7C6E">
      <w:pPr>
        <w:pStyle w:val="BodyText"/>
        <w:jc w:val="both"/>
      </w:pPr>
      <w:r>
        <w:t xml:space="preserve">The </w:t>
      </w:r>
      <w:r>
        <w:rPr>
          <w:i/>
        </w:rPr>
        <w:t xml:space="preserve">Unlawful Gambling Act 2009 </w:t>
      </w:r>
      <w:r>
        <w:t xml:space="preserve">(the Act) prohibits gambling activity unless it is expressly </w:t>
      </w:r>
      <w:proofErr w:type="spellStart"/>
      <w:r>
        <w:t>authorised</w:t>
      </w:r>
      <w:proofErr w:type="spellEnd"/>
      <w:r>
        <w:t xml:space="preserve"> or exempt from </w:t>
      </w:r>
      <w:proofErr w:type="spellStart"/>
      <w:r>
        <w:t>authorisation</w:t>
      </w:r>
      <w:proofErr w:type="spellEnd"/>
      <w:r>
        <w:t xml:space="preserve"> through gaming laws.</w:t>
      </w:r>
      <w:r w:rsidR="00CD58BA">
        <w:t xml:space="preserve">  </w:t>
      </w:r>
      <w:r>
        <w:t xml:space="preserve">Section 48 of the Act provides that the Minister may determine fees for the Act. </w:t>
      </w:r>
    </w:p>
    <w:p w14:paraId="12044446" w14:textId="77777777" w:rsidR="00CD58BA" w:rsidRDefault="00CD58BA" w:rsidP="003A7C6E">
      <w:pPr>
        <w:pStyle w:val="BodyText"/>
        <w:jc w:val="both"/>
      </w:pPr>
    </w:p>
    <w:p w14:paraId="7D527E69" w14:textId="77C8A130" w:rsidR="00624D1C" w:rsidRDefault="00CD58BA" w:rsidP="00CD58BA">
      <w:pPr>
        <w:jc w:val="both"/>
      </w:pPr>
      <w:r>
        <w:rPr>
          <w:sz w:val="24"/>
        </w:rPr>
        <w:t xml:space="preserve">This instrument revokes DI2021-153, the </w:t>
      </w:r>
      <w:r>
        <w:rPr>
          <w:i/>
          <w:sz w:val="24"/>
        </w:rPr>
        <w:t>Unlawful Gambling (Charitable Gaming Application Fees) Determination 2021</w:t>
      </w:r>
      <w:r>
        <w:rPr>
          <w:sz w:val="24"/>
        </w:rPr>
        <w:t xml:space="preserve"> and</w:t>
      </w:r>
      <w:r w:rsidR="00326CD2">
        <w:rPr>
          <w:spacing w:val="-1"/>
        </w:rPr>
        <w:t xml:space="preserve"> </w:t>
      </w:r>
      <w:r w:rsidR="00326CD2">
        <w:t>sets</w:t>
      </w:r>
      <w:r w:rsidR="00326CD2">
        <w:rPr>
          <w:spacing w:val="-2"/>
        </w:rPr>
        <w:t xml:space="preserve"> </w:t>
      </w:r>
      <w:r w:rsidR="00326CD2">
        <w:t>out</w:t>
      </w:r>
      <w:r w:rsidR="00326CD2">
        <w:rPr>
          <w:spacing w:val="-4"/>
        </w:rPr>
        <w:t xml:space="preserve"> </w:t>
      </w:r>
      <w:r w:rsidR="00326CD2">
        <w:t>the</w:t>
      </w:r>
      <w:r w:rsidR="00326CD2">
        <w:rPr>
          <w:spacing w:val="-3"/>
        </w:rPr>
        <w:t xml:space="preserve"> </w:t>
      </w:r>
      <w:r w:rsidR="00326CD2">
        <w:t>fee</w:t>
      </w:r>
      <w:r w:rsidR="00326CD2">
        <w:rPr>
          <w:spacing w:val="-2"/>
        </w:rPr>
        <w:t xml:space="preserve"> </w:t>
      </w:r>
      <w:r w:rsidR="00326CD2">
        <w:t>to</w:t>
      </w:r>
      <w:r w:rsidR="00326CD2">
        <w:rPr>
          <w:spacing w:val="-2"/>
        </w:rPr>
        <w:t xml:space="preserve"> </w:t>
      </w:r>
      <w:r w:rsidR="00326CD2">
        <w:t>accompany</w:t>
      </w:r>
      <w:r w:rsidR="00326CD2">
        <w:rPr>
          <w:spacing w:val="-3"/>
        </w:rPr>
        <w:t xml:space="preserve"> </w:t>
      </w:r>
      <w:r w:rsidR="00326CD2">
        <w:t>an</w:t>
      </w:r>
      <w:r w:rsidR="00326CD2">
        <w:rPr>
          <w:spacing w:val="-2"/>
        </w:rPr>
        <w:t xml:space="preserve"> </w:t>
      </w:r>
      <w:r w:rsidR="00326CD2">
        <w:t>application by</w:t>
      </w:r>
      <w:r w:rsidR="00326CD2">
        <w:rPr>
          <w:spacing w:val="-2"/>
        </w:rPr>
        <w:t xml:space="preserve"> </w:t>
      </w:r>
      <w:r w:rsidR="00326CD2">
        <w:t>a</w:t>
      </w:r>
      <w:r w:rsidR="00326CD2">
        <w:rPr>
          <w:spacing w:val="-3"/>
        </w:rPr>
        <w:t xml:space="preserve"> </w:t>
      </w:r>
      <w:r w:rsidR="00326CD2">
        <w:t>charitable</w:t>
      </w:r>
      <w:r w:rsidR="00326CD2">
        <w:rPr>
          <w:spacing w:val="-3"/>
        </w:rPr>
        <w:t xml:space="preserve"> </w:t>
      </w:r>
      <w:proofErr w:type="spellStart"/>
      <w:r w:rsidR="00326CD2">
        <w:t>organisation</w:t>
      </w:r>
      <w:proofErr w:type="spellEnd"/>
      <w:r w:rsidR="00326CD2">
        <w:rPr>
          <w:spacing w:val="-2"/>
        </w:rPr>
        <w:t xml:space="preserve"> </w:t>
      </w:r>
      <w:r w:rsidR="00326CD2">
        <w:t>to conduct charitable gaming under section 11 of the Act.</w:t>
      </w:r>
    </w:p>
    <w:p w14:paraId="60C87469" w14:textId="77777777" w:rsidR="00624D1C" w:rsidRPr="003A7C6E" w:rsidRDefault="00624D1C" w:rsidP="003A7C6E">
      <w:pPr>
        <w:pStyle w:val="BodyText"/>
        <w:spacing w:before="140"/>
        <w:rPr>
          <w:sz w:val="22"/>
        </w:rPr>
      </w:pPr>
    </w:p>
    <w:p w14:paraId="4CB4BF12" w14:textId="77777777" w:rsidR="00CD58BA" w:rsidRDefault="00326CD2" w:rsidP="003A7C6E">
      <w:pPr>
        <w:pStyle w:val="BodyText"/>
        <w:ind w:right="91"/>
        <w:jc w:val="both"/>
      </w:pPr>
      <w:r>
        <w:t>The new determination sets the fees that will apply beginning on 1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</w:t>
      </w:r>
      <w:r w:rsidR="002B12C7">
        <w:t>2</w:t>
      </w:r>
      <w:r>
        <w:t xml:space="preserve">. It provides for fee increases in line with annual adjustments to the Wages Price Index (WPI) of </w:t>
      </w:r>
      <w:r w:rsidR="002B12C7">
        <w:t>3.25</w:t>
      </w:r>
      <w:r>
        <w:t xml:space="preserve">%, </w:t>
      </w:r>
      <w:r w:rsidR="00C833FB" w:rsidRPr="00C82BCC">
        <w:t xml:space="preserve">rounded down to the nearest dollar for most fees, with the exception of fees that have been consecutively rounded down in previous years by more than $1.00 which have been rounded up to the nearest dollar. This approach aligns with the 2021 Treasury Guidelines for Fees and Charges. </w:t>
      </w:r>
    </w:p>
    <w:p w14:paraId="6B08C750" w14:textId="77777777" w:rsidR="00CD58BA" w:rsidRDefault="00CD58BA" w:rsidP="003A7C6E">
      <w:pPr>
        <w:pStyle w:val="BodyText"/>
        <w:ind w:right="91"/>
        <w:jc w:val="both"/>
      </w:pPr>
    </w:p>
    <w:p w14:paraId="0526BA23" w14:textId="4D12F333" w:rsidR="00624D1C" w:rsidRDefault="00B83558" w:rsidP="003A7C6E">
      <w:pPr>
        <w:pStyle w:val="BodyText"/>
        <w:ind w:right="91"/>
        <w:jc w:val="both"/>
      </w:pPr>
      <w:r>
        <w:t xml:space="preserve">The Attachment to this Explanatory Statement </w:t>
      </w:r>
      <w:r w:rsidR="00C833FB" w:rsidRPr="00C82BCC">
        <w:t>list</w:t>
      </w:r>
      <w:r>
        <w:t>s</w:t>
      </w:r>
      <w:r w:rsidR="00C833FB" w:rsidRPr="00C82BCC">
        <w:t xml:space="preserve"> the fees previously determined to enable comparison.</w:t>
      </w:r>
    </w:p>
    <w:p w14:paraId="4C2C84FF" w14:textId="62F6F916" w:rsidR="00155BDD" w:rsidRDefault="00155BDD" w:rsidP="003A7C6E">
      <w:pPr>
        <w:pStyle w:val="BodyText"/>
        <w:jc w:val="both"/>
      </w:pPr>
    </w:p>
    <w:p w14:paraId="37BEA1A7" w14:textId="77777777" w:rsidR="00155BDD" w:rsidRDefault="00155BDD" w:rsidP="003A7C6E">
      <w:pPr>
        <w:pStyle w:val="BodyText"/>
        <w:jc w:val="both"/>
      </w:pPr>
    </w:p>
    <w:p w14:paraId="52885DED" w14:textId="77777777" w:rsidR="00624D1C" w:rsidRDefault="00624D1C" w:rsidP="003A7C6E">
      <w:pPr>
        <w:pStyle w:val="BodyText"/>
        <w:rPr>
          <w:sz w:val="26"/>
        </w:rPr>
      </w:pPr>
    </w:p>
    <w:p w14:paraId="29A18CED" w14:textId="77777777" w:rsidR="00624D1C" w:rsidRDefault="00624D1C" w:rsidP="003A7C6E">
      <w:pPr>
        <w:jc w:val="both"/>
        <w:sectPr w:rsidR="00624D1C" w:rsidSect="003A7C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40" w:right="1797" w:bottom="1440" w:left="1797" w:header="720" w:footer="720" w:gutter="0"/>
          <w:pgNumType w:start="1"/>
          <w:cols w:space="720"/>
        </w:sectPr>
      </w:pPr>
    </w:p>
    <w:p w14:paraId="35A82781" w14:textId="77777777" w:rsidR="00624D1C" w:rsidRDefault="00326CD2">
      <w:pPr>
        <w:spacing w:before="78" w:line="252" w:lineRule="exact"/>
        <w:ind w:left="1404" w:right="976"/>
        <w:jc w:val="center"/>
        <w:rPr>
          <w:b/>
        </w:rPr>
      </w:pPr>
      <w:r>
        <w:rPr>
          <w:b/>
        </w:rPr>
        <w:lastRenderedPageBreak/>
        <w:t>This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pages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Attachment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Explanatory</w:t>
      </w:r>
      <w:r>
        <w:rPr>
          <w:b/>
          <w:spacing w:val="-2"/>
        </w:rPr>
        <w:t xml:space="preserve"> </w:t>
      </w:r>
      <w:r>
        <w:rPr>
          <w:b/>
        </w:rPr>
        <w:t>Statement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the</w:t>
      </w:r>
    </w:p>
    <w:p w14:paraId="0F005DAD" w14:textId="08147692" w:rsidR="00624D1C" w:rsidRDefault="00326CD2">
      <w:pPr>
        <w:spacing w:line="252" w:lineRule="exact"/>
        <w:ind w:left="1404" w:right="973"/>
        <w:jc w:val="center"/>
        <w:rPr>
          <w:b/>
          <w:i/>
        </w:rPr>
      </w:pPr>
      <w:r>
        <w:rPr>
          <w:b/>
          <w:i/>
        </w:rPr>
        <w:t>Unlawful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Gambling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(Charitable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Gaming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Application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Fees)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Determination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202</w:t>
      </w:r>
      <w:r w:rsidR="002B12C7">
        <w:rPr>
          <w:b/>
          <w:i/>
          <w:spacing w:val="-4"/>
        </w:rPr>
        <w:t>2</w:t>
      </w:r>
    </w:p>
    <w:p w14:paraId="1C167936" w14:textId="77777777" w:rsidR="00624D1C" w:rsidRDefault="00624D1C">
      <w:pPr>
        <w:pStyle w:val="BodyText"/>
        <w:spacing w:before="10"/>
        <w:rPr>
          <w:b/>
          <w:i/>
          <w:sz w:val="2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5418"/>
        <w:gridCol w:w="1425"/>
        <w:gridCol w:w="1500"/>
      </w:tblGrid>
      <w:tr w:rsidR="00624D1C" w14:paraId="718DD302" w14:textId="77777777">
        <w:trPr>
          <w:trHeight w:val="244"/>
        </w:trPr>
        <w:tc>
          <w:tcPr>
            <w:tcW w:w="1206" w:type="dxa"/>
            <w:tcBorders>
              <w:bottom w:val="single" w:sz="12" w:space="0" w:color="000000"/>
            </w:tcBorders>
          </w:tcPr>
          <w:p w14:paraId="2534CB69" w14:textId="77777777" w:rsidR="00624D1C" w:rsidRDefault="00326CD2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418" w:type="dxa"/>
            <w:tcBorders>
              <w:bottom w:val="single" w:sz="12" w:space="0" w:color="000000"/>
            </w:tcBorders>
          </w:tcPr>
          <w:p w14:paraId="756C36DC" w14:textId="77777777" w:rsidR="00624D1C" w:rsidRDefault="00326CD2">
            <w:pPr>
              <w:pStyle w:val="TableParagraph"/>
              <w:spacing w:line="225" w:lineRule="exact"/>
              <w:ind w:left="171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53818D35" w14:textId="77777777" w:rsidR="00624D1C" w:rsidRDefault="00326CD2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2C130AB0" w14:textId="77777777" w:rsidR="00624D1C" w:rsidRDefault="00326CD2">
            <w:pPr>
              <w:pStyle w:val="TableParagraph"/>
              <w:spacing w:line="225" w:lineRule="exact"/>
              <w:ind w:left="225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624D1C" w14:paraId="7FE84C61" w14:textId="77777777">
        <w:trPr>
          <w:trHeight w:val="257"/>
        </w:trPr>
        <w:tc>
          <w:tcPr>
            <w:tcW w:w="1206" w:type="dxa"/>
            <w:tcBorders>
              <w:top w:val="single" w:sz="12" w:space="0" w:color="000000"/>
            </w:tcBorders>
          </w:tcPr>
          <w:p w14:paraId="68E4E218" w14:textId="77777777" w:rsidR="00624D1C" w:rsidRDefault="00326CD2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Relevant</w:t>
            </w:r>
          </w:p>
        </w:tc>
        <w:tc>
          <w:tcPr>
            <w:tcW w:w="5418" w:type="dxa"/>
            <w:tcBorders>
              <w:top w:val="single" w:sz="12" w:space="0" w:color="000000"/>
            </w:tcBorders>
          </w:tcPr>
          <w:p w14:paraId="2FC2A1FD" w14:textId="77777777" w:rsidR="00624D1C" w:rsidRDefault="00326CD2">
            <w:pPr>
              <w:pStyle w:val="TableParagraph"/>
              <w:spacing w:line="237" w:lineRule="exact"/>
              <w:ind w:left="171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Payable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58CD36A2" w14:textId="77777777" w:rsidR="00624D1C" w:rsidRDefault="00326CD2">
            <w:pPr>
              <w:pStyle w:val="TableParagraph"/>
              <w:spacing w:line="237" w:lineRule="exact"/>
              <w:ind w:left="267"/>
              <w:rPr>
                <w:b/>
              </w:rPr>
            </w:pPr>
            <w:r>
              <w:rPr>
                <w:b/>
                <w:spacing w:val="-2"/>
              </w:rPr>
              <w:t>Previous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53B5C8E1" w14:textId="77777777" w:rsidR="00624D1C" w:rsidRDefault="00326CD2">
            <w:pPr>
              <w:pStyle w:val="TableParagraph"/>
              <w:spacing w:line="237" w:lineRule="exact"/>
              <w:ind w:left="225"/>
              <w:rPr>
                <w:b/>
              </w:rPr>
            </w:pPr>
            <w:r>
              <w:rPr>
                <w:b/>
              </w:rPr>
              <w:t>Fee 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</w:tc>
      </w:tr>
      <w:tr w:rsidR="00624D1C" w14:paraId="07C9DCBE" w14:textId="77777777">
        <w:trPr>
          <w:trHeight w:val="253"/>
        </w:trPr>
        <w:tc>
          <w:tcPr>
            <w:tcW w:w="1206" w:type="dxa"/>
          </w:tcPr>
          <w:p w14:paraId="0DC733FB" w14:textId="77777777" w:rsidR="00624D1C" w:rsidRDefault="00326CD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</w:tc>
        <w:tc>
          <w:tcPr>
            <w:tcW w:w="5418" w:type="dxa"/>
          </w:tcPr>
          <w:p w14:paraId="2E21D8B6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14:paraId="63837E41" w14:textId="77777777" w:rsidR="00624D1C" w:rsidRDefault="00326CD2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 xml:space="preserve">Fee </w:t>
            </w:r>
            <w:r>
              <w:rPr>
                <w:b/>
                <w:spacing w:val="-4"/>
              </w:rPr>
              <w:t>(GST</w:t>
            </w:r>
          </w:p>
        </w:tc>
        <w:tc>
          <w:tcPr>
            <w:tcW w:w="1500" w:type="dxa"/>
          </w:tcPr>
          <w:p w14:paraId="468F7009" w14:textId="77777777" w:rsidR="00624D1C" w:rsidRDefault="00326CD2">
            <w:pPr>
              <w:pStyle w:val="TableParagraph"/>
              <w:spacing w:line="233" w:lineRule="exact"/>
              <w:ind w:left="225"/>
              <w:rPr>
                <w:b/>
              </w:rPr>
            </w:pPr>
            <w:r>
              <w:rPr>
                <w:b/>
              </w:rPr>
              <w:t>after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July</w:t>
            </w:r>
          </w:p>
        </w:tc>
      </w:tr>
      <w:tr w:rsidR="00624D1C" w14:paraId="451F8EE1" w14:textId="77777777">
        <w:trPr>
          <w:trHeight w:val="253"/>
        </w:trPr>
        <w:tc>
          <w:tcPr>
            <w:tcW w:w="1206" w:type="dxa"/>
          </w:tcPr>
          <w:p w14:paraId="662625D6" w14:textId="77777777" w:rsidR="00624D1C" w:rsidRDefault="00326CD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Act</w:t>
            </w:r>
          </w:p>
        </w:tc>
        <w:tc>
          <w:tcPr>
            <w:tcW w:w="5418" w:type="dxa"/>
          </w:tcPr>
          <w:p w14:paraId="60866126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14:paraId="1E49E9EA" w14:textId="77777777" w:rsidR="00624D1C" w:rsidRDefault="00326CD2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  <w:spacing w:val="-2"/>
              </w:rPr>
              <w:t>exempt)</w:t>
            </w:r>
          </w:p>
        </w:tc>
        <w:tc>
          <w:tcPr>
            <w:tcW w:w="1500" w:type="dxa"/>
          </w:tcPr>
          <w:p w14:paraId="149F7A32" w14:textId="1415804E" w:rsidR="00624D1C" w:rsidRDefault="00326CD2">
            <w:pPr>
              <w:pStyle w:val="TableParagraph"/>
              <w:spacing w:line="233" w:lineRule="exact"/>
              <w:ind w:left="225"/>
              <w:rPr>
                <w:b/>
              </w:rPr>
            </w:pPr>
            <w:r>
              <w:rPr>
                <w:b/>
              </w:rPr>
              <w:t>202</w:t>
            </w:r>
            <w:r w:rsidR="002B12C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(GST</w:t>
            </w:r>
          </w:p>
        </w:tc>
      </w:tr>
      <w:tr w:rsidR="00624D1C" w14:paraId="099877E1" w14:textId="77777777">
        <w:trPr>
          <w:trHeight w:val="250"/>
        </w:trPr>
        <w:tc>
          <w:tcPr>
            <w:tcW w:w="1206" w:type="dxa"/>
            <w:tcBorders>
              <w:bottom w:val="single" w:sz="12" w:space="0" w:color="000000"/>
            </w:tcBorders>
          </w:tcPr>
          <w:p w14:paraId="66B928D9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5418" w:type="dxa"/>
            <w:tcBorders>
              <w:bottom w:val="single" w:sz="12" w:space="0" w:color="000000"/>
            </w:tcBorders>
          </w:tcPr>
          <w:p w14:paraId="6861083D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14:paraId="6D85EC37" w14:textId="77777777" w:rsidR="00624D1C" w:rsidRDefault="00624D1C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45C3F4F0" w14:textId="77777777" w:rsidR="00624D1C" w:rsidRDefault="00326CD2">
            <w:pPr>
              <w:pStyle w:val="TableParagraph"/>
              <w:spacing w:line="230" w:lineRule="exact"/>
              <w:ind w:left="225"/>
              <w:rPr>
                <w:b/>
              </w:rPr>
            </w:pPr>
            <w:r>
              <w:rPr>
                <w:b/>
                <w:spacing w:val="-2"/>
              </w:rPr>
              <w:t>exempt)</w:t>
            </w:r>
          </w:p>
        </w:tc>
      </w:tr>
      <w:tr w:rsidR="00624D1C" w14:paraId="46615EEE" w14:textId="77777777">
        <w:trPr>
          <w:trHeight w:val="279"/>
        </w:trPr>
        <w:tc>
          <w:tcPr>
            <w:tcW w:w="1206" w:type="dxa"/>
            <w:tcBorders>
              <w:top w:val="single" w:sz="12" w:space="0" w:color="000000"/>
            </w:tcBorders>
          </w:tcPr>
          <w:p w14:paraId="393B9A4D" w14:textId="77777777" w:rsidR="00624D1C" w:rsidRDefault="00326CD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18" w:type="dxa"/>
            <w:tcBorders>
              <w:top w:val="single" w:sz="12" w:space="0" w:color="000000"/>
            </w:tcBorders>
          </w:tcPr>
          <w:p w14:paraId="3E9B5237" w14:textId="77777777" w:rsidR="00624D1C" w:rsidRDefault="00326CD2">
            <w:pPr>
              <w:pStyle w:val="TableParagraph"/>
              <w:spacing w:line="260" w:lineRule="exact"/>
              <w:ind w:left="17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under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14:paraId="67ADE471" w14:textId="17E7EBD5" w:rsidR="00624D1C" w:rsidRDefault="002B12C7">
            <w:pPr>
              <w:pStyle w:val="TableParagraph"/>
              <w:spacing w:line="260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60</w:t>
            </w:r>
            <w:r w:rsidR="00326CD2">
              <w:rPr>
                <w:spacing w:val="-2"/>
                <w:sz w:val="24"/>
              </w:rPr>
              <w:t>.00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 w14:paraId="1521A270" w14:textId="1B309AF6" w:rsidR="00624D1C" w:rsidRDefault="00C833FB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61</w:t>
            </w:r>
            <w:r w:rsidR="00326CD2">
              <w:rPr>
                <w:spacing w:val="-2"/>
                <w:sz w:val="24"/>
              </w:rPr>
              <w:t>.00</w:t>
            </w:r>
          </w:p>
        </w:tc>
      </w:tr>
      <w:tr w:rsidR="00624D1C" w14:paraId="520B05D0" w14:textId="77777777">
        <w:trPr>
          <w:trHeight w:val="275"/>
        </w:trPr>
        <w:tc>
          <w:tcPr>
            <w:tcW w:w="1206" w:type="dxa"/>
          </w:tcPr>
          <w:p w14:paraId="2083ABCD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14:paraId="76629B0E" w14:textId="77777777" w:rsidR="00624D1C" w:rsidRDefault="00326CD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s11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Unlawful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Gambling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2009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1425" w:type="dxa"/>
          </w:tcPr>
          <w:p w14:paraId="3FE36225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1138FB3D" w14:textId="77777777" w:rsidR="00624D1C" w:rsidRDefault="00624D1C">
            <w:pPr>
              <w:pStyle w:val="TableParagraph"/>
              <w:rPr>
                <w:sz w:val="20"/>
              </w:rPr>
            </w:pPr>
          </w:p>
        </w:tc>
      </w:tr>
      <w:tr w:rsidR="00624D1C" w14:paraId="33D5EDF0" w14:textId="77777777">
        <w:trPr>
          <w:trHeight w:val="276"/>
        </w:trPr>
        <w:tc>
          <w:tcPr>
            <w:tcW w:w="1206" w:type="dxa"/>
          </w:tcPr>
          <w:p w14:paraId="0BEACE50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14:paraId="49F98D0F" w14:textId="77777777" w:rsidR="00624D1C" w:rsidRDefault="00326CD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to</w:t>
            </w:r>
          </w:p>
        </w:tc>
        <w:tc>
          <w:tcPr>
            <w:tcW w:w="1425" w:type="dxa"/>
          </w:tcPr>
          <w:p w14:paraId="05A5428F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2FF70DB7" w14:textId="77777777" w:rsidR="00624D1C" w:rsidRDefault="00624D1C">
            <w:pPr>
              <w:pStyle w:val="TableParagraph"/>
              <w:rPr>
                <w:sz w:val="20"/>
              </w:rPr>
            </w:pPr>
          </w:p>
        </w:tc>
      </w:tr>
      <w:tr w:rsidR="00624D1C" w14:paraId="4108E9A0" w14:textId="77777777">
        <w:trPr>
          <w:trHeight w:val="270"/>
        </w:trPr>
        <w:tc>
          <w:tcPr>
            <w:tcW w:w="1206" w:type="dxa"/>
          </w:tcPr>
          <w:p w14:paraId="3115DC77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14:paraId="2EB797A0" w14:textId="77777777" w:rsidR="00624D1C" w:rsidRDefault="00326CD2"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game.</w:t>
            </w:r>
          </w:p>
        </w:tc>
        <w:tc>
          <w:tcPr>
            <w:tcW w:w="1425" w:type="dxa"/>
          </w:tcPr>
          <w:p w14:paraId="54409929" w14:textId="77777777" w:rsidR="00624D1C" w:rsidRDefault="00624D1C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4D409109" w14:textId="77777777" w:rsidR="00624D1C" w:rsidRDefault="00624D1C">
            <w:pPr>
              <w:pStyle w:val="TableParagraph"/>
              <w:rPr>
                <w:sz w:val="20"/>
              </w:rPr>
            </w:pPr>
          </w:p>
        </w:tc>
      </w:tr>
    </w:tbl>
    <w:p w14:paraId="0DF7736C" w14:textId="60FAE0A2" w:rsidR="00624D1C" w:rsidRDefault="00155BDD">
      <w:pPr>
        <w:pStyle w:val="BodyText"/>
        <w:spacing w:before="3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5F45E6" wp14:editId="49C335FC">
                <wp:simplePos x="0" y="0"/>
                <wp:positionH relativeFrom="page">
                  <wp:posOffset>739140</wp:posOffset>
                </wp:positionH>
                <wp:positionV relativeFrom="paragraph">
                  <wp:posOffset>177800</wp:posOffset>
                </wp:positionV>
                <wp:extent cx="607441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C05D" id="docshape3" o:spid="_x0000_s1026" style="position:absolute;margin-left:58.2pt;margin-top:14pt;width:478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dW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624D1C" w:rsidSect="003A7C6E">
      <w:pgSz w:w="11907" w:h="16840" w:code="9"/>
      <w:pgMar w:top="1440" w:right="1060" w:bottom="144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4FB3" w14:textId="77777777" w:rsidR="0072739A" w:rsidRDefault="0072739A">
      <w:r>
        <w:separator/>
      </w:r>
    </w:p>
  </w:endnote>
  <w:endnote w:type="continuationSeparator" w:id="0">
    <w:p w14:paraId="5D54FEF0" w14:textId="77777777" w:rsidR="0072739A" w:rsidRDefault="0072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50FE" w14:textId="77777777" w:rsidR="00686226" w:rsidRDefault="00686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E0A" w14:textId="42ACB375" w:rsidR="00686226" w:rsidRPr="00686226" w:rsidRDefault="00686226" w:rsidP="00686226">
    <w:pPr>
      <w:pStyle w:val="Footer"/>
      <w:jc w:val="center"/>
      <w:rPr>
        <w:rFonts w:ascii="Arial" w:hAnsi="Arial" w:cs="Arial"/>
        <w:sz w:val="14"/>
      </w:rPr>
    </w:pPr>
    <w:r w:rsidRPr="0068622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6BBB" w14:textId="77777777" w:rsidR="00686226" w:rsidRDefault="0068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3630" w14:textId="77777777" w:rsidR="0072739A" w:rsidRDefault="0072739A">
      <w:r>
        <w:separator/>
      </w:r>
    </w:p>
  </w:footnote>
  <w:footnote w:type="continuationSeparator" w:id="0">
    <w:p w14:paraId="368CFA8A" w14:textId="77777777" w:rsidR="0072739A" w:rsidRDefault="0072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AE4F" w14:textId="77777777" w:rsidR="00686226" w:rsidRDefault="00686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46A7" w14:textId="77777777" w:rsidR="00686226" w:rsidRDefault="00686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7E6C" w14:textId="77777777" w:rsidR="00686226" w:rsidRDefault="00686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1C"/>
    <w:rsid w:val="00155BDD"/>
    <w:rsid w:val="00282130"/>
    <w:rsid w:val="00285586"/>
    <w:rsid w:val="002B12C7"/>
    <w:rsid w:val="00326CD2"/>
    <w:rsid w:val="003913FC"/>
    <w:rsid w:val="003A7C6E"/>
    <w:rsid w:val="003C3CD7"/>
    <w:rsid w:val="003E4289"/>
    <w:rsid w:val="005A6FAF"/>
    <w:rsid w:val="00624D1C"/>
    <w:rsid w:val="00686226"/>
    <w:rsid w:val="0072739A"/>
    <w:rsid w:val="00826C33"/>
    <w:rsid w:val="00916F94"/>
    <w:rsid w:val="00A324AF"/>
    <w:rsid w:val="00B75727"/>
    <w:rsid w:val="00B83558"/>
    <w:rsid w:val="00C47205"/>
    <w:rsid w:val="00C833FB"/>
    <w:rsid w:val="00CD58BA"/>
    <w:rsid w:val="00DF0AA0"/>
    <w:rsid w:val="00E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3F149"/>
  <w15:docId w15:val="{6322276D-F029-464F-8D5A-01E76B9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3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B1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2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C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illname">
    <w:name w:val="Billname"/>
    <w:basedOn w:val="Normal"/>
    <w:rsid w:val="003A7C6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A7C6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A7C6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A7C6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A7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C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7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C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1513</Characters>
  <Application>Microsoft Office Word</Application>
  <DocSecurity>0</DocSecurity>
  <Lines>70</Lines>
  <Paragraphs>34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Huang, Annie</dc:creator>
  <cp:lastModifiedBy>Moxon, KarenL</cp:lastModifiedBy>
  <cp:revision>4</cp:revision>
  <dcterms:created xsi:type="dcterms:W3CDTF">2022-06-24T06:27:00Z</dcterms:created>
  <dcterms:modified xsi:type="dcterms:W3CDTF">2022-06-24T06:27:00Z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2022-05-23T00:00:00Z</vt:filetime>
  </property>
  <property fmtid="{D5CDD505-2E9C-101B-9397-08002B2CF9AE}" pid="5" name="Objective-Id">
    <vt:lpwstr>A34302250</vt:lpwstr>
  </property>
  <property fmtid="{D5CDD505-2E9C-101B-9397-08002B2CF9AE}" pid="6" name="Objective-Title">
    <vt:lpwstr>Unlawful Gambling (Charitable Gaming Application Fees) Determination 2022 - ES (Draft)</vt:lpwstr>
  </property>
  <property fmtid="{D5CDD505-2E9C-101B-9397-08002B2CF9AE}" pid="7" name="Objective-Comment">
    <vt:lpwstr/>
  </property>
  <property fmtid="{D5CDD505-2E9C-101B-9397-08002B2CF9AE}" pid="8" name="Objective-CreationStamp">
    <vt:filetime>2022-05-23T04:21:13Z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2022-05-25T10:14:14Z</vt:filetime>
  </property>
  <property fmtid="{D5CDD505-2E9C-101B-9397-08002B2CF9AE}" pid="12" name="Objective-ModificationStamp">
    <vt:filetime>2022-05-25T10:14:13Z</vt:filetime>
  </property>
  <property fmtid="{D5CDD505-2E9C-101B-9397-08002B2CF9AE}" pid="13" name="Objective-Owner">
    <vt:lpwstr>Lalanka Amarisiri</vt:lpwstr>
  </property>
  <property fmtid="{D5CDD505-2E9C-101B-9397-08002B2CF9AE}" pid="14" name="Objective-Path">
    <vt:lpwstr>Whole of ACT Government:AC - Access Canberra:11. BRANCH - Corporate Support and Capability:UNIT - Finance &amp; Budgets:Business and Finance Services - Finance:Business and Finance Services - Financial Year 2021-2022:2021-22 FINANCE &amp; BUDGETS - GRC:10- Fees and Charges:</vt:lpwstr>
  </property>
  <property fmtid="{D5CDD505-2E9C-101B-9397-08002B2CF9AE}" pid="15" name="Objective-Parent">
    <vt:lpwstr>10- Fees and Charges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1-2021/51281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ACCESS CANBERRA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</Properties>
</file>