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F3B6" w14:textId="79AD8111" w:rsidR="005D70F1" w:rsidRDefault="005D70F1">
      <w:pPr>
        <w:spacing w:before="120"/>
        <w:rPr>
          <w:rFonts w:ascii="Arial" w:hAnsi="Arial" w:cs="Arial"/>
        </w:rPr>
      </w:pPr>
      <w:bookmarkStart w:id="0" w:name="_Toc44738651"/>
      <w:r>
        <w:rPr>
          <w:rFonts w:ascii="Arial" w:hAnsi="Arial" w:cs="Arial"/>
        </w:rPr>
        <w:t>Australian Capital Territory</w:t>
      </w:r>
    </w:p>
    <w:p w14:paraId="25056D2D" w14:textId="296C7AB4" w:rsidR="00FD13E7" w:rsidRDefault="00EB460C" w:rsidP="00FD13E7">
      <w:pPr>
        <w:pStyle w:val="Billname"/>
        <w:spacing w:before="700"/>
      </w:pPr>
      <w:r>
        <w:t>Taxation Administration (Amounts Payable—</w:t>
      </w:r>
      <w:r w:rsidR="007C6577">
        <w:t>Pensioner Duty</w:t>
      </w:r>
      <w:r>
        <w:t xml:space="preserve"> Concession Scheme) Determination 20</w:t>
      </w:r>
      <w:r w:rsidR="005877E7">
        <w:t>2</w:t>
      </w:r>
      <w:r w:rsidR="00A100BA">
        <w:t>2</w:t>
      </w:r>
    </w:p>
    <w:p w14:paraId="5C3A2BF1" w14:textId="528E3B58" w:rsidR="00FD13E7" w:rsidRDefault="005D70F1" w:rsidP="00FD13E7">
      <w:pPr>
        <w:spacing w:before="240" w:after="60"/>
        <w:rPr>
          <w:rFonts w:ascii="Arial" w:hAnsi="Arial" w:cs="Arial"/>
          <w:b/>
          <w:bCs/>
          <w:vertAlign w:val="superscript"/>
        </w:rPr>
      </w:pPr>
      <w:r>
        <w:rPr>
          <w:rFonts w:ascii="Arial" w:hAnsi="Arial" w:cs="Arial"/>
          <w:b/>
          <w:bCs/>
        </w:rPr>
        <w:t xml:space="preserve">Disallowable instrument </w:t>
      </w:r>
      <w:r w:rsidR="00FD13E7">
        <w:rPr>
          <w:rFonts w:ascii="Arial" w:hAnsi="Arial" w:cs="Arial"/>
          <w:b/>
          <w:bCs/>
        </w:rPr>
        <w:t>DI</w:t>
      </w:r>
      <w:r w:rsidR="007276F9">
        <w:rPr>
          <w:rFonts w:ascii="Arial" w:hAnsi="Arial" w:cs="Arial"/>
          <w:b/>
          <w:bCs/>
          <w:iCs/>
        </w:rPr>
        <w:t>20</w:t>
      </w:r>
      <w:r w:rsidR="005877E7">
        <w:rPr>
          <w:rFonts w:ascii="Arial" w:hAnsi="Arial" w:cs="Arial"/>
          <w:b/>
          <w:bCs/>
          <w:iCs/>
        </w:rPr>
        <w:t>2</w:t>
      </w:r>
      <w:r w:rsidR="00A100BA">
        <w:rPr>
          <w:rFonts w:ascii="Arial" w:hAnsi="Arial" w:cs="Arial"/>
          <w:b/>
          <w:bCs/>
          <w:iCs/>
        </w:rPr>
        <w:t>2</w:t>
      </w:r>
      <w:r w:rsidR="007276F9">
        <w:rPr>
          <w:rFonts w:ascii="Arial" w:hAnsi="Arial" w:cs="Arial"/>
          <w:b/>
          <w:bCs/>
        </w:rPr>
        <w:t>–</w:t>
      </w:r>
      <w:r w:rsidR="00772B27">
        <w:rPr>
          <w:rFonts w:ascii="Arial" w:hAnsi="Arial" w:cs="Arial"/>
          <w:b/>
          <w:bCs/>
        </w:rPr>
        <w:t>158</w:t>
      </w:r>
    </w:p>
    <w:p w14:paraId="3EB4992A" w14:textId="77777777" w:rsidR="005D70F1" w:rsidRDefault="005D70F1" w:rsidP="00FD13E7">
      <w:pPr>
        <w:spacing w:before="240" w:after="60"/>
      </w:pPr>
      <w:r>
        <w:t xml:space="preserve">made under the  </w:t>
      </w:r>
    </w:p>
    <w:p w14:paraId="3164A737" w14:textId="77777777" w:rsidR="005D70F1" w:rsidRDefault="00EB460C" w:rsidP="00644E63">
      <w:pPr>
        <w:pStyle w:val="CoverActName"/>
        <w:rPr>
          <w:rFonts w:cs="Arial"/>
          <w:sz w:val="20"/>
        </w:rPr>
      </w:pPr>
      <w:r>
        <w:rPr>
          <w:rFonts w:cs="Arial"/>
          <w:i/>
          <w:sz w:val="20"/>
        </w:rPr>
        <w:t xml:space="preserve">Taxation Administration Act 1999, </w:t>
      </w:r>
      <w:r w:rsidR="003D5717">
        <w:rPr>
          <w:rFonts w:cs="Arial"/>
          <w:sz w:val="20"/>
        </w:rPr>
        <w:t>s</w:t>
      </w:r>
      <w:r>
        <w:rPr>
          <w:rFonts w:cs="Arial"/>
          <w:sz w:val="20"/>
        </w:rPr>
        <w:t xml:space="preserve"> 139 (Determination of amounts payable under tax laws)</w:t>
      </w:r>
    </w:p>
    <w:p w14:paraId="7D6FC357"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14:paraId="43A5E30E" w14:textId="77777777" w:rsidR="005D70F1" w:rsidRDefault="005D70F1">
      <w:pPr>
        <w:pStyle w:val="N-line3"/>
        <w:pBdr>
          <w:bottom w:val="none" w:sz="0" w:space="0" w:color="auto"/>
        </w:pBdr>
      </w:pPr>
    </w:p>
    <w:p w14:paraId="4E047311" w14:textId="77777777" w:rsidR="005D70F1" w:rsidRDefault="005D70F1">
      <w:pPr>
        <w:pStyle w:val="N-line3"/>
        <w:pBdr>
          <w:top w:val="single" w:sz="12" w:space="1" w:color="auto"/>
          <w:bottom w:val="none" w:sz="0" w:space="0" w:color="auto"/>
        </w:pBdr>
      </w:pPr>
    </w:p>
    <w:bookmarkEnd w:id="0"/>
    <w:p w14:paraId="3481101C" w14:textId="45CF9E40" w:rsidR="00C2384B" w:rsidRPr="00F737FF" w:rsidRDefault="00C2384B" w:rsidP="00C2384B">
      <w:pPr>
        <w:rPr>
          <w:rFonts w:ascii="Arial" w:hAnsi="Arial" w:cs="Arial"/>
          <w:b/>
          <w:sz w:val="26"/>
          <w:szCs w:val="26"/>
        </w:rPr>
      </w:pPr>
      <w:r w:rsidRPr="00F737FF">
        <w:rPr>
          <w:rFonts w:ascii="Arial" w:hAnsi="Arial" w:cs="Arial"/>
          <w:b/>
          <w:sz w:val="26"/>
          <w:szCs w:val="26"/>
        </w:rPr>
        <w:t>Background</w:t>
      </w:r>
    </w:p>
    <w:p w14:paraId="7FAC0711" w14:textId="77777777" w:rsidR="00C2384B" w:rsidRDefault="00C2384B" w:rsidP="00E642FA"/>
    <w:p w14:paraId="1E6EA2B0" w14:textId="77777777" w:rsidR="00C2384B" w:rsidRDefault="00C2384B" w:rsidP="00C2384B">
      <w:r w:rsidRPr="00565168">
        <w:t xml:space="preserve">The </w:t>
      </w:r>
      <w:r w:rsidRPr="00565168">
        <w:rPr>
          <w:i/>
          <w:iCs/>
        </w:rPr>
        <w:t>Taxation Administration Act 1999</w:t>
      </w:r>
      <w:r w:rsidRPr="00565168">
        <w:t xml:space="preserve"> (</w:t>
      </w:r>
      <w:r w:rsidRPr="002B221C">
        <w:t>the TAA</w:t>
      </w:r>
      <w:r w:rsidRPr="00565168">
        <w:t xml:space="preserve">) </w:t>
      </w:r>
      <w:r>
        <w:t xml:space="preserve">governs </w:t>
      </w:r>
      <w:r w:rsidRPr="00565168">
        <w:t>the administration of various tax laws relating to the imposition of c</w:t>
      </w:r>
      <w:r>
        <w:t xml:space="preserve">ertain taxes, duties and fees. </w:t>
      </w:r>
      <w:r w:rsidRPr="00565168">
        <w:t xml:space="preserve">These tax laws are specified in section 4 of the TAA. Section 139 of the TAA empowers the Minister to determine </w:t>
      </w:r>
      <w:r>
        <w:t xml:space="preserve">the </w:t>
      </w:r>
      <w:r w:rsidRPr="00565168">
        <w:t>amount</w:t>
      </w:r>
      <w:r>
        <w:t xml:space="preserve"> of tax, duty, or licence fee</w:t>
      </w:r>
      <w:r w:rsidRPr="00565168">
        <w:t xml:space="preserve"> payable, and the method by which an amount is to be calculated</w:t>
      </w:r>
      <w:r>
        <w:t>.</w:t>
      </w:r>
    </w:p>
    <w:p w14:paraId="1563F25D" w14:textId="77777777" w:rsidR="00C2384B" w:rsidRDefault="00C2384B" w:rsidP="00C2384B"/>
    <w:p w14:paraId="365584A5" w14:textId="33B5365E" w:rsidR="00C2384B" w:rsidRDefault="00C2384B" w:rsidP="00C2384B">
      <w:r w:rsidRPr="00565168">
        <w:t xml:space="preserve">One of the specified tax laws is the </w:t>
      </w:r>
      <w:r w:rsidRPr="00565168">
        <w:rPr>
          <w:i/>
          <w:iCs/>
        </w:rPr>
        <w:t>Duties Act 1999</w:t>
      </w:r>
      <w:r w:rsidRPr="00565168">
        <w:t xml:space="preserve"> (</w:t>
      </w:r>
      <w:r w:rsidRPr="002B221C">
        <w:t>the Duties Act</w:t>
      </w:r>
      <w:r w:rsidRPr="00565168">
        <w:t>)</w:t>
      </w:r>
      <w:r>
        <w:t xml:space="preserve">. </w:t>
      </w:r>
      <w:r w:rsidRPr="00565168">
        <w:t xml:space="preserve">Chapter 2 of the </w:t>
      </w:r>
      <w:r>
        <w:t xml:space="preserve">Duties </w:t>
      </w:r>
      <w:r w:rsidRPr="00565168">
        <w:t>Act deals with the imposition of duty on the grant of a Crown lease and the transfer or agreement for the transfer of a Crown lease</w:t>
      </w:r>
      <w:r>
        <w:t>,</w:t>
      </w:r>
      <w:r w:rsidRPr="00565168">
        <w:t xml:space="preserve"> which are subject to duty</w:t>
      </w:r>
      <w:r>
        <w:t xml:space="preserve">. </w:t>
      </w:r>
      <w:r w:rsidRPr="00565168">
        <w:t xml:space="preserve">Section 12 of the </w:t>
      </w:r>
      <w:r>
        <w:t xml:space="preserve">Duties </w:t>
      </w:r>
      <w:r w:rsidRPr="00565168">
        <w:t xml:space="preserve">Act </w:t>
      </w:r>
      <w:r w:rsidR="009C5722">
        <w:t>provides</w:t>
      </w:r>
      <w:r w:rsidRPr="00565168">
        <w:t xml:space="preserve"> that the duty is </w:t>
      </w:r>
      <w:r w:rsidR="009C5722">
        <w:t xml:space="preserve">ordinarily </w:t>
      </w:r>
      <w:r w:rsidRPr="00565168">
        <w:t>payable by the transferee</w:t>
      </w:r>
      <w:r w:rsidRPr="00565168">
        <w:rPr>
          <w:i/>
          <w:iCs/>
        </w:rPr>
        <w:t>,</w:t>
      </w:r>
      <w:r w:rsidRPr="00565168">
        <w:t xml:space="preserve"> and section 5 of the </w:t>
      </w:r>
      <w:r>
        <w:t xml:space="preserve">Duties </w:t>
      </w:r>
      <w:r w:rsidRPr="00565168">
        <w:t xml:space="preserve">Act </w:t>
      </w:r>
      <w:r w:rsidR="009C5722">
        <w:t>establishes</w:t>
      </w:r>
      <w:r w:rsidRPr="00565168">
        <w:t xml:space="preserve"> that the duty is payable to the Territory</w:t>
      </w:r>
      <w:r>
        <w:t>.</w:t>
      </w:r>
    </w:p>
    <w:p w14:paraId="52A65C0D" w14:textId="77777777" w:rsidR="00C2384B" w:rsidRDefault="00C2384B" w:rsidP="00E642FA"/>
    <w:p w14:paraId="764FCB88" w14:textId="77777777" w:rsidR="00A100BA" w:rsidRDefault="00E642FA" w:rsidP="00D74A02">
      <w:r w:rsidRPr="00001F9E">
        <w:t xml:space="preserve">The </w:t>
      </w:r>
      <w:r>
        <w:t>Pensioner Duty Concession Scheme (</w:t>
      </w:r>
      <w:r w:rsidRPr="002B221C">
        <w:t>the PDCS</w:t>
      </w:r>
      <w:r>
        <w:t xml:space="preserve">) </w:t>
      </w:r>
      <w:r w:rsidRPr="00001F9E">
        <w:t>assists eligible pensioners to move accommodation by reducing the duty payable on their new purchase of a residential home</w:t>
      </w:r>
      <w:r>
        <w:t>,</w:t>
      </w:r>
      <w:r w:rsidRPr="00001F9E">
        <w:t xml:space="preserve"> or residential vacant land.</w:t>
      </w:r>
      <w:r>
        <w:t xml:space="preserve"> </w:t>
      </w:r>
    </w:p>
    <w:p w14:paraId="29B1DA91" w14:textId="77777777" w:rsidR="00A100BA" w:rsidRDefault="00A100BA" w:rsidP="00D74A02"/>
    <w:p w14:paraId="37E6851E" w14:textId="33CD1419" w:rsidR="005C64EE" w:rsidRPr="00C2384B" w:rsidRDefault="00F62620" w:rsidP="005C64EE">
      <w:pPr>
        <w:rPr>
          <w:rFonts w:ascii="Arial" w:hAnsi="Arial" w:cs="Arial"/>
          <w:b/>
          <w:sz w:val="26"/>
          <w:szCs w:val="26"/>
        </w:rPr>
      </w:pPr>
      <w:r w:rsidRPr="00C2384B">
        <w:rPr>
          <w:rFonts w:ascii="Arial" w:hAnsi="Arial" w:cs="Arial"/>
          <w:b/>
          <w:sz w:val="26"/>
          <w:szCs w:val="26"/>
        </w:rPr>
        <w:t>Pensioner Duty Concession Scheme</w:t>
      </w:r>
      <w:r w:rsidR="00B551D5" w:rsidRPr="00C2384B">
        <w:rPr>
          <w:rFonts w:ascii="Arial" w:hAnsi="Arial" w:cs="Arial"/>
          <w:b/>
          <w:sz w:val="26"/>
          <w:szCs w:val="26"/>
        </w:rPr>
        <w:t xml:space="preserve"> </w:t>
      </w:r>
    </w:p>
    <w:p w14:paraId="218DA8C4" w14:textId="77777777" w:rsidR="005C64EE" w:rsidRDefault="005C64EE" w:rsidP="000341B5"/>
    <w:p w14:paraId="427421A8" w14:textId="578435D4" w:rsidR="003F69DD" w:rsidRDefault="00A4764A" w:rsidP="0001776D">
      <w:r>
        <w:t xml:space="preserve">The </w:t>
      </w:r>
      <w:r w:rsidR="00A100BA" w:rsidRPr="00B356E4">
        <w:rPr>
          <w:i/>
          <w:iCs/>
        </w:rPr>
        <w:t xml:space="preserve">Taxation Administration (Amounts Payable—Pensioner Duty Concession Scheme) Determination </w:t>
      </w:r>
      <w:r w:rsidR="00A100BA" w:rsidRPr="00BB4F8D">
        <w:rPr>
          <w:i/>
          <w:iCs/>
        </w:rPr>
        <w:t>202</w:t>
      </w:r>
      <w:r w:rsidR="00A100BA">
        <w:rPr>
          <w:i/>
          <w:iCs/>
        </w:rPr>
        <w:t xml:space="preserve">2 </w:t>
      </w:r>
      <w:r w:rsidR="00A100BA">
        <w:t xml:space="preserve">(the </w:t>
      </w:r>
      <w:r>
        <w:t>Determination</w:t>
      </w:r>
      <w:r w:rsidR="00A100BA">
        <w:t>)</w:t>
      </w:r>
      <w:r>
        <w:t xml:space="preserve"> </w:t>
      </w:r>
      <w:r w:rsidR="00BB4F8D">
        <w:t>prescribes</w:t>
      </w:r>
      <w:r w:rsidR="0001776D">
        <w:t>:</w:t>
      </w:r>
    </w:p>
    <w:p w14:paraId="7B3A311C" w14:textId="0592CCE3" w:rsidR="00BB4F8D" w:rsidRDefault="00BB4F8D" w:rsidP="006E1AEF">
      <w:pPr>
        <w:pStyle w:val="ListParagraph"/>
        <w:numPr>
          <w:ilvl w:val="0"/>
          <w:numId w:val="17"/>
        </w:numPr>
        <w:spacing w:before="240"/>
        <w:ind w:left="714" w:hanging="357"/>
      </w:pPr>
      <w:r>
        <w:t>the eligibility requirements, including property type</w:t>
      </w:r>
      <w:r w:rsidR="00BD27BC">
        <w:t xml:space="preserve"> and value</w:t>
      </w:r>
      <w:r>
        <w:t>, pensioner status, residency and property ownership; and</w:t>
      </w:r>
    </w:p>
    <w:p w14:paraId="1B84FC12" w14:textId="066652C5" w:rsidR="0001776D" w:rsidRDefault="0001776D">
      <w:pPr>
        <w:pStyle w:val="ListParagraph"/>
        <w:numPr>
          <w:ilvl w:val="0"/>
          <w:numId w:val="17"/>
        </w:numPr>
      </w:pPr>
      <w:r>
        <w:t xml:space="preserve">the method of calculation of duty payable under section 31 of the </w:t>
      </w:r>
      <w:r w:rsidR="00A4764A" w:rsidRPr="00BD27BC">
        <w:t xml:space="preserve">Duties </w:t>
      </w:r>
      <w:r w:rsidRPr="00BD27BC">
        <w:t>Act</w:t>
      </w:r>
      <w:r>
        <w:t>.</w:t>
      </w:r>
    </w:p>
    <w:p w14:paraId="7E22DE80" w14:textId="77777777" w:rsidR="00BD27BC" w:rsidRDefault="00BD27BC" w:rsidP="00BD27BC"/>
    <w:p w14:paraId="02A45453" w14:textId="3F4BD45A" w:rsidR="00BD27BC" w:rsidRDefault="00BD27BC" w:rsidP="00BD27BC">
      <w:r>
        <w:t>This instrument updates dutiable value thresholds</w:t>
      </w:r>
      <w:r w:rsidR="006E1AEF">
        <w:t xml:space="preserve"> and concessional rates from </w:t>
      </w:r>
      <w:r w:rsidR="002B221C">
        <w:t>1 July </w:t>
      </w:r>
      <w:r w:rsidR="006E1AEF">
        <w:t>2022.</w:t>
      </w:r>
      <w:r>
        <w:t xml:space="preserve"> </w:t>
      </w:r>
    </w:p>
    <w:p w14:paraId="57C6EF17" w14:textId="77777777" w:rsidR="0066239F" w:rsidRDefault="0066239F"/>
    <w:p w14:paraId="05CF3A2C" w14:textId="12815CB3" w:rsidR="008602C8" w:rsidRPr="00C2384B" w:rsidRDefault="00F50328" w:rsidP="008602C8">
      <w:pPr>
        <w:keepNext/>
        <w:rPr>
          <w:rFonts w:ascii="Arial" w:hAnsi="Arial" w:cs="Arial"/>
          <w:b/>
          <w:sz w:val="26"/>
          <w:szCs w:val="26"/>
        </w:rPr>
      </w:pPr>
      <w:r w:rsidRPr="00C2384B">
        <w:rPr>
          <w:rFonts w:ascii="Arial" w:hAnsi="Arial" w:cs="Arial"/>
          <w:b/>
          <w:sz w:val="26"/>
          <w:szCs w:val="26"/>
        </w:rPr>
        <w:t xml:space="preserve">Application </w:t>
      </w:r>
    </w:p>
    <w:p w14:paraId="79F76446" w14:textId="77777777" w:rsidR="008602C8" w:rsidRDefault="008602C8" w:rsidP="008602C8">
      <w:pPr>
        <w:keepNext/>
        <w:rPr>
          <w:rFonts w:ascii="Arial" w:hAnsi="Arial" w:cs="Arial"/>
          <w:b/>
        </w:rPr>
      </w:pPr>
    </w:p>
    <w:p w14:paraId="751EB0A5" w14:textId="078002D9" w:rsidR="00682893" w:rsidRDefault="008602C8" w:rsidP="008602C8">
      <w:pPr>
        <w:keepNext/>
      </w:pPr>
      <w:r>
        <w:t>Th</w:t>
      </w:r>
      <w:r w:rsidR="00211C17">
        <w:t>e</w:t>
      </w:r>
      <w:r>
        <w:t xml:space="preserve"> </w:t>
      </w:r>
      <w:r w:rsidR="00211C17">
        <w:t xml:space="preserve">Determination </w:t>
      </w:r>
      <w:r>
        <w:t xml:space="preserve">applies to grants, transfers or agreements for sale or transfer </w:t>
      </w:r>
      <w:r w:rsidR="00682893">
        <w:t xml:space="preserve">of eligible property </w:t>
      </w:r>
      <w:r w:rsidR="00AD2319" w:rsidRPr="00AD2319">
        <w:t>with a transaction date</w:t>
      </w:r>
      <w:r w:rsidR="00682893">
        <w:t xml:space="preserve"> on or after </w:t>
      </w:r>
      <w:r w:rsidR="0045169B">
        <w:t xml:space="preserve">1 July </w:t>
      </w:r>
      <w:r w:rsidR="000726F9">
        <w:t>202</w:t>
      </w:r>
      <w:r w:rsidR="006E1AEF">
        <w:t>2</w:t>
      </w:r>
      <w:r w:rsidR="00682893">
        <w:t>.</w:t>
      </w:r>
      <w:r w:rsidR="00682893" w:rsidRPr="00AD2319">
        <w:t xml:space="preserve"> </w:t>
      </w:r>
      <w:r w:rsidR="00AD2319" w:rsidRPr="00AD2319">
        <w:t>The transaction date is the date that liability for duty arises under</w:t>
      </w:r>
      <w:r w:rsidR="00682893">
        <w:t xml:space="preserve"> section </w:t>
      </w:r>
      <w:r w:rsidR="00AD2319" w:rsidRPr="00AD2319">
        <w:t>11</w:t>
      </w:r>
      <w:r w:rsidR="00682893">
        <w:t xml:space="preserve"> of the </w:t>
      </w:r>
      <w:r w:rsidR="00A4764A">
        <w:t xml:space="preserve">Duties </w:t>
      </w:r>
      <w:r w:rsidR="00682893">
        <w:t>Act</w:t>
      </w:r>
      <w:r w:rsidR="00AD2319" w:rsidRPr="00AD2319">
        <w:t>; that is, when</w:t>
      </w:r>
      <w:r w:rsidR="00682893">
        <w:t xml:space="preserve"> </w:t>
      </w:r>
      <w:r w:rsidR="00283A83">
        <w:t>a transfer occurs, or if a transfer is effected by an instrument</w:t>
      </w:r>
      <w:r w:rsidR="00283A83">
        <w:rPr>
          <w:b/>
        </w:rPr>
        <w:t>—</w:t>
      </w:r>
      <w:r w:rsidR="00283A83">
        <w:t xml:space="preserve">the date the instrument </w:t>
      </w:r>
      <w:r w:rsidR="00AD2319" w:rsidRPr="00AD2319">
        <w:t xml:space="preserve">is </w:t>
      </w:r>
      <w:r w:rsidR="00682893">
        <w:t xml:space="preserve">first </w:t>
      </w:r>
      <w:r w:rsidR="00AD2319" w:rsidRPr="00AD2319">
        <w:t>executed.</w:t>
      </w:r>
    </w:p>
    <w:p w14:paraId="15EA86BA" w14:textId="49973722" w:rsidR="00C2384B" w:rsidRDefault="00C2384B" w:rsidP="008602C8">
      <w:pPr>
        <w:keepNext/>
      </w:pPr>
    </w:p>
    <w:p w14:paraId="356BA13A" w14:textId="1C264940" w:rsidR="00D96ECB" w:rsidRDefault="00D96ECB" w:rsidP="00D96ECB">
      <w:pPr>
        <w:keepNext/>
        <w:rPr>
          <w:rFonts w:ascii="Arial" w:hAnsi="Arial" w:cs="Arial"/>
          <w:b/>
          <w:sz w:val="26"/>
          <w:szCs w:val="26"/>
        </w:rPr>
      </w:pPr>
      <w:r w:rsidRPr="00D96ECB">
        <w:rPr>
          <w:rFonts w:ascii="Arial" w:hAnsi="Arial" w:cs="Arial"/>
          <w:b/>
          <w:sz w:val="26"/>
          <w:szCs w:val="26"/>
        </w:rPr>
        <w:t>Eligible properties</w:t>
      </w:r>
    </w:p>
    <w:p w14:paraId="03D4DB32" w14:textId="77777777" w:rsidR="000A4E2C" w:rsidRPr="00D96ECB" w:rsidRDefault="000A4E2C" w:rsidP="00D96ECB">
      <w:pPr>
        <w:keepNext/>
        <w:rPr>
          <w:rFonts w:ascii="Arial" w:hAnsi="Arial" w:cs="Arial"/>
          <w:b/>
          <w:sz w:val="26"/>
          <w:szCs w:val="26"/>
        </w:rPr>
      </w:pPr>
    </w:p>
    <w:p w14:paraId="2BDA3BF0" w14:textId="41ECC2F2" w:rsidR="00D96ECB" w:rsidRPr="00D96ECB" w:rsidRDefault="00D96ECB" w:rsidP="00D96ECB">
      <w:pPr>
        <w:keepNext/>
      </w:pPr>
      <w:r w:rsidRPr="00D96ECB">
        <w:t>The</w:t>
      </w:r>
      <w:r w:rsidR="007C7035">
        <w:t xml:space="preserve"> types of eligible property</w:t>
      </w:r>
      <w:r w:rsidR="00211C17">
        <w:t xml:space="preserve"> for the </w:t>
      </w:r>
      <w:r w:rsidR="006122F7">
        <w:t>PDCS</w:t>
      </w:r>
      <w:r w:rsidR="002B221C">
        <w:t xml:space="preserve"> are</w:t>
      </w:r>
      <w:r w:rsidRPr="00D96ECB">
        <w:t xml:space="preserve"> </w:t>
      </w:r>
      <w:r w:rsidRPr="001B2B42">
        <w:t>homes</w:t>
      </w:r>
      <w:r w:rsidRPr="00D96ECB">
        <w:t xml:space="preserve"> and vacant land. </w:t>
      </w:r>
      <w:r w:rsidR="00BB4F8D" w:rsidRPr="001B2B42">
        <w:t>H</w:t>
      </w:r>
      <w:r w:rsidR="0087740C" w:rsidRPr="001B2B42">
        <w:t>omes</w:t>
      </w:r>
      <w:r w:rsidR="0087740C">
        <w:t xml:space="preserve"> may be new </w:t>
      </w:r>
      <w:r w:rsidR="00BB4F8D">
        <w:t xml:space="preserve">(including off the plan residential units) </w:t>
      </w:r>
      <w:r w:rsidR="0087740C">
        <w:t>or established.</w:t>
      </w:r>
    </w:p>
    <w:p w14:paraId="6E3A2E57" w14:textId="77777777" w:rsidR="0001776D" w:rsidRPr="00F44C41" w:rsidRDefault="0001776D">
      <w:pPr>
        <w:rPr>
          <w:rFonts w:ascii="Arial" w:hAnsi="Arial" w:cs="Arial"/>
          <w:b/>
          <w:sz w:val="26"/>
          <w:szCs w:val="26"/>
        </w:rPr>
      </w:pPr>
    </w:p>
    <w:p w14:paraId="4910BCBC" w14:textId="3EEFF924" w:rsidR="00184665" w:rsidRDefault="00184665" w:rsidP="00184665">
      <w:r>
        <w:t>There are upper and lower thresholds on dutiable value for both homes and vacant land</w:t>
      </w:r>
      <w:r w:rsidR="00C2384B">
        <w:t>:</w:t>
      </w:r>
    </w:p>
    <w:p w14:paraId="13C0E024" w14:textId="6EF175E4" w:rsidR="00C2384B" w:rsidRPr="00182E22" w:rsidRDefault="00A100BA" w:rsidP="006E1AEF">
      <w:pPr>
        <w:pStyle w:val="ListParagraph"/>
        <w:numPr>
          <w:ilvl w:val="0"/>
          <w:numId w:val="17"/>
        </w:numPr>
        <w:spacing w:before="240"/>
        <w:ind w:left="714" w:hanging="357"/>
      </w:pPr>
      <w:r w:rsidRPr="00182E22">
        <w:t xml:space="preserve">for </w:t>
      </w:r>
      <w:r w:rsidR="00C2384B" w:rsidRPr="00182E22">
        <w:t>homes</w:t>
      </w:r>
      <w:r w:rsidR="00BB4F8D" w:rsidRPr="00182E22">
        <w:t>,</w:t>
      </w:r>
      <w:r w:rsidR="00C2384B" w:rsidRPr="00182E22">
        <w:t xml:space="preserve"> </w:t>
      </w:r>
      <w:r w:rsidR="003258E2" w:rsidRPr="00182E22">
        <w:t xml:space="preserve">the lower threshold </w:t>
      </w:r>
      <w:r w:rsidR="00C2384B" w:rsidRPr="00182E22">
        <w:t>is $</w:t>
      </w:r>
      <w:r w:rsidR="00182E22" w:rsidRPr="00182E22">
        <w:t>550</w:t>
      </w:r>
      <w:r w:rsidR="00C2384B" w:rsidRPr="00182E22">
        <w:t>,000 and the upper threshold is $</w:t>
      </w:r>
      <w:r w:rsidR="00182E22" w:rsidRPr="00182E22">
        <w:t>765</w:t>
      </w:r>
      <w:r w:rsidR="00C2384B" w:rsidRPr="00182E22">
        <w:t>,000</w:t>
      </w:r>
      <w:r w:rsidRPr="00182E22">
        <w:t>; and</w:t>
      </w:r>
    </w:p>
    <w:p w14:paraId="16F9E272" w14:textId="23F05305" w:rsidR="005675E6" w:rsidRPr="00182E22" w:rsidRDefault="00A100BA" w:rsidP="00F737FF">
      <w:pPr>
        <w:pStyle w:val="ListParagraph"/>
        <w:numPr>
          <w:ilvl w:val="0"/>
          <w:numId w:val="17"/>
        </w:numPr>
      </w:pPr>
      <w:r w:rsidRPr="00182E22">
        <w:t>f</w:t>
      </w:r>
      <w:r w:rsidR="00C2384B" w:rsidRPr="00182E22">
        <w:t>or vacant land, t</w:t>
      </w:r>
      <w:r w:rsidR="005675E6" w:rsidRPr="00182E22">
        <w:t>he lower threshold is $</w:t>
      </w:r>
      <w:r w:rsidR="00182E22" w:rsidRPr="00182E22">
        <w:t>373</w:t>
      </w:r>
      <w:r w:rsidR="00E65A97" w:rsidRPr="00182E22">
        <w:t>,000</w:t>
      </w:r>
      <w:r w:rsidR="00411018" w:rsidRPr="00182E22">
        <w:t xml:space="preserve"> and the</w:t>
      </w:r>
      <w:r w:rsidR="004C53B7" w:rsidRPr="00182E22">
        <w:t xml:space="preserve"> </w:t>
      </w:r>
      <w:r w:rsidR="005675E6" w:rsidRPr="00182E22">
        <w:t>upper threshold is $</w:t>
      </w:r>
      <w:r w:rsidR="00182E22" w:rsidRPr="00182E22">
        <w:t>450</w:t>
      </w:r>
      <w:r w:rsidR="008E3A67" w:rsidRPr="00182E22">
        <w:t>,000</w:t>
      </w:r>
      <w:r w:rsidR="005675E6" w:rsidRPr="00182E22">
        <w:t>.</w:t>
      </w:r>
    </w:p>
    <w:p w14:paraId="0B70DDA6" w14:textId="0AC2362D" w:rsidR="00181A1C" w:rsidRPr="006E1AEF" w:rsidRDefault="00181A1C" w:rsidP="00380BFF">
      <w:pPr>
        <w:keepNext/>
        <w:rPr>
          <w:rFonts w:ascii="Arial" w:hAnsi="Arial" w:cs="Arial"/>
          <w:b/>
          <w:sz w:val="26"/>
          <w:szCs w:val="26"/>
          <w:highlight w:val="yellow"/>
        </w:rPr>
      </w:pPr>
    </w:p>
    <w:p w14:paraId="3E087704" w14:textId="52C45D65" w:rsidR="00BB4F8D" w:rsidRPr="00BD27BC" w:rsidRDefault="00E65A97" w:rsidP="00BD27BC">
      <w:r w:rsidRPr="002B221C">
        <w:t xml:space="preserve">The lower threshold was calculated </w:t>
      </w:r>
      <w:r w:rsidR="003B24E7" w:rsidRPr="002B221C">
        <w:t>using</w:t>
      </w:r>
      <w:r w:rsidRPr="002B221C">
        <w:t xml:space="preserve"> the highest sale price of the lowest </w:t>
      </w:r>
      <w:r w:rsidR="002B221C" w:rsidRPr="002B221C">
        <w:t>25</w:t>
      </w:r>
      <w:r w:rsidR="002B221C">
        <w:t> </w:t>
      </w:r>
      <w:r w:rsidR="002B221C" w:rsidRPr="002B221C">
        <w:t>per</w:t>
      </w:r>
      <w:r w:rsidR="002B221C">
        <w:t> </w:t>
      </w:r>
      <w:r w:rsidRPr="002B221C">
        <w:t>cent of all sale prices for ACT residential properties with a contract date in the 202</w:t>
      </w:r>
      <w:r w:rsidR="006E1AEF" w:rsidRPr="002B221C">
        <w:t>1</w:t>
      </w:r>
      <w:r w:rsidR="003B24E7" w:rsidRPr="002B221C">
        <w:noBreakHyphen/>
      </w:r>
      <w:r w:rsidRPr="002B221C">
        <w:t>2</w:t>
      </w:r>
      <w:r w:rsidR="006E1AEF" w:rsidRPr="002B221C">
        <w:t>2</w:t>
      </w:r>
      <w:r w:rsidRPr="002B221C">
        <w:t xml:space="preserve"> year to date. The upper threshold was calculated </w:t>
      </w:r>
      <w:r w:rsidR="003B24E7" w:rsidRPr="002B221C">
        <w:t>using</w:t>
      </w:r>
      <w:r w:rsidRPr="002B221C">
        <w:t xml:space="preserve"> the highest sale price of the lowest 50 per cent for ACT residential properties for the same year.</w:t>
      </w:r>
    </w:p>
    <w:p w14:paraId="57A51D3C" w14:textId="745F6C2C" w:rsidR="00BB4F8D" w:rsidRDefault="00BB4F8D" w:rsidP="00380BFF">
      <w:pPr>
        <w:keepNext/>
        <w:rPr>
          <w:rFonts w:ascii="Arial" w:hAnsi="Arial" w:cs="Arial"/>
          <w:b/>
          <w:sz w:val="26"/>
          <w:szCs w:val="26"/>
        </w:rPr>
      </w:pPr>
    </w:p>
    <w:p w14:paraId="03F3DF8F" w14:textId="77777777" w:rsidR="00380BFF" w:rsidRPr="004939FA" w:rsidRDefault="00380BFF" w:rsidP="00380BFF">
      <w:pPr>
        <w:keepNext/>
        <w:rPr>
          <w:rFonts w:ascii="Arial" w:hAnsi="Arial" w:cs="Arial"/>
          <w:b/>
          <w:sz w:val="26"/>
          <w:szCs w:val="26"/>
        </w:rPr>
      </w:pPr>
      <w:r w:rsidRPr="004939FA">
        <w:rPr>
          <w:rFonts w:ascii="Arial" w:hAnsi="Arial" w:cs="Arial"/>
          <w:b/>
          <w:sz w:val="26"/>
          <w:szCs w:val="26"/>
        </w:rPr>
        <w:t>Eligible transactions</w:t>
      </w:r>
    </w:p>
    <w:p w14:paraId="3DD4118B" w14:textId="77777777" w:rsidR="00967574" w:rsidRPr="00A61F7C" w:rsidRDefault="00967574" w:rsidP="008602C8">
      <w:pPr>
        <w:keepNext/>
      </w:pPr>
    </w:p>
    <w:p w14:paraId="0BB1DBDD" w14:textId="0D9AADD3" w:rsidR="000C183A" w:rsidRDefault="000C183A" w:rsidP="009B4B0F">
      <w:r w:rsidRPr="00A61F7C">
        <w:t xml:space="preserve">A transaction is deemed </w:t>
      </w:r>
      <w:r w:rsidR="00E35188">
        <w:t xml:space="preserve">an </w:t>
      </w:r>
      <w:r w:rsidRPr="00A61F7C">
        <w:t xml:space="preserve">eligible </w:t>
      </w:r>
      <w:r w:rsidR="00E35188">
        <w:t xml:space="preserve">transaction </w:t>
      </w:r>
      <w:r w:rsidR="00E4756B" w:rsidRPr="00A61F7C">
        <w:t xml:space="preserve">if the eligibility requirements specified in the </w:t>
      </w:r>
      <w:r w:rsidR="00A4764A">
        <w:t xml:space="preserve">Determination </w:t>
      </w:r>
      <w:r w:rsidR="00E4756B" w:rsidRPr="00A61F7C">
        <w:t>are met.</w:t>
      </w:r>
      <w:r w:rsidR="00C2384B">
        <w:t xml:space="preserve"> These eligibility requirements are:</w:t>
      </w:r>
    </w:p>
    <w:p w14:paraId="7BBC60E6" w14:textId="77777777" w:rsidR="00C2384B" w:rsidRPr="00A61F7C" w:rsidRDefault="00C2384B" w:rsidP="009B4B0F"/>
    <w:p w14:paraId="2A7F26A2" w14:textId="77777777" w:rsidR="0007271C" w:rsidRPr="0046556A" w:rsidRDefault="0007271C" w:rsidP="00F737FF">
      <w:pPr>
        <w:pStyle w:val="ListParagraph"/>
        <w:numPr>
          <w:ilvl w:val="0"/>
          <w:numId w:val="17"/>
        </w:numPr>
        <w:rPr>
          <w:bCs/>
          <w:szCs w:val="24"/>
        </w:rPr>
      </w:pPr>
      <w:r w:rsidRPr="0046556A">
        <w:rPr>
          <w:bCs/>
          <w:szCs w:val="24"/>
        </w:rPr>
        <w:t xml:space="preserve">Pensioner requirement </w:t>
      </w:r>
    </w:p>
    <w:p w14:paraId="6AF9E5B2" w14:textId="77777777" w:rsidR="0007271C" w:rsidRDefault="0007271C" w:rsidP="00626A08">
      <w:pPr>
        <w:keepNext/>
      </w:pPr>
    </w:p>
    <w:p w14:paraId="0FEDDD7F" w14:textId="0F76150E" w:rsidR="0007271C" w:rsidRDefault="0007271C" w:rsidP="00F737FF">
      <w:pPr>
        <w:keepNext/>
        <w:ind w:left="709"/>
      </w:pPr>
      <w:r>
        <w:t>The concession is only available to a person who is in receipt of an Australian age pension (Centrelink or Department of Veterans’ Affairs equivalent)</w:t>
      </w:r>
      <w:r w:rsidR="00A15E04">
        <w:t>;</w:t>
      </w:r>
      <w:r w:rsidR="00F737FF">
        <w:t xml:space="preserve"> </w:t>
      </w:r>
      <w:r>
        <w:t xml:space="preserve">or a disability support pension and is 50 years of age or more; </w:t>
      </w:r>
      <w:r w:rsidRPr="00BD27BC">
        <w:t xml:space="preserve">or </w:t>
      </w:r>
      <w:r w:rsidR="00A15E04" w:rsidRPr="00BD27BC">
        <w:t xml:space="preserve">holds </w:t>
      </w:r>
      <w:r w:rsidRPr="00BD27BC">
        <w:t xml:space="preserve">a Department of Veterans’ Affairs Gold Card for </w:t>
      </w:r>
      <w:r w:rsidR="00A15E04" w:rsidRPr="00BD27BC">
        <w:t xml:space="preserve">at least </w:t>
      </w:r>
      <w:r w:rsidRPr="00BD27BC">
        <w:t xml:space="preserve">one year </w:t>
      </w:r>
      <w:r w:rsidR="00BB4F8D" w:rsidRPr="00BD27BC">
        <w:t xml:space="preserve">immediately </w:t>
      </w:r>
      <w:r w:rsidRPr="00BD27BC">
        <w:t>prior to the grant, transfer, or agreement.</w:t>
      </w:r>
      <w:r>
        <w:t xml:space="preserve"> </w:t>
      </w:r>
    </w:p>
    <w:p w14:paraId="3357001E" w14:textId="77777777" w:rsidR="0007271C" w:rsidRDefault="0007271C" w:rsidP="00626A08">
      <w:pPr>
        <w:keepNext/>
      </w:pPr>
    </w:p>
    <w:p w14:paraId="2BAC5478" w14:textId="0B113938" w:rsidR="00626A08" w:rsidRPr="0046556A" w:rsidRDefault="00F62620" w:rsidP="00F737FF">
      <w:pPr>
        <w:pStyle w:val="ListParagraph"/>
        <w:keepNext/>
        <w:numPr>
          <w:ilvl w:val="0"/>
          <w:numId w:val="17"/>
        </w:numPr>
        <w:rPr>
          <w:bCs/>
          <w:szCs w:val="24"/>
        </w:rPr>
      </w:pPr>
      <w:r w:rsidRPr="0046556A">
        <w:rPr>
          <w:bCs/>
          <w:szCs w:val="24"/>
        </w:rPr>
        <w:t>Property requirements</w:t>
      </w:r>
    </w:p>
    <w:p w14:paraId="0D3143B5" w14:textId="77777777" w:rsidR="00626A08" w:rsidRDefault="00626A08" w:rsidP="00C37233"/>
    <w:p w14:paraId="35FF2E80" w14:textId="04E95B7A" w:rsidR="00615425" w:rsidRPr="00AA1C85" w:rsidRDefault="00A61F7C" w:rsidP="00F737FF">
      <w:pPr>
        <w:ind w:left="709"/>
        <w:rPr>
          <w:bCs/>
        </w:rPr>
      </w:pPr>
      <w:r w:rsidRPr="00A61F7C">
        <w:t xml:space="preserve">A </w:t>
      </w:r>
      <w:r w:rsidRPr="00A61F7C">
        <w:rPr>
          <w:bCs/>
        </w:rPr>
        <w:t>transaction</w:t>
      </w:r>
      <w:r w:rsidR="00DA6CBE">
        <w:rPr>
          <w:bCs/>
        </w:rPr>
        <w:t xml:space="preserve"> </w:t>
      </w:r>
      <w:r w:rsidR="009B4B0F">
        <w:rPr>
          <w:bCs/>
        </w:rPr>
        <w:t xml:space="preserve">is not </w:t>
      </w:r>
      <w:r w:rsidR="00C6284E">
        <w:rPr>
          <w:bCs/>
        </w:rPr>
        <w:t xml:space="preserve">an </w:t>
      </w:r>
      <w:r w:rsidR="009B4B0F">
        <w:rPr>
          <w:bCs/>
        </w:rPr>
        <w:t xml:space="preserve">eligible </w:t>
      </w:r>
      <w:r w:rsidR="00C6284E">
        <w:rPr>
          <w:bCs/>
        </w:rPr>
        <w:t xml:space="preserve">transaction </w:t>
      </w:r>
      <w:r w:rsidR="009B4B0F">
        <w:rPr>
          <w:bCs/>
        </w:rPr>
        <w:t xml:space="preserve">if, </w:t>
      </w:r>
      <w:r w:rsidR="00F44C41">
        <w:rPr>
          <w:bCs/>
        </w:rPr>
        <w:t>on</w:t>
      </w:r>
      <w:r w:rsidR="009B4B0F">
        <w:rPr>
          <w:bCs/>
        </w:rPr>
        <w:t xml:space="preserve"> the </w:t>
      </w:r>
      <w:r w:rsidRPr="00A61F7C">
        <w:rPr>
          <w:bCs/>
        </w:rPr>
        <w:t>transaction date</w:t>
      </w:r>
      <w:r w:rsidRPr="00AA1C85">
        <w:rPr>
          <w:bCs/>
        </w:rPr>
        <w:t>, a</w:t>
      </w:r>
      <w:r w:rsidR="001A7BB5">
        <w:rPr>
          <w:bCs/>
        </w:rPr>
        <w:t>ll</w:t>
      </w:r>
      <w:r w:rsidRPr="00AA1C85">
        <w:rPr>
          <w:bCs/>
        </w:rPr>
        <w:t xml:space="preserve"> transferee</w:t>
      </w:r>
      <w:r w:rsidR="001A7BB5">
        <w:rPr>
          <w:bCs/>
        </w:rPr>
        <w:t>s</w:t>
      </w:r>
      <w:r w:rsidR="008847BF" w:rsidRPr="00AA1C85">
        <w:rPr>
          <w:bCs/>
        </w:rPr>
        <w:t xml:space="preserve"> </w:t>
      </w:r>
      <w:r w:rsidR="001A7BB5">
        <w:rPr>
          <w:bCs/>
        </w:rPr>
        <w:t>and</w:t>
      </w:r>
      <w:r w:rsidR="001A7BB5" w:rsidRPr="00AA1C85">
        <w:rPr>
          <w:bCs/>
        </w:rPr>
        <w:t xml:space="preserve"> </w:t>
      </w:r>
      <w:r w:rsidR="001A7BB5">
        <w:rPr>
          <w:bCs/>
        </w:rPr>
        <w:t xml:space="preserve">their </w:t>
      </w:r>
      <w:r w:rsidR="008847BF" w:rsidRPr="00AA1C85">
        <w:rPr>
          <w:bCs/>
        </w:rPr>
        <w:t>domestic partner</w:t>
      </w:r>
      <w:r w:rsidR="001A7BB5">
        <w:rPr>
          <w:bCs/>
        </w:rPr>
        <w:t>s</w:t>
      </w:r>
      <w:r w:rsidRPr="00AA1C85">
        <w:rPr>
          <w:bCs/>
        </w:rPr>
        <w:t xml:space="preserve"> </w:t>
      </w:r>
      <w:r w:rsidR="00DA6CBE" w:rsidRPr="00AA1C85">
        <w:rPr>
          <w:bCs/>
        </w:rPr>
        <w:t>he</w:t>
      </w:r>
      <w:r w:rsidR="009B4B0F" w:rsidRPr="00AA1C85">
        <w:rPr>
          <w:bCs/>
        </w:rPr>
        <w:t xml:space="preserve">ld an interest in land other than </w:t>
      </w:r>
      <w:r w:rsidR="001A7BB5">
        <w:rPr>
          <w:bCs/>
        </w:rPr>
        <w:t xml:space="preserve">in </w:t>
      </w:r>
      <w:r w:rsidR="009B4B0F" w:rsidRPr="00AA1C85">
        <w:rPr>
          <w:bCs/>
        </w:rPr>
        <w:t xml:space="preserve">the </w:t>
      </w:r>
      <w:r w:rsidR="002832DE" w:rsidRPr="00AA1C85">
        <w:t>eligible property</w:t>
      </w:r>
      <w:r w:rsidR="00AA1C85" w:rsidRPr="00AA1C85">
        <w:t xml:space="preserve"> and former property (if applicable)</w:t>
      </w:r>
      <w:r w:rsidR="00615425" w:rsidRPr="00AA1C85">
        <w:t>.</w:t>
      </w:r>
    </w:p>
    <w:p w14:paraId="19A7C3BD" w14:textId="77777777" w:rsidR="00655C96" w:rsidRPr="00AA1C85" w:rsidRDefault="00655C96" w:rsidP="00F737FF">
      <w:pPr>
        <w:ind w:left="709"/>
        <w:rPr>
          <w:bCs/>
        </w:rPr>
      </w:pPr>
    </w:p>
    <w:p w14:paraId="540CD7F7" w14:textId="199CDFAE" w:rsidR="00655C96" w:rsidRDefault="00655C96" w:rsidP="00F737FF">
      <w:pPr>
        <w:ind w:left="709"/>
      </w:pPr>
      <w:r w:rsidRPr="00AA1C85">
        <w:rPr>
          <w:bCs/>
        </w:rPr>
        <w:t xml:space="preserve">Additionally, the </w:t>
      </w:r>
      <w:r w:rsidR="00001083">
        <w:rPr>
          <w:bCs/>
        </w:rPr>
        <w:t>transferee</w:t>
      </w:r>
      <w:r w:rsidR="00001083" w:rsidRPr="00AA1C85">
        <w:rPr>
          <w:bCs/>
        </w:rPr>
        <w:t xml:space="preserve"> </w:t>
      </w:r>
      <w:r w:rsidRPr="00AA1C85">
        <w:rPr>
          <w:bCs/>
        </w:rPr>
        <w:t xml:space="preserve">must sell or have sold the property from which the </w:t>
      </w:r>
      <w:r w:rsidR="00001083">
        <w:rPr>
          <w:bCs/>
        </w:rPr>
        <w:t>transferee</w:t>
      </w:r>
      <w:r w:rsidR="00001083" w:rsidRPr="00AA1C85">
        <w:rPr>
          <w:bCs/>
        </w:rPr>
        <w:t xml:space="preserve"> </w:t>
      </w:r>
      <w:r w:rsidRPr="00AA1C85">
        <w:rPr>
          <w:bCs/>
        </w:rPr>
        <w:t xml:space="preserve">is moving </w:t>
      </w:r>
      <w:r w:rsidRPr="00AA1C85">
        <w:t xml:space="preserve">within </w:t>
      </w:r>
      <w:r w:rsidR="00C6284E">
        <w:t>one</w:t>
      </w:r>
      <w:r w:rsidR="00C6284E" w:rsidRPr="00AA1C85">
        <w:t xml:space="preserve"> </w:t>
      </w:r>
      <w:r w:rsidRPr="00AA1C85">
        <w:t>year of</w:t>
      </w:r>
      <w:r w:rsidR="008B7787" w:rsidRPr="00AA1C85">
        <w:t xml:space="preserve"> (before or after) the date the instrument effecting the transaction is registered with the Registrar-General on </w:t>
      </w:r>
      <w:r w:rsidR="008B7787" w:rsidRPr="00AA1C85">
        <w:lastRenderedPageBreak/>
        <w:t xml:space="preserve">the land titles register under the </w:t>
      </w:r>
      <w:r w:rsidR="008B7787" w:rsidRPr="00AA1C85">
        <w:rPr>
          <w:i/>
        </w:rPr>
        <w:t>Land Titles Act 1925</w:t>
      </w:r>
      <w:r w:rsidR="002832DE" w:rsidRPr="00AA1C85">
        <w:t>.</w:t>
      </w:r>
      <w:r w:rsidR="00A15E04">
        <w:t xml:space="preserve"> There may be exceptions to this, as set out below.</w:t>
      </w:r>
    </w:p>
    <w:p w14:paraId="0BC60250" w14:textId="77777777" w:rsidR="002832DE" w:rsidRDefault="002832DE" w:rsidP="00F737FF">
      <w:pPr>
        <w:ind w:left="709"/>
      </w:pPr>
    </w:p>
    <w:p w14:paraId="2053E0D0" w14:textId="06471127" w:rsidR="009B4B0F" w:rsidRDefault="002832DE" w:rsidP="00F737FF">
      <w:pPr>
        <w:tabs>
          <w:tab w:val="left" w:pos="6857"/>
        </w:tabs>
        <w:ind w:left="709"/>
      </w:pPr>
      <w:r>
        <w:t>Ownership of the eligible property being purchased must be in the same name or names as the property being sold.</w:t>
      </w:r>
      <w:r w:rsidR="00A15E04">
        <w:rPr>
          <w:bCs/>
        </w:rPr>
        <w:t xml:space="preserve"> </w:t>
      </w:r>
      <w:r w:rsidR="00DA6CBE">
        <w:rPr>
          <w:bCs/>
        </w:rPr>
        <w:t xml:space="preserve">Exceptions apply if </w:t>
      </w:r>
      <w:r w:rsidR="00DA6CBE" w:rsidRPr="00565168">
        <w:t xml:space="preserve">a court order, financial agreement, or domestic relationship agreement </w:t>
      </w:r>
      <w:r w:rsidR="00DA6CBE">
        <w:t>required</w:t>
      </w:r>
      <w:r w:rsidR="00DA6CBE" w:rsidRPr="00565168">
        <w:t xml:space="preserve"> the </w:t>
      </w:r>
      <w:r w:rsidR="00DA6CBE">
        <w:t xml:space="preserve">other property to be relinquished. However, these orders or agreements must be </w:t>
      </w:r>
      <w:r w:rsidR="00DA6CBE" w:rsidRPr="00565168">
        <w:t>made</w:t>
      </w:r>
      <w:r w:rsidR="00DA6CBE">
        <w:t xml:space="preserve"> </w:t>
      </w:r>
      <w:r w:rsidR="00DA6CBE" w:rsidRPr="00565168">
        <w:t>before the</w:t>
      </w:r>
      <w:r w:rsidR="005648A2">
        <w:t xml:space="preserve"> transaction </w:t>
      </w:r>
      <w:r w:rsidR="00DA6CBE" w:rsidRPr="00565168">
        <w:t>date</w:t>
      </w:r>
      <w:r w:rsidR="00DA6CBE">
        <w:t>.</w:t>
      </w:r>
      <w:r w:rsidR="00655C96">
        <w:t xml:space="preserve"> </w:t>
      </w:r>
      <w:r w:rsidR="00DA6CBE">
        <w:t>Exceptions also apply if the other property is subject to a will</w:t>
      </w:r>
      <w:r w:rsidR="00655C96">
        <w:t>.</w:t>
      </w:r>
    </w:p>
    <w:p w14:paraId="4CE459DD" w14:textId="77777777" w:rsidR="00655C96" w:rsidRDefault="00655C96" w:rsidP="00F737FF">
      <w:pPr>
        <w:ind w:left="709"/>
        <w:rPr>
          <w:i/>
        </w:rPr>
      </w:pPr>
    </w:p>
    <w:p w14:paraId="6F584601" w14:textId="77777777" w:rsidR="002832DE" w:rsidRPr="00F737FF" w:rsidRDefault="00D35248" w:rsidP="00F737FF">
      <w:pPr>
        <w:pStyle w:val="ListParagraph"/>
        <w:keepNext/>
        <w:numPr>
          <w:ilvl w:val="0"/>
          <w:numId w:val="17"/>
        </w:numPr>
        <w:rPr>
          <w:bCs/>
          <w:szCs w:val="24"/>
        </w:rPr>
      </w:pPr>
      <w:r w:rsidRPr="00F737FF">
        <w:rPr>
          <w:bCs/>
          <w:szCs w:val="24"/>
        </w:rPr>
        <w:t>Residence requirements</w:t>
      </w:r>
    </w:p>
    <w:p w14:paraId="28828296" w14:textId="77777777" w:rsidR="002832DE" w:rsidRPr="00F44C41" w:rsidRDefault="002832DE" w:rsidP="002832DE">
      <w:pPr>
        <w:keepNext/>
        <w:rPr>
          <w:rFonts w:ascii="Arial" w:hAnsi="Arial" w:cs="Arial"/>
          <w:b/>
          <w:sz w:val="26"/>
          <w:szCs w:val="26"/>
        </w:rPr>
      </w:pPr>
    </w:p>
    <w:p w14:paraId="31D86F76" w14:textId="480E8A69" w:rsidR="002832DE" w:rsidRDefault="002832DE" w:rsidP="00F737FF">
      <w:pPr>
        <w:ind w:left="709"/>
      </w:pPr>
      <w:r w:rsidRPr="00390519">
        <w:t xml:space="preserve">At least one of the </w:t>
      </w:r>
      <w:r w:rsidR="00A61F7C" w:rsidRPr="008A6077">
        <w:t>transferee</w:t>
      </w:r>
      <w:r w:rsidR="00390519" w:rsidRPr="008A6077">
        <w:t xml:space="preserve">s </w:t>
      </w:r>
      <w:r w:rsidR="008A6077">
        <w:t>of</w:t>
      </w:r>
      <w:r w:rsidR="00D35248">
        <w:t xml:space="preserve"> the </w:t>
      </w:r>
      <w:r w:rsidR="00BC1954" w:rsidRPr="008A6077">
        <w:t xml:space="preserve">eligible </w:t>
      </w:r>
      <w:r w:rsidR="00D35248">
        <w:t xml:space="preserve">property </w:t>
      </w:r>
      <w:r w:rsidRPr="00390519">
        <w:t xml:space="preserve">must </w:t>
      </w:r>
      <w:r>
        <w:t xml:space="preserve">occupy </w:t>
      </w:r>
      <w:r w:rsidRPr="00390519">
        <w:t>the</w:t>
      </w:r>
      <w:r>
        <w:t xml:space="preserve"> property</w:t>
      </w:r>
      <w:r w:rsidRPr="00390519">
        <w:t xml:space="preserve"> as their principal place of residence continuously for a period of </w:t>
      </w:r>
      <w:r>
        <w:t xml:space="preserve">at least </w:t>
      </w:r>
      <w:r w:rsidR="00C6284E">
        <w:t>one</w:t>
      </w:r>
      <w:r w:rsidR="00C6284E" w:rsidRPr="00390519">
        <w:t xml:space="preserve"> </w:t>
      </w:r>
      <w:r w:rsidRPr="00390519">
        <w:t xml:space="preserve">year. That period must commence within </w:t>
      </w:r>
      <w:r w:rsidR="00C6284E">
        <w:t>one</w:t>
      </w:r>
      <w:r w:rsidR="00C6284E" w:rsidRPr="00390519">
        <w:t xml:space="preserve"> </w:t>
      </w:r>
      <w:r w:rsidRPr="00390519">
        <w:t>year of completion of the</w:t>
      </w:r>
      <w:r>
        <w:t xml:space="preserve"> transfer for a</w:t>
      </w:r>
      <w:r w:rsidR="003944EF">
        <w:t xml:space="preserve"> home</w:t>
      </w:r>
      <w:r w:rsidRPr="00390519">
        <w:t xml:space="preserve">, or the date </w:t>
      </w:r>
      <w:r>
        <w:t>that</w:t>
      </w:r>
      <w:r w:rsidRPr="00390519">
        <w:t xml:space="preserve"> the certificate of occupancy that is issued following co</w:t>
      </w:r>
      <w:r>
        <w:t>mpletion of construction of a home for vacant land.</w:t>
      </w:r>
      <w:r w:rsidR="00BC1954" w:rsidRPr="008A6077">
        <w:t xml:space="preserve"> </w:t>
      </w:r>
      <w:r w:rsidR="00A15E04">
        <w:t>Some exemptions apply to the residence requirement</w:t>
      </w:r>
      <w:r w:rsidR="00CB4C9F">
        <w:t>s</w:t>
      </w:r>
      <w:r w:rsidR="00A15E04">
        <w:t>, as set out below.</w:t>
      </w:r>
    </w:p>
    <w:p w14:paraId="5738D9D5" w14:textId="77777777" w:rsidR="002832DE" w:rsidRPr="00F44C41" w:rsidRDefault="002832DE" w:rsidP="00F737FF">
      <w:pPr>
        <w:ind w:left="709"/>
        <w:rPr>
          <w:rFonts w:ascii="Arial" w:hAnsi="Arial" w:cs="Arial"/>
          <w:b/>
          <w:sz w:val="22"/>
        </w:rPr>
      </w:pPr>
    </w:p>
    <w:p w14:paraId="3B09A3A9" w14:textId="77777777" w:rsidR="001F3298" w:rsidRDefault="001F3298" w:rsidP="00F737FF">
      <w:pPr>
        <w:ind w:left="709"/>
      </w:pPr>
      <w:r>
        <w:t xml:space="preserve">The domestic partner of </w:t>
      </w:r>
      <w:r w:rsidR="008A6077" w:rsidRPr="008A6077">
        <w:t>a</w:t>
      </w:r>
      <w:r w:rsidR="003F25A2" w:rsidRPr="008A6077">
        <w:t xml:space="preserve"> </w:t>
      </w:r>
      <w:r w:rsidR="00A61F7C" w:rsidRPr="008A6077">
        <w:t>transferee</w:t>
      </w:r>
      <w:r>
        <w:t xml:space="preserve"> can only fulfil the residence requirements if they </w:t>
      </w:r>
      <w:r w:rsidR="00084553">
        <w:t>are a transferee themselves; that is, they</w:t>
      </w:r>
      <w:r w:rsidR="00084553" w:rsidRPr="00084553">
        <w:t xml:space="preserve"> </w:t>
      </w:r>
      <w:r w:rsidR="00084553">
        <w:t>are named in the grant, transfer or agreement and they hold a relevant interest in the property.</w:t>
      </w:r>
    </w:p>
    <w:p w14:paraId="7BD857B8" w14:textId="77777777" w:rsidR="001F3298" w:rsidRDefault="001F3298" w:rsidP="00F737FF">
      <w:pPr>
        <w:ind w:left="709"/>
      </w:pPr>
    </w:p>
    <w:p w14:paraId="35AA1911" w14:textId="77777777" w:rsidR="001013D1" w:rsidRDefault="001013D1" w:rsidP="00F737FF">
      <w:pPr>
        <w:ind w:left="709"/>
      </w:pPr>
      <w:r w:rsidRPr="00390519">
        <w:t xml:space="preserve">A principal place of residence is defined as the home </w:t>
      </w:r>
      <w:r>
        <w:t xml:space="preserve">a person primarily occupies, on an ongoing and permanent basis, as their </w:t>
      </w:r>
      <w:r w:rsidRPr="00390519">
        <w:t>settled or usual home. However, when the occupation is transient, temporary or of a passing nature, this is not sufficient to establish occupation as a principal place of residence</w:t>
      </w:r>
      <w:r>
        <w:t>.</w:t>
      </w:r>
    </w:p>
    <w:p w14:paraId="59907851" w14:textId="77777777" w:rsidR="00EE10B9" w:rsidRDefault="00EE10B9" w:rsidP="00F737FF">
      <w:pPr>
        <w:ind w:left="709"/>
      </w:pPr>
    </w:p>
    <w:p w14:paraId="16649EC9" w14:textId="49646808" w:rsidR="00C357B4" w:rsidRPr="00F737FF" w:rsidRDefault="00C357B4" w:rsidP="00F737FF">
      <w:pPr>
        <w:pStyle w:val="ListParagraph"/>
        <w:keepNext/>
        <w:numPr>
          <w:ilvl w:val="0"/>
          <w:numId w:val="17"/>
        </w:numPr>
        <w:rPr>
          <w:bCs/>
          <w:szCs w:val="24"/>
        </w:rPr>
      </w:pPr>
      <w:r w:rsidRPr="00F737FF">
        <w:rPr>
          <w:bCs/>
          <w:szCs w:val="24"/>
        </w:rPr>
        <w:t xml:space="preserve">Previous concessions </w:t>
      </w:r>
    </w:p>
    <w:p w14:paraId="2D2C32F4" w14:textId="77777777" w:rsidR="00C357B4" w:rsidRDefault="00C357B4" w:rsidP="008E3CEB">
      <w:pPr>
        <w:keepNext/>
      </w:pPr>
    </w:p>
    <w:p w14:paraId="13AB7B62" w14:textId="6DDE592E" w:rsidR="00C357B4" w:rsidRDefault="00AA1C85" w:rsidP="00F737FF">
      <w:pPr>
        <w:keepNext/>
        <w:ind w:left="709"/>
        <w:rPr>
          <w:rFonts w:ascii="Arial" w:hAnsi="Arial" w:cs="Arial"/>
          <w:b/>
          <w:sz w:val="26"/>
          <w:szCs w:val="26"/>
        </w:rPr>
      </w:pPr>
      <w:r>
        <w:t>A</w:t>
      </w:r>
      <w:r w:rsidR="00C357B4">
        <w:t xml:space="preserve"> </w:t>
      </w:r>
      <w:r>
        <w:t xml:space="preserve">transferee </w:t>
      </w:r>
      <w:r w:rsidR="00C357B4">
        <w:t>cannot have previously received the Over 60s Home Bonus (which ended on 31 December 2016)</w:t>
      </w:r>
      <w:r w:rsidR="00A15E04">
        <w:t xml:space="preserve"> or the </w:t>
      </w:r>
      <w:r w:rsidR="009C3478">
        <w:t>PDCS</w:t>
      </w:r>
      <w:r w:rsidR="00C357B4">
        <w:t>.</w:t>
      </w:r>
    </w:p>
    <w:p w14:paraId="34A90FAE" w14:textId="77777777" w:rsidR="00C357B4" w:rsidRDefault="00C357B4" w:rsidP="008E3CEB">
      <w:pPr>
        <w:keepNext/>
        <w:rPr>
          <w:rFonts w:ascii="Arial" w:hAnsi="Arial" w:cs="Arial"/>
          <w:b/>
          <w:sz w:val="26"/>
          <w:szCs w:val="26"/>
        </w:rPr>
      </w:pPr>
    </w:p>
    <w:p w14:paraId="54CB5F13" w14:textId="77777777" w:rsidR="008E3CEB" w:rsidRPr="00F44C41" w:rsidRDefault="00F62620" w:rsidP="008E3CEB">
      <w:pPr>
        <w:keepNext/>
        <w:rPr>
          <w:rFonts w:ascii="Arial" w:hAnsi="Arial" w:cs="Arial"/>
          <w:b/>
          <w:sz w:val="26"/>
          <w:szCs w:val="26"/>
        </w:rPr>
      </w:pPr>
      <w:r w:rsidRPr="00F62620">
        <w:rPr>
          <w:rFonts w:ascii="Arial" w:hAnsi="Arial" w:cs="Arial"/>
          <w:b/>
          <w:sz w:val="26"/>
          <w:szCs w:val="26"/>
        </w:rPr>
        <w:t xml:space="preserve">Failure to comply with </w:t>
      </w:r>
      <w:r w:rsidR="0086473D" w:rsidRPr="00160FF7">
        <w:rPr>
          <w:rFonts w:ascii="Arial" w:hAnsi="Arial" w:cs="Arial"/>
          <w:b/>
          <w:sz w:val="26"/>
          <w:szCs w:val="26"/>
        </w:rPr>
        <w:t>requirement</w:t>
      </w:r>
      <w:r w:rsidR="008A6077" w:rsidRPr="00160FF7">
        <w:rPr>
          <w:rFonts w:ascii="Arial" w:hAnsi="Arial" w:cs="Arial"/>
          <w:b/>
          <w:sz w:val="26"/>
          <w:szCs w:val="26"/>
        </w:rPr>
        <w:t>s</w:t>
      </w:r>
    </w:p>
    <w:p w14:paraId="190B4614" w14:textId="77777777" w:rsidR="008E3CEB" w:rsidRDefault="008E3CEB" w:rsidP="008E3CEB">
      <w:pPr>
        <w:keepNext/>
      </w:pPr>
    </w:p>
    <w:p w14:paraId="608C2F80" w14:textId="07444345" w:rsidR="00B671CE" w:rsidRPr="00160FF7" w:rsidRDefault="00B671CE" w:rsidP="00B671CE">
      <w:r>
        <w:t xml:space="preserve">If a transaction ceases to be </w:t>
      </w:r>
      <w:r w:rsidR="00001083">
        <w:t xml:space="preserve">an </w:t>
      </w:r>
      <w:r>
        <w:t>eligible</w:t>
      </w:r>
      <w:r w:rsidR="00001083">
        <w:t xml:space="preserve"> transaction </w:t>
      </w:r>
      <w:r>
        <w:t xml:space="preserve">—for example, because a person failed </w:t>
      </w:r>
      <w:r w:rsidRPr="00160FF7">
        <w:t xml:space="preserve">to comply with </w:t>
      </w:r>
      <w:r>
        <w:t>an</w:t>
      </w:r>
      <w:r w:rsidRPr="00160FF7">
        <w:t xml:space="preserve"> </w:t>
      </w:r>
      <w:r>
        <w:t>eligibility requirement—th</w:t>
      </w:r>
      <w:r w:rsidR="00A4764A">
        <w:t>e Determination</w:t>
      </w:r>
      <w:r>
        <w:t xml:space="preserve"> requires written notice of that fact to be provided</w:t>
      </w:r>
      <w:r w:rsidRPr="00160FF7">
        <w:t xml:space="preserve"> to the Commissioner. The notice should advise about the failure to meet the requirement. Notice must be given within 14 days after the end of the period allowed for compliance with the requirement or the date </w:t>
      </w:r>
      <w:r w:rsidR="00001083">
        <w:t>the transferee</w:t>
      </w:r>
      <w:r w:rsidR="00001083" w:rsidRPr="00160FF7">
        <w:t xml:space="preserve"> </w:t>
      </w:r>
      <w:r w:rsidRPr="00160FF7">
        <w:t xml:space="preserve">first becomes </w:t>
      </w:r>
      <w:r w:rsidR="00001083">
        <w:t xml:space="preserve">aware </w:t>
      </w:r>
      <w:r w:rsidRPr="00160FF7">
        <w:t>that the requirement will not be complied with (whichever comes first).</w:t>
      </w:r>
    </w:p>
    <w:p w14:paraId="7D073137" w14:textId="77777777" w:rsidR="002832DE" w:rsidRDefault="002832DE" w:rsidP="002832DE"/>
    <w:p w14:paraId="17F80484" w14:textId="61E8270C" w:rsidR="002832DE" w:rsidRDefault="00160FF7" w:rsidP="002832DE">
      <w:r w:rsidRPr="00160FF7">
        <w:t>If the transaction ceases to be an</w:t>
      </w:r>
      <w:r w:rsidR="002832DE" w:rsidRPr="005F597E">
        <w:t xml:space="preserve"> </w:t>
      </w:r>
      <w:r w:rsidR="002832DE">
        <w:t>eligible transaction</w:t>
      </w:r>
      <w:r w:rsidRPr="00160FF7">
        <w:t>,</w:t>
      </w:r>
      <w:r w:rsidR="00F109FE">
        <w:t xml:space="preserve"> subject to the dutiable value of the eligible property,</w:t>
      </w:r>
      <w:r w:rsidRPr="00160FF7">
        <w:t xml:space="preserve"> it</w:t>
      </w:r>
      <w:r w:rsidR="002832DE">
        <w:t xml:space="preserve"> will become liable for duty </w:t>
      </w:r>
      <w:r w:rsidR="00F109FE">
        <w:t xml:space="preserve">or additional duty </w:t>
      </w:r>
      <w:r w:rsidR="002832DE">
        <w:t xml:space="preserve">as at the </w:t>
      </w:r>
      <w:r w:rsidR="001013D1">
        <w:t>transaction date</w:t>
      </w:r>
      <w:r w:rsidR="002832DE">
        <w:t xml:space="preserve">. In other words, the </w:t>
      </w:r>
      <w:r w:rsidR="00A61F7C" w:rsidRPr="00160FF7">
        <w:t>transferee</w:t>
      </w:r>
      <w:r w:rsidR="002832DE">
        <w:t xml:space="preserve"> will become liable to </w:t>
      </w:r>
      <w:r w:rsidR="002832DE" w:rsidRPr="005F597E">
        <w:t>pay the</w:t>
      </w:r>
      <w:r w:rsidR="002832DE">
        <w:t xml:space="preserve"> Territory</w:t>
      </w:r>
      <w:r w:rsidR="002832DE" w:rsidRPr="005F597E">
        <w:t xml:space="preserve"> </w:t>
      </w:r>
      <w:r w:rsidR="00E615CB">
        <w:t xml:space="preserve">the </w:t>
      </w:r>
      <w:r w:rsidR="002832DE" w:rsidRPr="005F597E">
        <w:t xml:space="preserve">amount of duty that would have been </w:t>
      </w:r>
      <w:r w:rsidR="002832DE">
        <w:t>payable</w:t>
      </w:r>
      <w:r w:rsidR="002832DE" w:rsidRPr="005F597E">
        <w:t xml:space="preserve"> </w:t>
      </w:r>
      <w:r w:rsidR="002832DE">
        <w:t xml:space="preserve">on the eligible transaction if the </w:t>
      </w:r>
      <w:r w:rsidR="009D4361">
        <w:t xml:space="preserve">transaction </w:t>
      </w:r>
      <w:r w:rsidR="002832DE">
        <w:t xml:space="preserve">had not been eligible for the </w:t>
      </w:r>
      <w:r w:rsidR="009E65D9">
        <w:t>PDCS</w:t>
      </w:r>
      <w:r w:rsidR="002832DE">
        <w:t xml:space="preserve">. </w:t>
      </w:r>
    </w:p>
    <w:p w14:paraId="20D20768" w14:textId="77777777" w:rsidR="002832DE" w:rsidRDefault="002832DE" w:rsidP="002832DE"/>
    <w:p w14:paraId="3472F740" w14:textId="64DCB916" w:rsidR="002832DE" w:rsidRDefault="002832DE" w:rsidP="002832DE">
      <w:r w:rsidRPr="005F597E">
        <w:lastRenderedPageBreak/>
        <w:t xml:space="preserve">If </w:t>
      </w:r>
      <w:r w:rsidR="00160FF7" w:rsidRPr="00160FF7">
        <w:t>a</w:t>
      </w:r>
      <w:r w:rsidR="008E3CEB" w:rsidRPr="00160FF7">
        <w:t xml:space="preserve"> </w:t>
      </w:r>
      <w:r w:rsidR="00A61F7C" w:rsidRPr="00160FF7">
        <w:t>transferee</w:t>
      </w:r>
      <w:r w:rsidRPr="005F597E">
        <w:t xml:space="preserve"> fails to </w:t>
      </w:r>
      <w:r>
        <w:t>give notice to the Commissioner</w:t>
      </w:r>
      <w:r w:rsidRPr="005F597E">
        <w:t xml:space="preserve"> </w:t>
      </w:r>
      <w:r>
        <w:t xml:space="preserve">or </w:t>
      </w:r>
      <w:r w:rsidR="001A6123">
        <w:t xml:space="preserve">fails to </w:t>
      </w:r>
      <w:r>
        <w:t>take steps to rectify the tax liability</w:t>
      </w:r>
      <w:r w:rsidRPr="005F597E">
        <w:t xml:space="preserve">, </w:t>
      </w:r>
      <w:r w:rsidR="001A6123" w:rsidRPr="00F737FF">
        <w:t xml:space="preserve">under the </w:t>
      </w:r>
      <w:r w:rsidR="003F63B1" w:rsidRPr="00F737FF">
        <w:t>TAA</w:t>
      </w:r>
      <w:r w:rsidR="001A6123">
        <w:t xml:space="preserve"> </w:t>
      </w:r>
      <w:r w:rsidRPr="005F597E">
        <w:t xml:space="preserve">the </w:t>
      </w:r>
      <w:r w:rsidR="00A61F7C" w:rsidRPr="00160FF7">
        <w:t>transferee</w:t>
      </w:r>
      <w:r w:rsidRPr="005F597E">
        <w:t xml:space="preserve"> may be subject to pena</w:t>
      </w:r>
      <w:r>
        <w:t>lty tax and payment of interest in addition to the primary duty.</w:t>
      </w:r>
      <w:r w:rsidR="001A6123">
        <w:t xml:space="preserve"> </w:t>
      </w:r>
      <w:r w:rsidR="00DD4441">
        <w:t xml:space="preserve">The TAA </w:t>
      </w:r>
      <w:r w:rsidR="001A6123">
        <w:t>also provides a range of offences which may apply, such as for the avoidance of tax and failing to notify the Commissioner.</w:t>
      </w:r>
    </w:p>
    <w:p w14:paraId="39841D41" w14:textId="77777777" w:rsidR="0063087D" w:rsidRPr="00F44C41" w:rsidRDefault="0063087D" w:rsidP="00A40A52">
      <w:pPr>
        <w:keepNext/>
        <w:rPr>
          <w:rFonts w:ascii="Arial" w:hAnsi="Arial" w:cs="Arial"/>
          <w:b/>
          <w:sz w:val="26"/>
          <w:szCs w:val="26"/>
        </w:rPr>
      </w:pPr>
      <w:r>
        <w:br/>
      </w:r>
      <w:r w:rsidR="00F62620" w:rsidRPr="00F62620">
        <w:rPr>
          <w:rFonts w:ascii="Arial" w:hAnsi="Arial" w:cs="Arial"/>
          <w:b/>
          <w:sz w:val="26"/>
          <w:szCs w:val="26"/>
        </w:rPr>
        <w:t>Exemptions</w:t>
      </w:r>
    </w:p>
    <w:p w14:paraId="1C6319A3" w14:textId="77777777" w:rsidR="005C64EE" w:rsidRDefault="005C64EE" w:rsidP="0063087D">
      <w:pPr>
        <w:keepNext/>
      </w:pPr>
    </w:p>
    <w:p w14:paraId="20DB3F95" w14:textId="674DC446" w:rsidR="00891788" w:rsidRDefault="00891788" w:rsidP="00891788">
      <w:r>
        <w:t>Th</w:t>
      </w:r>
      <w:r w:rsidR="00A4764A">
        <w:t xml:space="preserve">e Determination </w:t>
      </w:r>
      <w:r>
        <w:t xml:space="preserve">allows the Commissioner to consider a request in writing from a potential or current </w:t>
      </w:r>
      <w:r w:rsidR="00AA1C85">
        <w:t xml:space="preserve">transferee </w:t>
      </w:r>
      <w:r>
        <w:t xml:space="preserve">to exempt the eligible transaction from compliance with the requirement about ownership in the same names, or the requirement to sell the former property within </w:t>
      </w:r>
      <w:r w:rsidR="003B24E7">
        <w:t>one</w:t>
      </w:r>
      <w:r>
        <w:t xml:space="preserve"> year. The Commissioner can grant an exemption if anomalous or unusual circumstances exist.</w:t>
      </w:r>
    </w:p>
    <w:p w14:paraId="162307E8" w14:textId="77777777" w:rsidR="00891788" w:rsidRDefault="00891788" w:rsidP="00891788"/>
    <w:p w14:paraId="58F2FB6A" w14:textId="0256E5AF" w:rsidR="003944EF" w:rsidRPr="007C2BF5" w:rsidRDefault="003944EF" w:rsidP="003944EF">
      <w:r w:rsidRPr="007C2BF5">
        <w:t>Th</w:t>
      </w:r>
      <w:r w:rsidR="00A4764A">
        <w:t xml:space="preserve">e Determination </w:t>
      </w:r>
      <w:r w:rsidRPr="007C2BF5">
        <w:t>also gives the Commissioner the discretion to extend the time for a transferee to meet the residence requirement</w:t>
      </w:r>
      <w:r w:rsidR="008676F5">
        <w:t>s</w:t>
      </w:r>
      <w:r w:rsidRPr="007C2BF5">
        <w:t xml:space="preserve">, to approve a residence period shorter than </w:t>
      </w:r>
      <w:r w:rsidR="003B24E7">
        <w:t>one</w:t>
      </w:r>
      <w:r w:rsidRPr="007C2BF5">
        <w:t xml:space="preserve"> year, or to exempt the transferee from the residence requirements, in the event of unforeseen circumstances (such as health-related issues). </w:t>
      </w:r>
    </w:p>
    <w:p w14:paraId="7CA3EAD2" w14:textId="77777777" w:rsidR="00B74DC0" w:rsidRDefault="00B74DC0" w:rsidP="006A45B1"/>
    <w:p w14:paraId="377467E9" w14:textId="62CF3589" w:rsidR="002832DE" w:rsidRDefault="008676F5" w:rsidP="002832DE">
      <w:r>
        <w:t>The Commissioner can exercise d</w:t>
      </w:r>
      <w:r w:rsidRPr="00565168">
        <w:t>iscretion</w:t>
      </w:r>
      <w:r>
        <w:t xml:space="preserve"> in relation to residence</w:t>
      </w:r>
      <w:r w:rsidRPr="00565168">
        <w:t xml:space="preserve"> </w:t>
      </w:r>
      <w:r>
        <w:t xml:space="preserve">requirements only </w:t>
      </w:r>
      <w:r w:rsidR="002832DE" w:rsidRPr="00565168">
        <w:t xml:space="preserve">where a written request to exercise them is made within 18 months </w:t>
      </w:r>
      <w:r w:rsidR="002832DE" w:rsidRPr="00390519">
        <w:t>of completion of the</w:t>
      </w:r>
      <w:r w:rsidR="003944EF">
        <w:t xml:space="preserve"> transfer for a </w:t>
      </w:r>
      <w:r w:rsidR="002832DE">
        <w:t>home</w:t>
      </w:r>
      <w:r w:rsidR="002832DE" w:rsidRPr="00390519">
        <w:t xml:space="preserve">, or the date </w:t>
      </w:r>
      <w:r w:rsidR="002832DE">
        <w:t>that</w:t>
      </w:r>
      <w:r w:rsidR="002832DE" w:rsidRPr="00390519">
        <w:t xml:space="preserve"> the certificate of occupancy that is issued following co</w:t>
      </w:r>
      <w:r w:rsidR="002832DE">
        <w:t>mpletion of construction of a home for vacant land.</w:t>
      </w:r>
    </w:p>
    <w:p w14:paraId="07C32599" w14:textId="77777777" w:rsidR="005F597E" w:rsidRPr="007C2BF5" w:rsidRDefault="005F597E">
      <w:pPr>
        <w:rPr>
          <w:rFonts w:ascii="Arial" w:hAnsi="Arial" w:cs="Arial"/>
          <w:b/>
          <w:sz w:val="22"/>
          <w:szCs w:val="22"/>
        </w:rPr>
      </w:pPr>
    </w:p>
    <w:p w14:paraId="64860ACA" w14:textId="33D5BBFB" w:rsidR="00E4756B" w:rsidRPr="007C2BF5" w:rsidRDefault="00E4756B" w:rsidP="00E4756B">
      <w:pPr>
        <w:keepNext/>
        <w:rPr>
          <w:rFonts w:ascii="Arial" w:hAnsi="Arial" w:cs="Arial"/>
          <w:b/>
          <w:sz w:val="26"/>
          <w:szCs w:val="26"/>
        </w:rPr>
      </w:pPr>
      <w:r w:rsidRPr="007C2BF5">
        <w:rPr>
          <w:rFonts w:ascii="Arial" w:hAnsi="Arial" w:cs="Arial"/>
          <w:b/>
          <w:sz w:val="26"/>
          <w:szCs w:val="26"/>
        </w:rPr>
        <w:t>Concessional rates</w:t>
      </w:r>
    </w:p>
    <w:p w14:paraId="0558C7AB" w14:textId="77777777" w:rsidR="00E4756B" w:rsidRPr="007C2BF5" w:rsidRDefault="00E4756B" w:rsidP="00E4756B">
      <w:pPr>
        <w:rPr>
          <w:rFonts w:ascii="Arial" w:hAnsi="Arial" w:cs="Arial"/>
          <w:b/>
          <w:sz w:val="26"/>
          <w:szCs w:val="26"/>
        </w:rPr>
      </w:pPr>
    </w:p>
    <w:p w14:paraId="39F0AE42" w14:textId="48DF2A18" w:rsidR="00BD0BB5" w:rsidRDefault="00BD0BB5" w:rsidP="00BD0BB5">
      <w:r w:rsidRPr="00162E21">
        <w:t>The concessional rates of duty ensure that the amount of the concession progressively reduces to zero.</w:t>
      </w:r>
    </w:p>
    <w:p w14:paraId="6159EA39" w14:textId="77777777" w:rsidR="00BD0BB5" w:rsidRDefault="00BD0BB5" w:rsidP="00BD0BB5"/>
    <w:p w14:paraId="517B7B27" w14:textId="77777777" w:rsidR="00E4756B" w:rsidRPr="007C2BF5" w:rsidRDefault="00BD0BB5" w:rsidP="00E4756B">
      <w:r>
        <w:t xml:space="preserve">At or below the lower threshold, an approved transaction is entitled to the maximum duty concession, meaning that </w:t>
      </w:r>
      <w:r w:rsidR="007C2BF5" w:rsidRPr="007C2BF5">
        <w:t xml:space="preserve">no </w:t>
      </w:r>
      <w:r w:rsidR="00E4756B" w:rsidRPr="007C2BF5">
        <w:t>duty</w:t>
      </w:r>
      <w:r w:rsidR="007C2BF5" w:rsidRPr="007C2BF5">
        <w:t xml:space="preserve"> </w:t>
      </w:r>
      <w:r w:rsidR="00E4756B" w:rsidRPr="007C2BF5">
        <w:t>is payable</w:t>
      </w:r>
      <w:r w:rsidR="007C2BF5" w:rsidRPr="007C2BF5">
        <w:t xml:space="preserve"> ($0)</w:t>
      </w:r>
      <w:r w:rsidR="00E4756B" w:rsidRPr="007C2BF5">
        <w:t>.</w:t>
      </w:r>
    </w:p>
    <w:p w14:paraId="093056F8" w14:textId="77777777" w:rsidR="00BD0BB5" w:rsidRDefault="00BD0BB5" w:rsidP="00BD0BB5"/>
    <w:p w14:paraId="1E852CBB" w14:textId="7DBB0BBE" w:rsidR="00BD0BB5" w:rsidRDefault="00BD0BB5" w:rsidP="00BD0BB5">
      <w:r w:rsidRPr="00162E21">
        <w:t xml:space="preserve">A partial concession is available for purchases of eligible properties with a dutiable value </w:t>
      </w:r>
      <w:r>
        <w:t>between the lower and upper thresholds. The partial concession rate is worked out as follows then rounded down to the nearest 5 cents:</w:t>
      </w:r>
    </w:p>
    <w:p w14:paraId="7611C418" w14:textId="77777777" w:rsidR="001C5EAD" w:rsidRDefault="001C5EAD" w:rsidP="001C5EAD"/>
    <w:p w14:paraId="229CB578" w14:textId="77777777" w:rsidR="001C5EAD" w:rsidRPr="003573C5" w:rsidRDefault="001C5EAD" w:rsidP="001C5EAD">
      <m:oMathPara>
        <m:oMathParaPr>
          <m:jc m:val="center"/>
        </m:oMathParaPr>
        <m:oMath>
          <m:r>
            <w:rPr>
              <w:rFonts w:ascii="Cambria Math" w:hAnsi="Cambria Math"/>
            </w:rPr>
            <m:t xml:space="preserve">concessional rate of duty= </m:t>
          </m:r>
          <m:f>
            <m:fPr>
              <m:ctrlPr>
                <w:rPr>
                  <w:rFonts w:ascii="Cambria Math" w:hAnsi="Cambria Math"/>
                  <w:i/>
                </w:rPr>
              </m:ctrlPr>
            </m:fPr>
            <m:num>
              <m:r>
                <w:rPr>
                  <w:rFonts w:ascii="Cambria Math" w:hAnsi="Cambria Math"/>
                </w:rPr>
                <m:t>upper threshold duty×100</m:t>
              </m:r>
            </m:num>
            <m:den>
              <m:r>
                <w:rPr>
                  <w:rFonts w:ascii="Cambria Math" w:hAnsi="Cambria Math"/>
                </w:rPr>
                <m:t>upper threshold-lower threshold</m:t>
              </m:r>
            </m:den>
          </m:f>
        </m:oMath>
      </m:oMathPara>
    </w:p>
    <w:p w14:paraId="70EA9408" w14:textId="77777777" w:rsidR="001C5EAD" w:rsidRDefault="001C5EAD" w:rsidP="001C5EAD"/>
    <w:p w14:paraId="723DF622" w14:textId="23798214" w:rsidR="00BD0BB5" w:rsidRDefault="00BD0BB5" w:rsidP="00BD0BB5">
      <w:r>
        <w:t xml:space="preserve">In this formula, </w:t>
      </w:r>
      <w:r>
        <w:rPr>
          <w:b/>
          <w:i/>
        </w:rPr>
        <w:t>upper threshold duty</w:t>
      </w:r>
      <w:r>
        <w:t xml:space="preserve"> means the full amount of duty, that would be payable for a dutiable transaction with a dutiable value equal to the upper threshold.</w:t>
      </w:r>
      <w:r w:rsidR="00F361E5">
        <w:t xml:space="preserve"> For 202</w:t>
      </w:r>
      <w:r w:rsidR="00C339C6">
        <w:t>2</w:t>
      </w:r>
      <w:r w:rsidR="00F361E5">
        <w:t>-2</w:t>
      </w:r>
      <w:r w:rsidR="00C339C6">
        <w:t>3</w:t>
      </w:r>
      <w:r w:rsidR="00F361E5">
        <w:t>, the duty payable is determined using the ‘</w:t>
      </w:r>
      <w:r w:rsidR="00202CEA">
        <w:t>owner</w:t>
      </w:r>
      <w:r w:rsidR="00F361E5">
        <w:t xml:space="preserve"> occupier’ rate under the </w:t>
      </w:r>
      <w:r w:rsidR="00F361E5" w:rsidRPr="00E65A97">
        <w:rPr>
          <w:i/>
          <w:iCs/>
        </w:rPr>
        <w:t>Taxation Administration (Amounts Payable—Duty) Determination 202</w:t>
      </w:r>
      <w:r w:rsidR="00C339C6">
        <w:rPr>
          <w:i/>
          <w:iCs/>
        </w:rPr>
        <w:t>2</w:t>
      </w:r>
      <w:r w:rsidR="00F361E5">
        <w:t xml:space="preserve"> given the comparable residency requirements.</w:t>
      </w:r>
    </w:p>
    <w:p w14:paraId="4E1860AD" w14:textId="77777777" w:rsidR="00BD0BB5" w:rsidRDefault="00BD0BB5" w:rsidP="00BD0BB5"/>
    <w:p w14:paraId="18419D19" w14:textId="77777777" w:rsidR="00E4756B" w:rsidRPr="007C2BF5" w:rsidRDefault="00BD0BB5" w:rsidP="00E4756B">
      <w:r>
        <w:t xml:space="preserve">At and above the upper threshold, the transaction is not eligible for the </w:t>
      </w:r>
      <w:r w:rsidR="009E65D9">
        <w:t>PDCS</w:t>
      </w:r>
      <w:r w:rsidR="00E4756B" w:rsidRPr="007C2BF5">
        <w:t xml:space="preserve"> and full duty is payable.</w:t>
      </w:r>
    </w:p>
    <w:p w14:paraId="2834902A" w14:textId="77777777" w:rsidR="00E4756B" w:rsidRPr="001B59B2" w:rsidRDefault="00E4756B" w:rsidP="00E4756B">
      <w:pPr>
        <w:rPr>
          <w:highlight w:val="yellow"/>
        </w:rPr>
      </w:pPr>
    </w:p>
    <w:p w14:paraId="038B6B0F" w14:textId="4245AC6D" w:rsidR="00FF0696" w:rsidRPr="00F44C41" w:rsidRDefault="001B2B42" w:rsidP="00F737FF">
      <w:pPr>
        <w:keepNext/>
        <w:rPr>
          <w:rFonts w:ascii="Arial" w:hAnsi="Arial" w:cs="Arial"/>
          <w:b/>
          <w:sz w:val="22"/>
        </w:rPr>
      </w:pPr>
      <w:r>
        <w:rPr>
          <w:rFonts w:ascii="Arial" w:hAnsi="Arial" w:cs="Arial"/>
          <w:b/>
          <w:sz w:val="22"/>
        </w:rPr>
        <w:lastRenderedPageBreak/>
        <w:t>H</w:t>
      </w:r>
      <w:r w:rsidR="00FF0696" w:rsidRPr="00F62620">
        <w:rPr>
          <w:rFonts w:ascii="Arial" w:hAnsi="Arial" w:cs="Arial"/>
          <w:b/>
          <w:sz w:val="22"/>
        </w:rPr>
        <w:t>ome rate</w:t>
      </w:r>
    </w:p>
    <w:p w14:paraId="1696E316" w14:textId="77777777" w:rsidR="00FF0696" w:rsidRPr="00F737FF" w:rsidRDefault="00FF0696" w:rsidP="00F737FF">
      <w:pPr>
        <w:keepNext/>
        <w:rPr>
          <w:b/>
          <w:szCs w:val="24"/>
        </w:rPr>
      </w:pPr>
    </w:p>
    <w:p w14:paraId="35928528" w14:textId="53013341" w:rsidR="00FF0696" w:rsidRPr="00182E22" w:rsidRDefault="00FF0696" w:rsidP="00FF0696">
      <w:r w:rsidRPr="00182E22">
        <w:t>For homes, the upper threshold duty is $</w:t>
      </w:r>
      <w:r w:rsidR="00182E22" w:rsidRPr="00182E22">
        <w:t>20,925</w:t>
      </w:r>
      <w:r w:rsidRPr="00182E22">
        <w:t xml:space="preserve"> and the concessional rate is $</w:t>
      </w:r>
      <w:r w:rsidR="00182E22" w:rsidRPr="00182E22">
        <w:t>9.70</w:t>
      </w:r>
      <w:r w:rsidR="00DB14E0" w:rsidRPr="00182E22">
        <w:t xml:space="preserve"> </w:t>
      </w:r>
      <w:r w:rsidR="00986170" w:rsidRPr="00182E22">
        <w:t>per $100 (or part thereof) of dutiable value</w:t>
      </w:r>
      <w:r w:rsidR="00A0007B" w:rsidRPr="00182E22">
        <w:t xml:space="preserve"> more than $</w:t>
      </w:r>
      <w:r w:rsidR="00C90BD7" w:rsidRPr="00182E22">
        <w:t>490</w:t>
      </w:r>
      <w:r w:rsidR="00A0007B" w:rsidRPr="00182E22">
        <w:t>,000</w:t>
      </w:r>
      <w:r w:rsidRPr="00182E22">
        <w:t>, worked out as follows:</w:t>
      </w:r>
    </w:p>
    <w:p w14:paraId="510B11EB" w14:textId="77777777" w:rsidR="00FF0696" w:rsidRPr="00182E22" w:rsidRDefault="00FF0696" w:rsidP="00FF0696"/>
    <w:p w14:paraId="30BB3BAA" w14:textId="4CF94C92" w:rsidR="00FF0696" w:rsidRPr="00182E22" w:rsidRDefault="00FF0696" w:rsidP="00FF0696">
      <m:oMathPara>
        <m:oMath>
          <m:r>
            <w:rPr>
              <w:rFonts w:ascii="Cambria Math" w:hAnsi="Cambria Math"/>
            </w:rPr>
            <m:t xml:space="preserve"> </m:t>
          </m:r>
          <m:f>
            <m:fPr>
              <m:ctrlPr>
                <w:rPr>
                  <w:rFonts w:ascii="Cambria Math" w:hAnsi="Cambria Math"/>
                  <w:i/>
                </w:rPr>
              </m:ctrlPr>
            </m:fPr>
            <m:num>
              <m:r>
                <w:rPr>
                  <w:rFonts w:ascii="Cambria Math" w:hAnsi="Cambria Math"/>
                </w:rPr>
                <m:t>$20,925×100</m:t>
              </m:r>
            </m:num>
            <m:den>
              <m:r>
                <w:rPr>
                  <w:rFonts w:ascii="Cambria Math" w:hAnsi="Cambria Math"/>
                </w:rPr>
                <m:t>$765,000-$550,000</m:t>
              </m:r>
            </m:den>
          </m:f>
          <m:r>
            <w:rPr>
              <w:rFonts w:ascii="Cambria Math" w:hAnsi="Cambria Math"/>
            </w:rPr>
            <m:t xml:space="preserve">=$9.7326 </m:t>
          </m:r>
          <m:d>
            <m:dPr>
              <m:ctrlPr>
                <w:rPr>
                  <w:rFonts w:ascii="Cambria Math" w:hAnsi="Cambria Math"/>
                  <w:i/>
                </w:rPr>
              </m:ctrlPr>
            </m:dPr>
            <m:e>
              <m:r>
                <w:rPr>
                  <w:rFonts w:ascii="Cambria Math" w:hAnsi="Cambria Math"/>
                </w:rPr>
                <m:t>unrounded</m:t>
              </m:r>
            </m:e>
          </m:d>
          <m:r>
            <w:rPr>
              <w:rFonts w:ascii="Cambria Math" w:hAnsi="Cambria Math"/>
            </w:rPr>
            <m:t>=$9.70 (rounded down)</m:t>
          </m:r>
        </m:oMath>
      </m:oMathPara>
    </w:p>
    <w:p w14:paraId="19ECB3B0" w14:textId="77777777" w:rsidR="00FF0696" w:rsidRPr="00182E22" w:rsidRDefault="00FF0696" w:rsidP="00FF0696"/>
    <w:p w14:paraId="33327D95" w14:textId="1DC32119" w:rsidR="00105077" w:rsidRDefault="00105077" w:rsidP="00105077">
      <w:pPr>
        <w:pStyle w:val="Amain"/>
        <w:tabs>
          <w:tab w:val="clear" w:pos="500"/>
          <w:tab w:val="clear" w:pos="700"/>
          <w:tab w:val="right" w:pos="-284"/>
          <w:tab w:val="left" w:pos="567"/>
        </w:tabs>
        <w:spacing w:before="0" w:after="0"/>
        <w:ind w:left="0" w:firstLine="0"/>
        <w:jc w:val="left"/>
        <w:outlineLvl w:val="9"/>
      </w:pPr>
      <w:r>
        <w:t xml:space="preserve">The 2021-22 and 2022-23, thresholds and concessional </w:t>
      </w:r>
      <w:r w:rsidR="009340C6">
        <w:t xml:space="preserve">marginal </w:t>
      </w:r>
      <w:r>
        <w:t>rates for homes are provided in the table below for comparison.</w:t>
      </w:r>
    </w:p>
    <w:p w14:paraId="7F3A2BE5" w14:textId="3FFD6C20" w:rsidR="00105077" w:rsidRPr="000C019D" w:rsidRDefault="00105077" w:rsidP="00105077">
      <w:pPr>
        <w:pStyle w:val="TableHd"/>
        <w:ind w:hanging="1058"/>
      </w:pPr>
      <w:r w:rsidRPr="000C019D">
        <w:t>Table 1</w:t>
      </w:r>
      <w:r w:rsidRPr="000C019D">
        <w:tab/>
      </w:r>
      <w:r>
        <w:t>H</w:t>
      </w:r>
      <w:r w:rsidRPr="000C019D">
        <w:t>ome</w:t>
      </w:r>
    </w:p>
    <w:tbl>
      <w:tblPr>
        <w:tblW w:w="448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861"/>
        <w:gridCol w:w="1860"/>
        <w:gridCol w:w="1860"/>
        <w:gridCol w:w="1858"/>
      </w:tblGrid>
      <w:tr w:rsidR="00105077" w:rsidRPr="000C019D" w14:paraId="2226E7C7" w14:textId="77777777" w:rsidTr="00105077">
        <w:trPr>
          <w:cantSplit/>
          <w:tblHeader/>
        </w:trPr>
        <w:tc>
          <w:tcPr>
            <w:tcW w:w="2501" w:type="pct"/>
            <w:gridSpan w:val="2"/>
            <w:tcBorders>
              <w:top w:val="single" w:sz="4" w:space="0" w:color="auto"/>
              <w:left w:val="single" w:sz="4" w:space="0" w:color="auto"/>
              <w:bottom w:val="single" w:sz="4" w:space="0" w:color="auto"/>
              <w:right w:val="single" w:sz="4" w:space="0" w:color="auto"/>
            </w:tcBorders>
          </w:tcPr>
          <w:p w14:paraId="7F8850E2" w14:textId="762D3488" w:rsidR="00105077" w:rsidRPr="000C019D" w:rsidRDefault="00105077" w:rsidP="00105077">
            <w:pPr>
              <w:pStyle w:val="TableColHd"/>
              <w:jc w:val="center"/>
            </w:pPr>
            <w:r>
              <w:t>2021-22</w:t>
            </w:r>
          </w:p>
        </w:tc>
        <w:tc>
          <w:tcPr>
            <w:tcW w:w="2499" w:type="pct"/>
            <w:gridSpan w:val="2"/>
            <w:tcBorders>
              <w:top w:val="single" w:sz="4" w:space="0" w:color="auto"/>
              <w:left w:val="single" w:sz="4" w:space="0" w:color="auto"/>
              <w:bottom w:val="single" w:sz="4" w:space="0" w:color="auto"/>
              <w:right w:val="single" w:sz="4" w:space="0" w:color="auto"/>
            </w:tcBorders>
          </w:tcPr>
          <w:p w14:paraId="6A345FC6" w14:textId="5ED914B6" w:rsidR="00105077" w:rsidRDefault="00105077" w:rsidP="00105077">
            <w:pPr>
              <w:pStyle w:val="TableColHd"/>
              <w:jc w:val="center"/>
            </w:pPr>
            <w:r>
              <w:t>2022-23</w:t>
            </w:r>
          </w:p>
          <w:p w14:paraId="63F0A641" w14:textId="77777777" w:rsidR="00105077" w:rsidRPr="000C019D" w:rsidRDefault="00105077" w:rsidP="004668D9">
            <w:pPr>
              <w:pStyle w:val="TableColHd"/>
            </w:pPr>
          </w:p>
        </w:tc>
      </w:tr>
      <w:tr w:rsidR="00105077" w:rsidRPr="000C019D" w14:paraId="5EFE6A63" w14:textId="77777777" w:rsidTr="00105077">
        <w:trPr>
          <w:cantSplit/>
          <w:tblHeader/>
        </w:trPr>
        <w:tc>
          <w:tcPr>
            <w:tcW w:w="1251" w:type="pct"/>
            <w:tcBorders>
              <w:top w:val="single" w:sz="4" w:space="0" w:color="auto"/>
              <w:left w:val="single" w:sz="4" w:space="0" w:color="auto"/>
              <w:bottom w:val="single" w:sz="4" w:space="0" w:color="auto"/>
              <w:right w:val="single" w:sz="4" w:space="0" w:color="auto"/>
            </w:tcBorders>
          </w:tcPr>
          <w:p w14:paraId="56734348" w14:textId="768604ED" w:rsidR="00105077" w:rsidRPr="000C019D" w:rsidRDefault="00105077" w:rsidP="00105077">
            <w:pPr>
              <w:pStyle w:val="TableColHd"/>
              <w:jc w:val="center"/>
            </w:pPr>
            <w:r w:rsidRPr="000C019D">
              <w:t>dutiable value</w:t>
            </w:r>
          </w:p>
        </w:tc>
        <w:tc>
          <w:tcPr>
            <w:tcW w:w="1250" w:type="pct"/>
            <w:tcBorders>
              <w:top w:val="single" w:sz="4" w:space="0" w:color="auto"/>
              <w:left w:val="single" w:sz="4" w:space="0" w:color="auto"/>
              <w:bottom w:val="single" w:sz="4" w:space="0" w:color="auto"/>
              <w:right w:val="single" w:sz="4" w:space="0" w:color="auto"/>
            </w:tcBorders>
          </w:tcPr>
          <w:p w14:paraId="73FADF62" w14:textId="73CE9458" w:rsidR="00105077" w:rsidRPr="000C019D" w:rsidRDefault="00105077" w:rsidP="00105077">
            <w:pPr>
              <w:pStyle w:val="TableColHd"/>
              <w:jc w:val="center"/>
            </w:pPr>
            <w:r w:rsidRPr="000C019D">
              <w:rPr>
                <w:rFonts w:cs="Arial"/>
              </w:rPr>
              <w:t>rate of duty</w:t>
            </w:r>
            <w:r w:rsidRPr="004B1DE4">
              <w:rPr>
                <w:sz w:val="20"/>
              </w:rPr>
              <w:t xml:space="preserve"> </w:t>
            </w:r>
            <w:r>
              <w:rPr>
                <w:sz w:val="20"/>
              </w:rPr>
              <w:t xml:space="preserve">       </w:t>
            </w:r>
            <w:r w:rsidRPr="00105077">
              <w:rPr>
                <w:b w:val="0"/>
                <w:bCs/>
                <w:sz w:val="20"/>
              </w:rPr>
              <w:t xml:space="preserve">(for every $100, </w:t>
            </w:r>
            <w:r>
              <w:rPr>
                <w:b w:val="0"/>
                <w:bCs/>
                <w:sz w:val="20"/>
              </w:rPr>
              <w:t xml:space="preserve">  </w:t>
            </w:r>
            <w:r w:rsidRPr="00105077">
              <w:rPr>
                <w:b w:val="0"/>
                <w:bCs/>
                <w:sz w:val="20"/>
              </w:rPr>
              <w:t>or part of $100)</w:t>
            </w:r>
          </w:p>
        </w:tc>
        <w:tc>
          <w:tcPr>
            <w:tcW w:w="1250" w:type="pct"/>
            <w:tcBorders>
              <w:top w:val="single" w:sz="4" w:space="0" w:color="auto"/>
              <w:left w:val="single" w:sz="4" w:space="0" w:color="auto"/>
              <w:bottom w:val="single" w:sz="4" w:space="0" w:color="auto"/>
              <w:right w:val="single" w:sz="4" w:space="0" w:color="auto"/>
            </w:tcBorders>
          </w:tcPr>
          <w:p w14:paraId="0739B173" w14:textId="77777777" w:rsidR="00105077" w:rsidRPr="000C019D" w:rsidRDefault="00105077" w:rsidP="00105077">
            <w:pPr>
              <w:pStyle w:val="TableColHd"/>
              <w:jc w:val="center"/>
            </w:pPr>
            <w:r w:rsidRPr="000C019D">
              <w:t>dutiable value</w:t>
            </w:r>
          </w:p>
        </w:tc>
        <w:tc>
          <w:tcPr>
            <w:tcW w:w="1249" w:type="pct"/>
            <w:tcBorders>
              <w:top w:val="single" w:sz="4" w:space="0" w:color="auto"/>
              <w:left w:val="single" w:sz="4" w:space="0" w:color="auto"/>
              <w:bottom w:val="single" w:sz="4" w:space="0" w:color="auto"/>
              <w:right w:val="single" w:sz="4" w:space="0" w:color="auto"/>
            </w:tcBorders>
          </w:tcPr>
          <w:p w14:paraId="383B88DD" w14:textId="08A1C878" w:rsidR="00105077" w:rsidRPr="000C019D" w:rsidRDefault="00105077" w:rsidP="00105077">
            <w:pPr>
              <w:pStyle w:val="TableColHd"/>
              <w:jc w:val="center"/>
              <w:rPr>
                <w:rFonts w:cs="Arial"/>
              </w:rPr>
            </w:pPr>
            <w:r w:rsidRPr="000C019D">
              <w:rPr>
                <w:rFonts w:cs="Arial"/>
              </w:rPr>
              <w:t>rate of duty</w:t>
            </w:r>
            <w:r>
              <w:rPr>
                <w:rFonts w:cs="Arial"/>
              </w:rPr>
              <w:t xml:space="preserve">          </w:t>
            </w:r>
            <w:r w:rsidRPr="00105077">
              <w:rPr>
                <w:b w:val="0"/>
                <w:bCs/>
                <w:sz w:val="20"/>
              </w:rPr>
              <w:t xml:space="preserve">(for every $100, </w:t>
            </w:r>
            <w:r>
              <w:rPr>
                <w:b w:val="0"/>
                <w:bCs/>
                <w:sz w:val="20"/>
              </w:rPr>
              <w:t xml:space="preserve">   </w:t>
            </w:r>
            <w:r w:rsidRPr="00105077">
              <w:rPr>
                <w:b w:val="0"/>
                <w:bCs/>
                <w:sz w:val="20"/>
              </w:rPr>
              <w:t>or part of $100)</w:t>
            </w:r>
          </w:p>
        </w:tc>
      </w:tr>
      <w:tr w:rsidR="00105077" w:rsidRPr="00AB20A1" w14:paraId="26C0EA61" w14:textId="77777777" w:rsidTr="00105077">
        <w:trPr>
          <w:cantSplit/>
        </w:trPr>
        <w:tc>
          <w:tcPr>
            <w:tcW w:w="1251" w:type="pct"/>
            <w:tcBorders>
              <w:top w:val="single" w:sz="4" w:space="0" w:color="auto"/>
              <w:left w:val="single" w:sz="4" w:space="0" w:color="auto"/>
              <w:bottom w:val="single" w:sz="4" w:space="0" w:color="auto"/>
              <w:right w:val="single" w:sz="4" w:space="0" w:color="auto"/>
            </w:tcBorders>
          </w:tcPr>
          <w:p w14:paraId="6DA3C6BB" w14:textId="7C35CC0C" w:rsidR="00105077" w:rsidRPr="00AB20A1" w:rsidRDefault="00105077" w:rsidP="00105077">
            <w:pPr>
              <w:spacing w:before="60" w:after="60"/>
              <w:rPr>
                <w:sz w:val="20"/>
              </w:rPr>
            </w:pPr>
            <w:r w:rsidRPr="001C4E52">
              <w:rPr>
                <w:sz w:val="20"/>
              </w:rPr>
              <w:t>less than or equal to $</w:t>
            </w:r>
            <w:r w:rsidRPr="006654BB">
              <w:rPr>
                <w:sz w:val="20"/>
              </w:rPr>
              <w:t>490 000</w:t>
            </w:r>
          </w:p>
        </w:tc>
        <w:tc>
          <w:tcPr>
            <w:tcW w:w="1250" w:type="pct"/>
            <w:tcBorders>
              <w:top w:val="single" w:sz="4" w:space="0" w:color="auto"/>
              <w:left w:val="single" w:sz="4" w:space="0" w:color="auto"/>
              <w:bottom w:val="single" w:sz="4" w:space="0" w:color="auto"/>
              <w:right w:val="single" w:sz="4" w:space="0" w:color="auto"/>
            </w:tcBorders>
          </w:tcPr>
          <w:p w14:paraId="35B6D2B1" w14:textId="36E1D3F5" w:rsidR="00105077" w:rsidRPr="00AB20A1" w:rsidRDefault="00105077" w:rsidP="00105077">
            <w:pPr>
              <w:spacing w:before="60" w:after="60"/>
              <w:jc w:val="center"/>
              <w:rPr>
                <w:sz w:val="20"/>
              </w:rPr>
            </w:pPr>
            <w:r>
              <w:rPr>
                <w:sz w:val="20"/>
              </w:rPr>
              <w:t>n</w:t>
            </w:r>
            <w:r w:rsidRPr="004B1DE4">
              <w:rPr>
                <w:sz w:val="20"/>
              </w:rPr>
              <w:t>il</w:t>
            </w:r>
          </w:p>
        </w:tc>
        <w:tc>
          <w:tcPr>
            <w:tcW w:w="1250" w:type="pct"/>
            <w:tcBorders>
              <w:top w:val="single" w:sz="4" w:space="0" w:color="auto"/>
              <w:left w:val="single" w:sz="4" w:space="0" w:color="auto"/>
              <w:bottom w:val="single" w:sz="4" w:space="0" w:color="auto"/>
              <w:right w:val="single" w:sz="4" w:space="0" w:color="auto"/>
            </w:tcBorders>
          </w:tcPr>
          <w:p w14:paraId="14145106" w14:textId="7A58A4CA" w:rsidR="00105077" w:rsidRPr="00AB20A1" w:rsidRDefault="00105077" w:rsidP="00105077">
            <w:pPr>
              <w:spacing w:before="60" w:after="60"/>
              <w:rPr>
                <w:sz w:val="20"/>
              </w:rPr>
            </w:pPr>
            <w:r w:rsidRPr="00AB20A1">
              <w:rPr>
                <w:sz w:val="20"/>
              </w:rPr>
              <w:t>less than or equal to $550 000</w:t>
            </w:r>
          </w:p>
        </w:tc>
        <w:tc>
          <w:tcPr>
            <w:tcW w:w="1249" w:type="pct"/>
            <w:tcBorders>
              <w:top w:val="single" w:sz="4" w:space="0" w:color="auto"/>
              <w:left w:val="single" w:sz="4" w:space="0" w:color="auto"/>
              <w:bottom w:val="single" w:sz="4" w:space="0" w:color="auto"/>
              <w:right w:val="single" w:sz="4" w:space="0" w:color="auto"/>
            </w:tcBorders>
          </w:tcPr>
          <w:p w14:paraId="6A750800" w14:textId="77777777" w:rsidR="00105077" w:rsidRPr="00AB20A1" w:rsidRDefault="00105077" w:rsidP="00105077">
            <w:pPr>
              <w:spacing w:before="60" w:after="60"/>
              <w:jc w:val="center"/>
              <w:rPr>
                <w:sz w:val="20"/>
              </w:rPr>
            </w:pPr>
            <w:r w:rsidRPr="00AB20A1">
              <w:rPr>
                <w:sz w:val="20"/>
              </w:rPr>
              <w:t>nil</w:t>
            </w:r>
          </w:p>
        </w:tc>
      </w:tr>
      <w:tr w:rsidR="00105077" w:rsidRPr="00AB20A1" w14:paraId="21F732EE" w14:textId="77777777" w:rsidTr="00105077">
        <w:trPr>
          <w:cantSplit/>
          <w:trHeight w:val="428"/>
        </w:trPr>
        <w:tc>
          <w:tcPr>
            <w:tcW w:w="1251" w:type="pct"/>
            <w:tcBorders>
              <w:top w:val="single" w:sz="4" w:space="0" w:color="auto"/>
              <w:left w:val="single" w:sz="4" w:space="0" w:color="auto"/>
              <w:bottom w:val="single" w:sz="4" w:space="0" w:color="auto"/>
              <w:right w:val="single" w:sz="4" w:space="0" w:color="auto"/>
            </w:tcBorders>
          </w:tcPr>
          <w:p w14:paraId="489ED4AA" w14:textId="108D318D" w:rsidR="00105077" w:rsidRPr="00AB20A1" w:rsidRDefault="00105077" w:rsidP="00105077">
            <w:pPr>
              <w:spacing w:before="60" w:after="60"/>
              <w:rPr>
                <w:sz w:val="20"/>
              </w:rPr>
            </w:pPr>
            <w:r w:rsidRPr="001C4E52">
              <w:rPr>
                <w:sz w:val="20"/>
              </w:rPr>
              <w:t>more than $</w:t>
            </w:r>
            <w:r w:rsidRPr="006654BB">
              <w:rPr>
                <w:sz w:val="20"/>
              </w:rPr>
              <w:t>490 000</w:t>
            </w:r>
            <w:r w:rsidRPr="001C4E52">
              <w:rPr>
                <w:sz w:val="20"/>
              </w:rPr>
              <w:t xml:space="preserve"> but less than $</w:t>
            </w:r>
            <w:r w:rsidRPr="006654BB">
              <w:rPr>
                <w:sz w:val="20"/>
              </w:rPr>
              <w:t>642 000</w:t>
            </w:r>
          </w:p>
        </w:tc>
        <w:tc>
          <w:tcPr>
            <w:tcW w:w="1250" w:type="pct"/>
            <w:tcBorders>
              <w:top w:val="single" w:sz="4" w:space="0" w:color="auto"/>
              <w:left w:val="single" w:sz="4" w:space="0" w:color="auto"/>
              <w:bottom w:val="single" w:sz="4" w:space="0" w:color="auto"/>
              <w:right w:val="single" w:sz="4" w:space="0" w:color="auto"/>
            </w:tcBorders>
          </w:tcPr>
          <w:p w14:paraId="24A7F394" w14:textId="67DE450F" w:rsidR="00105077" w:rsidRPr="00AB20A1" w:rsidRDefault="00105077" w:rsidP="00105077">
            <w:pPr>
              <w:spacing w:before="60" w:after="60"/>
              <w:jc w:val="center"/>
              <w:rPr>
                <w:sz w:val="20"/>
              </w:rPr>
            </w:pPr>
            <w:r w:rsidRPr="004B1DE4">
              <w:rPr>
                <w:sz w:val="20"/>
              </w:rPr>
              <w:t>$</w:t>
            </w:r>
            <w:r>
              <w:rPr>
                <w:sz w:val="20"/>
              </w:rPr>
              <w:t>10.85</w:t>
            </w:r>
          </w:p>
        </w:tc>
        <w:tc>
          <w:tcPr>
            <w:tcW w:w="1250" w:type="pct"/>
            <w:tcBorders>
              <w:top w:val="single" w:sz="4" w:space="0" w:color="auto"/>
              <w:left w:val="single" w:sz="4" w:space="0" w:color="auto"/>
              <w:bottom w:val="single" w:sz="4" w:space="0" w:color="auto"/>
              <w:right w:val="single" w:sz="4" w:space="0" w:color="auto"/>
            </w:tcBorders>
          </w:tcPr>
          <w:p w14:paraId="6F7F4087" w14:textId="41BDAD23" w:rsidR="00105077" w:rsidRPr="00AB20A1" w:rsidRDefault="00105077" w:rsidP="00105077">
            <w:pPr>
              <w:spacing w:before="60" w:after="60"/>
              <w:rPr>
                <w:sz w:val="20"/>
              </w:rPr>
            </w:pPr>
            <w:r w:rsidRPr="00AB20A1">
              <w:rPr>
                <w:sz w:val="20"/>
              </w:rPr>
              <w:t>more than $550 000 but less than $765</w:t>
            </w:r>
            <w:r>
              <w:rPr>
                <w:sz w:val="20"/>
              </w:rPr>
              <w:t> </w:t>
            </w:r>
            <w:r w:rsidRPr="00AB20A1">
              <w:rPr>
                <w:sz w:val="20"/>
              </w:rPr>
              <w:t>000</w:t>
            </w:r>
          </w:p>
        </w:tc>
        <w:tc>
          <w:tcPr>
            <w:tcW w:w="1249" w:type="pct"/>
            <w:tcBorders>
              <w:top w:val="single" w:sz="4" w:space="0" w:color="auto"/>
              <w:left w:val="single" w:sz="4" w:space="0" w:color="auto"/>
              <w:bottom w:val="single" w:sz="4" w:space="0" w:color="auto"/>
              <w:right w:val="single" w:sz="4" w:space="0" w:color="auto"/>
            </w:tcBorders>
          </w:tcPr>
          <w:p w14:paraId="7FDB7A7E" w14:textId="0B1C1FF6" w:rsidR="00105077" w:rsidRPr="00AB20A1" w:rsidRDefault="00105077" w:rsidP="00105077">
            <w:pPr>
              <w:spacing w:before="60" w:after="60"/>
              <w:jc w:val="center"/>
              <w:rPr>
                <w:sz w:val="20"/>
              </w:rPr>
            </w:pPr>
            <w:r w:rsidRPr="00AB20A1">
              <w:rPr>
                <w:sz w:val="20"/>
              </w:rPr>
              <w:t>$9.70</w:t>
            </w:r>
          </w:p>
        </w:tc>
      </w:tr>
    </w:tbl>
    <w:p w14:paraId="5B08E4B0" w14:textId="77777777" w:rsidR="00105077" w:rsidRDefault="00105077" w:rsidP="00105077">
      <w:pPr>
        <w:pStyle w:val="Amain"/>
        <w:tabs>
          <w:tab w:val="clear" w:pos="500"/>
          <w:tab w:val="clear" w:pos="700"/>
          <w:tab w:val="right" w:pos="-284"/>
          <w:tab w:val="left" w:pos="567"/>
        </w:tabs>
        <w:spacing w:before="0" w:after="0"/>
        <w:ind w:left="0" w:firstLine="0"/>
        <w:jc w:val="left"/>
        <w:outlineLvl w:val="9"/>
      </w:pPr>
    </w:p>
    <w:p w14:paraId="28B632FE" w14:textId="77777777" w:rsidR="00FF0696" w:rsidRPr="00182E22" w:rsidRDefault="00FF0696" w:rsidP="00FF0696">
      <w:pPr>
        <w:rPr>
          <w:rFonts w:ascii="Arial" w:hAnsi="Arial" w:cs="Arial"/>
          <w:b/>
          <w:sz w:val="22"/>
        </w:rPr>
      </w:pPr>
      <w:r w:rsidRPr="00182E22">
        <w:rPr>
          <w:rFonts w:ascii="Arial" w:hAnsi="Arial" w:cs="Arial"/>
          <w:b/>
          <w:sz w:val="22"/>
        </w:rPr>
        <w:t>Vacant land rate</w:t>
      </w:r>
    </w:p>
    <w:p w14:paraId="70CEFBC2" w14:textId="77777777" w:rsidR="00FF0696" w:rsidRPr="00182E22" w:rsidRDefault="00FF0696" w:rsidP="00FF0696">
      <w:pPr>
        <w:rPr>
          <w:b/>
          <w:szCs w:val="24"/>
        </w:rPr>
      </w:pPr>
    </w:p>
    <w:p w14:paraId="4F9D383D" w14:textId="40A570C9" w:rsidR="00FF0696" w:rsidRPr="00182E22" w:rsidRDefault="00FF0696" w:rsidP="00FF0696">
      <w:r w:rsidRPr="00182E22">
        <w:t>For vacant land, the upper threshold duty is $</w:t>
      </w:r>
      <w:r w:rsidR="00182E22" w:rsidRPr="00182E22">
        <w:t>7,540</w:t>
      </w:r>
      <w:r w:rsidR="00DB14E0" w:rsidRPr="00182E22">
        <w:t xml:space="preserve"> </w:t>
      </w:r>
      <w:r w:rsidRPr="00182E22">
        <w:t>and the concessional rate is $</w:t>
      </w:r>
      <w:r w:rsidR="00182E22" w:rsidRPr="00182E22">
        <w:t>9.75</w:t>
      </w:r>
      <w:r w:rsidR="00DB14E0" w:rsidRPr="00182E22">
        <w:t> </w:t>
      </w:r>
      <w:r w:rsidR="00986170" w:rsidRPr="00182E22">
        <w:t>per $100 (or part thereof) of dutiable value</w:t>
      </w:r>
      <w:r w:rsidRPr="00182E22">
        <w:t>, worked out as follows:</w:t>
      </w:r>
    </w:p>
    <w:p w14:paraId="5D835240" w14:textId="77777777" w:rsidR="00FF0696" w:rsidRPr="00182E22" w:rsidRDefault="00FF0696" w:rsidP="00FF0696"/>
    <w:p w14:paraId="11F75624" w14:textId="4B54D885" w:rsidR="00FF0696" w:rsidRPr="00C37042" w:rsidRDefault="00FF0696" w:rsidP="00FF0696">
      <m:oMathPara>
        <m:oMath>
          <m:r>
            <w:rPr>
              <w:rFonts w:ascii="Cambria Math" w:hAnsi="Cambria Math"/>
            </w:rPr>
            <m:t xml:space="preserve"> </m:t>
          </m:r>
          <m:f>
            <m:fPr>
              <m:ctrlPr>
                <w:rPr>
                  <w:rFonts w:ascii="Cambria Math" w:hAnsi="Cambria Math"/>
                  <w:i/>
                </w:rPr>
              </m:ctrlPr>
            </m:fPr>
            <m:num>
              <m:r>
                <w:rPr>
                  <w:rFonts w:ascii="Cambria Math" w:hAnsi="Cambria Math"/>
                </w:rPr>
                <m:t>$7,540×100</m:t>
              </m:r>
            </m:num>
            <m:den>
              <m:r>
                <w:rPr>
                  <w:rFonts w:ascii="Cambria Math" w:hAnsi="Cambria Math"/>
                </w:rPr>
                <m:t>$450,000-$373,000</m:t>
              </m:r>
            </m:den>
          </m:f>
          <m:r>
            <w:rPr>
              <w:rFonts w:ascii="Cambria Math" w:hAnsi="Cambria Math"/>
            </w:rPr>
            <m:t xml:space="preserve">=$9.7922 </m:t>
          </m:r>
          <m:d>
            <m:dPr>
              <m:ctrlPr>
                <w:rPr>
                  <w:rFonts w:ascii="Cambria Math" w:hAnsi="Cambria Math"/>
                  <w:i/>
                </w:rPr>
              </m:ctrlPr>
            </m:dPr>
            <m:e>
              <m:r>
                <w:rPr>
                  <w:rFonts w:ascii="Cambria Math" w:hAnsi="Cambria Math"/>
                </w:rPr>
                <m:t>unrounded</m:t>
              </m:r>
            </m:e>
          </m:d>
          <m:r>
            <w:rPr>
              <w:rFonts w:ascii="Cambria Math" w:hAnsi="Cambria Math"/>
            </w:rPr>
            <m:t>=$9.75 (rounded down)</m:t>
          </m:r>
        </m:oMath>
      </m:oMathPara>
    </w:p>
    <w:p w14:paraId="58B06457" w14:textId="77777777" w:rsidR="00FF0696" w:rsidRDefault="00FF0696" w:rsidP="00FF0696">
      <w:pPr>
        <w:keepNext/>
        <w:rPr>
          <w:rFonts w:ascii="Arial" w:hAnsi="Arial" w:cs="Arial"/>
          <w:b/>
          <w:sz w:val="26"/>
          <w:szCs w:val="26"/>
        </w:rPr>
      </w:pPr>
    </w:p>
    <w:p w14:paraId="7E785896" w14:textId="4A694103" w:rsidR="00105077" w:rsidRDefault="00105077" w:rsidP="00105077">
      <w:pPr>
        <w:pStyle w:val="Amain"/>
        <w:tabs>
          <w:tab w:val="clear" w:pos="500"/>
          <w:tab w:val="clear" w:pos="700"/>
          <w:tab w:val="right" w:pos="-284"/>
          <w:tab w:val="left" w:pos="567"/>
        </w:tabs>
        <w:spacing w:before="0" w:after="0"/>
        <w:ind w:left="0" w:firstLine="0"/>
        <w:jc w:val="left"/>
        <w:outlineLvl w:val="9"/>
      </w:pPr>
      <w:r>
        <w:t xml:space="preserve">The 2021-22 and 2022-23, thresholds and concessional </w:t>
      </w:r>
      <w:r w:rsidR="009340C6">
        <w:t xml:space="preserve">marginal </w:t>
      </w:r>
      <w:r>
        <w:t>rates for vacant land are provided in the table below for comparison.</w:t>
      </w:r>
    </w:p>
    <w:p w14:paraId="315E7F6A" w14:textId="649D388A" w:rsidR="00105077" w:rsidRPr="000C019D" w:rsidRDefault="00105077" w:rsidP="00105077">
      <w:pPr>
        <w:pStyle w:val="TableHd"/>
        <w:ind w:hanging="1058"/>
      </w:pPr>
      <w:r w:rsidRPr="000C019D">
        <w:t xml:space="preserve">Table </w:t>
      </w:r>
      <w:r>
        <w:t>2</w:t>
      </w:r>
      <w:r w:rsidRPr="000C019D">
        <w:tab/>
      </w:r>
      <w:r>
        <w:t>Vacant land</w:t>
      </w:r>
    </w:p>
    <w:tbl>
      <w:tblPr>
        <w:tblW w:w="448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861"/>
        <w:gridCol w:w="1860"/>
        <w:gridCol w:w="1860"/>
        <w:gridCol w:w="1858"/>
      </w:tblGrid>
      <w:tr w:rsidR="00105077" w:rsidRPr="000C019D" w14:paraId="167B8B54" w14:textId="77777777" w:rsidTr="004668D9">
        <w:trPr>
          <w:cantSplit/>
          <w:tblHeader/>
        </w:trPr>
        <w:tc>
          <w:tcPr>
            <w:tcW w:w="2501" w:type="pct"/>
            <w:gridSpan w:val="2"/>
            <w:tcBorders>
              <w:top w:val="single" w:sz="4" w:space="0" w:color="auto"/>
              <w:left w:val="single" w:sz="4" w:space="0" w:color="auto"/>
              <w:bottom w:val="single" w:sz="4" w:space="0" w:color="auto"/>
              <w:right w:val="single" w:sz="4" w:space="0" w:color="auto"/>
            </w:tcBorders>
          </w:tcPr>
          <w:p w14:paraId="114AD78F" w14:textId="77777777" w:rsidR="00105077" w:rsidRPr="000C019D" w:rsidRDefault="00105077" w:rsidP="004668D9">
            <w:pPr>
              <w:pStyle w:val="TableColHd"/>
              <w:jc w:val="center"/>
            </w:pPr>
            <w:r>
              <w:t>2021-22</w:t>
            </w:r>
          </w:p>
        </w:tc>
        <w:tc>
          <w:tcPr>
            <w:tcW w:w="2499" w:type="pct"/>
            <w:gridSpan w:val="2"/>
            <w:tcBorders>
              <w:top w:val="single" w:sz="4" w:space="0" w:color="auto"/>
              <w:left w:val="single" w:sz="4" w:space="0" w:color="auto"/>
              <w:bottom w:val="single" w:sz="4" w:space="0" w:color="auto"/>
              <w:right w:val="single" w:sz="4" w:space="0" w:color="auto"/>
            </w:tcBorders>
          </w:tcPr>
          <w:p w14:paraId="7F3C3873" w14:textId="77777777" w:rsidR="00105077" w:rsidRDefault="00105077" w:rsidP="004668D9">
            <w:pPr>
              <w:pStyle w:val="TableColHd"/>
              <w:jc w:val="center"/>
            </w:pPr>
            <w:r>
              <w:t>2022-23</w:t>
            </w:r>
          </w:p>
          <w:p w14:paraId="444E9A20" w14:textId="77777777" w:rsidR="00105077" w:rsidRPr="000C019D" w:rsidRDefault="00105077" w:rsidP="004668D9">
            <w:pPr>
              <w:pStyle w:val="TableColHd"/>
            </w:pPr>
          </w:p>
        </w:tc>
      </w:tr>
      <w:tr w:rsidR="00105077" w:rsidRPr="000C019D" w14:paraId="4A2E3B54" w14:textId="77777777" w:rsidTr="004668D9">
        <w:trPr>
          <w:cantSplit/>
          <w:tblHeader/>
        </w:trPr>
        <w:tc>
          <w:tcPr>
            <w:tcW w:w="1251" w:type="pct"/>
            <w:tcBorders>
              <w:top w:val="single" w:sz="4" w:space="0" w:color="auto"/>
              <w:left w:val="single" w:sz="4" w:space="0" w:color="auto"/>
              <w:bottom w:val="single" w:sz="4" w:space="0" w:color="auto"/>
              <w:right w:val="single" w:sz="4" w:space="0" w:color="auto"/>
            </w:tcBorders>
          </w:tcPr>
          <w:p w14:paraId="1C9CD6DB" w14:textId="0BC6E224" w:rsidR="00105077" w:rsidRPr="000C019D" w:rsidRDefault="00105077" w:rsidP="00105077">
            <w:pPr>
              <w:pStyle w:val="TableColHd"/>
              <w:jc w:val="center"/>
            </w:pPr>
            <w:r w:rsidRPr="000C019D">
              <w:t>dutiable value</w:t>
            </w:r>
          </w:p>
        </w:tc>
        <w:tc>
          <w:tcPr>
            <w:tcW w:w="1250" w:type="pct"/>
            <w:tcBorders>
              <w:top w:val="single" w:sz="4" w:space="0" w:color="auto"/>
              <w:left w:val="single" w:sz="4" w:space="0" w:color="auto"/>
              <w:bottom w:val="single" w:sz="4" w:space="0" w:color="auto"/>
              <w:right w:val="single" w:sz="4" w:space="0" w:color="auto"/>
            </w:tcBorders>
          </w:tcPr>
          <w:p w14:paraId="47EB5205" w14:textId="1483862F" w:rsidR="00105077" w:rsidRPr="000C019D" w:rsidRDefault="00105077" w:rsidP="00105077">
            <w:pPr>
              <w:pStyle w:val="TableColHd"/>
              <w:jc w:val="center"/>
            </w:pPr>
            <w:r w:rsidRPr="000C019D">
              <w:rPr>
                <w:rFonts w:cs="Arial"/>
              </w:rPr>
              <w:t>rate of duty</w:t>
            </w:r>
            <w:r w:rsidRPr="004B1DE4">
              <w:rPr>
                <w:sz w:val="20"/>
              </w:rPr>
              <w:t xml:space="preserve"> </w:t>
            </w:r>
            <w:r>
              <w:rPr>
                <w:sz w:val="20"/>
              </w:rPr>
              <w:t xml:space="preserve">       </w:t>
            </w:r>
            <w:r w:rsidRPr="00105077">
              <w:rPr>
                <w:b w:val="0"/>
                <w:bCs/>
                <w:sz w:val="20"/>
              </w:rPr>
              <w:t xml:space="preserve">(for every $100, </w:t>
            </w:r>
            <w:r>
              <w:rPr>
                <w:b w:val="0"/>
                <w:bCs/>
                <w:sz w:val="20"/>
              </w:rPr>
              <w:t xml:space="preserve">  </w:t>
            </w:r>
            <w:r w:rsidRPr="00105077">
              <w:rPr>
                <w:b w:val="0"/>
                <w:bCs/>
                <w:sz w:val="20"/>
              </w:rPr>
              <w:t>or part of $100)</w:t>
            </w:r>
          </w:p>
        </w:tc>
        <w:tc>
          <w:tcPr>
            <w:tcW w:w="1250" w:type="pct"/>
            <w:tcBorders>
              <w:top w:val="single" w:sz="4" w:space="0" w:color="auto"/>
              <w:left w:val="single" w:sz="4" w:space="0" w:color="auto"/>
              <w:bottom w:val="single" w:sz="4" w:space="0" w:color="auto"/>
              <w:right w:val="single" w:sz="4" w:space="0" w:color="auto"/>
            </w:tcBorders>
          </w:tcPr>
          <w:p w14:paraId="29B66814" w14:textId="77777777" w:rsidR="00105077" w:rsidRPr="000C019D" w:rsidRDefault="00105077" w:rsidP="00105077">
            <w:pPr>
              <w:pStyle w:val="TableColHd"/>
              <w:jc w:val="center"/>
            </w:pPr>
            <w:r w:rsidRPr="000C019D">
              <w:t>dutiable value</w:t>
            </w:r>
          </w:p>
        </w:tc>
        <w:tc>
          <w:tcPr>
            <w:tcW w:w="1249" w:type="pct"/>
            <w:tcBorders>
              <w:top w:val="single" w:sz="4" w:space="0" w:color="auto"/>
              <w:left w:val="single" w:sz="4" w:space="0" w:color="auto"/>
              <w:bottom w:val="single" w:sz="4" w:space="0" w:color="auto"/>
              <w:right w:val="single" w:sz="4" w:space="0" w:color="auto"/>
            </w:tcBorders>
          </w:tcPr>
          <w:p w14:paraId="55C38E12" w14:textId="0FF6206A" w:rsidR="00105077" w:rsidRPr="000C019D" w:rsidRDefault="00105077" w:rsidP="00105077">
            <w:pPr>
              <w:pStyle w:val="TableColHd"/>
              <w:jc w:val="center"/>
              <w:rPr>
                <w:rFonts w:cs="Arial"/>
              </w:rPr>
            </w:pPr>
            <w:r w:rsidRPr="000C019D">
              <w:rPr>
                <w:rFonts w:cs="Arial"/>
              </w:rPr>
              <w:t>rate of duty</w:t>
            </w:r>
            <w:r w:rsidRPr="004B1DE4">
              <w:rPr>
                <w:sz w:val="20"/>
              </w:rPr>
              <w:t xml:space="preserve"> </w:t>
            </w:r>
            <w:r>
              <w:rPr>
                <w:sz w:val="20"/>
              </w:rPr>
              <w:t xml:space="preserve">       </w:t>
            </w:r>
            <w:r w:rsidRPr="00105077">
              <w:rPr>
                <w:b w:val="0"/>
                <w:bCs/>
                <w:sz w:val="20"/>
              </w:rPr>
              <w:t xml:space="preserve">(for every $100, </w:t>
            </w:r>
            <w:r>
              <w:rPr>
                <w:b w:val="0"/>
                <w:bCs/>
                <w:sz w:val="20"/>
              </w:rPr>
              <w:t xml:space="preserve">  </w:t>
            </w:r>
            <w:r w:rsidRPr="00105077">
              <w:rPr>
                <w:b w:val="0"/>
                <w:bCs/>
                <w:sz w:val="20"/>
              </w:rPr>
              <w:t>or part of $100)</w:t>
            </w:r>
          </w:p>
        </w:tc>
      </w:tr>
      <w:tr w:rsidR="00105077" w:rsidRPr="00AB20A1" w14:paraId="17440CA8" w14:textId="77777777" w:rsidTr="004668D9">
        <w:trPr>
          <w:cantSplit/>
        </w:trPr>
        <w:tc>
          <w:tcPr>
            <w:tcW w:w="1251" w:type="pct"/>
            <w:tcBorders>
              <w:top w:val="single" w:sz="4" w:space="0" w:color="auto"/>
              <w:left w:val="single" w:sz="4" w:space="0" w:color="auto"/>
              <w:bottom w:val="single" w:sz="4" w:space="0" w:color="auto"/>
              <w:right w:val="single" w:sz="4" w:space="0" w:color="auto"/>
            </w:tcBorders>
          </w:tcPr>
          <w:p w14:paraId="6AA6E9D8" w14:textId="20BD43DD" w:rsidR="00105077" w:rsidRPr="00AB20A1" w:rsidRDefault="00105077" w:rsidP="00105077">
            <w:pPr>
              <w:spacing w:before="60" w:after="60"/>
              <w:rPr>
                <w:sz w:val="20"/>
              </w:rPr>
            </w:pPr>
            <w:r w:rsidRPr="001C4E52">
              <w:rPr>
                <w:sz w:val="20"/>
              </w:rPr>
              <w:t>less than or equal to $360 000</w:t>
            </w:r>
          </w:p>
        </w:tc>
        <w:tc>
          <w:tcPr>
            <w:tcW w:w="1250" w:type="pct"/>
            <w:tcBorders>
              <w:top w:val="single" w:sz="4" w:space="0" w:color="auto"/>
              <w:left w:val="single" w:sz="4" w:space="0" w:color="auto"/>
              <w:bottom w:val="single" w:sz="4" w:space="0" w:color="auto"/>
              <w:right w:val="single" w:sz="4" w:space="0" w:color="auto"/>
            </w:tcBorders>
          </w:tcPr>
          <w:p w14:paraId="2065E5A1" w14:textId="17E12996" w:rsidR="00105077" w:rsidRPr="00AB20A1" w:rsidRDefault="00105077" w:rsidP="00105077">
            <w:pPr>
              <w:spacing w:before="60" w:after="60"/>
              <w:jc w:val="center"/>
              <w:rPr>
                <w:sz w:val="20"/>
              </w:rPr>
            </w:pPr>
            <w:r>
              <w:rPr>
                <w:sz w:val="20"/>
              </w:rPr>
              <w:t>n</w:t>
            </w:r>
            <w:r w:rsidRPr="004B1DE4">
              <w:rPr>
                <w:sz w:val="20"/>
              </w:rPr>
              <w:t>il</w:t>
            </w:r>
          </w:p>
        </w:tc>
        <w:tc>
          <w:tcPr>
            <w:tcW w:w="1250" w:type="pct"/>
            <w:tcBorders>
              <w:top w:val="single" w:sz="4" w:space="0" w:color="auto"/>
              <w:left w:val="single" w:sz="4" w:space="0" w:color="auto"/>
              <w:bottom w:val="single" w:sz="4" w:space="0" w:color="auto"/>
              <w:right w:val="single" w:sz="4" w:space="0" w:color="auto"/>
            </w:tcBorders>
          </w:tcPr>
          <w:p w14:paraId="00270305" w14:textId="5ECEBED8" w:rsidR="00105077" w:rsidRPr="00AB20A1" w:rsidRDefault="00105077" w:rsidP="00105077">
            <w:pPr>
              <w:spacing w:before="60" w:after="60"/>
              <w:rPr>
                <w:sz w:val="20"/>
              </w:rPr>
            </w:pPr>
            <w:r w:rsidRPr="00AB20A1">
              <w:rPr>
                <w:sz w:val="20"/>
              </w:rPr>
              <w:t>less than or equal to $373 000</w:t>
            </w:r>
          </w:p>
        </w:tc>
        <w:tc>
          <w:tcPr>
            <w:tcW w:w="1249" w:type="pct"/>
            <w:tcBorders>
              <w:top w:val="single" w:sz="4" w:space="0" w:color="auto"/>
              <w:left w:val="single" w:sz="4" w:space="0" w:color="auto"/>
              <w:bottom w:val="single" w:sz="4" w:space="0" w:color="auto"/>
              <w:right w:val="single" w:sz="4" w:space="0" w:color="auto"/>
            </w:tcBorders>
          </w:tcPr>
          <w:p w14:paraId="73AB8CC3" w14:textId="0A0F7918" w:rsidR="00105077" w:rsidRPr="00AB20A1" w:rsidRDefault="00105077" w:rsidP="00105077">
            <w:pPr>
              <w:spacing w:before="60" w:after="60"/>
              <w:jc w:val="center"/>
              <w:rPr>
                <w:sz w:val="20"/>
              </w:rPr>
            </w:pPr>
            <w:r w:rsidRPr="00AB20A1">
              <w:rPr>
                <w:sz w:val="20"/>
              </w:rPr>
              <w:t>nil</w:t>
            </w:r>
          </w:p>
        </w:tc>
      </w:tr>
      <w:tr w:rsidR="00105077" w:rsidRPr="00AB20A1" w14:paraId="51D69CE2" w14:textId="77777777" w:rsidTr="004668D9">
        <w:trPr>
          <w:cantSplit/>
          <w:trHeight w:val="428"/>
        </w:trPr>
        <w:tc>
          <w:tcPr>
            <w:tcW w:w="1251" w:type="pct"/>
            <w:tcBorders>
              <w:top w:val="single" w:sz="4" w:space="0" w:color="auto"/>
              <w:left w:val="single" w:sz="4" w:space="0" w:color="auto"/>
              <w:bottom w:val="single" w:sz="4" w:space="0" w:color="auto"/>
              <w:right w:val="single" w:sz="4" w:space="0" w:color="auto"/>
            </w:tcBorders>
          </w:tcPr>
          <w:p w14:paraId="28A6359E" w14:textId="34053117" w:rsidR="00105077" w:rsidRPr="00AB20A1" w:rsidRDefault="00105077" w:rsidP="00105077">
            <w:pPr>
              <w:spacing w:before="60" w:after="60"/>
              <w:rPr>
                <w:sz w:val="20"/>
              </w:rPr>
            </w:pPr>
            <w:r w:rsidRPr="001C4E52">
              <w:rPr>
                <w:sz w:val="20"/>
              </w:rPr>
              <w:t>more than $360 000 but less than $</w:t>
            </w:r>
            <w:r w:rsidRPr="006654BB">
              <w:rPr>
                <w:sz w:val="20"/>
              </w:rPr>
              <w:t>432 000</w:t>
            </w:r>
          </w:p>
        </w:tc>
        <w:tc>
          <w:tcPr>
            <w:tcW w:w="1250" w:type="pct"/>
            <w:tcBorders>
              <w:top w:val="single" w:sz="4" w:space="0" w:color="auto"/>
              <w:left w:val="single" w:sz="4" w:space="0" w:color="auto"/>
              <w:bottom w:val="single" w:sz="4" w:space="0" w:color="auto"/>
              <w:right w:val="single" w:sz="4" w:space="0" w:color="auto"/>
            </w:tcBorders>
          </w:tcPr>
          <w:p w14:paraId="0B63A4CD" w14:textId="26ACC581" w:rsidR="00105077" w:rsidRPr="00AB20A1" w:rsidRDefault="00105077" w:rsidP="00105077">
            <w:pPr>
              <w:spacing w:before="60" w:after="60"/>
              <w:jc w:val="center"/>
              <w:rPr>
                <w:sz w:val="20"/>
              </w:rPr>
            </w:pPr>
            <w:r w:rsidRPr="004B1DE4">
              <w:rPr>
                <w:sz w:val="20"/>
              </w:rPr>
              <w:t>$</w:t>
            </w:r>
            <w:r>
              <w:rPr>
                <w:sz w:val="20"/>
              </w:rPr>
              <w:t>11.15</w:t>
            </w:r>
          </w:p>
        </w:tc>
        <w:tc>
          <w:tcPr>
            <w:tcW w:w="1250" w:type="pct"/>
            <w:tcBorders>
              <w:top w:val="single" w:sz="4" w:space="0" w:color="auto"/>
              <w:left w:val="single" w:sz="4" w:space="0" w:color="auto"/>
              <w:bottom w:val="single" w:sz="4" w:space="0" w:color="auto"/>
              <w:right w:val="single" w:sz="4" w:space="0" w:color="auto"/>
            </w:tcBorders>
          </w:tcPr>
          <w:p w14:paraId="08B5FB02" w14:textId="73363EAE" w:rsidR="00105077" w:rsidRPr="00AB20A1" w:rsidRDefault="00105077" w:rsidP="00105077">
            <w:pPr>
              <w:spacing w:before="60" w:after="60"/>
              <w:rPr>
                <w:sz w:val="20"/>
              </w:rPr>
            </w:pPr>
            <w:r w:rsidRPr="00AB20A1">
              <w:rPr>
                <w:sz w:val="20"/>
              </w:rPr>
              <w:t>more than $373 000 but less than $450</w:t>
            </w:r>
            <w:r>
              <w:rPr>
                <w:sz w:val="20"/>
              </w:rPr>
              <w:t> </w:t>
            </w:r>
            <w:r w:rsidRPr="00AB20A1">
              <w:rPr>
                <w:sz w:val="20"/>
              </w:rPr>
              <w:t>000</w:t>
            </w:r>
          </w:p>
        </w:tc>
        <w:tc>
          <w:tcPr>
            <w:tcW w:w="1249" w:type="pct"/>
            <w:tcBorders>
              <w:top w:val="single" w:sz="4" w:space="0" w:color="auto"/>
              <w:left w:val="single" w:sz="4" w:space="0" w:color="auto"/>
              <w:bottom w:val="single" w:sz="4" w:space="0" w:color="auto"/>
              <w:right w:val="single" w:sz="4" w:space="0" w:color="auto"/>
            </w:tcBorders>
          </w:tcPr>
          <w:p w14:paraId="486B277C" w14:textId="4D21B4FD" w:rsidR="00105077" w:rsidRPr="00AB20A1" w:rsidRDefault="00105077" w:rsidP="00105077">
            <w:pPr>
              <w:spacing w:before="60" w:after="60"/>
              <w:jc w:val="center"/>
              <w:rPr>
                <w:sz w:val="20"/>
              </w:rPr>
            </w:pPr>
            <w:r w:rsidRPr="00AB20A1">
              <w:rPr>
                <w:sz w:val="20"/>
              </w:rPr>
              <w:t>$9.75</w:t>
            </w:r>
          </w:p>
        </w:tc>
      </w:tr>
    </w:tbl>
    <w:p w14:paraId="38BDEE5F" w14:textId="696E89CD" w:rsidR="00105077" w:rsidRDefault="00105077" w:rsidP="00A4764A">
      <w:pPr>
        <w:pStyle w:val="Amain"/>
        <w:tabs>
          <w:tab w:val="clear" w:pos="500"/>
          <w:tab w:val="clear" w:pos="700"/>
          <w:tab w:val="right" w:pos="-284"/>
          <w:tab w:val="left" w:pos="567"/>
        </w:tabs>
        <w:spacing w:before="0" w:after="0"/>
        <w:ind w:left="0" w:firstLine="0"/>
        <w:jc w:val="left"/>
        <w:outlineLvl w:val="9"/>
      </w:pPr>
    </w:p>
    <w:p w14:paraId="50A96EC3" w14:textId="77777777" w:rsidR="00105077" w:rsidRPr="001878CD" w:rsidRDefault="00105077" w:rsidP="00A4764A">
      <w:pPr>
        <w:pStyle w:val="Amain"/>
        <w:tabs>
          <w:tab w:val="clear" w:pos="500"/>
          <w:tab w:val="clear" w:pos="700"/>
          <w:tab w:val="right" w:pos="-284"/>
          <w:tab w:val="left" w:pos="567"/>
        </w:tabs>
        <w:spacing w:before="0" w:after="0"/>
        <w:ind w:left="0" w:firstLine="0"/>
        <w:jc w:val="left"/>
        <w:outlineLvl w:val="9"/>
      </w:pPr>
    </w:p>
    <w:p w14:paraId="315C7817" w14:textId="77777777" w:rsidR="00105077" w:rsidRDefault="00105077">
      <w:pPr>
        <w:rPr>
          <w:rFonts w:ascii="Arial" w:hAnsi="Arial" w:cs="Arial"/>
          <w:b/>
          <w:sz w:val="26"/>
          <w:szCs w:val="26"/>
        </w:rPr>
      </w:pPr>
      <w:r>
        <w:rPr>
          <w:rFonts w:ascii="Arial" w:hAnsi="Arial" w:cs="Arial"/>
          <w:b/>
          <w:sz w:val="26"/>
          <w:szCs w:val="26"/>
        </w:rPr>
        <w:br w:type="page"/>
      </w:r>
    </w:p>
    <w:p w14:paraId="3690E23F" w14:textId="6F086D78" w:rsidR="006E1AEF" w:rsidRPr="0053158D" w:rsidRDefault="006E1AEF" w:rsidP="006E1AEF">
      <w:pPr>
        <w:keepNext/>
        <w:rPr>
          <w:rFonts w:ascii="Arial" w:hAnsi="Arial" w:cs="Arial"/>
          <w:b/>
          <w:sz w:val="26"/>
          <w:szCs w:val="26"/>
        </w:rPr>
      </w:pPr>
      <w:r w:rsidRPr="0053158D">
        <w:rPr>
          <w:rFonts w:ascii="Arial" w:hAnsi="Arial" w:cs="Arial"/>
          <w:b/>
          <w:sz w:val="26"/>
          <w:szCs w:val="26"/>
        </w:rPr>
        <w:lastRenderedPageBreak/>
        <w:t>Revocation</w:t>
      </w:r>
      <w:r>
        <w:rPr>
          <w:rFonts w:ascii="Arial" w:hAnsi="Arial" w:cs="Arial"/>
          <w:b/>
          <w:sz w:val="26"/>
          <w:szCs w:val="26"/>
        </w:rPr>
        <w:t xml:space="preserve"> and Transitional</w:t>
      </w:r>
    </w:p>
    <w:p w14:paraId="6F446CD1" w14:textId="77777777" w:rsidR="006E1AEF" w:rsidRPr="0053158D" w:rsidRDefault="006E1AEF" w:rsidP="006E1AEF"/>
    <w:p w14:paraId="2F0F7747" w14:textId="44F57E1A" w:rsidR="006E1AEF" w:rsidRPr="0053158D" w:rsidRDefault="006E1AEF" w:rsidP="006E1AEF">
      <w:r>
        <w:t xml:space="preserve">Section 7 of this instrument </w:t>
      </w:r>
      <w:r w:rsidRPr="0053158D">
        <w:t>revokes</w:t>
      </w:r>
      <w:r w:rsidRPr="0053158D">
        <w:rPr>
          <w:i/>
        </w:rPr>
        <w:t xml:space="preserve"> </w:t>
      </w:r>
      <w:r w:rsidRPr="009362D0">
        <w:rPr>
          <w:i/>
        </w:rPr>
        <w:t xml:space="preserve">Taxation Administration (Amounts Payable—Pensioner Duty Concession Scheme) Determination </w:t>
      </w:r>
      <w:r>
        <w:rPr>
          <w:i/>
        </w:rPr>
        <w:t>2021</w:t>
      </w:r>
      <w:r w:rsidRPr="00710889">
        <w:t>,</w:t>
      </w:r>
      <w:r>
        <w:t xml:space="preserve"> DI2021-174</w:t>
      </w:r>
      <w:r w:rsidRPr="00DC7B99">
        <w:t>.</w:t>
      </w:r>
      <w:r w:rsidRPr="0053158D">
        <w:t xml:space="preserve"> </w:t>
      </w:r>
    </w:p>
    <w:p w14:paraId="7F5FA140" w14:textId="77777777" w:rsidR="006E1AEF" w:rsidRPr="0053158D" w:rsidRDefault="006E1AEF" w:rsidP="006E1AEF"/>
    <w:p w14:paraId="12BA18E0" w14:textId="3859B7EF" w:rsidR="006E1AEF" w:rsidRDefault="006E1AEF" w:rsidP="006E1AEF">
      <w:pPr>
        <w:rPr>
          <w:lang w:val="en-US"/>
        </w:rPr>
      </w:pPr>
      <w:r>
        <w:t xml:space="preserve">For the avoidance of doubt, </w:t>
      </w:r>
      <w:r w:rsidRPr="0053158D">
        <w:t>DI20</w:t>
      </w:r>
      <w:r>
        <w:t>2</w:t>
      </w:r>
      <w:r w:rsidRPr="0053158D">
        <w:t>1-</w:t>
      </w:r>
      <w:r>
        <w:t>174</w:t>
      </w:r>
      <w:r w:rsidRPr="00DC7B99">
        <w:rPr>
          <w:lang w:val="en-US"/>
        </w:rPr>
        <w:t xml:space="preserve"> c</w:t>
      </w:r>
      <w:r w:rsidRPr="0053158D">
        <w:rPr>
          <w:lang w:val="en-US"/>
        </w:rPr>
        <w:t xml:space="preserve">ontinues to apply in the period </w:t>
      </w:r>
      <w:r>
        <w:rPr>
          <w:lang w:val="en-US"/>
        </w:rPr>
        <w:t>1 July 2021 to 30 June 2022</w:t>
      </w:r>
      <w:r w:rsidRPr="0053158D">
        <w:rPr>
          <w:lang w:val="en-US"/>
        </w:rPr>
        <w:t>, inclusive.</w:t>
      </w:r>
    </w:p>
    <w:p w14:paraId="08591056" w14:textId="77777777" w:rsidR="006E1AEF" w:rsidRPr="0053158D" w:rsidRDefault="006E1AEF" w:rsidP="006E1AEF">
      <w:pPr>
        <w:rPr>
          <w:rFonts w:ascii="Arial" w:hAnsi="Arial" w:cs="Arial"/>
          <w:b/>
          <w:sz w:val="22"/>
          <w:szCs w:val="22"/>
        </w:rPr>
      </w:pPr>
    </w:p>
    <w:p w14:paraId="33411E24" w14:textId="3B6E541D" w:rsidR="001B089B" w:rsidRDefault="001B089B" w:rsidP="001B089B">
      <w:pPr>
        <w:pStyle w:val="Amain"/>
        <w:tabs>
          <w:tab w:val="clear" w:pos="500"/>
          <w:tab w:val="clear" w:pos="700"/>
          <w:tab w:val="right" w:pos="-284"/>
          <w:tab w:val="left" w:pos="567"/>
        </w:tabs>
        <w:spacing w:before="0" w:after="0"/>
        <w:ind w:left="0" w:firstLine="0"/>
        <w:jc w:val="left"/>
        <w:outlineLvl w:val="9"/>
      </w:pPr>
      <w:r>
        <w:t xml:space="preserve"> </w:t>
      </w:r>
    </w:p>
    <w:p w14:paraId="3CFE74E3" w14:textId="77777777" w:rsidR="00125113" w:rsidRDefault="00125113" w:rsidP="00125113"/>
    <w:p w14:paraId="08D6FBB7" w14:textId="77777777" w:rsidR="00F13B40" w:rsidRDefault="00F13B40" w:rsidP="00125113"/>
    <w:p w14:paraId="3A834764" w14:textId="77777777" w:rsidR="00F13B40" w:rsidRDefault="00F13B40" w:rsidP="00125113"/>
    <w:p w14:paraId="59568BBD" w14:textId="77777777" w:rsidR="002421A1" w:rsidRDefault="002421A1">
      <w:r>
        <w:t>Authorised by the Treasurer</w:t>
      </w:r>
    </w:p>
    <w:p w14:paraId="683BA547" w14:textId="77777777" w:rsidR="00235825" w:rsidRDefault="002421A1" w:rsidP="00FF0696">
      <w:r>
        <w:t>Andrew Barr MLA</w:t>
      </w:r>
    </w:p>
    <w:p w14:paraId="35A3B7D1" w14:textId="77777777" w:rsidR="00235825" w:rsidRDefault="00235825"/>
    <w:sectPr w:rsidR="00235825" w:rsidSect="004C4A40">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E924" w14:textId="77777777" w:rsidR="00DD6C12" w:rsidRDefault="00DD6C12">
      <w:r>
        <w:separator/>
      </w:r>
    </w:p>
  </w:endnote>
  <w:endnote w:type="continuationSeparator" w:id="0">
    <w:p w14:paraId="3DF8FE7E" w14:textId="77777777" w:rsidR="00DD6C12" w:rsidRDefault="00D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7DD6" w14:textId="77777777" w:rsidR="008A07B3" w:rsidRDefault="008A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D5CB" w14:textId="60967D92" w:rsidR="00480221" w:rsidRPr="008A07B3" w:rsidRDefault="008A07B3" w:rsidP="008A07B3">
    <w:pPr>
      <w:pStyle w:val="Footer"/>
      <w:jc w:val="center"/>
      <w:rPr>
        <w:rFonts w:cs="Arial"/>
        <w:sz w:val="14"/>
      </w:rPr>
    </w:pPr>
    <w:r w:rsidRPr="008A07B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2E57" w14:textId="77777777" w:rsidR="008A07B3" w:rsidRDefault="008A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9E8" w14:textId="77777777" w:rsidR="00DD6C12" w:rsidRDefault="00DD6C12">
      <w:r>
        <w:separator/>
      </w:r>
    </w:p>
  </w:footnote>
  <w:footnote w:type="continuationSeparator" w:id="0">
    <w:p w14:paraId="46159445" w14:textId="77777777" w:rsidR="00DD6C12" w:rsidRDefault="00DD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200" w14:textId="77777777" w:rsidR="008A07B3" w:rsidRDefault="008A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FAE7" w14:textId="77777777" w:rsidR="008A07B3" w:rsidRDefault="008A0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1C05" w14:textId="77777777" w:rsidR="008A07B3" w:rsidRDefault="008A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2D1BC3"/>
    <w:multiLevelType w:val="hybridMultilevel"/>
    <w:tmpl w:val="594AC3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95950"/>
    <w:multiLevelType w:val="hybridMultilevel"/>
    <w:tmpl w:val="FC24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8" w15:restartNumberingAfterBreak="0">
    <w:nsid w:val="6A940DE0"/>
    <w:multiLevelType w:val="hybridMultilevel"/>
    <w:tmpl w:val="CC9AC6FA"/>
    <w:lvl w:ilvl="0" w:tplc="F1C84B64">
      <w:start w:val="1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B6440E"/>
    <w:multiLevelType w:val="hybridMultilevel"/>
    <w:tmpl w:val="11044406"/>
    <w:lvl w:ilvl="0" w:tplc="24E846FE">
      <w:start w:val="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2"/>
  </w:num>
  <w:num w:numId="5">
    <w:abstractNumId w:val="20"/>
  </w:num>
  <w:num w:numId="6">
    <w:abstractNumId w:val="3"/>
  </w:num>
  <w:num w:numId="7">
    <w:abstractNumId w:val="10"/>
  </w:num>
  <w:num w:numId="8">
    <w:abstractNumId w:val="11"/>
  </w:num>
  <w:num w:numId="9">
    <w:abstractNumId w:val="5"/>
  </w:num>
  <w:num w:numId="10">
    <w:abstractNumId w:val="17"/>
  </w:num>
  <w:num w:numId="11">
    <w:abstractNumId w:val="15"/>
  </w:num>
  <w:num w:numId="12">
    <w:abstractNumId w:val="8"/>
  </w:num>
  <w:num w:numId="13">
    <w:abstractNumId w:val="19"/>
  </w:num>
  <w:num w:numId="14">
    <w:abstractNumId w:val="2"/>
  </w:num>
  <w:num w:numId="15">
    <w:abstractNumId w:val="9"/>
  </w:num>
  <w:num w:numId="16">
    <w:abstractNumId w:val="21"/>
  </w:num>
  <w:num w:numId="17">
    <w:abstractNumId w:val="14"/>
  </w:num>
  <w:num w:numId="18">
    <w:abstractNumId w:val="16"/>
  </w:num>
  <w:num w:numId="19">
    <w:abstractNumId w:val="1"/>
  </w:num>
  <w:num w:numId="20">
    <w:abstractNumId w:val="13"/>
  </w:num>
  <w:num w:numId="21">
    <w:abstractNumId w:val="18"/>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026F"/>
    <w:rsid w:val="000003A2"/>
    <w:rsid w:val="00001083"/>
    <w:rsid w:val="00001F9E"/>
    <w:rsid w:val="00010513"/>
    <w:rsid w:val="00010C58"/>
    <w:rsid w:val="0001776D"/>
    <w:rsid w:val="0002003B"/>
    <w:rsid w:val="00027CE7"/>
    <w:rsid w:val="00031BDC"/>
    <w:rsid w:val="00032F2A"/>
    <w:rsid w:val="000341B5"/>
    <w:rsid w:val="00043265"/>
    <w:rsid w:val="00046F8A"/>
    <w:rsid w:val="00047EDF"/>
    <w:rsid w:val="00055EB0"/>
    <w:rsid w:val="00071F00"/>
    <w:rsid w:val="000726F9"/>
    <w:rsid w:val="0007271C"/>
    <w:rsid w:val="00081CA7"/>
    <w:rsid w:val="00081EAB"/>
    <w:rsid w:val="00083237"/>
    <w:rsid w:val="00084553"/>
    <w:rsid w:val="00087703"/>
    <w:rsid w:val="00092B51"/>
    <w:rsid w:val="00093172"/>
    <w:rsid w:val="000A0EC2"/>
    <w:rsid w:val="000A19F3"/>
    <w:rsid w:val="000A3C96"/>
    <w:rsid w:val="000A4E2C"/>
    <w:rsid w:val="000B2B21"/>
    <w:rsid w:val="000B5894"/>
    <w:rsid w:val="000C1050"/>
    <w:rsid w:val="000C183A"/>
    <w:rsid w:val="000C5146"/>
    <w:rsid w:val="000D3A86"/>
    <w:rsid w:val="000F0E2A"/>
    <w:rsid w:val="001013D1"/>
    <w:rsid w:val="0010351F"/>
    <w:rsid w:val="00104AB5"/>
    <w:rsid w:val="00105077"/>
    <w:rsid w:val="00112312"/>
    <w:rsid w:val="00125113"/>
    <w:rsid w:val="00127894"/>
    <w:rsid w:val="00143744"/>
    <w:rsid w:val="001460DF"/>
    <w:rsid w:val="001529C2"/>
    <w:rsid w:val="001533F4"/>
    <w:rsid w:val="001570EB"/>
    <w:rsid w:val="00160FF7"/>
    <w:rsid w:val="00162E21"/>
    <w:rsid w:val="00170015"/>
    <w:rsid w:val="001737AF"/>
    <w:rsid w:val="00176920"/>
    <w:rsid w:val="00177FE4"/>
    <w:rsid w:val="00181A1C"/>
    <w:rsid w:val="00182E22"/>
    <w:rsid w:val="001842E0"/>
    <w:rsid w:val="00184665"/>
    <w:rsid w:val="001866CC"/>
    <w:rsid w:val="00195FA1"/>
    <w:rsid w:val="00197020"/>
    <w:rsid w:val="001A0ADE"/>
    <w:rsid w:val="001A23DC"/>
    <w:rsid w:val="001A6123"/>
    <w:rsid w:val="001A6534"/>
    <w:rsid w:val="001A6800"/>
    <w:rsid w:val="001A773D"/>
    <w:rsid w:val="001A7BB5"/>
    <w:rsid w:val="001B089B"/>
    <w:rsid w:val="001B2B42"/>
    <w:rsid w:val="001B59B2"/>
    <w:rsid w:val="001C249D"/>
    <w:rsid w:val="001C5686"/>
    <w:rsid w:val="001C5EAD"/>
    <w:rsid w:val="001D2184"/>
    <w:rsid w:val="001D31ED"/>
    <w:rsid w:val="001D3D73"/>
    <w:rsid w:val="001D6DE7"/>
    <w:rsid w:val="001E6C23"/>
    <w:rsid w:val="001F1F9A"/>
    <w:rsid w:val="001F3298"/>
    <w:rsid w:val="001F56D4"/>
    <w:rsid w:val="002011DD"/>
    <w:rsid w:val="002022D8"/>
    <w:rsid w:val="00202CEA"/>
    <w:rsid w:val="00211BE2"/>
    <w:rsid w:val="00211C17"/>
    <w:rsid w:val="0021279A"/>
    <w:rsid w:val="00217E47"/>
    <w:rsid w:val="00220028"/>
    <w:rsid w:val="0022254E"/>
    <w:rsid w:val="0022498A"/>
    <w:rsid w:val="00233CF3"/>
    <w:rsid w:val="00235291"/>
    <w:rsid w:val="00235825"/>
    <w:rsid w:val="0024204A"/>
    <w:rsid w:val="002421A1"/>
    <w:rsid w:val="002423EF"/>
    <w:rsid w:val="00252748"/>
    <w:rsid w:val="002541D3"/>
    <w:rsid w:val="002564DE"/>
    <w:rsid w:val="00275B52"/>
    <w:rsid w:val="002816CC"/>
    <w:rsid w:val="002828D5"/>
    <w:rsid w:val="0028292B"/>
    <w:rsid w:val="002832DE"/>
    <w:rsid w:val="00283A83"/>
    <w:rsid w:val="002848A0"/>
    <w:rsid w:val="00290C35"/>
    <w:rsid w:val="00292AE1"/>
    <w:rsid w:val="002A609D"/>
    <w:rsid w:val="002B221C"/>
    <w:rsid w:val="002B6096"/>
    <w:rsid w:val="002B755E"/>
    <w:rsid w:val="002C10B2"/>
    <w:rsid w:val="002C728D"/>
    <w:rsid w:val="002E3A50"/>
    <w:rsid w:val="002F5D0B"/>
    <w:rsid w:val="00305C41"/>
    <w:rsid w:val="00305CBC"/>
    <w:rsid w:val="00307B74"/>
    <w:rsid w:val="003143D2"/>
    <w:rsid w:val="00314724"/>
    <w:rsid w:val="003148FB"/>
    <w:rsid w:val="003170E2"/>
    <w:rsid w:val="00324CB6"/>
    <w:rsid w:val="003258E2"/>
    <w:rsid w:val="0033378F"/>
    <w:rsid w:val="0033454A"/>
    <w:rsid w:val="00336C6F"/>
    <w:rsid w:val="0034365E"/>
    <w:rsid w:val="003573C5"/>
    <w:rsid w:val="0035773A"/>
    <w:rsid w:val="00365E4A"/>
    <w:rsid w:val="0037075D"/>
    <w:rsid w:val="00380BFF"/>
    <w:rsid w:val="00382522"/>
    <w:rsid w:val="00383C95"/>
    <w:rsid w:val="00390519"/>
    <w:rsid w:val="003944EF"/>
    <w:rsid w:val="00396D64"/>
    <w:rsid w:val="003A354D"/>
    <w:rsid w:val="003A49BE"/>
    <w:rsid w:val="003A5919"/>
    <w:rsid w:val="003B2059"/>
    <w:rsid w:val="003B24E7"/>
    <w:rsid w:val="003B2D20"/>
    <w:rsid w:val="003C1C8E"/>
    <w:rsid w:val="003C24D1"/>
    <w:rsid w:val="003D4909"/>
    <w:rsid w:val="003D5717"/>
    <w:rsid w:val="003E151C"/>
    <w:rsid w:val="003E55BE"/>
    <w:rsid w:val="003E68EE"/>
    <w:rsid w:val="003F25A2"/>
    <w:rsid w:val="003F6177"/>
    <w:rsid w:val="003F63B1"/>
    <w:rsid w:val="003F69DD"/>
    <w:rsid w:val="00411018"/>
    <w:rsid w:val="004167E9"/>
    <w:rsid w:val="00424FED"/>
    <w:rsid w:val="0042518B"/>
    <w:rsid w:val="00430507"/>
    <w:rsid w:val="00432A7C"/>
    <w:rsid w:val="004408AD"/>
    <w:rsid w:val="00443D76"/>
    <w:rsid w:val="00447E90"/>
    <w:rsid w:val="0045169B"/>
    <w:rsid w:val="00452DB6"/>
    <w:rsid w:val="00454973"/>
    <w:rsid w:val="00457661"/>
    <w:rsid w:val="0046556A"/>
    <w:rsid w:val="00466BFC"/>
    <w:rsid w:val="00471C05"/>
    <w:rsid w:val="0047541C"/>
    <w:rsid w:val="00476206"/>
    <w:rsid w:val="00480221"/>
    <w:rsid w:val="004924E9"/>
    <w:rsid w:val="00492EE1"/>
    <w:rsid w:val="004939FA"/>
    <w:rsid w:val="004958BF"/>
    <w:rsid w:val="004B5651"/>
    <w:rsid w:val="004C4333"/>
    <w:rsid w:val="004C4A40"/>
    <w:rsid w:val="004C53B7"/>
    <w:rsid w:val="004C78BC"/>
    <w:rsid w:val="004E544A"/>
    <w:rsid w:val="004F3B84"/>
    <w:rsid w:val="004F3D11"/>
    <w:rsid w:val="005104D6"/>
    <w:rsid w:val="0053158D"/>
    <w:rsid w:val="00535BF4"/>
    <w:rsid w:val="00544385"/>
    <w:rsid w:val="0055742F"/>
    <w:rsid w:val="00557CA6"/>
    <w:rsid w:val="00557EA2"/>
    <w:rsid w:val="005648A2"/>
    <w:rsid w:val="00565168"/>
    <w:rsid w:val="005675E6"/>
    <w:rsid w:val="005759AF"/>
    <w:rsid w:val="005833A1"/>
    <w:rsid w:val="0058482F"/>
    <w:rsid w:val="005877E7"/>
    <w:rsid w:val="00592409"/>
    <w:rsid w:val="00594DC0"/>
    <w:rsid w:val="00597EC2"/>
    <w:rsid w:val="005C4F31"/>
    <w:rsid w:val="005C5ABD"/>
    <w:rsid w:val="005C64EE"/>
    <w:rsid w:val="005C6581"/>
    <w:rsid w:val="005D70F1"/>
    <w:rsid w:val="005E1C70"/>
    <w:rsid w:val="005E43C1"/>
    <w:rsid w:val="005F3755"/>
    <w:rsid w:val="005F597E"/>
    <w:rsid w:val="0061038C"/>
    <w:rsid w:val="00610BEA"/>
    <w:rsid w:val="006122F7"/>
    <w:rsid w:val="00615425"/>
    <w:rsid w:val="00625061"/>
    <w:rsid w:val="0062671D"/>
    <w:rsid w:val="00626A08"/>
    <w:rsid w:val="0063087D"/>
    <w:rsid w:val="00632D74"/>
    <w:rsid w:val="0063782C"/>
    <w:rsid w:val="00644E63"/>
    <w:rsid w:val="006463CF"/>
    <w:rsid w:val="00651331"/>
    <w:rsid w:val="00655C96"/>
    <w:rsid w:val="00655FD4"/>
    <w:rsid w:val="006619AA"/>
    <w:rsid w:val="0066239F"/>
    <w:rsid w:val="00663543"/>
    <w:rsid w:val="00664489"/>
    <w:rsid w:val="00670FE9"/>
    <w:rsid w:val="00671BB4"/>
    <w:rsid w:val="00671F9A"/>
    <w:rsid w:val="00674852"/>
    <w:rsid w:val="006753FB"/>
    <w:rsid w:val="00682893"/>
    <w:rsid w:val="006829B3"/>
    <w:rsid w:val="006929F8"/>
    <w:rsid w:val="0069507C"/>
    <w:rsid w:val="006A45B1"/>
    <w:rsid w:val="006B61FD"/>
    <w:rsid w:val="006C25D4"/>
    <w:rsid w:val="006C51AA"/>
    <w:rsid w:val="006E0E62"/>
    <w:rsid w:val="006E1AEF"/>
    <w:rsid w:val="006E1F6D"/>
    <w:rsid w:val="006E1FE1"/>
    <w:rsid w:val="00700F26"/>
    <w:rsid w:val="00700F42"/>
    <w:rsid w:val="00702388"/>
    <w:rsid w:val="00703BAE"/>
    <w:rsid w:val="00704196"/>
    <w:rsid w:val="00707D6A"/>
    <w:rsid w:val="00710A87"/>
    <w:rsid w:val="007141C0"/>
    <w:rsid w:val="00720F3B"/>
    <w:rsid w:val="00725F6A"/>
    <w:rsid w:val="007276F9"/>
    <w:rsid w:val="0073131A"/>
    <w:rsid w:val="00736BBB"/>
    <w:rsid w:val="00750085"/>
    <w:rsid w:val="0075065A"/>
    <w:rsid w:val="00754A71"/>
    <w:rsid w:val="0076763A"/>
    <w:rsid w:val="00772B27"/>
    <w:rsid w:val="00782AAC"/>
    <w:rsid w:val="0078326B"/>
    <w:rsid w:val="007868C2"/>
    <w:rsid w:val="007956A9"/>
    <w:rsid w:val="007A15B5"/>
    <w:rsid w:val="007A17AE"/>
    <w:rsid w:val="007A7A9E"/>
    <w:rsid w:val="007A7D7D"/>
    <w:rsid w:val="007B785B"/>
    <w:rsid w:val="007C2BF5"/>
    <w:rsid w:val="007C6577"/>
    <w:rsid w:val="007C7035"/>
    <w:rsid w:val="007D1C64"/>
    <w:rsid w:val="007D70FB"/>
    <w:rsid w:val="007D767A"/>
    <w:rsid w:val="007E5DE6"/>
    <w:rsid w:val="007E7B2C"/>
    <w:rsid w:val="007F2FEC"/>
    <w:rsid w:val="008020EC"/>
    <w:rsid w:val="00805C04"/>
    <w:rsid w:val="008071CE"/>
    <w:rsid w:val="00816F98"/>
    <w:rsid w:val="00820FC7"/>
    <w:rsid w:val="008215FE"/>
    <w:rsid w:val="00822662"/>
    <w:rsid w:val="00824ABD"/>
    <w:rsid w:val="00833E28"/>
    <w:rsid w:val="00834CB8"/>
    <w:rsid w:val="00841F92"/>
    <w:rsid w:val="00845D84"/>
    <w:rsid w:val="00860244"/>
    <w:rsid w:val="008602C8"/>
    <w:rsid w:val="00861A34"/>
    <w:rsid w:val="0086473D"/>
    <w:rsid w:val="008676F5"/>
    <w:rsid w:val="008706CF"/>
    <w:rsid w:val="00870CD6"/>
    <w:rsid w:val="00874E3D"/>
    <w:rsid w:val="0087740C"/>
    <w:rsid w:val="00881B06"/>
    <w:rsid w:val="008847BF"/>
    <w:rsid w:val="00885E24"/>
    <w:rsid w:val="00891788"/>
    <w:rsid w:val="00893A36"/>
    <w:rsid w:val="008977AE"/>
    <w:rsid w:val="008A07B3"/>
    <w:rsid w:val="008A2D73"/>
    <w:rsid w:val="008A3981"/>
    <w:rsid w:val="008A464E"/>
    <w:rsid w:val="008A6077"/>
    <w:rsid w:val="008A68F4"/>
    <w:rsid w:val="008A7410"/>
    <w:rsid w:val="008B1C8A"/>
    <w:rsid w:val="008B365C"/>
    <w:rsid w:val="008B7787"/>
    <w:rsid w:val="008B7EE9"/>
    <w:rsid w:val="008C0E36"/>
    <w:rsid w:val="008C4CEA"/>
    <w:rsid w:val="008D11D3"/>
    <w:rsid w:val="008D7183"/>
    <w:rsid w:val="008D7815"/>
    <w:rsid w:val="008E3A67"/>
    <w:rsid w:val="008E3CEB"/>
    <w:rsid w:val="008F0B1D"/>
    <w:rsid w:val="008F5371"/>
    <w:rsid w:val="00900E6E"/>
    <w:rsid w:val="009058BA"/>
    <w:rsid w:val="00907585"/>
    <w:rsid w:val="00913C43"/>
    <w:rsid w:val="009310B9"/>
    <w:rsid w:val="0093273D"/>
    <w:rsid w:val="009340C6"/>
    <w:rsid w:val="00934C0D"/>
    <w:rsid w:val="0094192A"/>
    <w:rsid w:val="00944FBD"/>
    <w:rsid w:val="00954609"/>
    <w:rsid w:val="00965AED"/>
    <w:rsid w:val="00966207"/>
    <w:rsid w:val="00967574"/>
    <w:rsid w:val="00970883"/>
    <w:rsid w:val="00977681"/>
    <w:rsid w:val="00980C4D"/>
    <w:rsid w:val="0098194C"/>
    <w:rsid w:val="00985DD4"/>
    <w:rsid w:val="00986170"/>
    <w:rsid w:val="00990F91"/>
    <w:rsid w:val="00991F1E"/>
    <w:rsid w:val="009963CA"/>
    <w:rsid w:val="009A352A"/>
    <w:rsid w:val="009A4108"/>
    <w:rsid w:val="009A60B7"/>
    <w:rsid w:val="009A6127"/>
    <w:rsid w:val="009B4B0F"/>
    <w:rsid w:val="009C3478"/>
    <w:rsid w:val="009C4E0C"/>
    <w:rsid w:val="009C550F"/>
    <w:rsid w:val="009C5722"/>
    <w:rsid w:val="009D3FDF"/>
    <w:rsid w:val="009D4361"/>
    <w:rsid w:val="009D470C"/>
    <w:rsid w:val="009D772B"/>
    <w:rsid w:val="009E066E"/>
    <w:rsid w:val="009E492D"/>
    <w:rsid w:val="009E65D9"/>
    <w:rsid w:val="009F01B7"/>
    <w:rsid w:val="00A0007B"/>
    <w:rsid w:val="00A04CF1"/>
    <w:rsid w:val="00A05DD3"/>
    <w:rsid w:val="00A073B5"/>
    <w:rsid w:val="00A07916"/>
    <w:rsid w:val="00A100BA"/>
    <w:rsid w:val="00A15876"/>
    <w:rsid w:val="00A15E04"/>
    <w:rsid w:val="00A21390"/>
    <w:rsid w:val="00A2341D"/>
    <w:rsid w:val="00A30E54"/>
    <w:rsid w:val="00A32BA3"/>
    <w:rsid w:val="00A335E2"/>
    <w:rsid w:val="00A40A52"/>
    <w:rsid w:val="00A46DEB"/>
    <w:rsid w:val="00A4764A"/>
    <w:rsid w:val="00A539FE"/>
    <w:rsid w:val="00A55AA8"/>
    <w:rsid w:val="00A61F7C"/>
    <w:rsid w:val="00A71B62"/>
    <w:rsid w:val="00A74B57"/>
    <w:rsid w:val="00A8317A"/>
    <w:rsid w:val="00AA1C85"/>
    <w:rsid w:val="00AA5D13"/>
    <w:rsid w:val="00AB5A08"/>
    <w:rsid w:val="00AC2098"/>
    <w:rsid w:val="00AC3EEF"/>
    <w:rsid w:val="00AD1418"/>
    <w:rsid w:val="00AD2319"/>
    <w:rsid w:val="00AE1C39"/>
    <w:rsid w:val="00AE2061"/>
    <w:rsid w:val="00AE276F"/>
    <w:rsid w:val="00AE5777"/>
    <w:rsid w:val="00AE7E48"/>
    <w:rsid w:val="00AF2B52"/>
    <w:rsid w:val="00AF5353"/>
    <w:rsid w:val="00B06F7C"/>
    <w:rsid w:val="00B1067A"/>
    <w:rsid w:val="00B137C0"/>
    <w:rsid w:val="00B3663A"/>
    <w:rsid w:val="00B40B3A"/>
    <w:rsid w:val="00B54842"/>
    <w:rsid w:val="00B551D5"/>
    <w:rsid w:val="00B671CE"/>
    <w:rsid w:val="00B74DC0"/>
    <w:rsid w:val="00B810E6"/>
    <w:rsid w:val="00B8375B"/>
    <w:rsid w:val="00B964C3"/>
    <w:rsid w:val="00BA4D26"/>
    <w:rsid w:val="00BB4F8D"/>
    <w:rsid w:val="00BC1954"/>
    <w:rsid w:val="00BD0BB5"/>
    <w:rsid w:val="00BD27BC"/>
    <w:rsid w:val="00BE7988"/>
    <w:rsid w:val="00C0397B"/>
    <w:rsid w:val="00C07FE4"/>
    <w:rsid w:val="00C168F5"/>
    <w:rsid w:val="00C207D4"/>
    <w:rsid w:val="00C21B11"/>
    <w:rsid w:val="00C22322"/>
    <w:rsid w:val="00C2384B"/>
    <w:rsid w:val="00C339C6"/>
    <w:rsid w:val="00C357B4"/>
    <w:rsid w:val="00C36C86"/>
    <w:rsid w:val="00C37042"/>
    <w:rsid w:val="00C37233"/>
    <w:rsid w:val="00C40073"/>
    <w:rsid w:val="00C4252F"/>
    <w:rsid w:val="00C4330C"/>
    <w:rsid w:val="00C4575C"/>
    <w:rsid w:val="00C52F82"/>
    <w:rsid w:val="00C54E1F"/>
    <w:rsid w:val="00C6284E"/>
    <w:rsid w:val="00C66E2A"/>
    <w:rsid w:val="00C82495"/>
    <w:rsid w:val="00C83D87"/>
    <w:rsid w:val="00C87908"/>
    <w:rsid w:val="00C90BD7"/>
    <w:rsid w:val="00C92C0B"/>
    <w:rsid w:val="00CA1C3F"/>
    <w:rsid w:val="00CA3FEB"/>
    <w:rsid w:val="00CB0B4E"/>
    <w:rsid w:val="00CB2BE9"/>
    <w:rsid w:val="00CB4C9F"/>
    <w:rsid w:val="00CB60CA"/>
    <w:rsid w:val="00CC1F17"/>
    <w:rsid w:val="00CC4CB6"/>
    <w:rsid w:val="00CD35F9"/>
    <w:rsid w:val="00CD3CA3"/>
    <w:rsid w:val="00CD4AFA"/>
    <w:rsid w:val="00CE3894"/>
    <w:rsid w:val="00CE4899"/>
    <w:rsid w:val="00CF0F89"/>
    <w:rsid w:val="00CF1641"/>
    <w:rsid w:val="00D065E6"/>
    <w:rsid w:val="00D15E5B"/>
    <w:rsid w:val="00D164B2"/>
    <w:rsid w:val="00D16C62"/>
    <w:rsid w:val="00D2391E"/>
    <w:rsid w:val="00D26A88"/>
    <w:rsid w:val="00D33A63"/>
    <w:rsid w:val="00D35248"/>
    <w:rsid w:val="00D46FD7"/>
    <w:rsid w:val="00D51F77"/>
    <w:rsid w:val="00D71843"/>
    <w:rsid w:val="00D73AC1"/>
    <w:rsid w:val="00D74A02"/>
    <w:rsid w:val="00D82A08"/>
    <w:rsid w:val="00D82C8F"/>
    <w:rsid w:val="00D85AC6"/>
    <w:rsid w:val="00D96ECB"/>
    <w:rsid w:val="00D97FA9"/>
    <w:rsid w:val="00DA1245"/>
    <w:rsid w:val="00DA6CBE"/>
    <w:rsid w:val="00DB14E0"/>
    <w:rsid w:val="00DD4441"/>
    <w:rsid w:val="00DD6C12"/>
    <w:rsid w:val="00DE30A5"/>
    <w:rsid w:val="00DE3BD4"/>
    <w:rsid w:val="00DE70DC"/>
    <w:rsid w:val="00DF5A48"/>
    <w:rsid w:val="00E03FE4"/>
    <w:rsid w:val="00E13BEA"/>
    <w:rsid w:val="00E143C0"/>
    <w:rsid w:val="00E1644F"/>
    <w:rsid w:val="00E2063F"/>
    <w:rsid w:val="00E2131B"/>
    <w:rsid w:val="00E32E89"/>
    <w:rsid w:val="00E33A69"/>
    <w:rsid w:val="00E35188"/>
    <w:rsid w:val="00E3677A"/>
    <w:rsid w:val="00E4756B"/>
    <w:rsid w:val="00E510E5"/>
    <w:rsid w:val="00E615CB"/>
    <w:rsid w:val="00E642FA"/>
    <w:rsid w:val="00E65A97"/>
    <w:rsid w:val="00E739CC"/>
    <w:rsid w:val="00E831C8"/>
    <w:rsid w:val="00E909BF"/>
    <w:rsid w:val="00E92A25"/>
    <w:rsid w:val="00EB1828"/>
    <w:rsid w:val="00EB1F99"/>
    <w:rsid w:val="00EB2D2F"/>
    <w:rsid w:val="00EB460C"/>
    <w:rsid w:val="00EB7039"/>
    <w:rsid w:val="00EC0510"/>
    <w:rsid w:val="00EC125B"/>
    <w:rsid w:val="00EC61F6"/>
    <w:rsid w:val="00ED5917"/>
    <w:rsid w:val="00EE10B9"/>
    <w:rsid w:val="00EE3C40"/>
    <w:rsid w:val="00EE62B4"/>
    <w:rsid w:val="00F109FE"/>
    <w:rsid w:val="00F124AC"/>
    <w:rsid w:val="00F136D8"/>
    <w:rsid w:val="00F13B40"/>
    <w:rsid w:val="00F23A6C"/>
    <w:rsid w:val="00F32946"/>
    <w:rsid w:val="00F361E5"/>
    <w:rsid w:val="00F36A3E"/>
    <w:rsid w:val="00F44C41"/>
    <w:rsid w:val="00F46DE4"/>
    <w:rsid w:val="00F47073"/>
    <w:rsid w:val="00F472B4"/>
    <w:rsid w:val="00F50328"/>
    <w:rsid w:val="00F50A11"/>
    <w:rsid w:val="00F5152F"/>
    <w:rsid w:val="00F5506B"/>
    <w:rsid w:val="00F5667D"/>
    <w:rsid w:val="00F578C1"/>
    <w:rsid w:val="00F62620"/>
    <w:rsid w:val="00F6527A"/>
    <w:rsid w:val="00F737FF"/>
    <w:rsid w:val="00F76F78"/>
    <w:rsid w:val="00F84401"/>
    <w:rsid w:val="00F87CBD"/>
    <w:rsid w:val="00F93432"/>
    <w:rsid w:val="00F96354"/>
    <w:rsid w:val="00FA54FD"/>
    <w:rsid w:val="00FB0E7F"/>
    <w:rsid w:val="00FB44D8"/>
    <w:rsid w:val="00FC3818"/>
    <w:rsid w:val="00FD13E7"/>
    <w:rsid w:val="00FD1A5F"/>
    <w:rsid w:val="00FD221A"/>
    <w:rsid w:val="00FD2E69"/>
    <w:rsid w:val="00FD5B56"/>
    <w:rsid w:val="00FE4693"/>
    <w:rsid w:val="00FF0696"/>
    <w:rsid w:val="00FF38C0"/>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F3622"/>
  <w14:defaultImageDpi w14:val="0"/>
  <w15:docId w15:val="{D6330968-A04B-47F5-9CF4-6D205BD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65E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065E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065E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065E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D065E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D065E6"/>
    <w:rPr>
      <w:rFonts w:cs="Times New Roman"/>
      <w:sz w:val="24"/>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D065E6"/>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locked/>
    <w:rsid w:val="00D065E6"/>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D065E6"/>
    <w:rPr>
      <w:rFonts w:cs="Times New Roman"/>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styleId="CommentText">
    <w:name w:val="annotation text"/>
    <w:basedOn w:val="Normal"/>
    <w:link w:val="CommentTextChar"/>
    <w:uiPriority w:val="99"/>
    <w:rsid w:val="00D065E6"/>
    <w:rPr>
      <w:sz w:val="20"/>
    </w:rPr>
  </w:style>
  <w:style w:type="character" w:customStyle="1" w:styleId="CommentTextChar">
    <w:name w:val="Comment Text Char"/>
    <w:basedOn w:val="DefaultParagraphFont"/>
    <w:link w:val="CommentText"/>
    <w:uiPriority w:val="99"/>
    <w:locked/>
    <w:rsid w:val="00D065E6"/>
    <w:rPr>
      <w:rFonts w:cs="Times New Roman"/>
      <w:lang w:val="x-none" w:eastAsia="en-US"/>
    </w:rPr>
  </w:style>
  <w:style w:type="paragraph" w:styleId="CommentSubject">
    <w:name w:val="annotation subject"/>
    <w:basedOn w:val="CommentText"/>
    <w:next w:val="CommentText"/>
    <w:link w:val="CommentSubjectChar"/>
    <w:uiPriority w:val="99"/>
    <w:rsid w:val="00D065E6"/>
    <w:rPr>
      <w:b/>
      <w:bCs/>
    </w:rPr>
  </w:style>
  <w:style w:type="character" w:customStyle="1" w:styleId="CommentSubjectChar">
    <w:name w:val="Comment Subject Char"/>
    <w:basedOn w:val="CommentTextChar"/>
    <w:link w:val="CommentSubject"/>
    <w:uiPriority w:val="99"/>
    <w:locked/>
    <w:rsid w:val="00D065E6"/>
    <w:rPr>
      <w:rFonts w:cs="Times New Roman"/>
      <w:b/>
      <w:bCs/>
      <w:lang w:val="x-none" w:eastAsia="en-US"/>
    </w:rPr>
  </w:style>
  <w:style w:type="paragraph" w:styleId="BalloonText">
    <w:name w:val="Balloon Text"/>
    <w:basedOn w:val="Normal"/>
    <w:link w:val="BalloonTextChar"/>
    <w:uiPriority w:val="99"/>
    <w:rsid w:val="003D5717"/>
    <w:rPr>
      <w:rFonts w:ascii="Tahoma" w:hAnsi="Tahoma" w:cs="Tahoma"/>
      <w:sz w:val="16"/>
      <w:szCs w:val="16"/>
    </w:rPr>
  </w:style>
  <w:style w:type="character" w:customStyle="1" w:styleId="BalloonTextChar">
    <w:name w:val="Balloon Text Char"/>
    <w:basedOn w:val="DefaultParagraphFont"/>
    <w:link w:val="BalloonText"/>
    <w:uiPriority w:val="99"/>
    <w:locked/>
    <w:rsid w:val="003D5717"/>
    <w:rPr>
      <w:rFonts w:ascii="Tahoma" w:hAnsi="Tahoma" w:cs="Tahoma"/>
      <w:sz w:val="16"/>
      <w:szCs w:val="16"/>
      <w:lang w:val="x-none" w:eastAsia="en-US"/>
    </w:rPr>
  </w:style>
  <w:style w:type="character" w:styleId="CommentReference">
    <w:name w:val="annotation reference"/>
    <w:basedOn w:val="DefaultParagraphFont"/>
    <w:uiPriority w:val="99"/>
    <w:rsid w:val="00782AAC"/>
    <w:rPr>
      <w:rFonts w:cs="Times New Roman"/>
      <w:sz w:val="16"/>
      <w:szCs w:val="16"/>
    </w:rPr>
  </w:style>
  <w:style w:type="paragraph" w:styleId="Revision">
    <w:name w:val="Revision"/>
    <w:hidden/>
    <w:uiPriority w:val="99"/>
    <w:semiHidden/>
    <w:rsid w:val="004C53B7"/>
    <w:rPr>
      <w:sz w:val="24"/>
      <w:lang w:eastAsia="en-US"/>
    </w:rPr>
  </w:style>
  <w:style w:type="paragraph" w:customStyle="1" w:styleId="TableHd">
    <w:name w:val="TableHd"/>
    <w:basedOn w:val="Normal"/>
    <w:rsid w:val="00105077"/>
    <w:pPr>
      <w:keepNext/>
      <w:tabs>
        <w:tab w:val="left" w:pos="0"/>
      </w:tabs>
      <w:spacing w:before="300"/>
      <w:ind w:left="1200" w:hanging="1200"/>
    </w:pPr>
    <w:rPr>
      <w:rFonts w:ascii="Arial" w:hAnsi="Arial"/>
      <w:b/>
      <w:sz w:val="20"/>
    </w:rPr>
  </w:style>
  <w:style w:type="paragraph" w:customStyle="1" w:styleId="TableColHd">
    <w:name w:val="TableColHd"/>
    <w:basedOn w:val="Normal"/>
    <w:rsid w:val="00105077"/>
    <w:pPr>
      <w:keepNext/>
      <w:tabs>
        <w:tab w:val="left" w:pos="0"/>
      </w:tabs>
      <w:spacing w:after="60"/>
    </w:pP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3483">
      <w:marLeft w:val="0"/>
      <w:marRight w:val="0"/>
      <w:marTop w:val="0"/>
      <w:marBottom w:val="0"/>
      <w:divBdr>
        <w:top w:val="none" w:sz="0" w:space="0" w:color="auto"/>
        <w:left w:val="none" w:sz="0" w:space="0" w:color="auto"/>
        <w:bottom w:val="none" w:sz="0" w:space="0" w:color="auto"/>
        <w:right w:val="none" w:sz="0" w:space="0" w:color="auto"/>
      </w:divBdr>
    </w:div>
    <w:div w:id="1127503484">
      <w:marLeft w:val="0"/>
      <w:marRight w:val="0"/>
      <w:marTop w:val="0"/>
      <w:marBottom w:val="0"/>
      <w:divBdr>
        <w:top w:val="none" w:sz="0" w:space="0" w:color="auto"/>
        <w:left w:val="none" w:sz="0" w:space="0" w:color="auto"/>
        <w:bottom w:val="none" w:sz="0" w:space="0" w:color="auto"/>
        <w:right w:val="none" w:sz="0" w:space="0" w:color="auto"/>
      </w:divBdr>
    </w:div>
    <w:div w:id="1127503485">
      <w:marLeft w:val="0"/>
      <w:marRight w:val="0"/>
      <w:marTop w:val="0"/>
      <w:marBottom w:val="0"/>
      <w:divBdr>
        <w:top w:val="none" w:sz="0" w:space="0" w:color="auto"/>
        <w:left w:val="none" w:sz="0" w:space="0" w:color="auto"/>
        <w:bottom w:val="none" w:sz="0" w:space="0" w:color="auto"/>
        <w:right w:val="none" w:sz="0" w:space="0" w:color="auto"/>
      </w:divBdr>
    </w:div>
    <w:div w:id="1127503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672C7-0837-4A4D-B034-1A43070DDC4C}">
  <ds:schemaRefs>
    <ds:schemaRef ds:uri="http://schemas.openxmlformats.org/officeDocument/2006/bibliography"/>
  </ds:schemaRefs>
</ds:datastoreItem>
</file>

<file path=customXml/itemProps2.xml><?xml version="1.0" encoding="utf-8"?>
<ds:datastoreItem xmlns:ds="http://schemas.openxmlformats.org/officeDocument/2006/customXml" ds:itemID="{C0497111-0B27-4726-A840-C75B14851876}">
  <ds:schemaRefs>
    <ds:schemaRef ds:uri="http://schemas.microsoft.com/sharepoint/v3/contenttype/forms"/>
  </ds:schemaRefs>
</ds:datastoreItem>
</file>

<file path=customXml/itemProps3.xml><?xml version="1.0" encoding="utf-8"?>
<ds:datastoreItem xmlns:ds="http://schemas.openxmlformats.org/officeDocument/2006/customXml" ds:itemID="{3FFA4A93-ECFC-45F8-891A-D30D20AD055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E963E5A-0F15-477F-9689-E8F187B9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F241205-6D19-4ACC-8EF4-3708CE18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8948</Characters>
  <Application>Microsoft Office Word</Application>
  <DocSecurity>0</DocSecurity>
  <Lines>272</Lines>
  <Paragraphs>95</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2020-06-02T01:20:00Z</cp:lastPrinted>
  <dcterms:created xsi:type="dcterms:W3CDTF">2022-06-29T05:41:00Z</dcterms:created>
  <dcterms:modified xsi:type="dcterms:W3CDTF">2022-06-29T05:41:00Z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ies>
</file>