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546F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6D051E4" w14:textId="77777777" w:rsidR="005D173A" w:rsidRDefault="005D173A" w:rsidP="005D173A">
      <w:pPr>
        <w:pStyle w:val="Billname"/>
        <w:spacing w:before="700"/>
      </w:pPr>
      <w:r>
        <w:t>Utilities (Grant of Licence) Notice 2022 (No 1)</w:t>
      </w:r>
    </w:p>
    <w:p w14:paraId="29756FD6" w14:textId="301B37AF" w:rsidR="005D173A" w:rsidRDefault="005D173A" w:rsidP="005D173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NI2022–</w:t>
      </w:r>
      <w:r w:rsidR="00F54F8F">
        <w:rPr>
          <w:rFonts w:ascii="Arial" w:hAnsi="Arial" w:cs="Arial"/>
          <w:b/>
          <w:bCs/>
        </w:rPr>
        <w:t>360</w:t>
      </w:r>
    </w:p>
    <w:p w14:paraId="0AB7DF31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7588BDD3" w14:textId="77777777" w:rsidR="005D173A" w:rsidRDefault="005D173A" w:rsidP="005D173A">
      <w:pPr>
        <w:pStyle w:val="CoverActName"/>
        <w:spacing w:before="320" w:after="0"/>
        <w:rPr>
          <w:rFonts w:cs="Arial"/>
          <w:sz w:val="20"/>
        </w:rPr>
      </w:pPr>
      <w:r w:rsidRPr="00CF0827">
        <w:rPr>
          <w:rFonts w:cs="Arial"/>
          <w:i/>
          <w:iCs/>
          <w:sz w:val="20"/>
        </w:rPr>
        <w:t>Utilities Act 2000</w:t>
      </w:r>
      <w:r>
        <w:rPr>
          <w:rFonts w:cs="Arial"/>
          <w:sz w:val="20"/>
        </w:rPr>
        <w:t>, section 37 (Grant), section 52(1)(a) (Public notice of licence decisions) and section 53 (Public access to licences etc)</w:t>
      </w:r>
    </w:p>
    <w:p w14:paraId="74FCF73B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7A58992" w14:textId="77777777" w:rsidR="006815C9" w:rsidRDefault="006815C9">
      <w:pPr>
        <w:pStyle w:val="N-line3"/>
        <w:pBdr>
          <w:bottom w:val="none" w:sz="0" w:space="0" w:color="auto"/>
        </w:pBdr>
      </w:pPr>
    </w:p>
    <w:p w14:paraId="149B78B0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FD41B60" w14:textId="713F8381" w:rsidR="005D173A" w:rsidRDefault="005D173A" w:rsidP="005D173A">
      <w:pPr>
        <w:spacing w:before="140"/>
      </w:pPr>
      <w:r>
        <w:t xml:space="preserve">The commission has granted a utility licence for electricity transmission to </w:t>
      </w:r>
      <w:bookmarkStart w:id="1" w:name="_Hlk107567154"/>
      <w:r w:rsidRPr="00CF0827">
        <w:t>Transgrid Services Pty Limited (ACN 626 136 865) as trustee of Transgrid Services Trust (ABN 94 121 353 950)</w:t>
      </w:r>
      <w:r>
        <w:t xml:space="preserve"> </w:t>
      </w:r>
      <w:r w:rsidRPr="00CF0827">
        <w:t>trading as</w:t>
      </w:r>
      <w:r>
        <w:t xml:space="preserve"> </w:t>
      </w:r>
      <w:r w:rsidRPr="00CF0827">
        <w:t>‘Lumea Infrastructure Services’</w:t>
      </w:r>
      <w:r>
        <w:t xml:space="preserve"> under section 37 of the </w:t>
      </w:r>
      <w:r w:rsidRPr="005D173A">
        <w:rPr>
          <w:i/>
          <w:iCs/>
        </w:rPr>
        <w:t>Utilities Act 2000</w:t>
      </w:r>
      <w:r>
        <w:t xml:space="preserve">. </w:t>
      </w:r>
    </w:p>
    <w:p w14:paraId="2CA4DEF4" w14:textId="4CA4FFCF" w:rsidR="005D173A" w:rsidRPr="00CF0827" w:rsidRDefault="005D173A" w:rsidP="005D173A">
      <w:pPr>
        <w:spacing w:before="140"/>
      </w:pPr>
      <w:r>
        <w:t>The licence is granted for 20 years.</w:t>
      </w:r>
    </w:p>
    <w:bookmarkEnd w:id="1"/>
    <w:p w14:paraId="2B71B8D4" w14:textId="572AD8E9" w:rsidR="006815C9" w:rsidRDefault="006815C9"/>
    <w:sectPr w:rsidR="006815C9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FD6C" w14:textId="77777777" w:rsidR="00A247C0" w:rsidRDefault="00A247C0" w:rsidP="006815C9">
      <w:r>
        <w:separator/>
      </w:r>
    </w:p>
  </w:endnote>
  <w:endnote w:type="continuationSeparator" w:id="0">
    <w:p w14:paraId="49CC61D2" w14:textId="77777777" w:rsidR="00A247C0" w:rsidRDefault="00A247C0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7E68" w14:textId="77777777"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5043" w14:textId="6E7926EA" w:rsidR="00091D34" w:rsidRPr="00753F95" w:rsidRDefault="00753F95" w:rsidP="00753F95">
    <w:pPr>
      <w:pStyle w:val="Footer"/>
      <w:jc w:val="center"/>
      <w:rPr>
        <w:rFonts w:cs="Arial"/>
        <w:sz w:val="14"/>
      </w:rPr>
    </w:pPr>
    <w:r w:rsidRPr="00753F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386C" w14:textId="77777777"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6F64" w14:textId="77777777" w:rsidR="00A247C0" w:rsidRDefault="00A247C0" w:rsidP="006815C9">
      <w:r>
        <w:separator/>
      </w:r>
    </w:p>
  </w:footnote>
  <w:footnote w:type="continuationSeparator" w:id="0">
    <w:p w14:paraId="7A0417CB" w14:textId="77777777" w:rsidR="00A247C0" w:rsidRDefault="00A247C0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3370" w14:textId="77777777"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2063" w14:textId="77777777"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AC58" w14:textId="77777777"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40E22"/>
    <w:rsid w:val="00091D34"/>
    <w:rsid w:val="005D173A"/>
    <w:rsid w:val="006815C9"/>
    <w:rsid w:val="006E7046"/>
    <w:rsid w:val="00753F95"/>
    <w:rsid w:val="008511EC"/>
    <w:rsid w:val="00A247C0"/>
    <w:rsid w:val="00AD7554"/>
    <w:rsid w:val="00C1618B"/>
    <w:rsid w:val="00CF10D7"/>
    <w:rsid w:val="00DA707F"/>
    <w:rsid w:val="00EA0351"/>
    <w:rsid w:val="00F5371D"/>
    <w:rsid w:val="00F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A659E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2022-07-22T00:34:00Z</dcterms:created>
  <dcterms:modified xsi:type="dcterms:W3CDTF">2022-07-22T00:34:00Z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A36208951</vt:lpwstr>
  </property>
  <property fmtid="{D5CDD505-2E9C-101B-9397-08002B2CF9AE}" pid="4" name="Objective-Title">
    <vt:lpwstr>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2022-07-19T23:49:43Z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2022-07-21T05:31:35Z</vt:filetime>
  </property>
  <property fmtid="{D5CDD505-2E9C-101B-9397-08002B2CF9AE}" pid="10" name="Objective-ModificationStamp">
    <vt:filetime>2022-07-21T05:31:35Z</vt:filetime>
  </property>
  <property fmtid="{D5CDD505-2E9C-101B-9397-08002B2CF9AE}" pid="11" name="Objective-Owner">
    <vt:lpwstr>Christopher Adkins</vt:lpwstr>
  </property>
  <property fmtid="{D5CDD505-2E9C-101B-9397-08002B2CF9AE}" pid="12" name="Objective-Path">
    <vt:lpwstr>Whole of ACT Government:ICRC - Independent Competition and Regulatory Commission:06. UTILITIES LICENSING:01. Licensing:Licences and variations:Lumea licence application:Final documents:</vt:lpwstr>
  </property>
  <property fmtid="{D5CDD505-2E9C-101B-9397-08002B2CF9AE}" pid="13" name="Objective-Parent">
    <vt:lpwstr>Final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ICRC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