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500C8" w14:textId="77777777" w:rsidR="005D70F1" w:rsidRDefault="005D70F1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93BBE6B" w14:textId="7294051A" w:rsidR="005D70F1" w:rsidRPr="002F1A2A" w:rsidRDefault="003D173B" w:rsidP="002F1A2A">
      <w:pPr>
        <w:pStyle w:val="Heading1"/>
      </w:pPr>
      <w:r>
        <w:t xml:space="preserve">Road Transport </w:t>
      </w:r>
      <w:r w:rsidR="005D70F1" w:rsidRPr="002F1A2A">
        <w:t>(</w:t>
      </w:r>
      <w:r>
        <w:t>General</w:t>
      </w:r>
      <w:r w:rsidR="005D70F1" w:rsidRPr="002F1A2A">
        <w:t xml:space="preserve">) </w:t>
      </w:r>
      <w:r>
        <w:t xml:space="preserve">(Pay Parking Area Fees) Determination </w:t>
      </w:r>
      <w:r w:rsidR="00B40BF0">
        <w:t>202</w:t>
      </w:r>
      <w:r w:rsidR="007255A9">
        <w:t>2</w:t>
      </w:r>
      <w:r w:rsidR="001536B7">
        <w:t xml:space="preserve"> (No </w:t>
      </w:r>
      <w:r w:rsidR="00DC6FF7">
        <w:t>2</w:t>
      </w:r>
      <w:r w:rsidR="001536B7">
        <w:t>)</w:t>
      </w:r>
    </w:p>
    <w:p w14:paraId="7404C677" w14:textId="5EAD9805" w:rsidR="005D70F1" w:rsidRPr="002F1A2A" w:rsidRDefault="005D70F1" w:rsidP="002F1A2A">
      <w:pPr>
        <w:pStyle w:val="Heading2"/>
      </w:pPr>
      <w:r w:rsidRPr="002F1A2A">
        <w:t>Disallowable instrument DI</w:t>
      </w:r>
      <w:r w:rsidR="003D173B">
        <w:t>20</w:t>
      </w:r>
      <w:r w:rsidR="0014159F">
        <w:t>2</w:t>
      </w:r>
      <w:r w:rsidR="007255A9">
        <w:t>2</w:t>
      </w:r>
      <w:r w:rsidR="0014159F" w:rsidRPr="00D12284">
        <w:t>-</w:t>
      </w:r>
      <w:r w:rsidR="00F53EBE">
        <w:t>180</w:t>
      </w:r>
    </w:p>
    <w:p w14:paraId="763EBAE3" w14:textId="77777777" w:rsidR="005D70F1" w:rsidRDefault="005D70F1">
      <w:pPr>
        <w:pStyle w:val="madeunder"/>
        <w:spacing w:before="240" w:after="120"/>
      </w:pPr>
      <w:r>
        <w:t xml:space="preserve">made under the  </w:t>
      </w:r>
    </w:p>
    <w:p w14:paraId="5F9499D0" w14:textId="77777777" w:rsidR="005D70F1" w:rsidRDefault="003D173B">
      <w:pPr>
        <w:pStyle w:val="CoverActName"/>
        <w:rPr>
          <w:rFonts w:cs="Arial"/>
          <w:sz w:val="20"/>
        </w:rPr>
      </w:pPr>
      <w:r>
        <w:rPr>
          <w:rFonts w:cs="Arial"/>
          <w:sz w:val="20"/>
        </w:rPr>
        <w:t>Road Transport (General) Act 1999, s 96 (Determination of fees, charges and other amounts</w:t>
      </w:r>
      <w:r w:rsidR="005D70F1">
        <w:rPr>
          <w:rFonts w:cs="Arial"/>
          <w:sz w:val="20"/>
        </w:rPr>
        <w:t>)</w:t>
      </w:r>
    </w:p>
    <w:p w14:paraId="62DDAA6F" w14:textId="77777777" w:rsidR="005D70F1" w:rsidRPr="002F1A2A" w:rsidRDefault="005D70F1" w:rsidP="002F1A2A">
      <w:pPr>
        <w:pStyle w:val="Heading3"/>
      </w:pPr>
      <w:r w:rsidRPr="002F1A2A">
        <w:t>EXPLANATORY STATEMENT</w:t>
      </w:r>
    </w:p>
    <w:p w14:paraId="6CE05769" w14:textId="77777777" w:rsidR="005D70F1" w:rsidRDefault="005D70F1">
      <w:pPr>
        <w:pStyle w:val="N-line3"/>
        <w:pBdr>
          <w:bottom w:val="none" w:sz="0" w:space="0" w:color="auto"/>
        </w:pBdr>
      </w:pPr>
    </w:p>
    <w:p w14:paraId="75865758" w14:textId="77777777"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3DD1C314" w14:textId="77777777" w:rsidR="005D70F1" w:rsidRDefault="003D173B">
      <w:r>
        <w:t xml:space="preserve">Section 96 of the </w:t>
      </w:r>
      <w:r w:rsidRPr="003D173B">
        <w:rPr>
          <w:i/>
        </w:rPr>
        <w:t xml:space="preserve">Road Transport (General) Act 1999 </w:t>
      </w:r>
      <w:r>
        <w:t>allows the Minister to determine fees, charges and other amounts payable under the ACT road transport legislation.</w:t>
      </w:r>
    </w:p>
    <w:p w14:paraId="3335B6B3" w14:textId="77777777" w:rsidR="003D173B" w:rsidRDefault="003D173B"/>
    <w:p w14:paraId="01592775" w14:textId="5A91C782" w:rsidR="00366273" w:rsidRDefault="003D173B">
      <w:r>
        <w:t xml:space="preserve">This determination sets the relevant parking fees for Territory-operated pay parking areas. Under the </w:t>
      </w:r>
      <w:r>
        <w:rPr>
          <w:i/>
        </w:rPr>
        <w:t>Road Transport (Safety and Traffic Management) Regulation 2017</w:t>
      </w:r>
      <w:r>
        <w:t xml:space="preserve"> (the </w:t>
      </w:r>
      <w:r w:rsidRPr="00667A78">
        <w:t>Regulation</w:t>
      </w:r>
      <w:r>
        <w:t xml:space="preserve">), pay parking areas are implemented through ticket parking schemes, which are established by the </w:t>
      </w:r>
      <w:r w:rsidR="00EA0410">
        <w:t xml:space="preserve">Road Transport </w:t>
      </w:r>
      <w:r>
        <w:t>Authority under section 35(1) of the Regulation.</w:t>
      </w:r>
    </w:p>
    <w:p w14:paraId="692DFA36" w14:textId="77777777" w:rsidR="008607B8" w:rsidRDefault="008607B8"/>
    <w:p w14:paraId="23E4DD3C" w14:textId="77777777" w:rsidR="008607B8" w:rsidRPr="00BC462F" w:rsidRDefault="008607B8" w:rsidP="00BC462F">
      <w:pPr>
        <w:autoSpaceDE w:val="0"/>
        <w:autoSpaceDN w:val="0"/>
        <w:adjustRightInd w:val="0"/>
        <w:rPr>
          <w:b/>
        </w:rPr>
      </w:pPr>
      <w:r w:rsidRPr="00BC462F">
        <w:rPr>
          <w:b/>
          <w:u w:val="single"/>
          <w:lang w:eastAsia="en-AU"/>
        </w:rPr>
        <w:t>Overview</w:t>
      </w:r>
    </w:p>
    <w:p w14:paraId="5D79FB0A" w14:textId="77777777" w:rsidR="00DC6FF7" w:rsidRDefault="008607B8" w:rsidP="00DC6FF7">
      <w:r>
        <w:t xml:space="preserve">The disallowable instrument </w:t>
      </w:r>
      <w:r w:rsidR="00DC6FF7">
        <w:t xml:space="preserve">revokes the </w:t>
      </w:r>
      <w:r w:rsidR="00DC6FF7" w:rsidRPr="008C1FCF">
        <w:rPr>
          <w:i/>
          <w:iCs/>
        </w:rPr>
        <w:t>Road Transport (General) (Pay Parking Area Fees) Determination 2022</w:t>
      </w:r>
      <w:r w:rsidR="00DC6FF7">
        <w:t xml:space="preserve"> (No 1) (Disallowable instrument DI2022-65). </w:t>
      </w:r>
    </w:p>
    <w:p w14:paraId="4CDEEABE" w14:textId="77777777" w:rsidR="00DC6FF7" w:rsidRDefault="00DC6FF7" w:rsidP="00DC6FF7"/>
    <w:p w14:paraId="3D3E7E86" w14:textId="77777777" w:rsidR="00DC6FF7" w:rsidRDefault="00DC6FF7" w:rsidP="00DC6FF7">
      <w:bookmarkStart w:id="1" w:name="_Hlk71017895"/>
    </w:p>
    <w:p w14:paraId="5BE0DCC7" w14:textId="0C95F058" w:rsidR="000540C7" w:rsidRDefault="00DC6FF7" w:rsidP="00434CBF">
      <w:r>
        <w:t xml:space="preserve">The fees set by Disallowable Instrument DI2022-65 have not been changed.  </w:t>
      </w:r>
    </w:p>
    <w:p w14:paraId="0BBA7E8F" w14:textId="77777777" w:rsidR="000540C7" w:rsidRDefault="000540C7" w:rsidP="00434CBF"/>
    <w:p w14:paraId="52D55E1E" w14:textId="6DA40E6D" w:rsidR="00DC6FF7" w:rsidRDefault="000540C7" w:rsidP="00434CBF">
      <w:r>
        <w:t>The</w:t>
      </w:r>
      <w:r w:rsidR="00DC6FF7">
        <w:t xml:space="preserve"> multi stay parking</w:t>
      </w:r>
      <w:r>
        <w:t xml:space="preserve"> area</w:t>
      </w:r>
      <w:r w:rsidR="00DC6FF7">
        <w:t xml:space="preserve"> </w:t>
      </w:r>
      <w:r>
        <w:t xml:space="preserve">described as </w:t>
      </w:r>
      <w:r w:rsidR="00DC6FF7">
        <w:t>Menindee Drive</w:t>
      </w:r>
      <w:r>
        <w:t>, Section 33, 34 and 35, Barton,</w:t>
      </w:r>
      <w:r w:rsidR="00DC6FF7">
        <w:t xml:space="preserve"> has been </w:t>
      </w:r>
      <w:r w:rsidR="00434CBF">
        <w:t xml:space="preserve">added </w:t>
      </w:r>
      <w:r>
        <w:t>to</w:t>
      </w:r>
      <w:r w:rsidR="00434CBF">
        <w:t xml:space="preserve"> Schedule 1</w:t>
      </w:r>
      <w:r>
        <w:t>, Item 3</w:t>
      </w:r>
      <w:r w:rsidR="00434CBF">
        <w:t>. There is no change to this fee as previously set by the</w:t>
      </w:r>
      <w:r w:rsidR="00DC6FF7">
        <w:t xml:space="preserve"> </w:t>
      </w:r>
      <w:r w:rsidR="00434CBF" w:rsidRPr="008C1FCF">
        <w:rPr>
          <w:i/>
          <w:iCs/>
        </w:rPr>
        <w:t>Road Transport (General) (Pay Parking Area Fees) Determination 2021 (No 2)</w:t>
      </w:r>
      <w:r w:rsidR="00434CBF">
        <w:t xml:space="preserve"> (Disallowable instrument DI2021</w:t>
      </w:r>
      <w:r>
        <w:noBreakHyphen/>
      </w:r>
      <w:r w:rsidR="00434CBF">
        <w:t>274).</w:t>
      </w:r>
    </w:p>
    <w:p w14:paraId="2444A5E7" w14:textId="789D5114" w:rsidR="000540C7" w:rsidRDefault="000540C7" w:rsidP="00434CBF"/>
    <w:p w14:paraId="234D118A" w14:textId="02D44D22" w:rsidR="000540C7" w:rsidRDefault="000540C7" w:rsidP="00434CBF">
      <w:r>
        <w:t>The area in Schedule 1, Item 3 and Item 7, described as follows in each Item, has been removed as this area is now in private ownership:</w:t>
      </w:r>
    </w:p>
    <w:p w14:paraId="3B2C1522" w14:textId="77777777" w:rsidR="000540C7" w:rsidRDefault="000540C7" w:rsidP="00434CBF"/>
    <w:tbl>
      <w:tblPr>
        <w:tblpPr w:leftFromText="180" w:rightFromText="180" w:vertAnchor="text" w:horzAnchor="margin" w:tblpY="139"/>
        <w:tblW w:w="91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2"/>
        <w:gridCol w:w="1635"/>
        <w:gridCol w:w="1635"/>
        <w:gridCol w:w="1648"/>
      </w:tblGrid>
      <w:tr w:rsidR="000540C7" w:rsidRPr="006D2D8E" w14:paraId="091AF2CC" w14:textId="77777777" w:rsidTr="000540C7">
        <w:trPr>
          <w:trHeight w:hRule="exact" w:val="624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37E10" w14:textId="442E6D9E" w:rsidR="000540C7" w:rsidRPr="006D2D8E" w:rsidRDefault="000540C7" w:rsidP="000540C7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color w:val="FF0000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7F4F1" w14:textId="048E1EA1" w:rsidR="000540C7" w:rsidRPr="006D2D8E" w:rsidRDefault="000540C7" w:rsidP="000540C7">
            <w:pPr>
              <w:pStyle w:val="TableParagraph"/>
              <w:kinsoku w:val="0"/>
              <w:overflowPunct w:val="0"/>
              <w:ind w:left="96" w:hanging="2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CA62D" w14:textId="524F3701" w:rsidR="000540C7" w:rsidRPr="006D2D8E" w:rsidRDefault="000540C7" w:rsidP="000540C7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color w:val="FF0000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00A60" w14:textId="00E2D3D8" w:rsidR="000540C7" w:rsidRPr="006D2D8E" w:rsidRDefault="000540C7" w:rsidP="000540C7">
            <w:pPr>
              <w:pStyle w:val="TableParagraph"/>
              <w:kinsoku w:val="0"/>
              <w:overflowPunct w:val="0"/>
              <w:ind w:left="96" w:right="53"/>
              <w:rPr>
                <w:rFonts w:ascii="Calibri" w:hAnsi="Calibri" w:cs="Calibri"/>
                <w:b/>
                <w:bCs/>
                <w:color w:val="FF0000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</w:tr>
      <w:tr w:rsidR="000540C7" w:rsidRPr="006D2D8E" w14:paraId="60C21CC1" w14:textId="77777777" w:rsidTr="000540C7">
        <w:trPr>
          <w:trHeight w:hRule="exact" w:val="624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A72CB" w14:textId="60AB347F" w:rsidR="000540C7" w:rsidRPr="00045015" w:rsidRDefault="000540C7" w:rsidP="000540C7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1756EE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1756EE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 the </w:t>
            </w:r>
            <w:r w:rsidRPr="001756EE">
              <w:rPr>
                <w:rFonts w:ascii="Calibri" w:hAnsi="Calibri" w:cs="Calibri"/>
                <w:spacing w:val="-2"/>
                <w:sz w:val="20"/>
                <w:szCs w:val="20"/>
              </w:rPr>
              <w:t>off‐street</w:t>
            </w:r>
            <w:r w:rsidRPr="001756EE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1756EE">
              <w:rPr>
                <w:rFonts w:ascii="Calibri" w:hAnsi="Calibri" w:cs="Calibri"/>
                <w:spacing w:val="-2"/>
                <w:sz w:val="20"/>
                <w:szCs w:val="20"/>
              </w:rPr>
              <w:t>parking</w:t>
            </w:r>
            <w:r w:rsidRPr="001756E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756EE">
              <w:rPr>
                <w:rFonts w:ascii="Calibri" w:hAnsi="Calibri" w:cs="Calibri"/>
                <w:spacing w:val="-2"/>
                <w:sz w:val="20"/>
                <w:szCs w:val="20"/>
              </w:rPr>
              <w:t>area</w:t>
            </w:r>
            <w:r w:rsidRPr="001756EE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1756EE">
              <w:rPr>
                <w:rFonts w:ascii="Calibri" w:hAnsi="Calibri" w:cs="Calibri"/>
                <w:spacing w:val="-2"/>
                <w:sz w:val="20"/>
                <w:szCs w:val="20"/>
              </w:rPr>
              <w:t>south of</w:t>
            </w:r>
            <w:r w:rsidRPr="001756EE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1756EE">
              <w:rPr>
                <w:rFonts w:ascii="Calibri" w:hAnsi="Calibri" w:cs="Calibri"/>
                <w:spacing w:val="-2"/>
                <w:sz w:val="20"/>
                <w:szCs w:val="20"/>
              </w:rPr>
              <w:t>Swanson</w:t>
            </w:r>
            <w:r w:rsidRPr="001756E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756EE">
              <w:rPr>
                <w:rFonts w:ascii="Calibri" w:hAnsi="Calibri" w:cs="Calibri"/>
                <w:spacing w:val="-2"/>
                <w:sz w:val="20"/>
                <w:szCs w:val="20"/>
              </w:rPr>
              <w:t>Court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2AADD" w14:textId="2309CEF8" w:rsidR="000540C7" w:rsidRPr="00045015" w:rsidRDefault="000540C7" w:rsidP="000540C7">
            <w:pPr>
              <w:pStyle w:val="TableParagraph"/>
              <w:kinsoku w:val="0"/>
              <w:overflowPunct w:val="0"/>
              <w:ind w:left="96" w:hanging="2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1756EE">
              <w:rPr>
                <w:rFonts w:ascii="Calibri" w:hAnsi="Calibri" w:cs="Calibri"/>
                <w:sz w:val="20"/>
                <w:szCs w:val="20"/>
              </w:rPr>
              <w:t>Part 17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1C750" w14:textId="4A55C9F9" w:rsidR="000540C7" w:rsidRPr="00045015" w:rsidRDefault="000540C7" w:rsidP="000540C7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1756EE">
              <w:rPr>
                <w:rFonts w:ascii="Calibri" w:hAnsi="Calibri" w:cs="Calibri"/>
                <w:spacing w:val="-1"/>
                <w:sz w:val="20"/>
                <w:szCs w:val="20"/>
              </w:rPr>
              <w:t>152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8188A" w14:textId="5832330B" w:rsidR="000540C7" w:rsidRPr="00045015" w:rsidRDefault="000540C7" w:rsidP="000540C7">
            <w:pPr>
              <w:pStyle w:val="TableParagraph"/>
              <w:kinsoku w:val="0"/>
              <w:overflowPunct w:val="0"/>
              <w:ind w:left="96" w:right="53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1756EE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</w:tr>
    </w:tbl>
    <w:p w14:paraId="5F8CC6B9" w14:textId="07280076" w:rsidR="000540C7" w:rsidRDefault="000540C7" w:rsidP="00434CBF"/>
    <w:p w14:paraId="3584298F" w14:textId="77777777" w:rsidR="00DC6FF7" w:rsidRDefault="00DC6FF7" w:rsidP="00DC6FF7"/>
    <w:bookmarkEnd w:id="1"/>
    <w:p w14:paraId="269C9BD2" w14:textId="4EE0B32D" w:rsidR="00BC462F" w:rsidRPr="00D3440A" w:rsidRDefault="00BC462F" w:rsidP="00BC462F">
      <w:pPr>
        <w:autoSpaceDE w:val="0"/>
        <w:autoSpaceDN w:val="0"/>
        <w:adjustRightInd w:val="0"/>
        <w:rPr>
          <w:b/>
          <w:u w:val="single"/>
          <w:lang w:eastAsia="en-AU"/>
        </w:rPr>
      </w:pPr>
      <w:r w:rsidRPr="00D3440A">
        <w:rPr>
          <w:b/>
          <w:u w:val="single"/>
          <w:lang w:eastAsia="en-AU"/>
        </w:rPr>
        <w:t>Regulatory Impact Statement (RIS)</w:t>
      </w:r>
    </w:p>
    <w:p w14:paraId="61129570" w14:textId="2149FD1F" w:rsidR="00BC462F" w:rsidRPr="00FE0761" w:rsidRDefault="00BC462F" w:rsidP="00CE3141">
      <w:r w:rsidRPr="00D3440A">
        <w:rPr>
          <w:lang w:eastAsia="en-AU"/>
        </w:rPr>
        <w:t xml:space="preserve">A RIS is not required for this fee determination due to section 36(1)(k) of the Legislation Act, which states that a RIS need not be prepared for an amendment of a fee consistent with announced government policy. </w:t>
      </w:r>
      <w:r w:rsidRPr="00D3440A">
        <w:rPr>
          <w:szCs w:val="24"/>
          <w:lang w:eastAsia="en-AU"/>
        </w:rPr>
        <w:t>Parking fees made by this instrument are consistent with the Government’s policies to reduce the provision of free parking and encourage greater use of sustainable transport options</w:t>
      </w:r>
      <w:r w:rsidR="00CE3141">
        <w:rPr>
          <w:szCs w:val="24"/>
          <w:lang w:eastAsia="en-AU"/>
        </w:rPr>
        <w:t xml:space="preserve">, and with the </w:t>
      </w:r>
      <w:r w:rsidR="00CE3141">
        <w:t>annual fee increase framework announced in the 2019-20 ACT Government Budget</w:t>
      </w:r>
      <w:r w:rsidRPr="00D3440A">
        <w:rPr>
          <w:szCs w:val="24"/>
          <w:lang w:eastAsia="en-AU"/>
        </w:rPr>
        <w:t xml:space="preserve">. </w:t>
      </w:r>
    </w:p>
    <w:p w14:paraId="20FBD4D6" w14:textId="77777777" w:rsidR="00BC462F" w:rsidRDefault="00BC462F" w:rsidP="00BC462F">
      <w:pPr>
        <w:autoSpaceDE w:val="0"/>
        <w:autoSpaceDN w:val="0"/>
        <w:adjustRightInd w:val="0"/>
        <w:rPr>
          <w:szCs w:val="24"/>
          <w:lang w:eastAsia="en-AU"/>
        </w:rPr>
      </w:pPr>
    </w:p>
    <w:p w14:paraId="7820E5D6" w14:textId="77777777" w:rsidR="00BC462F" w:rsidRPr="008048AC" w:rsidRDefault="00BC462F" w:rsidP="00BC462F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8048AC">
        <w:rPr>
          <w:b/>
          <w:color w:val="000000"/>
          <w:u w:val="single"/>
        </w:rPr>
        <w:t>Human Rights</w:t>
      </w:r>
    </w:p>
    <w:p w14:paraId="211E499E" w14:textId="6CBC8453" w:rsidR="00BC462F" w:rsidRDefault="00BC462F" w:rsidP="00BC462F">
      <w:r w:rsidRPr="00EB3913">
        <w:t>The Standing Committee on Justice and Community Safety (Legislative Scrutiny R</w:t>
      </w:r>
      <w:r>
        <w:t>ole) terms of reference require</w:t>
      </w:r>
      <w:r w:rsidRPr="00EB3913">
        <w:t xml:space="preserve"> consideration of human rights</w:t>
      </w:r>
      <w:r>
        <w:t xml:space="preserve"> impacts</w:t>
      </w:r>
      <w:r w:rsidRPr="00EB3913">
        <w:t>, among other matters. In this case, no human rights are impacted.</w:t>
      </w:r>
    </w:p>
    <w:p w14:paraId="172D4F4D" w14:textId="77777777" w:rsidR="00BC76EB" w:rsidRDefault="00BC76EB" w:rsidP="00BC462F"/>
    <w:p w14:paraId="5AB1EE9F" w14:textId="77777777" w:rsidR="004942E7" w:rsidRPr="00BC76EB" w:rsidRDefault="004942E7" w:rsidP="00BC76EB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BC76EB">
        <w:rPr>
          <w:b/>
          <w:color w:val="000000"/>
          <w:u w:val="single"/>
        </w:rPr>
        <w:t>Climate Change</w:t>
      </w:r>
    </w:p>
    <w:p w14:paraId="771C1DC1" w14:textId="4C02AF10" w:rsidR="004942E7" w:rsidRPr="00254AA2" w:rsidRDefault="00434CBF" w:rsidP="004942E7">
      <w:pPr>
        <w:autoSpaceDE w:val="0"/>
        <w:autoSpaceDN w:val="0"/>
        <w:adjustRightInd w:val="0"/>
      </w:pPr>
      <w:r>
        <w:t>There is no</w:t>
      </w:r>
      <w:r w:rsidR="004942E7">
        <w:t xml:space="preserve"> measurable impact on climate change</w:t>
      </w:r>
      <w:r w:rsidR="004942E7" w:rsidRPr="00EB3913">
        <w:t>.</w:t>
      </w:r>
    </w:p>
    <w:p w14:paraId="21FAE414" w14:textId="02EFF71B" w:rsidR="0060608D" w:rsidRDefault="0060608D"/>
    <w:p w14:paraId="19257909" w14:textId="77777777" w:rsidR="00BC76EB" w:rsidRPr="004C5FA4" w:rsidRDefault="00BC76EB" w:rsidP="00BC76EB">
      <w:pPr>
        <w:autoSpaceDE w:val="0"/>
        <w:autoSpaceDN w:val="0"/>
        <w:adjustRightInd w:val="0"/>
        <w:rPr>
          <w:b/>
          <w:lang w:eastAsia="en-AU"/>
        </w:rPr>
      </w:pPr>
      <w:r w:rsidRPr="004C5FA4">
        <w:rPr>
          <w:b/>
          <w:lang w:eastAsia="en-AU"/>
        </w:rPr>
        <w:t>Outline of Provisions</w:t>
      </w:r>
    </w:p>
    <w:p w14:paraId="4DA10F88" w14:textId="77777777" w:rsidR="00BC76EB" w:rsidRPr="004C5FA4" w:rsidRDefault="00BC76EB" w:rsidP="00BC76EB">
      <w:pPr>
        <w:autoSpaceDE w:val="0"/>
        <w:autoSpaceDN w:val="0"/>
        <w:adjustRightInd w:val="0"/>
        <w:rPr>
          <w:lang w:eastAsia="en-AU"/>
        </w:rPr>
      </w:pPr>
    </w:p>
    <w:p w14:paraId="36DDB643" w14:textId="1E02D2CE" w:rsidR="00BC76EB" w:rsidRPr="004C5FA4" w:rsidRDefault="00BC76EB" w:rsidP="00BC76EB">
      <w:pPr>
        <w:autoSpaceDE w:val="0"/>
        <w:autoSpaceDN w:val="0"/>
        <w:adjustRightInd w:val="0"/>
        <w:rPr>
          <w:b/>
          <w:lang w:eastAsia="en-AU"/>
        </w:rPr>
      </w:pPr>
      <w:r w:rsidRPr="004C5FA4">
        <w:rPr>
          <w:b/>
          <w:lang w:eastAsia="en-AU"/>
        </w:rPr>
        <w:t xml:space="preserve">Clause 1 </w:t>
      </w:r>
      <w:r w:rsidRPr="004C5FA4">
        <w:rPr>
          <w:lang w:eastAsia="en-AU"/>
        </w:rPr>
        <w:t xml:space="preserve">names the instrument the </w:t>
      </w:r>
      <w:r w:rsidRPr="004C5FA4">
        <w:rPr>
          <w:i/>
        </w:rPr>
        <w:t xml:space="preserve">Road Transport (General) (Parking </w:t>
      </w:r>
      <w:r w:rsidR="004C5FA4" w:rsidRPr="004C5FA4">
        <w:rPr>
          <w:i/>
        </w:rPr>
        <w:t>Area</w:t>
      </w:r>
      <w:r w:rsidRPr="004C5FA4">
        <w:rPr>
          <w:i/>
        </w:rPr>
        <w:t xml:space="preserve"> Fees) Determination 2022 (</w:t>
      </w:r>
      <w:r w:rsidR="00434CBF" w:rsidRPr="004C5FA4">
        <w:rPr>
          <w:i/>
        </w:rPr>
        <w:t>No</w:t>
      </w:r>
      <w:r w:rsidR="00434CBF">
        <w:rPr>
          <w:i/>
        </w:rPr>
        <w:t>2</w:t>
      </w:r>
      <w:r w:rsidRPr="004C5FA4">
        <w:rPr>
          <w:i/>
        </w:rPr>
        <w:t>)</w:t>
      </w:r>
      <w:r w:rsidRPr="004C5FA4">
        <w:rPr>
          <w:lang w:eastAsia="en-AU"/>
        </w:rPr>
        <w:t>.</w:t>
      </w:r>
    </w:p>
    <w:p w14:paraId="72A60AB8" w14:textId="77777777" w:rsidR="00BC76EB" w:rsidRPr="004C5FA4" w:rsidRDefault="00BC76EB" w:rsidP="00BC76EB">
      <w:pPr>
        <w:autoSpaceDE w:val="0"/>
        <w:autoSpaceDN w:val="0"/>
        <w:adjustRightInd w:val="0"/>
        <w:rPr>
          <w:lang w:eastAsia="en-AU"/>
        </w:rPr>
      </w:pPr>
    </w:p>
    <w:p w14:paraId="66F621A3" w14:textId="0981DDC0" w:rsidR="00BC76EB" w:rsidRPr="004C5FA4" w:rsidRDefault="00BC76EB" w:rsidP="00BC76EB">
      <w:pPr>
        <w:autoSpaceDE w:val="0"/>
        <w:autoSpaceDN w:val="0"/>
        <w:adjustRightInd w:val="0"/>
        <w:rPr>
          <w:lang w:eastAsia="en-AU"/>
        </w:rPr>
      </w:pPr>
      <w:r w:rsidRPr="004C5FA4">
        <w:rPr>
          <w:b/>
          <w:lang w:eastAsia="en-AU"/>
        </w:rPr>
        <w:t>Clause 2</w:t>
      </w:r>
      <w:r w:rsidRPr="004C5FA4">
        <w:rPr>
          <w:lang w:eastAsia="en-AU"/>
        </w:rPr>
        <w:t xml:space="preserve"> states that the instrument commences </w:t>
      </w:r>
      <w:r w:rsidR="00B177B7">
        <w:rPr>
          <w:lang w:eastAsia="en-AU"/>
        </w:rPr>
        <w:t>the day after notification</w:t>
      </w:r>
      <w:r w:rsidRPr="004C5FA4">
        <w:rPr>
          <w:lang w:eastAsia="en-AU"/>
        </w:rPr>
        <w:t xml:space="preserve">. </w:t>
      </w:r>
    </w:p>
    <w:p w14:paraId="0B756088" w14:textId="77777777" w:rsidR="00BC76EB" w:rsidRPr="004C5FA4" w:rsidRDefault="00BC76EB" w:rsidP="00BC76EB">
      <w:pPr>
        <w:autoSpaceDE w:val="0"/>
        <w:autoSpaceDN w:val="0"/>
        <w:adjustRightInd w:val="0"/>
        <w:rPr>
          <w:lang w:eastAsia="en-AU"/>
        </w:rPr>
      </w:pPr>
    </w:p>
    <w:p w14:paraId="3104ED9D" w14:textId="6D5DE214" w:rsidR="00BC76EB" w:rsidRPr="004C5FA4" w:rsidRDefault="00BC76EB" w:rsidP="00BC76EB">
      <w:pPr>
        <w:rPr>
          <w:b/>
          <w:lang w:eastAsia="en-AU"/>
        </w:rPr>
      </w:pPr>
      <w:r w:rsidRPr="004C5FA4">
        <w:rPr>
          <w:b/>
          <w:lang w:eastAsia="en-AU"/>
        </w:rPr>
        <w:t xml:space="preserve">Clause 3 </w:t>
      </w:r>
      <w:r w:rsidRPr="004C5FA4">
        <w:rPr>
          <w:lang w:eastAsia="en-AU"/>
        </w:rPr>
        <w:t>determines the fees payable by reference to schedule 1.</w:t>
      </w:r>
    </w:p>
    <w:p w14:paraId="251C8052" w14:textId="77777777" w:rsidR="00BC76EB" w:rsidRPr="004C5FA4" w:rsidRDefault="00BC76EB" w:rsidP="00BC76EB">
      <w:pPr>
        <w:rPr>
          <w:lang w:eastAsia="en-AU"/>
        </w:rPr>
      </w:pPr>
    </w:p>
    <w:p w14:paraId="51738CED" w14:textId="1B0B7158" w:rsidR="00BC76EB" w:rsidRPr="004C5FA4" w:rsidRDefault="00BC76EB" w:rsidP="00BC76EB">
      <w:pPr>
        <w:rPr>
          <w:b/>
          <w:lang w:eastAsia="en-AU"/>
        </w:rPr>
      </w:pPr>
      <w:r w:rsidRPr="004C5FA4">
        <w:rPr>
          <w:b/>
          <w:lang w:eastAsia="en-AU"/>
        </w:rPr>
        <w:t xml:space="preserve">Clause 4 </w:t>
      </w:r>
      <w:r w:rsidRPr="004C5FA4">
        <w:rPr>
          <w:lang w:eastAsia="en-AU"/>
        </w:rPr>
        <w:t xml:space="preserve">determines the responsible party for paying fees mentioned in schedule 1 and schedule 2. </w:t>
      </w:r>
    </w:p>
    <w:p w14:paraId="58F23058" w14:textId="77777777" w:rsidR="00BC76EB" w:rsidRPr="004C5FA4" w:rsidRDefault="00BC76EB" w:rsidP="00BC76EB">
      <w:pPr>
        <w:rPr>
          <w:lang w:eastAsia="en-AU"/>
        </w:rPr>
      </w:pPr>
    </w:p>
    <w:p w14:paraId="5E358E69" w14:textId="210808A6" w:rsidR="00BC76EB" w:rsidRPr="004C5FA4" w:rsidRDefault="00BC76EB" w:rsidP="00BC76EB">
      <w:pPr>
        <w:rPr>
          <w:b/>
          <w:lang w:eastAsia="en-AU"/>
        </w:rPr>
      </w:pPr>
      <w:r w:rsidRPr="004C5FA4">
        <w:rPr>
          <w:b/>
          <w:lang w:eastAsia="en-AU"/>
        </w:rPr>
        <w:t xml:space="preserve">Clause 5 </w:t>
      </w:r>
      <w:r w:rsidR="00B177B7">
        <w:rPr>
          <w:lang w:eastAsia="en-AU"/>
        </w:rPr>
        <w:t xml:space="preserve">determines the circumstances in which the payment of fees does not apply. </w:t>
      </w:r>
    </w:p>
    <w:p w14:paraId="47A5484E" w14:textId="77777777" w:rsidR="00BC76EB" w:rsidRPr="004C5FA4" w:rsidRDefault="00BC76EB" w:rsidP="00BC76EB">
      <w:pPr>
        <w:rPr>
          <w:lang w:eastAsia="en-AU"/>
        </w:rPr>
      </w:pPr>
    </w:p>
    <w:p w14:paraId="646BFA1E" w14:textId="625EF8EC" w:rsidR="00B177B7" w:rsidRDefault="00BC76EB" w:rsidP="00BC76EB">
      <w:pPr>
        <w:rPr>
          <w:bCs/>
          <w:lang w:eastAsia="en-AU"/>
        </w:rPr>
      </w:pPr>
      <w:r w:rsidRPr="004C5FA4">
        <w:rPr>
          <w:b/>
          <w:lang w:eastAsia="en-AU"/>
        </w:rPr>
        <w:t xml:space="preserve">Clause 6 </w:t>
      </w:r>
      <w:r w:rsidR="00B177B7" w:rsidRPr="008C1FCF">
        <w:rPr>
          <w:bCs/>
          <w:lang w:eastAsia="en-AU"/>
        </w:rPr>
        <w:t>determines the fees payable for multi-day parking tickets</w:t>
      </w:r>
      <w:r w:rsidR="00B177B7">
        <w:rPr>
          <w:bCs/>
          <w:lang w:eastAsia="en-AU"/>
        </w:rPr>
        <w:t xml:space="preserve"> by reference to schedule 2. </w:t>
      </w:r>
    </w:p>
    <w:p w14:paraId="70805125" w14:textId="05B5E95D" w:rsidR="00B177B7" w:rsidRDefault="00B177B7" w:rsidP="00BC76EB">
      <w:pPr>
        <w:rPr>
          <w:bCs/>
          <w:lang w:eastAsia="en-AU"/>
        </w:rPr>
      </w:pPr>
    </w:p>
    <w:p w14:paraId="2EC63E12" w14:textId="0A26620C" w:rsidR="00B177B7" w:rsidRDefault="00B177B7" w:rsidP="00BC76EB">
      <w:pPr>
        <w:rPr>
          <w:bCs/>
          <w:lang w:eastAsia="en-AU"/>
        </w:rPr>
      </w:pPr>
      <w:r>
        <w:rPr>
          <w:b/>
          <w:lang w:eastAsia="en-AU"/>
        </w:rPr>
        <w:t xml:space="preserve">Clause 7 </w:t>
      </w:r>
      <w:r>
        <w:rPr>
          <w:bCs/>
          <w:lang w:eastAsia="en-AU"/>
        </w:rPr>
        <w:t xml:space="preserve">determines the fees payable for eligible CIT student pre-paid ticket parking schemes by reference to schedule 3. </w:t>
      </w:r>
    </w:p>
    <w:p w14:paraId="6C1F0A13" w14:textId="77777777" w:rsidR="00B177B7" w:rsidRPr="008C1FCF" w:rsidRDefault="00B177B7" w:rsidP="00BC76EB">
      <w:pPr>
        <w:rPr>
          <w:bCs/>
          <w:lang w:eastAsia="en-AU"/>
        </w:rPr>
      </w:pPr>
    </w:p>
    <w:p w14:paraId="1B9AB52E" w14:textId="1DBD35F5" w:rsidR="00BC76EB" w:rsidRDefault="00B177B7" w:rsidP="00BC76EB">
      <w:r>
        <w:rPr>
          <w:b/>
          <w:bCs/>
          <w:lang w:eastAsia="en-AU"/>
        </w:rPr>
        <w:t xml:space="preserve">Clause 8 </w:t>
      </w:r>
      <w:r w:rsidR="00BC76EB" w:rsidRPr="004C5FA4">
        <w:rPr>
          <w:lang w:eastAsia="en-AU"/>
        </w:rPr>
        <w:t xml:space="preserve">provides that the </w:t>
      </w:r>
      <w:r w:rsidR="00BC76EB" w:rsidRPr="004C5FA4">
        <w:rPr>
          <w:i/>
        </w:rPr>
        <w:t xml:space="preserve">Road Transport (General) (Parking </w:t>
      </w:r>
      <w:r w:rsidR="004C5FA4" w:rsidRPr="004C5FA4">
        <w:rPr>
          <w:i/>
        </w:rPr>
        <w:t>Area</w:t>
      </w:r>
      <w:r w:rsidR="00BC76EB" w:rsidRPr="004C5FA4">
        <w:rPr>
          <w:i/>
        </w:rPr>
        <w:t xml:space="preserve"> Fees) Determination </w:t>
      </w:r>
      <w:r w:rsidR="00434CBF" w:rsidRPr="004C5FA4">
        <w:rPr>
          <w:i/>
        </w:rPr>
        <w:t>202</w:t>
      </w:r>
      <w:r w:rsidR="00434CBF">
        <w:rPr>
          <w:i/>
        </w:rPr>
        <w:t>2</w:t>
      </w:r>
      <w:r w:rsidR="00434CBF" w:rsidRPr="004C5FA4">
        <w:rPr>
          <w:i/>
        </w:rPr>
        <w:t xml:space="preserve"> </w:t>
      </w:r>
      <w:r w:rsidR="00BC76EB" w:rsidRPr="004C5FA4">
        <w:rPr>
          <w:i/>
        </w:rPr>
        <w:t xml:space="preserve">(No </w:t>
      </w:r>
      <w:r w:rsidR="00434CBF">
        <w:rPr>
          <w:i/>
        </w:rPr>
        <w:t>1</w:t>
      </w:r>
      <w:r w:rsidR="00BC76EB" w:rsidRPr="004C5FA4">
        <w:rPr>
          <w:i/>
        </w:rPr>
        <w:t>)</w:t>
      </w:r>
      <w:r w:rsidR="00BC76EB" w:rsidRPr="004C5FA4">
        <w:t xml:space="preserve"> (</w:t>
      </w:r>
      <w:r w:rsidR="00434CBF" w:rsidRPr="004C5FA4">
        <w:t>DI202</w:t>
      </w:r>
      <w:r w:rsidR="00434CBF">
        <w:t>2</w:t>
      </w:r>
      <w:r w:rsidR="00BC76EB" w:rsidRPr="004C5FA4">
        <w:t>-</w:t>
      </w:r>
      <w:r w:rsidR="00434CBF">
        <w:t>65</w:t>
      </w:r>
      <w:r w:rsidR="00BC76EB" w:rsidRPr="004C5FA4">
        <w:t>) is revoked.</w:t>
      </w:r>
    </w:p>
    <w:p w14:paraId="78D2002B" w14:textId="2B5D66E3" w:rsidR="00B177B7" w:rsidRDefault="00B177B7" w:rsidP="00BC76EB"/>
    <w:p w14:paraId="3940D048" w14:textId="55B510E7" w:rsidR="00B177B7" w:rsidRPr="008C1FCF" w:rsidRDefault="00B177B7" w:rsidP="00BC76EB">
      <w:pPr>
        <w:rPr>
          <w:b/>
          <w:bCs/>
        </w:rPr>
      </w:pPr>
      <w:r w:rsidRPr="008C1FCF">
        <w:rPr>
          <w:b/>
          <w:bCs/>
        </w:rPr>
        <w:t>Clause 9</w:t>
      </w:r>
      <w:r>
        <w:rPr>
          <w:b/>
          <w:bCs/>
        </w:rPr>
        <w:t xml:space="preserve"> </w:t>
      </w:r>
      <w:r w:rsidRPr="008C1FCF">
        <w:t>includes</w:t>
      </w:r>
      <w:r w:rsidR="008C1FCF" w:rsidRPr="008C1FCF">
        <w:t xml:space="preserve"> relevant definitions. </w:t>
      </w:r>
    </w:p>
    <w:sectPr w:rsidR="00B177B7" w:rsidRPr="008C1FCF" w:rsidSect="004C4A4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B5DE1" w14:textId="77777777" w:rsidR="005308F4" w:rsidRDefault="005308F4">
      <w:r>
        <w:separator/>
      </w:r>
    </w:p>
  </w:endnote>
  <w:endnote w:type="continuationSeparator" w:id="0">
    <w:p w14:paraId="75F5191F" w14:textId="77777777" w:rsidR="005308F4" w:rsidRDefault="0053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4AE52" w14:textId="77777777" w:rsidR="00A062DB" w:rsidRDefault="00A062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D74C" w14:textId="0EFD9DE4" w:rsidR="004C4A40" w:rsidRPr="00A062DB" w:rsidRDefault="00A062DB" w:rsidP="00A062DB">
    <w:pPr>
      <w:pStyle w:val="Footer"/>
      <w:spacing w:before="0" w:after="0" w:line="240" w:lineRule="auto"/>
      <w:jc w:val="center"/>
      <w:rPr>
        <w:rFonts w:cs="Arial"/>
        <w:sz w:val="14"/>
      </w:rPr>
    </w:pPr>
    <w:r w:rsidRPr="00A062D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2DB22" w14:textId="77777777" w:rsidR="00A062DB" w:rsidRDefault="00A062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E6075" w14:textId="77777777" w:rsidR="005308F4" w:rsidRDefault="005308F4">
      <w:r>
        <w:separator/>
      </w:r>
    </w:p>
  </w:footnote>
  <w:footnote w:type="continuationSeparator" w:id="0">
    <w:p w14:paraId="0BC23EE5" w14:textId="77777777" w:rsidR="005308F4" w:rsidRDefault="00530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FA79" w14:textId="77777777" w:rsidR="00A062DB" w:rsidRDefault="00A062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F12A4" w14:textId="77777777" w:rsidR="00A062DB" w:rsidRDefault="00A062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31FAD" w14:textId="77777777" w:rsidR="00A062DB" w:rsidRDefault="00A062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145B66"/>
    <w:multiLevelType w:val="multilevel"/>
    <w:tmpl w:val="628C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7C55BFC"/>
    <w:multiLevelType w:val="hybridMultilevel"/>
    <w:tmpl w:val="AD6232CE"/>
    <w:lvl w:ilvl="0" w:tplc="EB6E8F3E">
      <w:start w:val="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52F"/>
    <w:rsid w:val="00017A9C"/>
    <w:rsid w:val="000540C7"/>
    <w:rsid w:val="00062699"/>
    <w:rsid w:val="0007609D"/>
    <w:rsid w:val="00081CA7"/>
    <w:rsid w:val="000931C0"/>
    <w:rsid w:val="000B1BA3"/>
    <w:rsid w:val="000B4A7B"/>
    <w:rsid w:val="000D74F7"/>
    <w:rsid w:val="000E5BC6"/>
    <w:rsid w:val="0014159F"/>
    <w:rsid w:val="001536B7"/>
    <w:rsid w:val="0017233D"/>
    <w:rsid w:val="001B7847"/>
    <w:rsid w:val="00202271"/>
    <w:rsid w:val="00221AD3"/>
    <w:rsid w:val="002274FF"/>
    <w:rsid w:val="00230796"/>
    <w:rsid w:val="002450D2"/>
    <w:rsid w:val="002523A4"/>
    <w:rsid w:val="00256208"/>
    <w:rsid w:val="00264322"/>
    <w:rsid w:val="00291233"/>
    <w:rsid w:val="002A065B"/>
    <w:rsid w:val="002D0865"/>
    <w:rsid w:val="002F1A2A"/>
    <w:rsid w:val="00337700"/>
    <w:rsid w:val="00366273"/>
    <w:rsid w:val="003D173B"/>
    <w:rsid w:val="003D7C63"/>
    <w:rsid w:val="003F381E"/>
    <w:rsid w:val="00434CBF"/>
    <w:rsid w:val="00471C05"/>
    <w:rsid w:val="0049130D"/>
    <w:rsid w:val="004942E7"/>
    <w:rsid w:val="00495A2A"/>
    <w:rsid w:val="00495FCF"/>
    <w:rsid w:val="004A57E8"/>
    <w:rsid w:val="004C4A40"/>
    <w:rsid w:val="004C5FA4"/>
    <w:rsid w:val="0050291F"/>
    <w:rsid w:val="00520FA0"/>
    <w:rsid w:val="005308F4"/>
    <w:rsid w:val="005348DF"/>
    <w:rsid w:val="00536384"/>
    <w:rsid w:val="005406A3"/>
    <w:rsid w:val="00550787"/>
    <w:rsid w:val="00593F2D"/>
    <w:rsid w:val="005A7B9B"/>
    <w:rsid w:val="005D70F1"/>
    <w:rsid w:val="005E0000"/>
    <w:rsid w:val="0060608D"/>
    <w:rsid w:val="0062133E"/>
    <w:rsid w:val="00643D3C"/>
    <w:rsid w:val="006515ED"/>
    <w:rsid w:val="00667A78"/>
    <w:rsid w:val="00671FB4"/>
    <w:rsid w:val="006F2719"/>
    <w:rsid w:val="00701D65"/>
    <w:rsid w:val="007255A9"/>
    <w:rsid w:val="007A299A"/>
    <w:rsid w:val="007A390D"/>
    <w:rsid w:val="00804425"/>
    <w:rsid w:val="0084642E"/>
    <w:rsid w:val="008607B8"/>
    <w:rsid w:val="008A3527"/>
    <w:rsid w:val="008C1FCF"/>
    <w:rsid w:val="008D22B9"/>
    <w:rsid w:val="008E2906"/>
    <w:rsid w:val="00925D4A"/>
    <w:rsid w:val="00942860"/>
    <w:rsid w:val="0097090D"/>
    <w:rsid w:val="009901AF"/>
    <w:rsid w:val="00A062DB"/>
    <w:rsid w:val="00A27270"/>
    <w:rsid w:val="00A66455"/>
    <w:rsid w:val="00A7368C"/>
    <w:rsid w:val="00AC7519"/>
    <w:rsid w:val="00B177B7"/>
    <w:rsid w:val="00B22DF5"/>
    <w:rsid w:val="00B40BF0"/>
    <w:rsid w:val="00B54842"/>
    <w:rsid w:val="00BC07C8"/>
    <w:rsid w:val="00BC462F"/>
    <w:rsid w:val="00BC76EB"/>
    <w:rsid w:val="00C4252F"/>
    <w:rsid w:val="00C470C5"/>
    <w:rsid w:val="00C52A7D"/>
    <w:rsid w:val="00C646AF"/>
    <w:rsid w:val="00C83D82"/>
    <w:rsid w:val="00CA04F8"/>
    <w:rsid w:val="00CB3361"/>
    <w:rsid w:val="00CE3141"/>
    <w:rsid w:val="00CE4925"/>
    <w:rsid w:val="00D12284"/>
    <w:rsid w:val="00D3440A"/>
    <w:rsid w:val="00D7663A"/>
    <w:rsid w:val="00DC6FF7"/>
    <w:rsid w:val="00E155CD"/>
    <w:rsid w:val="00E55A0F"/>
    <w:rsid w:val="00EA0410"/>
    <w:rsid w:val="00EA1FD8"/>
    <w:rsid w:val="00EB7892"/>
    <w:rsid w:val="00EC5F23"/>
    <w:rsid w:val="00ED2F0D"/>
    <w:rsid w:val="00EE193F"/>
    <w:rsid w:val="00EF2E15"/>
    <w:rsid w:val="00F36430"/>
    <w:rsid w:val="00F53EBE"/>
    <w:rsid w:val="00F65102"/>
    <w:rsid w:val="00F90F92"/>
    <w:rsid w:val="00FA485E"/>
    <w:rsid w:val="00FA7F3E"/>
    <w:rsid w:val="00FD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FBA12E"/>
  <w15:chartTrackingRefBased/>
  <w15:docId w15:val="{40A8609F-6547-4B69-998D-028DE480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2F1A2A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2F1A2A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2F1A2A"/>
    <w:pPr>
      <w:spacing w:before="360"/>
      <w:ind w:right="565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10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10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10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FootnoteReference">
    <w:name w:val="footnote reference"/>
    <w:basedOn w:val="DefaultParagraphFont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rsid w:val="00EA04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A0410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rsid w:val="00A272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7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2727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272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7270"/>
    <w:rPr>
      <w:b/>
      <w:bCs/>
      <w:lang w:eastAsia="en-US"/>
    </w:rPr>
  </w:style>
  <w:style w:type="table" w:styleId="TableGrid">
    <w:name w:val="Table Grid"/>
    <w:basedOn w:val="TableNormal"/>
    <w:uiPriority w:val="39"/>
    <w:rsid w:val="004942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540C7"/>
    <w:pPr>
      <w:widowControl w:val="0"/>
      <w:autoSpaceDE w:val="0"/>
      <w:autoSpaceDN w:val="0"/>
      <w:adjustRightInd w:val="0"/>
    </w:pPr>
    <w:rPr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9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es_x0020_to xmlns="2cc1f1bd-1e1d-463f-8fcc-cae38e6c0533">
      <Value>Environment, Planning and Sustainable Development Directorate</Value>
    </Applies_x0020_to>
    <Review_x0020_date xmlns="2cc1f1bd-1e1d-463f-8fcc-cae38e6c0533" xsi:nil="true"/>
    <Users xmlns="2cc1f1bd-1e1d-463f-8fcc-cae38e6c0533">1</Users>
    <Date_x0020_approved xmlns="2cc1f1bd-1e1d-463f-8fcc-cae38e6c0533" xsi:nil="true"/>
    <Document_x0020_topic xmlns="2cc1f1bd-1e1d-463f-8fcc-cae38e6c0533">13</Document_x0020_topic>
    <IconOverlay xmlns="http://schemas.microsoft.com/sharepoint/v4" xsi:nil="true"/>
    <TaxCatchAll xmlns="9373c7a8-43b7-4a21-b918-9a6f8159393d"/>
    <Description0 xmlns="2cc1f1bd-1e1d-463f-8fcc-cae38e6c0533" xsi:nil="true"/>
    <Objective_x0020_ID xmlns="2cc1f1bd-1e1d-463f-8fcc-cae38e6c0533" xsi:nil="true"/>
    <PublishingExpirationDate xmlns="http://schemas.microsoft.com/sharepoint/v3" xsi:nil="true"/>
    <Document_x0020_owner xmlns="2cc1f1bd-1e1d-463f-8fcc-cae38e6c0533">
      <Value>161</Value>
    </Document_x0020_owner>
    <Approved_x0020_by xmlns="2cc1f1bd-1e1d-463f-8fcc-cae38e6c0533" xsi:nil="true"/>
    <PublishingStartDate xmlns="http://schemas.microsoft.com/sharepoint/v3" xsi:nil="true"/>
    <Publish_x0020_to_x0020_web_x0020_under_x0020_OAIS xmlns="2cc1f1bd-1e1d-463f-8fcc-cae38e6c0533">false</Publish_x0020_to_x0020_web_x0020_under_x0020_OAIS>
    <Document_x0020_type xmlns="2cc1f1bd-1e1d-463f-8fcc-cae38e6c0533">13</Document_x0020_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76B25D5F726E4A88FE2B57891DE3DE" ma:contentTypeVersion="61" ma:contentTypeDescription="Create a new document." ma:contentTypeScope="" ma:versionID="b38af1acbf46e7a59b4d30ed0aadf2a2">
  <xsd:schema xmlns:xsd="http://www.w3.org/2001/XMLSchema" xmlns:xs="http://www.w3.org/2001/XMLSchema" xmlns:p="http://schemas.microsoft.com/office/2006/metadata/properties" xmlns:ns1="http://schemas.microsoft.com/sharepoint/v3" xmlns:ns2="2cc1f1bd-1e1d-463f-8fcc-cae38e6c0533" xmlns:ns3="http://schemas.microsoft.com/sharepoint/v4" xmlns:ns4="9373c7a8-43b7-4a21-b918-9a6f8159393d" targetNamespace="http://schemas.microsoft.com/office/2006/metadata/properties" ma:root="true" ma:fieldsID="21cc908406b81dee366ff04422860534" ns1:_="" ns2:_="" ns3:_="" ns4:_="">
    <xsd:import namespace="http://schemas.microsoft.com/sharepoint/v3"/>
    <xsd:import namespace="2cc1f1bd-1e1d-463f-8fcc-cae38e6c0533"/>
    <xsd:import namespace="http://schemas.microsoft.com/sharepoint/v4"/>
    <xsd:import namespace="9373c7a8-43b7-4a21-b918-9a6f8159393d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Applies_x0020_to" minOccurs="0"/>
                <xsd:element ref="ns2:Document_x0020_owner" minOccurs="0"/>
                <xsd:element ref="ns2:Document_x0020_topic" minOccurs="0"/>
                <xsd:element ref="ns2:Document_x0020_type" minOccurs="0"/>
                <xsd:element ref="ns2:Objective_x0020_ID" minOccurs="0"/>
                <xsd:element ref="ns2:Date_x0020_approved" minOccurs="0"/>
                <xsd:element ref="ns2:Approved_x0020_by" minOccurs="0"/>
                <xsd:element ref="ns2:Review_x0020_date" minOccurs="0"/>
                <xsd:element ref="ns1:PublishingStartDate" minOccurs="0"/>
                <xsd:element ref="ns1:PublishingExpirationDate" minOccurs="0"/>
                <xsd:element ref="ns2:Publish_x0020_to_x0020_web_x0020_under_x0020_OAIS" minOccurs="0"/>
                <xsd:element ref="ns2:Users" minOccurs="0"/>
                <xsd:element ref="ns2:MediaServiceMetadata" minOccurs="0"/>
                <xsd:element ref="ns2:MediaServiceFastMetadata" minOccurs="0"/>
                <xsd:element ref="ns3:IconOverlay" minOccurs="0"/>
                <xsd:element ref="ns4:SharedWithUsers" minOccurs="0"/>
                <xsd:element ref="ns4:SharedWithDetails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1f1bd-1e1d-463f-8fcc-cae38e6c0533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Applies_x0020_to" ma:index="3" nillable="true" ma:displayName="Applies to" ma:default="Environment, Planning and Sustainable Development Directorate" ma:internalName="Applies_x0020_to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vironment, Planning and Sustainable Development Directorate"/>
                    <xsd:enumeration value="City Renewal Authority"/>
                    <xsd:enumeration value="Parks &amp; Conservation Service"/>
                    <xsd:enumeration value="Suburban Land Agency"/>
                    <xsd:enumeration value="Whole of ACT Government"/>
                  </xsd:restriction>
                </xsd:simpleType>
              </xsd:element>
            </xsd:sequence>
          </xsd:extension>
        </xsd:complexContent>
      </xsd:complexType>
    </xsd:element>
    <xsd:element name="Document_x0020_owner" ma:index="4" nillable="true" ma:displayName="Document owner" ma:description="The business area that is responsible for this document" ma:list="{aec47689-5193-47b1-b4ce-b4ce1412582d}" ma:internalName="Document_x0020_owner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topic" ma:index="5" nillable="true" ma:displayName="Document topic" ma:list="{bcd10d4a-fa49-49f6-8bcf-38252aa6944c}" ma:internalName="Document_x0020_topic" ma:readOnly="false" ma:showField="Title">
      <xsd:simpleType>
        <xsd:restriction base="dms:Lookup"/>
      </xsd:simpleType>
    </xsd:element>
    <xsd:element name="Document_x0020_type" ma:index="6" nillable="true" ma:displayName="Document type" ma:list="{306b9746-2f3c-41fc-873a-39b99ba3a8a9}" ma:internalName="Document_x0020_type" ma:readOnly="false" ma:showField="Title">
      <xsd:simpleType>
        <xsd:restriction base="dms:Lookup"/>
      </xsd:simpleType>
    </xsd:element>
    <xsd:element name="Objective_x0020_ID" ma:index="7" nillable="true" ma:displayName="Objective ID" ma:internalName="Objective_x0020_ID" ma:readOnly="false">
      <xsd:simpleType>
        <xsd:restriction base="dms:Text">
          <xsd:maxLength value="255"/>
        </xsd:restriction>
      </xsd:simpleType>
    </xsd:element>
    <xsd:element name="Date_x0020_approved" ma:index="8" nillable="true" ma:displayName="Date approved" ma:format="DateOnly" ma:internalName="Date_x0020_approved" ma:readOnly="false">
      <xsd:simpleType>
        <xsd:restriction base="dms:DateTime"/>
      </xsd:simpleType>
    </xsd:element>
    <xsd:element name="Approved_x0020_by" ma:index="9" nillable="true" ma:displayName="Approved by" ma:internalName="Approved_x0020_by" ma:readOnly="false">
      <xsd:simpleType>
        <xsd:restriction base="dms:Text">
          <xsd:maxLength value="255"/>
        </xsd:restriction>
      </xsd:simpleType>
    </xsd:element>
    <xsd:element name="Review_x0020_date" ma:index="10" nillable="true" ma:displayName="Review date" ma:format="DateOnly" ma:internalName="Review_x0020_date" ma:readOnly="false">
      <xsd:simpleType>
        <xsd:restriction base="dms:DateTime"/>
      </xsd:simpleType>
    </xsd:element>
    <xsd:element name="Publish_x0020_to_x0020_web_x0020_under_x0020_OAIS" ma:index="15" nillable="true" ma:displayName="Publish to web under OAIS" ma:default="0" ma:internalName="Publish_x0020_to_x0020_web_x0020_under_x0020_OAIS" ma:readOnly="false">
      <xsd:simpleType>
        <xsd:restriction base="dms:Boolean"/>
      </xsd:simpleType>
    </xsd:element>
    <xsd:element name="Users" ma:index="16" nillable="true" ma:displayName="Users" ma:list="{4e343f2a-3c41-46a6-933d-15dfb75efa22}" ma:internalName="Users" ma:readOnly="false" ma:showField="Title">
      <xsd:simpleType>
        <xsd:restriction base="dms:Lookup"/>
      </xsd:simple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3c7a8-43b7-4a21-b918-9a6f8159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354c6ff-e285-48d8-8c87-05c79ed9e998}" ma:internalName="TaxCatchAll" ma:showField="CatchAllData" ma:web="9373c7a8-43b7-4a21-b918-9a6f81593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37DC23-B5A6-426A-AEB3-A5DB68BF0CA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AD5B5AD-52CB-4D78-ADED-DC85C41695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5C6E77-81BD-4368-857E-113CEB426D73}">
  <ds:schemaRefs>
    <ds:schemaRef ds:uri="http://schemas.microsoft.com/office/2006/metadata/properties"/>
    <ds:schemaRef ds:uri="http://schemas.microsoft.com/office/infopath/2007/PartnerControls"/>
    <ds:schemaRef ds:uri="2cc1f1bd-1e1d-463f-8fcc-cae38e6c0533"/>
    <ds:schemaRef ds:uri="http://schemas.microsoft.com/sharepoint/v4"/>
    <ds:schemaRef ds:uri="9373c7a8-43b7-4a21-b918-9a6f8159393d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30B9C94-DF3A-4AE7-BAEA-9159D54F651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E19D968-F5F4-466D-965A-E2D39599E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c1f1bd-1e1d-463f-8fcc-cae38e6c0533"/>
    <ds:schemaRef ds:uri="http://schemas.microsoft.com/sharepoint/v4"/>
    <ds:schemaRef ds:uri="9373c7a8-43b7-4a21-b918-9a6f8159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2707</Characters>
  <Application>Microsoft Office Word</Application>
  <DocSecurity>0</DocSecurity>
  <Lines>86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 explanatory statement template</vt:lpstr>
    </vt:vector>
  </TitlesOfParts>
  <Company>InTACT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 explanatory statement template</dc:title>
  <dc:subject/>
  <dc:creator>ACT Government</dc:creator>
  <cp:keywords/>
  <cp:lastModifiedBy>Stonham, Joshua</cp:lastModifiedBy>
  <cp:revision>4</cp:revision>
  <cp:lastPrinted>2006-03-31T03:28:00Z</cp:lastPrinted>
  <dcterms:created xsi:type="dcterms:W3CDTF">2022-07-29T06:01:00Z</dcterms:created>
  <dcterms:modified xsi:type="dcterms:W3CDTF">2022-07-29T06:01:00Z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-Topic">
    <vt:lpwstr>19</vt:lpwstr>
  </property>
  <property fmtid="{D5CDD505-2E9C-101B-9397-08002B2CF9AE}" pid="3" name="Topic">
    <vt:lpwstr>17</vt:lpwstr>
  </property>
  <property fmtid="{D5CDD505-2E9C-101B-9397-08002B2CF9AE}" pid="4" name="Doc Type">
    <vt:lpwstr>Template</vt:lpwstr>
  </property>
  <property fmtid="{D5CDD505-2E9C-101B-9397-08002B2CF9AE}" pid="5" name="display_urn:schemas-microsoft-com:office:office#Editor">
    <vt:lpwstr>McPhan, Nicola</vt:lpwstr>
  </property>
  <property fmtid="{D5CDD505-2E9C-101B-9397-08002B2CF9AE}" pid="6" name="display_urn:schemas-microsoft-com:office:office#Author">
    <vt:lpwstr>Kavanagh_A, Stephen</vt:lpwstr>
  </property>
  <property fmtid="{D5CDD505-2E9C-101B-9397-08002B2CF9AE}" pid="7" name="URL">
    <vt:lpwstr/>
  </property>
  <property fmtid="{D5CDD505-2E9C-101B-9397-08002B2CF9AE}" pid="8" name="Objective-Id">
    <vt:lpwstr>A35910831</vt:lpwstr>
  </property>
  <property fmtid="{D5CDD505-2E9C-101B-9397-08002B2CF9AE}" pid="9" name="Objective-Title">
    <vt:lpwstr>Att B - 2022 Parking area fees explanatory statement No 2</vt:lpwstr>
  </property>
  <property fmtid="{D5CDD505-2E9C-101B-9397-08002B2CF9AE}" pid="10" name="Objective-Comment">
    <vt:lpwstr/>
  </property>
  <property fmtid="{D5CDD505-2E9C-101B-9397-08002B2CF9AE}" pid="11" name="Objective-CreationStamp">
    <vt:filetime>2022-07-05T04:52:15Z</vt:filetime>
  </property>
  <property fmtid="{D5CDD505-2E9C-101B-9397-08002B2CF9AE}" pid="12" name="Objective-IsApproved">
    <vt:bool>false</vt:bool>
  </property>
  <property fmtid="{D5CDD505-2E9C-101B-9397-08002B2CF9AE}" pid="13" name="Objective-IsPublished">
    <vt:bool>true</vt:bool>
  </property>
  <property fmtid="{D5CDD505-2E9C-101B-9397-08002B2CF9AE}" pid="14" name="Objective-DatePublished">
    <vt:filetime>2022-07-26T02:39:32Z</vt:filetime>
  </property>
  <property fmtid="{D5CDD505-2E9C-101B-9397-08002B2CF9AE}" pid="15" name="Objective-ModificationStamp">
    <vt:filetime>2022-07-29T05:31:47Z</vt:filetime>
  </property>
  <property fmtid="{D5CDD505-2E9C-101B-9397-08002B2CF9AE}" pid="16" name="Objective-Owner">
    <vt:lpwstr>Melissa Hynds</vt:lpwstr>
  </property>
  <property fmtid="{D5CDD505-2E9C-101B-9397-08002B2CF9AE}" pid="17" name="Objective-Path">
    <vt:lpwstr>Whole of ACT Government:TCCS STRUCTURE - Content Restriction Hierarchy:01. Assembly, Cabinet, Ministerial:03. Ministerials:03. Complete:Information Brief (Minister):2022 Information Brief (Minister):TCBS - MIN S2022/01284 - Parking fees and charges 2022/23 - Menindee Drive - Minister Brief:</vt:lpwstr>
  </property>
  <property fmtid="{D5CDD505-2E9C-101B-9397-08002B2CF9AE}" pid="18" name="Objective-Parent">
    <vt:lpwstr>TCBS - MIN S2022/01284 - Parking fees and charges 2022/23 - Menindee Drive - Minister Brief</vt:lpwstr>
  </property>
  <property fmtid="{D5CDD505-2E9C-101B-9397-08002B2CF9AE}" pid="19" name="Objective-State">
    <vt:lpwstr>Published</vt:lpwstr>
  </property>
  <property fmtid="{D5CDD505-2E9C-101B-9397-08002B2CF9AE}" pid="20" name="Objective-Version">
    <vt:lpwstr>6.0</vt:lpwstr>
  </property>
  <property fmtid="{D5CDD505-2E9C-101B-9397-08002B2CF9AE}" pid="21" name="Objective-VersionNumber">
    <vt:r8>6</vt:r8>
  </property>
  <property fmtid="{D5CDD505-2E9C-101B-9397-08002B2CF9AE}" pid="22" name="Objective-VersionComment">
    <vt:lpwstr/>
  </property>
  <property fmtid="{D5CDD505-2E9C-101B-9397-08002B2CF9AE}" pid="23" name="Objective-FileNumber">
    <vt:lpwstr>1-2022/20020</vt:lpwstr>
  </property>
  <property fmtid="{D5CDD505-2E9C-101B-9397-08002B2CF9AE}" pid="24" name="Objective-Classification">
    <vt:lpwstr>[Inherited - none]</vt:lpwstr>
  </property>
  <property fmtid="{D5CDD505-2E9C-101B-9397-08002B2CF9AE}" pid="25" name="Objective-Caveats">
    <vt:lpwstr/>
  </property>
  <property fmtid="{D5CDD505-2E9C-101B-9397-08002B2CF9AE}" pid="26" name="Objective-Owner Agency [system]">
    <vt:lpwstr>EPSDD</vt:lpwstr>
  </property>
  <property fmtid="{D5CDD505-2E9C-101B-9397-08002B2CF9AE}" pid="27" name="Objective-Document Type [system]">
    <vt:lpwstr>0-Document</vt:lpwstr>
  </property>
  <property fmtid="{D5CDD505-2E9C-101B-9397-08002B2CF9AE}" pid="28" name="Objective-Language [system]">
    <vt:lpwstr>English (en)</vt:lpwstr>
  </property>
  <property fmtid="{D5CDD505-2E9C-101B-9397-08002B2CF9AE}" pid="29" name="Objective-Jurisdiction [system]">
    <vt:lpwstr>ACT</vt:lpwstr>
  </property>
  <property fmtid="{D5CDD505-2E9C-101B-9397-08002B2CF9AE}" pid="30" name="Objective-Customers [system]">
    <vt:lpwstr/>
  </property>
  <property fmtid="{D5CDD505-2E9C-101B-9397-08002B2CF9AE}" pid="31" name="Objective-Places [system]">
    <vt:lpwstr/>
  </property>
  <property fmtid="{D5CDD505-2E9C-101B-9397-08002B2CF9AE}" pid="32" name="Objective-Transaction Reference [system]">
    <vt:lpwstr/>
  </property>
  <property fmtid="{D5CDD505-2E9C-101B-9397-08002B2CF9AE}" pid="33" name="Objective-Document Created By [system]">
    <vt:lpwstr/>
  </property>
  <property fmtid="{D5CDD505-2E9C-101B-9397-08002B2CF9AE}" pid="34" name="Objective-Document Created On [system]">
    <vt:lpwstr/>
  </property>
  <property fmtid="{D5CDD505-2E9C-101B-9397-08002B2CF9AE}" pid="35" name="Objective-Covers Period From [system]">
    <vt:lpwstr/>
  </property>
  <property fmtid="{D5CDD505-2E9C-101B-9397-08002B2CF9AE}" pid="36" name="Objective-Covers Period To [system]">
    <vt:lpwstr/>
  </property>
  <property fmtid="{D5CDD505-2E9C-101B-9397-08002B2CF9AE}" pid="37" name="Objective-OM Author">
    <vt:lpwstr/>
  </property>
  <property fmtid="{D5CDD505-2E9C-101B-9397-08002B2CF9AE}" pid="38" name="Objective-OM Author Organisation">
    <vt:lpwstr/>
  </property>
  <property fmtid="{D5CDD505-2E9C-101B-9397-08002B2CF9AE}" pid="39" name="Objective-OM Author Type">
    <vt:lpwstr/>
  </property>
  <property fmtid="{D5CDD505-2E9C-101B-9397-08002B2CF9AE}" pid="40" name="Objective-OM Date Received">
    <vt:lpwstr/>
  </property>
  <property fmtid="{D5CDD505-2E9C-101B-9397-08002B2CF9AE}" pid="41" name="Objective-OM Date of Document">
    <vt:lpwstr/>
  </property>
  <property fmtid="{D5CDD505-2E9C-101B-9397-08002B2CF9AE}" pid="42" name="Objective-OM External Reference">
    <vt:lpwstr/>
  </property>
  <property fmtid="{D5CDD505-2E9C-101B-9397-08002B2CF9AE}" pid="43" name="Objective-OM Reference">
    <vt:lpwstr/>
  </property>
  <property fmtid="{D5CDD505-2E9C-101B-9397-08002B2CF9AE}" pid="44" name="Objective-OM Topic">
    <vt:lpwstr/>
  </property>
  <property fmtid="{D5CDD505-2E9C-101B-9397-08002B2CF9AE}" pid="45" name="Objective-Suburb">
    <vt:lpwstr/>
  </property>
</Properties>
</file>