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967B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19B418" w14:textId="77777777" w:rsidR="005D70F1" w:rsidRPr="006A71B8" w:rsidRDefault="00D56349" w:rsidP="002F1A2A">
      <w:pPr>
        <w:pStyle w:val="Heading1"/>
      </w:pPr>
      <w:r w:rsidRPr="00D56349">
        <w:t>Fisheries</w:t>
      </w:r>
      <w:r w:rsidR="00F177B9">
        <w:t xml:space="preserve"> (Recreational Fishing)</w:t>
      </w:r>
      <w:r w:rsidRPr="00D56349">
        <w:t xml:space="preserve"> Declaration </w:t>
      </w:r>
      <w:r w:rsidR="00A11B8C">
        <w:t>202</w:t>
      </w:r>
      <w:r w:rsidR="00320939">
        <w:t>2</w:t>
      </w:r>
      <w:r w:rsidRPr="00D56349">
        <w:t xml:space="preserve"> </w:t>
      </w:r>
    </w:p>
    <w:p w14:paraId="711EB42A" w14:textId="77777777" w:rsidR="005D70F1" w:rsidRPr="002F1A2A" w:rsidRDefault="005D70F1" w:rsidP="00953431">
      <w:pPr>
        <w:pStyle w:val="Heading2"/>
        <w:spacing w:before="340" w:after="0"/>
      </w:pPr>
      <w:r w:rsidRPr="002F1A2A">
        <w:t xml:space="preserve">Disallowable instrument </w:t>
      </w:r>
      <w:r w:rsidR="003324C5">
        <w:t>DI</w:t>
      </w:r>
      <w:r w:rsidR="00A11B8C">
        <w:t>202</w:t>
      </w:r>
      <w:r w:rsidR="00320939">
        <w:t>2</w:t>
      </w:r>
      <w:r w:rsidR="00771DA1">
        <w:t>–</w:t>
      </w:r>
      <w:r w:rsidR="00EB1C91">
        <w:t>221</w:t>
      </w:r>
    </w:p>
    <w:p w14:paraId="41F298FB" w14:textId="77777777" w:rsidR="00A11B8C" w:rsidRPr="00953431" w:rsidRDefault="00A11B8C" w:rsidP="00953431">
      <w:pPr>
        <w:pStyle w:val="Heading3"/>
        <w:spacing w:before="300"/>
        <w:ind w:right="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m</w:t>
      </w:r>
      <w:r w:rsidRPr="0095343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ade under the</w:t>
      </w:r>
    </w:p>
    <w:p w14:paraId="12E3BA6A" w14:textId="77777777" w:rsidR="003324C5" w:rsidRDefault="003324C5" w:rsidP="00953431">
      <w:pPr>
        <w:pStyle w:val="Heading3"/>
        <w:spacing w:before="320"/>
        <w:ind w:right="0"/>
        <w:rPr>
          <w:bCs w:val="0"/>
          <w:sz w:val="20"/>
          <w:szCs w:val="20"/>
        </w:rPr>
      </w:pPr>
      <w:r w:rsidRPr="00942255">
        <w:rPr>
          <w:iCs/>
          <w:sz w:val="20"/>
        </w:rPr>
        <w:t>Fisheries Act 2000</w:t>
      </w:r>
      <w:r w:rsidRPr="00953431">
        <w:rPr>
          <w:iCs/>
          <w:sz w:val="20"/>
        </w:rPr>
        <w:t>,</w:t>
      </w:r>
      <w:r>
        <w:rPr>
          <w:sz w:val="20"/>
        </w:rPr>
        <w:t xml:space="preserve"> s 15 (Declaration of fish of prohibited size or weight)</w:t>
      </w:r>
      <w:r w:rsidR="00FD6F90">
        <w:rPr>
          <w:sz w:val="20"/>
        </w:rPr>
        <w:t xml:space="preserve"> and</w:t>
      </w:r>
      <w:r>
        <w:rPr>
          <w:sz w:val="20"/>
        </w:rPr>
        <w:t xml:space="preserve"> s 16 (Declaration of fish quantity)</w:t>
      </w:r>
      <w:r w:rsidR="00A11B8C">
        <w:rPr>
          <w:sz w:val="20"/>
        </w:rPr>
        <w:t xml:space="preserve"> </w:t>
      </w:r>
    </w:p>
    <w:p w14:paraId="45733732" w14:textId="77777777" w:rsidR="005D70F1" w:rsidRPr="002F1A2A" w:rsidRDefault="005D70F1" w:rsidP="00953431">
      <w:pPr>
        <w:pStyle w:val="Heading3"/>
        <w:ind w:right="0"/>
      </w:pPr>
      <w:r w:rsidRPr="002F1A2A">
        <w:t>EXPLANATORY STATEMENT</w:t>
      </w:r>
      <w:r w:rsidR="0001004B">
        <w:t xml:space="preserve"> </w:t>
      </w:r>
    </w:p>
    <w:p w14:paraId="701945F7" w14:textId="77777777" w:rsidR="005D70F1" w:rsidRDefault="005D70F1">
      <w:pPr>
        <w:pStyle w:val="N-line3"/>
        <w:pBdr>
          <w:bottom w:val="none" w:sz="0" w:space="0" w:color="auto"/>
        </w:pBdr>
      </w:pPr>
    </w:p>
    <w:p w14:paraId="149DF58A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AE17CB0" w14:textId="77777777" w:rsidR="00A91786" w:rsidRDefault="00A91786" w:rsidP="00953431">
      <w:pPr>
        <w:pStyle w:val="madeunder"/>
        <w:spacing w:before="0" w:after="240"/>
        <w:jc w:val="left"/>
      </w:pPr>
      <w:r>
        <w:t>This explanatory statement relates to the</w:t>
      </w:r>
      <w:r w:rsidRPr="00EF4C39">
        <w:t xml:space="preserve"> </w:t>
      </w:r>
      <w:r w:rsidRPr="00EF4C39">
        <w:rPr>
          <w:i/>
        </w:rPr>
        <w:t>Fisheries</w:t>
      </w:r>
      <w:r w:rsidR="00F177B9">
        <w:rPr>
          <w:i/>
        </w:rPr>
        <w:t xml:space="preserve"> (Recreational Fishing)</w:t>
      </w:r>
      <w:r w:rsidRPr="00D14FE4">
        <w:rPr>
          <w:i/>
          <w:color w:val="FF0000"/>
        </w:rPr>
        <w:t xml:space="preserve"> </w:t>
      </w:r>
      <w:r w:rsidRPr="00EF4C39">
        <w:rPr>
          <w:i/>
        </w:rPr>
        <w:t xml:space="preserve">Declaration </w:t>
      </w:r>
      <w:r w:rsidR="003324C5">
        <w:rPr>
          <w:i/>
        </w:rPr>
        <w:t>20</w:t>
      </w:r>
      <w:r w:rsidR="00A11B8C">
        <w:rPr>
          <w:i/>
        </w:rPr>
        <w:t>2</w:t>
      </w:r>
      <w:r w:rsidR="00320939">
        <w:rPr>
          <w:i/>
        </w:rPr>
        <w:t>2</w:t>
      </w:r>
      <w:r w:rsidRPr="00587034">
        <w:t xml:space="preserve"> (</w:t>
      </w:r>
      <w:r>
        <w:t xml:space="preserve">the </w:t>
      </w:r>
      <w:r w:rsidRPr="00C54B83">
        <w:rPr>
          <w:b/>
          <w:bCs/>
        </w:rPr>
        <w:t>instrument</w:t>
      </w:r>
      <w:r>
        <w:t>). It has been prepared to assist the reader of the instrument and to help inform debate on it. It does not form part of th</w:t>
      </w:r>
      <w:r w:rsidR="0090354F">
        <w:t>e</w:t>
      </w:r>
      <w:r>
        <w:t xml:space="preserve"> instrument and has not been endorsed by the Assembly.  </w:t>
      </w:r>
    </w:p>
    <w:p w14:paraId="07791F58" w14:textId="77777777" w:rsidR="00A91786" w:rsidRDefault="00A91786" w:rsidP="00953431">
      <w:pPr>
        <w:pStyle w:val="madeunder"/>
        <w:spacing w:before="240" w:after="240"/>
        <w:jc w:val="left"/>
      </w:pPr>
      <w:r>
        <w:t xml:space="preserve">The </w:t>
      </w:r>
      <w:r w:rsidR="00A11B8C">
        <w:t>s</w:t>
      </w:r>
      <w:r w:rsidRPr="00587034">
        <w:t xml:space="preserve">tatement </w:t>
      </w:r>
      <w:r>
        <w:t>should be read in conjunction with the</w:t>
      </w:r>
      <w:r w:rsidR="0090354F">
        <w:t xml:space="preserve"> instrument. It is not</w:t>
      </w:r>
      <w:r w:rsidR="00845723">
        <w:t>,</w:t>
      </w:r>
      <w:r w:rsidR="0090354F">
        <w:t xml:space="preserve"> and is not meant to be</w:t>
      </w:r>
      <w:r w:rsidR="00845723">
        <w:t>,</w:t>
      </w:r>
      <w:r w:rsidR="0090354F">
        <w:t xml:space="preserve"> a comprehensive description of the </w:t>
      </w:r>
      <w:r w:rsidR="00A11B8C">
        <w:t>instrument</w:t>
      </w:r>
      <w:r w:rsidR="0090354F">
        <w:t>. What is said about a provision is not to be taken as an authoritative guide to the meaning of a provision, this being a task for the courts.</w:t>
      </w:r>
      <w:r>
        <w:t xml:space="preserve"> </w:t>
      </w:r>
    </w:p>
    <w:p w14:paraId="4CB4174F" w14:textId="77777777" w:rsidR="0060286A" w:rsidRPr="00953431" w:rsidRDefault="0092190A" w:rsidP="00A11B8C">
      <w:pPr>
        <w:spacing w:after="120"/>
        <w:rPr>
          <w:rFonts w:ascii="Arial" w:hAnsi="Arial" w:cs="Arial"/>
        </w:rPr>
      </w:pPr>
      <w:r w:rsidRPr="00953431">
        <w:rPr>
          <w:rFonts w:ascii="Arial" w:hAnsi="Arial" w:cs="Arial"/>
          <w:b/>
        </w:rPr>
        <w:t>Background</w:t>
      </w:r>
    </w:p>
    <w:p w14:paraId="33EF0F36" w14:textId="77777777" w:rsidR="0092190A" w:rsidRDefault="00462084" w:rsidP="00A11B8C">
      <w:pPr>
        <w:spacing w:after="240"/>
      </w:pPr>
      <w:r>
        <w:t xml:space="preserve">The </w:t>
      </w:r>
      <w:r w:rsidRPr="004E7F8C">
        <w:rPr>
          <w:i/>
        </w:rPr>
        <w:t>Fisheries Act 2000</w:t>
      </w:r>
      <w:r>
        <w:t xml:space="preserve"> </w:t>
      </w:r>
      <w:r w:rsidR="00B87E64" w:rsidRPr="00587034">
        <w:t xml:space="preserve">(the </w:t>
      </w:r>
      <w:r w:rsidR="00B87E64" w:rsidRPr="00C54B83">
        <w:rPr>
          <w:b/>
          <w:bCs/>
        </w:rPr>
        <w:t>Act</w:t>
      </w:r>
      <w:r w:rsidR="00B87E64" w:rsidRPr="00587034">
        <w:t>)</w:t>
      </w:r>
      <w:r w:rsidR="00B87E64">
        <w:t xml:space="preserve"> </w:t>
      </w:r>
      <w:r>
        <w:t>provides for the protection and conservation of native f</w:t>
      </w:r>
      <w:r w:rsidR="004E7F8C">
        <w:t>ish species and their habitats</w:t>
      </w:r>
      <w:r w:rsidR="00B87E64" w:rsidRPr="00587034">
        <w:t>,</w:t>
      </w:r>
      <w:r w:rsidR="004E7F8C">
        <w:t xml:space="preserve"> </w:t>
      </w:r>
      <w:r>
        <w:t xml:space="preserve">and for the sustainable management </w:t>
      </w:r>
      <w:r w:rsidR="004E7F8C">
        <w:t xml:space="preserve">of fisheries to ensure high quality and viable recreational fishing.  </w:t>
      </w:r>
    </w:p>
    <w:p w14:paraId="75275877" w14:textId="77777777" w:rsidR="004E7F8C" w:rsidRDefault="004E7F8C" w:rsidP="00A11B8C">
      <w:pPr>
        <w:spacing w:after="240"/>
      </w:pPr>
      <w:r>
        <w:t xml:space="preserve">In addition, the Act enables management of commercial </w:t>
      </w:r>
      <w:r w:rsidRPr="00956439">
        <w:t>fish production and</w:t>
      </w:r>
      <w:r>
        <w:t xml:space="preserve"> fishing enterprises</w:t>
      </w:r>
      <w:r w:rsidR="002F4491" w:rsidRPr="00587034">
        <w:t>, fish dealing</w:t>
      </w:r>
      <w:r>
        <w:t xml:space="preserve"> and live fish transport to ensure </w:t>
      </w:r>
      <w:r w:rsidR="0000026B" w:rsidRPr="00587034">
        <w:t xml:space="preserve">that </w:t>
      </w:r>
      <w:r>
        <w:t>the sustainable management of fisheries</w:t>
      </w:r>
      <w:r w:rsidR="007D02F2">
        <w:t xml:space="preserve"> </w:t>
      </w:r>
      <w:r w:rsidRPr="00587034">
        <w:t xml:space="preserve">is consistent </w:t>
      </w:r>
      <w:r>
        <w:t xml:space="preserve">with other Australian jurisdictions.  </w:t>
      </w:r>
    </w:p>
    <w:p w14:paraId="0179C2DF" w14:textId="77777777" w:rsidR="00925C27" w:rsidRDefault="00925C27" w:rsidP="00A11B8C">
      <w:pPr>
        <w:spacing w:after="240"/>
      </w:pPr>
      <w:r>
        <w:t xml:space="preserve">The Act was reviewed in 2018 to ensure its ongoing effectiveness and to enable </w:t>
      </w:r>
      <w:r w:rsidR="00D60C9A">
        <w:t>it</w:t>
      </w:r>
      <w:r>
        <w:t xml:space="preserve"> to address modern fisheries management issues.</w:t>
      </w:r>
      <w:r w:rsidR="00D64F20">
        <w:t xml:space="preserve"> Along with the broader review of the Act, res</w:t>
      </w:r>
      <w:r w:rsidR="00F81C98">
        <w:t>t</w:t>
      </w:r>
      <w:r w:rsidR="00D64F20">
        <w:t xml:space="preserve">rictions on </w:t>
      </w:r>
      <w:r w:rsidR="00F81C98">
        <w:t xml:space="preserve">recreational fishing, such as allowable gear and </w:t>
      </w:r>
      <w:r w:rsidR="00D64F20">
        <w:t>take</w:t>
      </w:r>
      <w:r w:rsidR="00F81C98">
        <w:t xml:space="preserve"> limits, are assessed from time to time</w:t>
      </w:r>
      <w:r w:rsidR="00E702AF">
        <w:t xml:space="preserve"> to review </w:t>
      </w:r>
      <w:r w:rsidR="00845723">
        <w:t xml:space="preserve">their </w:t>
      </w:r>
      <w:r w:rsidR="00E702AF">
        <w:t xml:space="preserve">effectiveness and </w:t>
      </w:r>
      <w:r w:rsidR="00845723">
        <w:t xml:space="preserve">to </w:t>
      </w:r>
      <w:r w:rsidR="00E702AF">
        <w:t>ensure th</w:t>
      </w:r>
      <w:r w:rsidR="00845723">
        <w:t>at th</w:t>
      </w:r>
      <w:r w:rsidR="00E702AF">
        <w:t>ey reflect current knowledge and practice.</w:t>
      </w:r>
    </w:p>
    <w:p w14:paraId="37359F62" w14:textId="77777777" w:rsidR="00AB4AD6" w:rsidRDefault="0093042C" w:rsidP="00A11B8C">
      <w:pPr>
        <w:spacing w:after="240"/>
      </w:pPr>
      <w:r>
        <w:t xml:space="preserve">Part 3 of the </w:t>
      </w:r>
      <w:r w:rsidR="007D02F2" w:rsidRPr="007D02F2">
        <w:t>Act</w:t>
      </w:r>
      <w:r w:rsidR="00C837B8">
        <w:t xml:space="preserve"> enable</w:t>
      </w:r>
      <w:r w:rsidR="00A40B6E">
        <w:t>s</w:t>
      </w:r>
      <w:r w:rsidR="00C837B8">
        <w:t xml:space="preserve"> the Minister </w:t>
      </w:r>
      <w:r w:rsidR="00925C27">
        <w:t xml:space="preserve">and the Conservator </w:t>
      </w:r>
      <w:r w:rsidR="00D60C9A">
        <w:t xml:space="preserve">of Flora and Fauna </w:t>
      </w:r>
      <w:r w:rsidR="00C837B8">
        <w:t xml:space="preserve">to set restrictions on recreational fishing in </w:t>
      </w:r>
      <w:r w:rsidR="00A40B6E">
        <w:t xml:space="preserve">public waters in several ways. </w:t>
      </w:r>
    </w:p>
    <w:p w14:paraId="1F303930" w14:textId="77777777" w:rsidR="007E23B1" w:rsidRDefault="00AB4AD6" w:rsidP="00A11B8C">
      <w:pPr>
        <w:spacing w:after="240"/>
      </w:pPr>
      <w:r>
        <w:t xml:space="preserve">Section 15 </w:t>
      </w:r>
      <w:r w:rsidR="0090354F">
        <w:t xml:space="preserve">of the Act </w:t>
      </w:r>
      <w:r>
        <w:t xml:space="preserve">permits the Minister to </w:t>
      </w:r>
      <w:r w:rsidR="00860C81" w:rsidRPr="00587034">
        <w:t>declare</w:t>
      </w:r>
      <w:r w:rsidR="00860C81">
        <w:rPr>
          <w:color w:val="FF0000"/>
        </w:rPr>
        <w:t xml:space="preserve"> </w:t>
      </w:r>
      <w:r w:rsidR="003D35C7">
        <w:t xml:space="preserve">the taking of fish of </w:t>
      </w:r>
      <w:r w:rsidR="00CB43C9">
        <w:t xml:space="preserve">stated </w:t>
      </w:r>
      <w:r w:rsidR="00E702AF">
        <w:t>size</w:t>
      </w:r>
      <w:r w:rsidR="00CB43C9">
        <w:t xml:space="preserve">s </w:t>
      </w:r>
      <w:r w:rsidR="003D35C7">
        <w:t>or weight</w:t>
      </w:r>
      <w:r w:rsidR="00CB43C9">
        <w:t>s</w:t>
      </w:r>
      <w:r w:rsidR="003D35C7">
        <w:t xml:space="preserve"> from public waters</w:t>
      </w:r>
      <w:r w:rsidR="00DD5AB6">
        <w:t xml:space="preserve"> </w:t>
      </w:r>
      <w:r w:rsidR="0007255A" w:rsidRPr="00587034">
        <w:t>to be</w:t>
      </w:r>
      <w:r w:rsidR="00DD5AB6" w:rsidRPr="00587034">
        <w:t xml:space="preserve"> prohibited</w:t>
      </w:r>
      <w:r w:rsidR="007E23B1">
        <w:t xml:space="preserve">.  </w:t>
      </w:r>
    </w:p>
    <w:p w14:paraId="180EA96D" w14:textId="77777777" w:rsidR="00AB4AD6" w:rsidRDefault="007E23B1" w:rsidP="00A11B8C">
      <w:pPr>
        <w:spacing w:after="240"/>
      </w:pPr>
      <w:r>
        <w:lastRenderedPageBreak/>
        <w:t xml:space="preserve">Section 16 </w:t>
      </w:r>
      <w:r w:rsidR="0090354F">
        <w:t xml:space="preserve">of the Act </w:t>
      </w:r>
      <w:r>
        <w:t xml:space="preserve">permits the Minister to declare the quantity of a species of fish </w:t>
      </w:r>
      <w:r w:rsidR="00E13CB1" w:rsidRPr="00587034">
        <w:t xml:space="preserve">that a person </w:t>
      </w:r>
      <w:r w:rsidR="00CB43C9">
        <w:t xml:space="preserve">may take </w:t>
      </w:r>
      <w:r w:rsidR="00E13CB1" w:rsidRPr="00587034">
        <w:t>in a day</w:t>
      </w:r>
      <w:r w:rsidR="00845723">
        <w:t>.</w:t>
      </w:r>
    </w:p>
    <w:p w14:paraId="05867CEA" w14:textId="77777777" w:rsidR="00104FAA" w:rsidRPr="00953431" w:rsidRDefault="00104FAA" w:rsidP="00D60C9A">
      <w:pPr>
        <w:spacing w:after="120"/>
        <w:rPr>
          <w:rFonts w:ascii="Arial" w:hAnsi="Arial" w:cs="Arial"/>
          <w:b/>
        </w:rPr>
      </w:pPr>
      <w:r w:rsidRPr="00953431">
        <w:rPr>
          <w:rFonts w:ascii="Arial" w:hAnsi="Arial" w:cs="Arial"/>
          <w:b/>
        </w:rPr>
        <w:t>Overview</w:t>
      </w:r>
    </w:p>
    <w:p w14:paraId="1372C6F9" w14:textId="77777777" w:rsidR="00104FAA" w:rsidRDefault="00E046D9" w:rsidP="00A11B8C">
      <w:pPr>
        <w:spacing w:after="240"/>
      </w:pPr>
      <w:r w:rsidRPr="00356A80">
        <w:t>This instr</w:t>
      </w:r>
      <w:r w:rsidR="00D60C9A" w:rsidRPr="00356A80">
        <w:t xml:space="preserve">ument </w:t>
      </w:r>
      <w:r w:rsidR="009B327E" w:rsidRPr="00356A80">
        <w:t xml:space="preserve">prohibits </w:t>
      </w:r>
      <w:r w:rsidR="00D60C9A" w:rsidRPr="00356A80">
        <w:t xml:space="preserve">the </w:t>
      </w:r>
      <w:r w:rsidR="009B327E" w:rsidRPr="00356A80">
        <w:t xml:space="preserve">taking of </w:t>
      </w:r>
      <w:r w:rsidR="00356A80" w:rsidRPr="00356A80">
        <w:t xml:space="preserve">fish of </w:t>
      </w:r>
      <w:r w:rsidR="009B327E" w:rsidRPr="00356A80">
        <w:t xml:space="preserve">certain sizes </w:t>
      </w:r>
      <w:r w:rsidR="00356A80" w:rsidRPr="00356A80">
        <w:t>or weights</w:t>
      </w:r>
      <w:r w:rsidR="009B327E" w:rsidRPr="00356A80">
        <w:t xml:space="preserve">, </w:t>
      </w:r>
      <w:r w:rsidR="00D60C9A" w:rsidRPr="00356A80">
        <w:t xml:space="preserve">and </w:t>
      </w:r>
      <w:r w:rsidR="009B327E" w:rsidRPr="00356A80">
        <w:t xml:space="preserve">prescribes </w:t>
      </w:r>
      <w:r w:rsidR="00A77609" w:rsidRPr="00356A80">
        <w:t xml:space="preserve">the </w:t>
      </w:r>
      <w:r w:rsidR="009B327E" w:rsidRPr="00356A80">
        <w:t>quantity of fish for certain species that may be taken.</w:t>
      </w:r>
      <w:r w:rsidR="009B327E">
        <w:t xml:space="preserve">  </w:t>
      </w:r>
    </w:p>
    <w:p w14:paraId="3547E725" w14:textId="77777777" w:rsidR="009F2B70" w:rsidRPr="00C572D1" w:rsidRDefault="00750DAE" w:rsidP="00040F5D">
      <w:pPr>
        <w:rPr>
          <w:color w:val="FF0000"/>
        </w:rPr>
      </w:pPr>
      <w:r>
        <w:t>Key changes introduced by the</w:t>
      </w:r>
      <w:r w:rsidR="0007480E" w:rsidRPr="00C572D1">
        <w:t xml:space="preserve"> instrument </w:t>
      </w:r>
      <w:r>
        <w:t>are summarised below:</w:t>
      </w:r>
    </w:p>
    <w:p w14:paraId="227B421F" w14:textId="77777777" w:rsidR="00F77C5F" w:rsidRDefault="00750DAE" w:rsidP="00A11B8C">
      <w:pPr>
        <w:pStyle w:val="ListParagraph"/>
        <w:numPr>
          <w:ilvl w:val="0"/>
          <w:numId w:val="10"/>
        </w:numPr>
        <w:spacing w:after="240"/>
      </w:pPr>
      <w:r>
        <w:t>In relation to take limits:</w:t>
      </w:r>
    </w:p>
    <w:p w14:paraId="6DA46445" w14:textId="77777777" w:rsidR="00750DAE" w:rsidRDefault="00750DAE" w:rsidP="00750DAE">
      <w:pPr>
        <w:pStyle w:val="ListParagraph"/>
        <w:numPr>
          <w:ilvl w:val="1"/>
          <w:numId w:val="10"/>
        </w:numPr>
        <w:spacing w:after="240"/>
      </w:pPr>
      <w:r>
        <w:t xml:space="preserve">For </w:t>
      </w:r>
      <w:r w:rsidR="008C5890">
        <w:t>G</w:t>
      </w:r>
      <w:r>
        <w:t xml:space="preserve">olden </w:t>
      </w:r>
      <w:r w:rsidR="0033721B">
        <w:t>Perch</w:t>
      </w:r>
      <w:r>
        <w:t>:</w:t>
      </w:r>
    </w:p>
    <w:p w14:paraId="56A79012" w14:textId="77777777" w:rsidR="00B471D7" w:rsidRDefault="00B471D7" w:rsidP="00D205EC">
      <w:pPr>
        <w:pStyle w:val="ListParagraph"/>
        <w:numPr>
          <w:ilvl w:val="2"/>
          <w:numId w:val="10"/>
        </w:numPr>
        <w:spacing w:after="240"/>
      </w:pPr>
      <w:r w:rsidRPr="00B31EC8">
        <w:t>has been reduced from</w:t>
      </w:r>
      <w:r w:rsidRPr="00587034">
        <w:t xml:space="preserve"> </w:t>
      </w:r>
      <w:r w:rsidR="00845723">
        <w:t xml:space="preserve">five </w:t>
      </w:r>
      <w:r w:rsidRPr="00587034">
        <w:t xml:space="preserve">to </w:t>
      </w:r>
      <w:r w:rsidR="00845723">
        <w:t>two</w:t>
      </w:r>
      <w:r w:rsidRPr="00587034">
        <w:t xml:space="preserve"> fish </w:t>
      </w:r>
      <w:r w:rsidR="00771DA1">
        <w:t>from the Murrumbidgee River</w:t>
      </w:r>
      <w:r w:rsidR="00771DA1" w:rsidRPr="00B31EC8">
        <w:t xml:space="preserve"> </w:t>
      </w:r>
      <w:r w:rsidRPr="00587034">
        <w:t xml:space="preserve">per person in any </w:t>
      </w:r>
      <w:r w:rsidR="00845723">
        <w:t>one</w:t>
      </w:r>
      <w:r w:rsidRPr="00587034">
        <w:t xml:space="preserve"> day to reduce fishing pressure on </w:t>
      </w:r>
      <w:r>
        <w:t>wild populations of the species</w:t>
      </w:r>
      <w:r w:rsidR="00D205EC">
        <w:t>.</w:t>
      </w:r>
    </w:p>
    <w:p w14:paraId="754ED6AE" w14:textId="77777777" w:rsidR="00750DAE" w:rsidRDefault="00750DAE" w:rsidP="00750DAE">
      <w:pPr>
        <w:pStyle w:val="ListParagraph"/>
        <w:numPr>
          <w:ilvl w:val="1"/>
          <w:numId w:val="10"/>
        </w:numPr>
        <w:spacing w:after="240"/>
      </w:pPr>
      <w:r>
        <w:t>F</w:t>
      </w:r>
      <w:r w:rsidR="00B31EC8" w:rsidRPr="00953431">
        <w:t xml:space="preserve">or Murray </w:t>
      </w:r>
      <w:r w:rsidR="0033721B">
        <w:t>C</w:t>
      </w:r>
      <w:r w:rsidR="00B31EC8" w:rsidRPr="00953431">
        <w:t>od</w:t>
      </w:r>
      <w:r>
        <w:t>:</w:t>
      </w:r>
    </w:p>
    <w:p w14:paraId="6C8ED0BD" w14:textId="77777777" w:rsidR="00750DAE" w:rsidRDefault="001326F8" w:rsidP="00750DAE">
      <w:pPr>
        <w:pStyle w:val="ListParagraph"/>
        <w:numPr>
          <w:ilvl w:val="2"/>
          <w:numId w:val="10"/>
        </w:numPr>
        <w:spacing w:after="240"/>
      </w:pPr>
      <w:r w:rsidRPr="00953431">
        <w:t>ha</w:t>
      </w:r>
      <w:r w:rsidR="00B31EC8" w:rsidRPr="00953431">
        <w:t xml:space="preserve">s </w:t>
      </w:r>
      <w:r w:rsidRPr="00953431">
        <w:t xml:space="preserve">been </w:t>
      </w:r>
      <w:r w:rsidR="00B31EC8" w:rsidRPr="00953431">
        <w:t xml:space="preserve">reduced from one fish to zero fish </w:t>
      </w:r>
      <w:r w:rsidR="00771DA1">
        <w:t xml:space="preserve">per person in a day </w:t>
      </w:r>
      <w:r w:rsidR="00B31EC8" w:rsidRPr="00953431">
        <w:t xml:space="preserve">in </w:t>
      </w:r>
      <w:r w:rsidR="00E702AF" w:rsidRPr="00953431">
        <w:t>one</w:t>
      </w:r>
      <w:r w:rsidR="00B31EC8" w:rsidRPr="00953431">
        <w:t xml:space="preserve"> section of the Murrumbidgee River to reduce recreational fishing pressure on the species in this reac</w:t>
      </w:r>
      <w:r w:rsidR="00750DAE">
        <w:t>h</w:t>
      </w:r>
      <w:r w:rsidR="00D205EC">
        <w:t>.</w:t>
      </w:r>
    </w:p>
    <w:p w14:paraId="3DEAC27E" w14:textId="77777777" w:rsidR="00750DAE" w:rsidRDefault="00750DAE" w:rsidP="00750DAE">
      <w:pPr>
        <w:pStyle w:val="ListParagraph"/>
        <w:numPr>
          <w:ilvl w:val="0"/>
          <w:numId w:val="10"/>
        </w:numPr>
        <w:spacing w:after="240"/>
      </w:pPr>
      <w:r>
        <w:t>Scientific names:</w:t>
      </w:r>
    </w:p>
    <w:p w14:paraId="723441E6" w14:textId="77777777" w:rsidR="009D6FC8" w:rsidRDefault="00750DAE" w:rsidP="008C5890">
      <w:pPr>
        <w:pStyle w:val="ListParagraph"/>
        <w:numPr>
          <w:ilvl w:val="1"/>
          <w:numId w:val="10"/>
        </w:numPr>
        <w:spacing w:after="240"/>
      </w:pPr>
      <w:r>
        <w:t>S</w:t>
      </w:r>
      <w:r w:rsidR="001326F8">
        <w:t>cientific name</w:t>
      </w:r>
      <w:r>
        <w:t>s</w:t>
      </w:r>
      <w:r w:rsidR="001326F8">
        <w:t xml:space="preserve"> of the </w:t>
      </w:r>
      <w:r w:rsidR="00092965" w:rsidRPr="00286EB6">
        <w:t>fish spe</w:t>
      </w:r>
      <w:r w:rsidR="00975D30" w:rsidRPr="00286EB6">
        <w:t xml:space="preserve">cies </w:t>
      </w:r>
      <w:r>
        <w:t>listed</w:t>
      </w:r>
      <w:r w:rsidR="009E604D" w:rsidRPr="00286EB6">
        <w:t xml:space="preserve"> </w:t>
      </w:r>
      <w:r w:rsidR="00975D30" w:rsidRPr="00286EB6">
        <w:t>in this</w:t>
      </w:r>
      <w:r w:rsidR="00092965" w:rsidRPr="00286EB6">
        <w:t xml:space="preserve"> </w:t>
      </w:r>
      <w:r>
        <w:t xml:space="preserve">instrument have been </w:t>
      </w:r>
      <w:r w:rsidR="008C5890">
        <w:t>includ</w:t>
      </w:r>
      <w:r>
        <w:t xml:space="preserve">ed, </w:t>
      </w:r>
      <w:r w:rsidR="009E604D" w:rsidRPr="00286EB6">
        <w:t>in addition to</w:t>
      </w:r>
      <w:r w:rsidR="001443D5" w:rsidRPr="00286EB6">
        <w:t xml:space="preserve"> </w:t>
      </w:r>
      <w:r w:rsidR="00A44070" w:rsidRPr="00286EB6">
        <w:t>common name</w:t>
      </w:r>
      <w:r w:rsidR="008C5890">
        <w:t>s,</w:t>
      </w:r>
      <w:r w:rsidR="00845723">
        <w:t xml:space="preserve"> </w:t>
      </w:r>
      <w:r w:rsidR="009E604D" w:rsidRPr="00286EB6">
        <w:t>to remove any ambiguity associated with common name usage</w:t>
      </w:r>
      <w:r w:rsidR="00975D30" w:rsidRPr="00286EB6">
        <w:t>.</w:t>
      </w:r>
      <w:r w:rsidR="00975D30">
        <w:t xml:space="preserve">  </w:t>
      </w:r>
    </w:p>
    <w:p w14:paraId="59D1047F" w14:textId="77777777" w:rsidR="009B327E" w:rsidRPr="00953431" w:rsidRDefault="00322320" w:rsidP="00A11B8C">
      <w:pPr>
        <w:spacing w:after="240"/>
        <w:rPr>
          <w:rFonts w:ascii="Arial" w:hAnsi="Arial" w:cs="Arial"/>
          <w:b/>
        </w:rPr>
      </w:pPr>
      <w:r w:rsidRPr="00953431">
        <w:rPr>
          <w:rFonts w:ascii="Arial" w:hAnsi="Arial" w:cs="Arial"/>
          <w:b/>
        </w:rPr>
        <w:t>Outline of provisions</w:t>
      </w:r>
      <w:r w:rsidR="00D3580D" w:rsidRPr="00953431">
        <w:rPr>
          <w:rFonts w:ascii="Arial" w:hAnsi="Arial" w:cs="Arial"/>
          <w:b/>
        </w:rPr>
        <w:t xml:space="preserve"> </w:t>
      </w:r>
    </w:p>
    <w:p w14:paraId="42A6645D" w14:textId="77777777" w:rsidR="00322320" w:rsidRPr="00953431" w:rsidRDefault="002F5B8D" w:rsidP="00040F5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="00322320" w:rsidRPr="00953431">
        <w:rPr>
          <w:rFonts w:ascii="Arial" w:hAnsi="Arial" w:cs="Arial"/>
          <w:b/>
        </w:rPr>
        <w:t xml:space="preserve"> 1</w:t>
      </w:r>
      <w:r w:rsidR="00040F5D">
        <w:rPr>
          <w:rFonts w:ascii="Arial" w:hAnsi="Arial" w:cs="Arial"/>
          <w:b/>
        </w:rPr>
        <w:tab/>
      </w:r>
      <w:r w:rsidR="00322320" w:rsidRPr="00953431">
        <w:rPr>
          <w:rFonts w:ascii="Arial" w:hAnsi="Arial" w:cs="Arial"/>
          <w:b/>
        </w:rPr>
        <w:t>Name of instrument</w:t>
      </w:r>
    </w:p>
    <w:p w14:paraId="046510AA" w14:textId="77777777" w:rsidR="00C572D1" w:rsidRPr="00A56C05" w:rsidRDefault="00C572D1" w:rsidP="00A11B8C">
      <w:pPr>
        <w:autoSpaceDE w:val="0"/>
        <w:autoSpaceDN w:val="0"/>
        <w:adjustRightInd w:val="0"/>
        <w:spacing w:after="240"/>
        <w:rPr>
          <w:i/>
        </w:rPr>
      </w:pPr>
      <w:r>
        <w:t xml:space="preserve">This </w:t>
      </w:r>
      <w:r w:rsidR="002F5B8D">
        <w:t>section</w:t>
      </w:r>
      <w:r>
        <w:t xml:space="preserve"> names the instrument</w:t>
      </w:r>
      <w:r w:rsidR="00A56C05">
        <w:t xml:space="preserve"> as the</w:t>
      </w:r>
      <w:r w:rsidR="00A56C05">
        <w:rPr>
          <w:i/>
        </w:rPr>
        <w:t xml:space="preserve"> </w:t>
      </w:r>
      <w:r w:rsidR="00AD72FA" w:rsidRPr="00966EDF">
        <w:rPr>
          <w:i/>
          <w:iCs/>
          <w:color w:val="000000" w:themeColor="text1"/>
        </w:rPr>
        <w:t>Fisheries</w:t>
      </w:r>
      <w:r w:rsidR="00F177B9">
        <w:rPr>
          <w:i/>
          <w:iCs/>
          <w:color w:val="000000" w:themeColor="text1"/>
        </w:rPr>
        <w:t xml:space="preserve"> (Recreational Fishing)</w:t>
      </w:r>
      <w:r w:rsidR="00AD72FA" w:rsidRPr="00966EDF">
        <w:rPr>
          <w:i/>
          <w:iCs/>
          <w:color w:val="000000" w:themeColor="text1"/>
        </w:rPr>
        <w:t xml:space="preserve"> Declaration </w:t>
      </w:r>
      <w:r w:rsidR="00D60C9A">
        <w:rPr>
          <w:i/>
          <w:iCs/>
          <w:color w:val="000000" w:themeColor="text1"/>
        </w:rPr>
        <w:t>202</w:t>
      </w:r>
      <w:r w:rsidR="00320939">
        <w:rPr>
          <w:i/>
          <w:iCs/>
          <w:color w:val="000000" w:themeColor="text1"/>
        </w:rPr>
        <w:t>2</w:t>
      </w:r>
      <w:r w:rsidR="0043490A">
        <w:rPr>
          <w:i/>
          <w:iCs/>
          <w:color w:val="000000" w:themeColor="text1"/>
        </w:rPr>
        <w:t>.</w:t>
      </w:r>
    </w:p>
    <w:p w14:paraId="343D0B2C" w14:textId="77777777" w:rsidR="008F2DF4" w:rsidRPr="00953431" w:rsidRDefault="002F5B8D" w:rsidP="00040F5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="008F2DF4" w:rsidRPr="00953431">
        <w:rPr>
          <w:rFonts w:ascii="Arial" w:hAnsi="Arial" w:cs="Arial"/>
          <w:b/>
        </w:rPr>
        <w:t xml:space="preserve"> 2</w:t>
      </w:r>
      <w:r w:rsidR="00040F5D" w:rsidRPr="00953431">
        <w:rPr>
          <w:rFonts w:ascii="Arial" w:hAnsi="Arial" w:cs="Arial"/>
          <w:b/>
        </w:rPr>
        <w:tab/>
      </w:r>
      <w:r w:rsidR="008F2DF4" w:rsidRPr="00953431">
        <w:rPr>
          <w:rFonts w:ascii="Arial" w:hAnsi="Arial" w:cs="Arial"/>
          <w:b/>
        </w:rPr>
        <w:t>Commencement</w:t>
      </w:r>
    </w:p>
    <w:p w14:paraId="24E2606B" w14:textId="77777777" w:rsidR="008F2DF4" w:rsidRDefault="008F2DF4" w:rsidP="00A11B8C">
      <w:pPr>
        <w:spacing w:after="240"/>
      </w:pPr>
      <w:r>
        <w:t xml:space="preserve">This </w:t>
      </w:r>
      <w:r w:rsidR="002F5B8D">
        <w:t>section</w:t>
      </w:r>
      <w:r>
        <w:t xml:space="preserve"> provides </w:t>
      </w:r>
      <w:r w:rsidR="00D76C85">
        <w:t>that the</w:t>
      </w:r>
      <w:r>
        <w:t xml:space="preserve"> instrument commences </w:t>
      </w:r>
      <w:r w:rsidR="00D76C85">
        <w:t xml:space="preserve">on </w:t>
      </w:r>
      <w:r>
        <w:t xml:space="preserve">the day after </w:t>
      </w:r>
      <w:r w:rsidR="00D60C9A">
        <w:t xml:space="preserve">its </w:t>
      </w:r>
      <w:r>
        <w:t>notification</w:t>
      </w:r>
      <w:r w:rsidR="00D60C9A">
        <w:t xml:space="preserve"> day</w:t>
      </w:r>
      <w:r>
        <w:t xml:space="preserve">.  </w:t>
      </w:r>
    </w:p>
    <w:p w14:paraId="1B999CA6" w14:textId="77777777" w:rsidR="00794E6C" w:rsidRPr="00953431" w:rsidRDefault="002F5B8D" w:rsidP="00040F5D">
      <w:pPr>
        <w:keepNext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="00794E6C" w:rsidRPr="00953431">
        <w:rPr>
          <w:rFonts w:ascii="Arial" w:hAnsi="Arial" w:cs="Arial"/>
          <w:b/>
        </w:rPr>
        <w:t xml:space="preserve"> </w:t>
      </w:r>
      <w:r w:rsidR="001326F8">
        <w:rPr>
          <w:rFonts w:ascii="Arial" w:hAnsi="Arial" w:cs="Arial"/>
          <w:b/>
        </w:rPr>
        <w:t>3</w:t>
      </w:r>
      <w:r w:rsidR="00040F5D">
        <w:rPr>
          <w:rFonts w:ascii="Arial" w:hAnsi="Arial" w:cs="Arial"/>
          <w:b/>
        </w:rPr>
        <w:tab/>
      </w:r>
      <w:r w:rsidR="001326F8">
        <w:rPr>
          <w:rFonts w:ascii="Arial" w:hAnsi="Arial" w:cs="Arial"/>
          <w:b/>
        </w:rPr>
        <w:t>Declaration of f</w:t>
      </w:r>
      <w:r w:rsidR="00794E6C" w:rsidRPr="00953431">
        <w:rPr>
          <w:rFonts w:ascii="Arial" w:hAnsi="Arial" w:cs="Arial"/>
          <w:b/>
        </w:rPr>
        <w:t>ish of prohibited size</w:t>
      </w:r>
      <w:r w:rsidR="0043490A">
        <w:rPr>
          <w:rFonts w:ascii="Arial" w:hAnsi="Arial" w:cs="Arial"/>
          <w:b/>
        </w:rPr>
        <w:t xml:space="preserve"> or weight</w:t>
      </w:r>
      <w:r w:rsidR="00040F5D">
        <w:rPr>
          <w:rFonts w:ascii="Arial" w:hAnsi="Arial" w:cs="Arial"/>
          <w:b/>
        </w:rPr>
        <w:t>—</w:t>
      </w:r>
      <w:r w:rsidR="00794E6C" w:rsidRPr="00953431">
        <w:rPr>
          <w:rFonts w:ascii="Arial" w:hAnsi="Arial" w:cs="Arial"/>
          <w:b/>
        </w:rPr>
        <w:t>Act, s</w:t>
      </w:r>
      <w:r w:rsidR="00820857" w:rsidRPr="00953431">
        <w:rPr>
          <w:rFonts w:ascii="Arial" w:hAnsi="Arial" w:cs="Arial"/>
          <w:b/>
        </w:rPr>
        <w:t xml:space="preserve"> </w:t>
      </w:r>
      <w:r w:rsidR="00794E6C" w:rsidRPr="00953431">
        <w:rPr>
          <w:rFonts w:ascii="Arial" w:hAnsi="Arial" w:cs="Arial"/>
          <w:b/>
        </w:rPr>
        <w:t>15</w:t>
      </w:r>
    </w:p>
    <w:p w14:paraId="6F1B537C" w14:textId="77777777" w:rsidR="008F2DF4" w:rsidRDefault="00794E6C" w:rsidP="00A11B8C">
      <w:pPr>
        <w:spacing w:after="240"/>
      </w:pPr>
      <w:r>
        <w:t xml:space="preserve">In this </w:t>
      </w:r>
      <w:r w:rsidR="002F5B8D">
        <w:t>section</w:t>
      </w:r>
      <w:r>
        <w:t xml:space="preserve">, the Minister declares the fish described in </w:t>
      </w:r>
      <w:r w:rsidR="002F5B8D">
        <w:t xml:space="preserve">column 2 of schedule 1 </w:t>
      </w:r>
      <w:r>
        <w:t xml:space="preserve">to be of </w:t>
      </w:r>
      <w:r w:rsidR="002F5B8D">
        <w:t xml:space="preserve">the </w:t>
      </w:r>
      <w:r>
        <w:t xml:space="preserve">size </w:t>
      </w:r>
      <w:r w:rsidR="002F5B8D">
        <w:t xml:space="preserve">prohibited in column 3, </w:t>
      </w:r>
      <w:r>
        <w:t xml:space="preserve">for the purposes of section 15 of the </w:t>
      </w:r>
      <w:r w:rsidR="00C14933" w:rsidRPr="00C14933">
        <w:t>Act</w:t>
      </w:r>
      <w:r>
        <w:t>.</w:t>
      </w:r>
    </w:p>
    <w:p w14:paraId="065EAB52" w14:textId="77777777" w:rsidR="00794E6C" w:rsidRPr="006158D6" w:rsidRDefault="003734AA" w:rsidP="00517AD3">
      <w:pPr>
        <w:spacing w:after="120"/>
        <w:rPr>
          <w:rFonts w:ascii="Arial" w:hAnsi="Arial" w:cs="Arial"/>
          <w:b/>
        </w:rPr>
      </w:pPr>
      <w:r w:rsidRPr="006158D6">
        <w:rPr>
          <w:rFonts w:ascii="Arial" w:hAnsi="Arial" w:cs="Arial"/>
          <w:b/>
        </w:rPr>
        <w:t>Section</w:t>
      </w:r>
      <w:r w:rsidR="00794E6C" w:rsidRPr="006158D6">
        <w:rPr>
          <w:rFonts w:ascii="Arial" w:hAnsi="Arial" w:cs="Arial"/>
          <w:b/>
        </w:rPr>
        <w:t xml:space="preserve"> </w:t>
      </w:r>
      <w:r w:rsidR="001326F8" w:rsidRPr="006158D6">
        <w:rPr>
          <w:rFonts w:ascii="Arial" w:hAnsi="Arial" w:cs="Arial"/>
          <w:b/>
        </w:rPr>
        <w:t>4</w:t>
      </w:r>
      <w:r w:rsidR="00517AD3" w:rsidRPr="006158D6">
        <w:rPr>
          <w:rFonts w:ascii="Arial" w:hAnsi="Arial" w:cs="Arial"/>
          <w:b/>
        </w:rPr>
        <w:tab/>
      </w:r>
      <w:r w:rsidR="001326F8" w:rsidRPr="006158D6">
        <w:rPr>
          <w:rFonts w:ascii="Arial" w:hAnsi="Arial" w:cs="Arial"/>
          <w:b/>
        </w:rPr>
        <w:t>Declaration of f</w:t>
      </w:r>
      <w:r w:rsidR="00794E6C" w:rsidRPr="006158D6">
        <w:rPr>
          <w:rFonts w:ascii="Arial" w:hAnsi="Arial" w:cs="Arial"/>
          <w:b/>
        </w:rPr>
        <w:t>ish quantity</w:t>
      </w:r>
      <w:r w:rsidR="00517AD3" w:rsidRPr="006158D6">
        <w:rPr>
          <w:rFonts w:ascii="Arial" w:hAnsi="Arial" w:cs="Arial"/>
          <w:b/>
        </w:rPr>
        <w:t>—</w:t>
      </w:r>
      <w:r w:rsidR="00794E6C" w:rsidRPr="006158D6">
        <w:rPr>
          <w:rFonts w:ascii="Arial" w:hAnsi="Arial" w:cs="Arial"/>
          <w:b/>
        </w:rPr>
        <w:t>Act, s</w:t>
      </w:r>
      <w:r w:rsidR="00820857" w:rsidRPr="006158D6">
        <w:rPr>
          <w:rFonts w:ascii="Arial" w:hAnsi="Arial" w:cs="Arial"/>
          <w:b/>
        </w:rPr>
        <w:t xml:space="preserve"> </w:t>
      </w:r>
      <w:r w:rsidR="00794E6C" w:rsidRPr="006158D6">
        <w:rPr>
          <w:rFonts w:ascii="Arial" w:hAnsi="Arial" w:cs="Arial"/>
          <w:b/>
        </w:rPr>
        <w:t>16</w:t>
      </w:r>
    </w:p>
    <w:p w14:paraId="78DF1239" w14:textId="77777777" w:rsidR="006158D6" w:rsidRDefault="002F5B8D" w:rsidP="00C54B83">
      <w:pPr>
        <w:spacing w:before="140" w:after="240"/>
      </w:pPr>
      <w:r w:rsidRPr="006158D6">
        <w:t>In this section,</w:t>
      </w:r>
      <w:r w:rsidR="00C14933" w:rsidRPr="006158D6">
        <w:t xml:space="preserve"> </w:t>
      </w:r>
      <w:r w:rsidRPr="006158D6">
        <w:t>t</w:t>
      </w:r>
      <w:r w:rsidR="00C14933" w:rsidRPr="006158D6">
        <w:t>he</w:t>
      </w:r>
      <w:r w:rsidR="00794E6C" w:rsidRPr="006158D6">
        <w:t xml:space="preserve"> Minister declares the quantity of a species of fish described in </w:t>
      </w:r>
      <w:r w:rsidR="00323254" w:rsidRPr="006158D6">
        <w:t>column 4</w:t>
      </w:r>
      <w:r w:rsidR="00794E6C" w:rsidRPr="006158D6">
        <w:t xml:space="preserve"> of </w:t>
      </w:r>
      <w:r w:rsidR="006D0E69" w:rsidRPr="006158D6">
        <w:t>s</w:t>
      </w:r>
      <w:r w:rsidR="00794E6C" w:rsidRPr="006158D6">
        <w:t xml:space="preserve">chedule </w:t>
      </w:r>
      <w:r w:rsidR="00323254" w:rsidRPr="006158D6">
        <w:t xml:space="preserve">1 </w:t>
      </w:r>
      <w:r w:rsidR="00794E6C" w:rsidRPr="006158D6">
        <w:t xml:space="preserve">to be the </w:t>
      </w:r>
      <w:r w:rsidR="0033721B" w:rsidRPr="006158D6">
        <w:t>quantity</w:t>
      </w:r>
      <w:r w:rsidR="00794E6C" w:rsidRPr="006158D6">
        <w:t xml:space="preserve"> of fish </w:t>
      </w:r>
      <w:r w:rsidR="006158D6" w:rsidRPr="006158D6">
        <w:t>that a person may take</w:t>
      </w:r>
      <w:r w:rsidR="00794E6C" w:rsidRPr="006158D6">
        <w:t xml:space="preserve"> in </w:t>
      </w:r>
      <w:r w:rsidR="00167CDF" w:rsidRPr="006158D6">
        <w:t>any one</w:t>
      </w:r>
      <w:r w:rsidR="00794E6C" w:rsidRPr="006158D6">
        <w:t xml:space="preserve"> day for the purposes of section 16 of the </w:t>
      </w:r>
      <w:r w:rsidR="00C14933" w:rsidRPr="006158D6">
        <w:t>Act</w:t>
      </w:r>
      <w:r w:rsidR="00794E6C" w:rsidRPr="006158D6">
        <w:t>.</w:t>
      </w:r>
      <w:r w:rsidR="006158D6">
        <w:t xml:space="preserve"> </w:t>
      </w:r>
    </w:p>
    <w:p w14:paraId="20CAFFB5" w14:textId="77777777" w:rsidR="006D0E69" w:rsidRPr="00953431" w:rsidRDefault="003734AA" w:rsidP="00517AD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Pr="00953431">
        <w:rPr>
          <w:rFonts w:ascii="Arial" w:hAnsi="Arial" w:cs="Arial"/>
          <w:b/>
        </w:rPr>
        <w:t xml:space="preserve"> </w:t>
      </w:r>
      <w:r w:rsidR="00953431">
        <w:rPr>
          <w:rFonts w:ascii="Arial" w:hAnsi="Arial" w:cs="Arial"/>
          <w:b/>
        </w:rPr>
        <w:t>5</w:t>
      </w:r>
      <w:r w:rsidR="00517AD3">
        <w:rPr>
          <w:rFonts w:ascii="Arial" w:hAnsi="Arial" w:cs="Arial"/>
          <w:b/>
        </w:rPr>
        <w:tab/>
      </w:r>
      <w:r w:rsidR="006D0E69" w:rsidRPr="00953431">
        <w:rPr>
          <w:rFonts w:ascii="Arial" w:hAnsi="Arial" w:cs="Arial"/>
          <w:b/>
        </w:rPr>
        <w:t xml:space="preserve">Revocation </w:t>
      </w:r>
    </w:p>
    <w:p w14:paraId="26C084EB" w14:textId="77777777" w:rsidR="006D0E69" w:rsidRDefault="00971F06" w:rsidP="00A11B8C">
      <w:pPr>
        <w:spacing w:after="240"/>
      </w:pPr>
      <w:r>
        <w:t xml:space="preserve">This clause </w:t>
      </w:r>
      <w:r w:rsidR="00D60C9A">
        <w:t xml:space="preserve">revokes </w:t>
      </w:r>
      <w:r>
        <w:t xml:space="preserve">the previous instrument, the </w:t>
      </w:r>
      <w:r>
        <w:rPr>
          <w:i/>
        </w:rPr>
        <w:t xml:space="preserve">Fisheries Prohibition and Declaration </w:t>
      </w:r>
      <w:r w:rsidR="00B471D7">
        <w:rPr>
          <w:i/>
        </w:rPr>
        <w:t xml:space="preserve">2016 </w:t>
      </w:r>
      <w:r>
        <w:rPr>
          <w:i/>
        </w:rPr>
        <w:t xml:space="preserve">(No </w:t>
      </w:r>
      <w:r w:rsidR="00B471D7">
        <w:rPr>
          <w:i/>
        </w:rPr>
        <w:t>1</w:t>
      </w:r>
      <w:r>
        <w:rPr>
          <w:i/>
        </w:rPr>
        <w:t xml:space="preserve">) </w:t>
      </w:r>
      <w:r>
        <w:t>(</w:t>
      </w:r>
      <w:r w:rsidR="00B471D7">
        <w:t>DI2016</w:t>
      </w:r>
      <w:r>
        <w:t>-</w:t>
      </w:r>
      <w:r w:rsidR="00B471D7" w:rsidRPr="00194491">
        <w:t>2</w:t>
      </w:r>
      <w:r w:rsidR="00B471D7">
        <w:t>8</w:t>
      </w:r>
      <w:r w:rsidR="00B471D7" w:rsidRPr="00194491">
        <w:t>2</w:t>
      </w:r>
      <w:r>
        <w:t>)</w:t>
      </w:r>
      <w:r w:rsidR="00D60C9A">
        <w:t>.</w:t>
      </w:r>
    </w:p>
    <w:p w14:paraId="42B7EDC2" w14:textId="77777777" w:rsidR="0062462E" w:rsidRDefault="0062462E" w:rsidP="00E67861">
      <w:pPr>
        <w:spacing w:after="120"/>
        <w:rPr>
          <w:rFonts w:ascii="Arial" w:hAnsi="Arial" w:cs="Arial"/>
          <w:b/>
        </w:rPr>
      </w:pPr>
    </w:p>
    <w:p w14:paraId="252902C5" w14:textId="77777777" w:rsidR="0062462E" w:rsidRDefault="0062462E" w:rsidP="00E67861">
      <w:pPr>
        <w:spacing w:after="120"/>
        <w:rPr>
          <w:rFonts w:ascii="Arial" w:hAnsi="Arial" w:cs="Arial"/>
          <w:b/>
        </w:rPr>
      </w:pPr>
    </w:p>
    <w:p w14:paraId="315C0A7F" w14:textId="77777777" w:rsidR="00C54B83" w:rsidRDefault="00C54B83" w:rsidP="00E67861">
      <w:pPr>
        <w:spacing w:after="120"/>
        <w:rPr>
          <w:rFonts w:ascii="Arial" w:hAnsi="Arial" w:cs="Arial"/>
          <w:b/>
        </w:rPr>
      </w:pPr>
    </w:p>
    <w:p w14:paraId="330B7631" w14:textId="77777777" w:rsidR="006D0E69" w:rsidRPr="00953431" w:rsidRDefault="006D0E69" w:rsidP="00E67861">
      <w:pPr>
        <w:spacing w:after="120"/>
        <w:rPr>
          <w:rFonts w:ascii="Arial" w:hAnsi="Arial" w:cs="Arial"/>
          <w:b/>
        </w:rPr>
      </w:pPr>
      <w:r w:rsidRPr="00953431">
        <w:rPr>
          <w:rFonts w:ascii="Arial" w:hAnsi="Arial" w:cs="Arial"/>
          <w:b/>
        </w:rPr>
        <w:t>Schedule</w:t>
      </w:r>
      <w:r w:rsidR="00323254" w:rsidRPr="00953431">
        <w:rPr>
          <w:rFonts w:ascii="Arial" w:hAnsi="Arial" w:cs="Arial"/>
          <w:b/>
        </w:rPr>
        <w:t xml:space="preserve"> 1</w:t>
      </w:r>
      <w:r w:rsidR="00E67861">
        <w:rPr>
          <w:rFonts w:ascii="Arial" w:hAnsi="Arial" w:cs="Arial"/>
          <w:b/>
        </w:rPr>
        <w:tab/>
        <w:t>Prohibited size</w:t>
      </w:r>
      <w:r w:rsidR="00953431">
        <w:rPr>
          <w:rFonts w:ascii="Arial" w:hAnsi="Arial" w:cs="Arial"/>
          <w:b/>
        </w:rPr>
        <w:t xml:space="preserve"> and </w:t>
      </w:r>
      <w:r w:rsidR="00E67861">
        <w:rPr>
          <w:rFonts w:ascii="Arial" w:hAnsi="Arial" w:cs="Arial"/>
          <w:b/>
        </w:rPr>
        <w:t>quantity</w:t>
      </w:r>
    </w:p>
    <w:p w14:paraId="59C1F749" w14:textId="77777777" w:rsidR="00323254" w:rsidRPr="00953431" w:rsidRDefault="00323254" w:rsidP="00A11B8C">
      <w:pPr>
        <w:spacing w:after="240"/>
      </w:pPr>
      <w:r w:rsidRPr="00953431">
        <w:t>Schedule 1 provides a list of fish of prohibited size</w:t>
      </w:r>
      <w:r w:rsidR="0043490A">
        <w:t xml:space="preserve"> and</w:t>
      </w:r>
      <w:r w:rsidRPr="00953431">
        <w:t xml:space="preserve"> the number of fish a person may take in any </w:t>
      </w:r>
      <w:r w:rsidR="00845723">
        <w:t>one</w:t>
      </w:r>
      <w:r w:rsidRPr="00953431">
        <w:t xml:space="preserve"> day.</w:t>
      </w:r>
    </w:p>
    <w:p w14:paraId="0138A249" w14:textId="77777777" w:rsidR="008E63CD" w:rsidRDefault="00323254" w:rsidP="00A11B8C">
      <w:pPr>
        <w:spacing w:after="240"/>
      </w:pPr>
      <w:r>
        <w:t>I</w:t>
      </w:r>
      <w:r w:rsidR="000A6E2F">
        <w:t xml:space="preserve">t is prohibited to </w:t>
      </w:r>
      <w:r w:rsidR="00D60C9A">
        <w:t>take</w:t>
      </w:r>
      <w:r w:rsidR="000A6E2F">
        <w:t xml:space="preserve"> </w:t>
      </w:r>
      <w:r w:rsidR="003E0EFB">
        <w:t>G</w:t>
      </w:r>
      <w:r w:rsidRPr="00981350">
        <w:t xml:space="preserve">olden </w:t>
      </w:r>
      <w:r w:rsidR="00FD6F90">
        <w:t>P</w:t>
      </w:r>
      <w:r w:rsidRPr="00981350">
        <w:t>erch (</w:t>
      </w:r>
      <w:r w:rsidRPr="00981350">
        <w:rPr>
          <w:i/>
        </w:rPr>
        <w:t>Macquaria ambigua</w:t>
      </w:r>
      <w:r w:rsidRPr="00981350">
        <w:t xml:space="preserve">) less than 30cm in length, </w:t>
      </w:r>
      <w:r w:rsidR="003E0EFB">
        <w:t>B</w:t>
      </w:r>
      <w:r w:rsidR="000A6E2F" w:rsidRPr="00981350">
        <w:t xml:space="preserve">rown </w:t>
      </w:r>
      <w:r w:rsidR="00FD6F90">
        <w:t>T</w:t>
      </w:r>
      <w:r w:rsidR="000A6E2F" w:rsidRPr="00981350">
        <w:t xml:space="preserve">rout </w:t>
      </w:r>
      <w:r w:rsidRPr="00981350">
        <w:t>(</w:t>
      </w:r>
      <w:r w:rsidRPr="00981350">
        <w:rPr>
          <w:i/>
          <w:iCs/>
        </w:rPr>
        <w:t>Salmo trutta</w:t>
      </w:r>
      <w:r w:rsidRPr="00981350">
        <w:t xml:space="preserve">) and </w:t>
      </w:r>
      <w:r w:rsidR="003E0EFB">
        <w:t>R</w:t>
      </w:r>
      <w:r w:rsidRPr="00981350">
        <w:t xml:space="preserve">ainbow </w:t>
      </w:r>
      <w:r w:rsidR="00FD6F90">
        <w:t>T</w:t>
      </w:r>
      <w:r w:rsidRPr="00981350">
        <w:t>rout (</w:t>
      </w:r>
      <w:r w:rsidRPr="00981350">
        <w:rPr>
          <w:i/>
          <w:iCs/>
        </w:rPr>
        <w:t>Oncorhynchus mykiss</w:t>
      </w:r>
      <w:r w:rsidRPr="00981350">
        <w:t xml:space="preserve">) </w:t>
      </w:r>
      <w:r w:rsidR="000A6E2F" w:rsidRPr="00981350">
        <w:t>less than 25</w:t>
      </w:r>
      <w:r w:rsidR="00D60C9A" w:rsidRPr="00981350">
        <w:t>cm</w:t>
      </w:r>
      <w:r w:rsidR="000A6E2F" w:rsidRPr="00981350">
        <w:t xml:space="preserve"> in length, </w:t>
      </w:r>
      <w:r w:rsidRPr="00981350">
        <w:t xml:space="preserve">and </w:t>
      </w:r>
      <w:r w:rsidR="000A6E2F" w:rsidRPr="00981350">
        <w:t>Murray</w:t>
      </w:r>
      <w:r w:rsidR="00FD6F90">
        <w:t xml:space="preserve"> C</w:t>
      </w:r>
      <w:r w:rsidR="000A6E2F" w:rsidRPr="00981350">
        <w:t>od</w:t>
      </w:r>
      <w:r w:rsidR="000A6E2F">
        <w:t xml:space="preserve"> </w:t>
      </w:r>
      <w:r>
        <w:t>(</w:t>
      </w:r>
      <w:r w:rsidRPr="00953431">
        <w:rPr>
          <w:i/>
          <w:iCs/>
        </w:rPr>
        <w:t>Maccullochella peelii</w:t>
      </w:r>
      <w:r>
        <w:t xml:space="preserve">) </w:t>
      </w:r>
      <w:r w:rsidR="000A6E2F">
        <w:t xml:space="preserve">less than </w:t>
      </w:r>
      <w:r w:rsidR="000A6E2F" w:rsidRPr="001E15A8">
        <w:t>55</w:t>
      </w:r>
      <w:r w:rsidR="00517AD3">
        <w:t>cm</w:t>
      </w:r>
      <w:r w:rsidR="000A6E2F" w:rsidRPr="001E15A8">
        <w:t xml:space="preserve"> in length or </w:t>
      </w:r>
      <w:r w:rsidR="00A259A4" w:rsidRPr="001E15A8">
        <w:t>more</w:t>
      </w:r>
      <w:r w:rsidR="000A6E2F" w:rsidRPr="001E15A8">
        <w:t xml:space="preserve"> than 75</w:t>
      </w:r>
      <w:r w:rsidR="00517AD3">
        <w:t>cm</w:t>
      </w:r>
      <w:r w:rsidR="000A6E2F" w:rsidRPr="001E15A8">
        <w:t xml:space="preserve"> in length</w:t>
      </w:r>
      <w:r w:rsidR="003759A3">
        <w:t xml:space="preserve">. </w:t>
      </w:r>
      <w:r w:rsidR="00BF58D1">
        <w:t xml:space="preserve">The length of a fish is measured from the point of its snout to the tip of its tail.  </w:t>
      </w:r>
    </w:p>
    <w:p w14:paraId="74B67A2C" w14:textId="77777777" w:rsidR="00BF58D1" w:rsidRPr="001E15A8" w:rsidRDefault="0014490E" w:rsidP="00A11B8C">
      <w:pPr>
        <w:spacing w:after="240"/>
      </w:pPr>
      <w:r w:rsidRPr="001E15A8">
        <w:t xml:space="preserve">The purpose of </w:t>
      </w:r>
      <w:r w:rsidR="00064258" w:rsidRPr="001E15A8">
        <w:t>prohibiting the taking</w:t>
      </w:r>
      <w:r w:rsidR="00CD64DB" w:rsidRPr="001E15A8">
        <w:t xml:space="preserve"> of fish less than a minimum size is to allow fish </w:t>
      </w:r>
      <w:r w:rsidR="00126BC1">
        <w:t xml:space="preserve">time </w:t>
      </w:r>
      <w:r w:rsidR="00CD64DB" w:rsidRPr="001E15A8">
        <w:t xml:space="preserve">to breed before they are subjected to </w:t>
      </w:r>
      <w:r w:rsidR="0097628C" w:rsidRPr="001E15A8">
        <w:t xml:space="preserve">recreational </w:t>
      </w:r>
      <w:r w:rsidR="00CD64DB" w:rsidRPr="001E15A8">
        <w:t>fishing pressure.</w:t>
      </w:r>
      <w:r w:rsidR="000A7526" w:rsidRPr="001E15A8">
        <w:t xml:space="preserve"> </w:t>
      </w:r>
      <w:r w:rsidR="00DF44CD" w:rsidRPr="001E15A8">
        <w:t xml:space="preserve">The </w:t>
      </w:r>
      <w:r w:rsidR="006D3CBC" w:rsidRPr="001E15A8">
        <w:t xml:space="preserve">prohibition on catching Murray </w:t>
      </w:r>
      <w:r w:rsidR="00FD6F90">
        <w:t>C</w:t>
      </w:r>
      <w:r w:rsidR="006D3CBC" w:rsidRPr="001E15A8">
        <w:t xml:space="preserve">od </w:t>
      </w:r>
      <w:r w:rsidR="003E0EFB">
        <w:t xml:space="preserve">of </w:t>
      </w:r>
      <w:r w:rsidR="00E362BC">
        <w:t>less than 55</w:t>
      </w:r>
      <w:r w:rsidR="00040F5D">
        <w:t>cm</w:t>
      </w:r>
      <w:r w:rsidR="00E362BC">
        <w:t xml:space="preserve"> in length and </w:t>
      </w:r>
      <w:r w:rsidR="00A259A4" w:rsidRPr="001E15A8">
        <w:t>more</w:t>
      </w:r>
      <w:r w:rsidR="006D3CBC" w:rsidRPr="001E15A8">
        <w:t xml:space="preserve"> than 75</w:t>
      </w:r>
      <w:r w:rsidR="00040F5D">
        <w:t>cm</w:t>
      </w:r>
      <w:r w:rsidR="006D3CBC" w:rsidRPr="001E15A8">
        <w:t xml:space="preserve"> in length is aimed </w:t>
      </w:r>
      <w:r w:rsidR="00DA77BD" w:rsidRPr="001E15A8">
        <w:t xml:space="preserve">at </w:t>
      </w:r>
      <w:r w:rsidR="00CD3BF0" w:rsidRPr="001E15A8">
        <w:t xml:space="preserve">reducing the number of years </w:t>
      </w:r>
      <w:r w:rsidR="0019565C" w:rsidRPr="001E15A8">
        <w:t>they</w:t>
      </w:r>
      <w:r w:rsidR="00CD3BF0" w:rsidRPr="001E15A8">
        <w:t xml:space="preserve"> are subject to </w:t>
      </w:r>
      <w:r w:rsidR="00907E6A">
        <w:t>being taken</w:t>
      </w:r>
      <w:r w:rsidR="00907E6A" w:rsidRPr="001E15A8">
        <w:t xml:space="preserve"> </w:t>
      </w:r>
      <w:r w:rsidR="00CD3BF0" w:rsidRPr="001E15A8">
        <w:t xml:space="preserve">and </w:t>
      </w:r>
      <w:r w:rsidR="006D3CBC" w:rsidRPr="001E15A8">
        <w:t xml:space="preserve">at protecting the </w:t>
      </w:r>
      <w:r w:rsidR="001036A8" w:rsidRPr="001E15A8">
        <w:t>large</w:t>
      </w:r>
      <w:r w:rsidR="00B5012A" w:rsidRPr="001E15A8">
        <w:t>r</w:t>
      </w:r>
      <w:r w:rsidR="001036A8" w:rsidRPr="001E15A8">
        <w:t xml:space="preserve"> breeding fish </w:t>
      </w:r>
      <w:r w:rsidR="006D3CBC" w:rsidRPr="001E15A8">
        <w:t xml:space="preserve">that contribute proportionately more to </w:t>
      </w:r>
      <w:r w:rsidR="00B5012A" w:rsidRPr="001E15A8">
        <w:t xml:space="preserve">recruitment in </w:t>
      </w:r>
      <w:r w:rsidR="006D3CBC" w:rsidRPr="001E15A8">
        <w:t>subsequent generations than smaller fish</w:t>
      </w:r>
      <w:r w:rsidR="00F367DC" w:rsidRPr="001E15A8">
        <w:t>.</w:t>
      </w:r>
    </w:p>
    <w:p w14:paraId="1779D7E8" w14:textId="77777777" w:rsidR="008E63CD" w:rsidRPr="003E0EFB" w:rsidRDefault="00126BC1" w:rsidP="00A11B8C">
      <w:pPr>
        <w:spacing w:after="240"/>
      </w:pPr>
      <w:r>
        <w:t xml:space="preserve">Schedule 1 also </w:t>
      </w:r>
      <w:r w:rsidR="00F31A26">
        <w:t xml:space="preserve">lists the number of fish a person may take in any one day. </w:t>
      </w:r>
      <w:r w:rsidR="00F31A26" w:rsidRPr="005F2549">
        <w:t>The s</w:t>
      </w:r>
      <w:r>
        <w:t>chedule</w:t>
      </w:r>
      <w:r w:rsidR="00F31A26" w:rsidRPr="005F2549">
        <w:t xml:space="preserve"> provides that a person may take no more than </w:t>
      </w:r>
      <w:r w:rsidR="003E0EFB">
        <w:t>five</w:t>
      </w:r>
      <w:r w:rsidR="00F31A26" w:rsidRPr="005F2549">
        <w:t xml:space="preserve"> </w:t>
      </w:r>
      <w:r w:rsidR="003E0EFB">
        <w:t>G</w:t>
      </w:r>
      <w:r w:rsidR="00F31A26" w:rsidRPr="005F2549">
        <w:t xml:space="preserve">olden </w:t>
      </w:r>
      <w:r w:rsidR="00FD6F90">
        <w:t>P</w:t>
      </w:r>
      <w:r w:rsidR="00F31A26" w:rsidRPr="005F2549">
        <w:t>erch in any</w:t>
      </w:r>
      <w:r w:rsidR="00B97D92" w:rsidRPr="005F2549">
        <w:t xml:space="preserve"> </w:t>
      </w:r>
      <w:r w:rsidR="003E0EFB">
        <w:t>one</w:t>
      </w:r>
      <w:r w:rsidR="00B97D92" w:rsidRPr="005F2549">
        <w:t xml:space="preserve"> day</w:t>
      </w:r>
      <w:r w:rsidR="000D465A" w:rsidRPr="005F2549">
        <w:t xml:space="preserve">, except </w:t>
      </w:r>
      <w:r>
        <w:t>from</w:t>
      </w:r>
      <w:r w:rsidR="000D465A" w:rsidRPr="005F2549">
        <w:t xml:space="preserve"> the Murrumbidgee River where a limit of </w:t>
      </w:r>
      <w:r w:rsidR="003E0EFB">
        <w:t>two</w:t>
      </w:r>
      <w:r w:rsidR="000D465A" w:rsidRPr="005F2549">
        <w:t xml:space="preserve"> per day applies</w:t>
      </w:r>
      <w:r w:rsidR="00B97D92" w:rsidRPr="005F2549">
        <w:t>.</w:t>
      </w:r>
      <w:r w:rsidR="00B97D92" w:rsidRPr="00C52CA0">
        <w:t xml:space="preserve"> </w:t>
      </w:r>
      <w:r>
        <w:t xml:space="preserve">A person may take no more than a combined total of </w:t>
      </w:r>
      <w:r w:rsidR="003E0EFB">
        <w:t>five</w:t>
      </w:r>
      <w:r>
        <w:t xml:space="preserve"> </w:t>
      </w:r>
      <w:r w:rsidR="003E0EFB">
        <w:t>B</w:t>
      </w:r>
      <w:r>
        <w:t xml:space="preserve">rown </w:t>
      </w:r>
      <w:r w:rsidR="00FD6F90">
        <w:t>T</w:t>
      </w:r>
      <w:r>
        <w:t xml:space="preserve">rout and </w:t>
      </w:r>
      <w:r w:rsidR="003E0EFB">
        <w:t>R</w:t>
      </w:r>
      <w:r>
        <w:t xml:space="preserve">ainbow </w:t>
      </w:r>
      <w:r w:rsidR="00FD6F90">
        <w:t>T</w:t>
      </w:r>
      <w:r>
        <w:t xml:space="preserve">rout in any </w:t>
      </w:r>
      <w:r w:rsidR="003E0EFB">
        <w:t>one</w:t>
      </w:r>
      <w:r>
        <w:t xml:space="preserve"> day</w:t>
      </w:r>
      <w:r w:rsidRPr="005D2EB1">
        <w:t>.</w:t>
      </w:r>
      <w:r>
        <w:t xml:space="preserve"> </w:t>
      </w:r>
      <w:r w:rsidR="0097628C" w:rsidRPr="00C52CA0">
        <w:t xml:space="preserve">A person may take no more than </w:t>
      </w:r>
      <w:r w:rsidR="003E0EFB">
        <w:t>two</w:t>
      </w:r>
      <w:r w:rsidR="0097628C" w:rsidRPr="00C52CA0">
        <w:t xml:space="preserve"> Murray </w:t>
      </w:r>
      <w:r w:rsidR="00FD6F90">
        <w:t>C</w:t>
      </w:r>
      <w:r w:rsidR="0097628C" w:rsidRPr="00C52CA0">
        <w:t xml:space="preserve">od in any </w:t>
      </w:r>
      <w:r w:rsidR="003E0EFB">
        <w:t>one</w:t>
      </w:r>
      <w:r w:rsidR="0097628C" w:rsidRPr="00C52CA0">
        <w:t xml:space="preserve"> day, except in the Murrumbidgee River</w:t>
      </w:r>
      <w:r w:rsidR="00D14DD0">
        <w:t xml:space="preserve"> where a different limit applies</w:t>
      </w:r>
      <w:r w:rsidR="0097628C" w:rsidRPr="00C52CA0">
        <w:t xml:space="preserve">. </w:t>
      </w:r>
      <w:r w:rsidR="00F31A26" w:rsidRPr="00C52CA0">
        <w:t xml:space="preserve">A person may take no more than </w:t>
      </w:r>
      <w:r w:rsidR="003E0EFB">
        <w:t>one</w:t>
      </w:r>
      <w:r w:rsidR="00F31A26" w:rsidRPr="00C52CA0">
        <w:t xml:space="preserve"> Murray </w:t>
      </w:r>
      <w:r w:rsidR="00FD6F90">
        <w:t>C</w:t>
      </w:r>
      <w:r w:rsidR="00F31A26" w:rsidRPr="00C52CA0">
        <w:t xml:space="preserve">od in any one day </w:t>
      </w:r>
      <w:r w:rsidR="00CD3BF0" w:rsidRPr="00C52CA0">
        <w:t xml:space="preserve">from open waters </w:t>
      </w:r>
      <w:r w:rsidR="00F31A26" w:rsidRPr="00C52CA0">
        <w:t>in the Murrumbidgee River</w:t>
      </w:r>
      <w:r w:rsidR="005F2549">
        <w:t xml:space="preserve"> </w:t>
      </w:r>
      <w:r w:rsidR="005F2549" w:rsidRPr="00953431">
        <w:t xml:space="preserve">and </w:t>
      </w:r>
      <w:r w:rsidR="0043490A">
        <w:t>must</w:t>
      </w:r>
      <w:r w:rsidR="0043490A" w:rsidRPr="00953431">
        <w:t xml:space="preserve"> </w:t>
      </w:r>
      <w:r w:rsidR="005F2549" w:rsidRPr="00953431">
        <w:t xml:space="preserve">not take </w:t>
      </w:r>
      <w:r w:rsidR="0043490A">
        <w:t xml:space="preserve">any </w:t>
      </w:r>
      <w:r w:rsidR="005F2549" w:rsidRPr="00953431">
        <w:t xml:space="preserve">Murray </w:t>
      </w:r>
      <w:r w:rsidR="00FD6F90">
        <w:t>C</w:t>
      </w:r>
      <w:r w:rsidR="005F2549" w:rsidRPr="00953431">
        <w:t>od at any time from the section of the Murrumbidgee River from downstream of Uriarra Crossing to the ACT</w:t>
      </w:r>
      <w:r w:rsidR="003E0EFB">
        <w:t>–</w:t>
      </w:r>
      <w:r w:rsidR="005F2549" w:rsidRPr="00953431">
        <w:t>N</w:t>
      </w:r>
      <w:r w:rsidR="00E67861" w:rsidRPr="00953431">
        <w:t xml:space="preserve">ew </w:t>
      </w:r>
      <w:r w:rsidR="005F2549" w:rsidRPr="00953431">
        <w:t>S</w:t>
      </w:r>
      <w:r w:rsidR="00E67861" w:rsidRPr="00953431">
        <w:t xml:space="preserve">outh </w:t>
      </w:r>
      <w:r w:rsidR="005F2549" w:rsidRPr="00953431">
        <w:t>W</w:t>
      </w:r>
      <w:r w:rsidR="00E67861" w:rsidRPr="00953431">
        <w:t>ales</w:t>
      </w:r>
      <w:r w:rsidR="005F2549" w:rsidRPr="00953431">
        <w:t xml:space="preserve"> border at any time</w:t>
      </w:r>
      <w:r w:rsidR="00B97D92" w:rsidRPr="00953431">
        <w:t>.</w:t>
      </w:r>
      <w:r w:rsidR="00B97D92" w:rsidRPr="00953431">
        <w:rPr>
          <w:color w:val="FF0000"/>
          <w:highlight w:val="yellow"/>
        </w:rPr>
        <w:t xml:space="preserve"> </w:t>
      </w:r>
    </w:p>
    <w:p w14:paraId="385CB048" w14:textId="77777777" w:rsidR="00F31A26" w:rsidRDefault="00F367DC" w:rsidP="00A11B8C">
      <w:pPr>
        <w:spacing w:after="240"/>
      </w:pPr>
      <w:r w:rsidRPr="00C52CA0">
        <w:t xml:space="preserve">Limiting the take of </w:t>
      </w:r>
      <w:r w:rsidR="003E0EFB">
        <w:t>G</w:t>
      </w:r>
      <w:r w:rsidR="004C4526">
        <w:t xml:space="preserve">olden </w:t>
      </w:r>
      <w:r w:rsidR="00FD6F90">
        <w:t>P</w:t>
      </w:r>
      <w:r w:rsidR="004C4526">
        <w:t>erch</w:t>
      </w:r>
      <w:r w:rsidRPr="00C52CA0">
        <w:t xml:space="preserve"> </w:t>
      </w:r>
      <w:r w:rsidR="00E67861">
        <w:t>from</w:t>
      </w:r>
      <w:r w:rsidR="00F85588" w:rsidRPr="00C52CA0">
        <w:t xml:space="preserve"> the Murrumbidgee River </w:t>
      </w:r>
      <w:r w:rsidRPr="00C52CA0">
        <w:t xml:space="preserve">to </w:t>
      </w:r>
      <w:r w:rsidR="003E0EFB">
        <w:t>two</w:t>
      </w:r>
      <w:r w:rsidR="004C4526" w:rsidRPr="00C52CA0">
        <w:t xml:space="preserve"> </w:t>
      </w:r>
      <w:r w:rsidRPr="00C52CA0">
        <w:t>fish in any one day</w:t>
      </w:r>
      <w:r w:rsidR="00A66691" w:rsidRPr="00C52CA0">
        <w:t xml:space="preserve"> is aimed</w:t>
      </w:r>
      <w:r w:rsidR="00CD3BF0" w:rsidRPr="00C52CA0">
        <w:t xml:space="preserve"> at</w:t>
      </w:r>
      <w:r w:rsidR="00A66691" w:rsidRPr="00C52CA0">
        <w:t xml:space="preserve"> </w:t>
      </w:r>
      <w:r w:rsidR="004C4526">
        <w:t xml:space="preserve">providing protection from overfishing to wild populations of </w:t>
      </w:r>
      <w:r w:rsidR="003E0EFB">
        <w:t>G</w:t>
      </w:r>
      <w:r w:rsidR="004C4526">
        <w:t xml:space="preserve">olden </w:t>
      </w:r>
      <w:r w:rsidR="00FD6F90">
        <w:t>P</w:t>
      </w:r>
      <w:r w:rsidR="004C4526">
        <w:t xml:space="preserve">erch. Recent monitoring has shown that the species is in decline and warrants a reduction in take numbers </w:t>
      </w:r>
      <w:r w:rsidR="00E67861">
        <w:t>from the</w:t>
      </w:r>
      <w:r w:rsidR="004C4526">
        <w:t xml:space="preserve"> Murrumbidgee River. The take limit of </w:t>
      </w:r>
      <w:r w:rsidR="003E0EFB">
        <w:t>five</w:t>
      </w:r>
      <w:r w:rsidR="004C4526">
        <w:t xml:space="preserve"> will continue to apply in lakes and impoundments</w:t>
      </w:r>
      <w:r w:rsidR="00E67861">
        <w:t>,</w:t>
      </w:r>
      <w:r w:rsidR="004C4526">
        <w:t xml:space="preserve"> as these populations are supplemented by </w:t>
      </w:r>
      <w:r w:rsidR="00E67861">
        <w:t xml:space="preserve">government </w:t>
      </w:r>
      <w:r w:rsidR="004C4526">
        <w:t xml:space="preserve">stocking regimes. </w:t>
      </w:r>
      <w:r w:rsidR="005F2549" w:rsidRPr="00953431">
        <w:t xml:space="preserve">Not allowing take of Murray </w:t>
      </w:r>
      <w:r w:rsidR="00FD6F90">
        <w:t>C</w:t>
      </w:r>
      <w:r w:rsidR="005F2549" w:rsidRPr="00953431">
        <w:t xml:space="preserve">od in the section of the Murrumbidgee River from Uriarra Crossing to the NSW Border provides further protection </w:t>
      </w:r>
      <w:r w:rsidR="005C59F4" w:rsidRPr="00953431">
        <w:t xml:space="preserve">for </w:t>
      </w:r>
      <w:r w:rsidR="00E67861" w:rsidRPr="00953431">
        <w:t xml:space="preserve">Murray </w:t>
      </w:r>
      <w:r w:rsidR="005F2549" w:rsidRPr="00953431">
        <w:t>cod in this reach of the river that may be at risk from fishing pressure.</w:t>
      </w:r>
    </w:p>
    <w:p w14:paraId="56E37B31" w14:textId="77777777" w:rsidR="00EF498A" w:rsidRPr="00F22BFB" w:rsidRDefault="00EF498A" w:rsidP="00EF498A">
      <w:pPr>
        <w:spacing w:after="120"/>
        <w:rPr>
          <w:rFonts w:ascii="Arial" w:hAnsi="Arial" w:cs="Arial"/>
          <w:b/>
        </w:rPr>
      </w:pPr>
      <w:r w:rsidRPr="00F22BFB">
        <w:rPr>
          <w:rFonts w:ascii="Arial" w:hAnsi="Arial" w:cs="Arial"/>
          <w:b/>
        </w:rPr>
        <w:t>Human Rights</w:t>
      </w:r>
    </w:p>
    <w:p w14:paraId="6FF9FA1D" w14:textId="77777777" w:rsidR="0016706D" w:rsidRPr="006158D6" w:rsidRDefault="0016706D" w:rsidP="00EF498A">
      <w:pPr>
        <w:spacing w:after="120"/>
      </w:pPr>
      <w:r>
        <w:rPr>
          <w:color w:val="000000"/>
          <w:shd w:val="clear" w:color="auto" w:fill="FFFFFF"/>
        </w:rPr>
        <w:t xml:space="preserve">The Standing Committee on Justice and Community Safety (Legislative Scrutiny Role) terms of reference require consideration </w:t>
      </w:r>
      <w:r w:rsidRPr="006158D6">
        <w:t>of human rights</w:t>
      </w:r>
      <w:r w:rsidRPr="00B61150">
        <w:t> </w:t>
      </w:r>
      <w:r w:rsidRPr="006158D6">
        <w:t>impacts, among other matters. In this case, no human rights are impacted.</w:t>
      </w:r>
    </w:p>
    <w:p w14:paraId="63FD1947" w14:textId="77777777" w:rsidR="00FF46AD" w:rsidRPr="006158D6" w:rsidRDefault="00FF46AD" w:rsidP="006158D6">
      <w:pPr>
        <w:spacing w:after="120"/>
        <w:rPr>
          <w:rFonts w:ascii="Arial" w:hAnsi="Arial" w:cs="Arial"/>
          <w:b/>
        </w:rPr>
      </w:pPr>
      <w:r w:rsidRPr="006158D6">
        <w:rPr>
          <w:rFonts w:ascii="Arial" w:hAnsi="Arial" w:cs="Arial"/>
          <w:b/>
        </w:rPr>
        <w:t>Regulatory Impact Statement</w:t>
      </w:r>
    </w:p>
    <w:p w14:paraId="7FBFA49C" w14:textId="77777777" w:rsidR="008F2DF4" w:rsidRDefault="00FF46AD" w:rsidP="00356A80">
      <w:pPr>
        <w:spacing w:after="240"/>
      </w:pPr>
      <w:r>
        <w:t xml:space="preserve">A regulatory impact statement has been prepared for the </w:t>
      </w:r>
      <w:r w:rsidR="0016706D">
        <w:t>instrument</w:t>
      </w:r>
      <w:r w:rsidR="001D7870">
        <w:t xml:space="preserve">, in accordance with Part 5.2 of the </w:t>
      </w:r>
      <w:r w:rsidR="001D7870" w:rsidRPr="006158D6">
        <w:rPr>
          <w:i/>
          <w:iCs/>
        </w:rPr>
        <w:t>Legislation Act 2001</w:t>
      </w:r>
      <w:r>
        <w:t>.</w:t>
      </w:r>
    </w:p>
    <w:sectPr w:rsidR="008F2DF4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70D2" w14:textId="77777777" w:rsidR="00D233BA" w:rsidRDefault="00D233BA">
      <w:r>
        <w:separator/>
      </w:r>
    </w:p>
  </w:endnote>
  <w:endnote w:type="continuationSeparator" w:id="0">
    <w:p w14:paraId="2C06AD6C" w14:textId="77777777" w:rsidR="00D233BA" w:rsidRDefault="00D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7D6E" w14:textId="77777777" w:rsidR="00464832" w:rsidRDefault="0046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41F" w14:textId="77777777" w:rsidR="008A2595" w:rsidRDefault="00FC09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BD9">
      <w:rPr>
        <w:noProof/>
      </w:rPr>
      <w:t>4</w:t>
    </w:r>
    <w:r>
      <w:fldChar w:fldCharType="end"/>
    </w:r>
  </w:p>
  <w:p w14:paraId="2DAA2CAA" w14:textId="77777777" w:rsidR="00464832" w:rsidRPr="00464832" w:rsidRDefault="00464832" w:rsidP="00464832">
    <w:pPr>
      <w:pStyle w:val="Footer"/>
      <w:jc w:val="center"/>
      <w:rPr>
        <w:rFonts w:cs="Arial"/>
        <w:sz w:val="14"/>
      </w:rPr>
    </w:pPr>
    <w:r w:rsidRPr="004648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08B5" w14:textId="77777777" w:rsidR="00464832" w:rsidRDefault="0046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037B" w14:textId="77777777" w:rsidR="00D233BA" w:rsidRDefault="00D233BA">
      <w:r>
        <w:separator/>
      </w:r>
    </w:p>
  </w:footnote>
  <w:footnote w:type="continuationSeparator" w:id="0">
    <w:p w14:paraId="0A90993F" w14:textId="77777777" w:rsidR="00D233BA" w:rsidRDefault="00D2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9E0" w14:textId="77777777" w:rsidR="00464832" w:rsidRDefault="0046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5A9" w14:textId="77777777" w:rsidR="00464832" w:rsidRDefault="0046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C60" w14:textId="77777777" w:rsidR="00464832" w:rsidRDefault="0046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CE023EE"/>
    <w:multiLevelType w:val="hybridMultilevel"/>
    <w:tmpl w:val="BF5259AC"/>
    <w:lvl w:ilvl="0" w:tplc="F80C67E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1B2719"/>
    <w:multiLevelType w:val="hybridMultilevel"/>
    <w:tmpl w:val="B10834CA"/>
    <w:lvl w:ilvl="0" w:tplc="DC2E94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0BE5085"/>
    <w:multiLevelType w:val="hybridMultilevel"/>
    <w:tmpl w:val="B004240E"/>
    <w:lvl w:ilvl="0" w:tplc="C29681C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303AC0"/>
    <w:multiLevelType w:val="hybridMultilevel"/>
    <w:tmpl w:val="97EEF8C8"/>
    <w:lvl w:ilvl="0" w:tplc="DC2E94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586588A"/>
    <w:multiLevelType w:val="multilevel"/>
    <w:tmpl w:val="CDA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026B"/>
    <w:rsid w:val="00001573"/>
    <w:rsid w:val="00001E77"/>
    <w:rsid w:val="0000553C"/>
    <w:rsid w:val="000057D8"/>
    <w:rsid w:val="00006E7F"/>
    <w:rsid w:val="0001004B"/>
    <w:rsid w:val="00013AED"/>
    <w:rsid w:val="00014497"/>
    <w:rsid w:val="00014AC3"/>
    <w:rsid w:val="000157E7"/>
    <w:rsid w:val="00015D21"/>
    <w:rsid w:val="0002075C"/>
    <w:rsid w:val="000234F5"/>
    <w:rsid w:val="000253E8"/>
    <w:rsid w:val="000254B5"/>
    <w:rsid w:val="00031975"/>
    <w:rsid w:val="00032731"/>
    <w:rsid w:val="00035014"/>
    <w:rsid w:val="00035C12"/>
    <w:rsid w:val="00040F5D"/>
    <w:rsid w:val="000415E8"/>
    <w:rsid w:val="00042EDF"/>
    <w:rsid w:val="00044B71"/>
    <w:rsid w:val="00045178"/>
    <w:rsid w:val="00055B3F"/>
    <w:rsid w:val="00060D12"/>
    <w:rsid w:val="00064258"/>
    <w:rsid w:val="00066029"/>
    <w:rsid w:val="0007255A"/>
    <w:rsid w:val="0007395B"/>
    <w:rsid w:val="00073DDA"/>
    <w:rsid w:val="0007480E"/>
    <w:rsid w:val="0007743D"/>
    <w:rsid w:val="00081CA7"/>
    <w:rsid w:val="000843F0"/>
    <w:rsid w:val="00087C33"/>
    <w:rsid w:val="00092965"/>
    <w:rsid w:val="0009475D"/>
    <w:rsid w:val="00097660"/>
    <w:rsid w:val="00097A58"/>
    <w:rsid w:val="000A07B1"/>
    <w:rsid w:val="000A2A6C"/>
    <w:rsid w:val="000A4DFE"/>
    <w:rsid w:val="000A55A7"/>
    <w:rsid w:val="000A6CE6"/>
    <w:rsid w:val="000A6E2F"/>
    <w:rsid w:val="000A7526"/>
    <w:rsid w:val="000B1691"/>
    <w:rsid w:val="000B18B0"/>
    <w:rsid w:val="000B1BA3"/>
    <w:rsid w:val="000B1D47"/>
    <w:rsid w:val="000B216E"/>
    <w:rsid w:val="000C3D0F"/>
    <w:rsid w:val="000C63A3"/>
    <w:rsid w:val="000D11D7"/>
    <w:rsid w:val="000D465A"/>
    <w:rsid w:val="000D5941"/>
    <w:rsid w:val="000D6EF3"/>
    <w:rsid w:val="000F1AED"/>
    <w:rsid w:val="001036A8"/>
    <w:rsid w:val="00104FAA"/>
    <w:rsid w:val="00106B02"/>
    <w:rsid w:val="00110FB8"/>
    <w:rsid w:val="0011350F"/>
    <w:rsid w:val="001136C0"/>
    <w:rsid w:val="001146F8"/>
    <w:rsid w:val="0011674B"/>
    <w:rsid w:val="00121BAC"/>
    <w:rsid w:val="00126ACA"/>
    <w:rsid w:val="00126BC1"/>
    <w:rsid w:val="001326F8"/>
    <w:rsid w:val="001332C4"/>
    <w:rsid w:val="00135A1B"/>
    <w:rsid w:val="00140A6C"/>
    <w:rsid w:val="00142341"/>
    <w:rsid w:val="001443D5"/>
    <w:rsid w:val="001444B8"/>
    <w:rsid w:val="0014490E"/>
    <w:rsid w:val="00145757"/>
    <w:rsid w:val="00151600"/>
    <w:rsid w:val="001532AA"/>
    <w:rsid w:val="001533AC"/>
    <w:rsid w:val="00156445"/>
    <w:rsid w:val="0016706D"/>
    <w:rsid w:val="00167CDF"/>
    <w:rsid w:val="00170821"/>
    <w:rsid w:val="0017240C"/>
    <w:rsid w:val="00176412"/>
    <w:rsid w:val="00176C98"/>
    <w:rsid w:val="00180422"/>
    <w:rsid w:val="001836A1"/>
    <w:rsid w:val="001851CA"/>
    <w:rsid w:val="001852B2"/>
    <w:rsid w:val="00192560"/>
    <w:rsid w:val="00194491"/>
    <w:rsid w:val="0019565C"/>
    <w:rsid w:val="00196FD0"/>
    <w:rsid w:val="001A349B"/>
    <w:rsid w:val="001A6E6C"/>
    <w:rsid w:val="001B155C"/>
    <w:rsid w:val="001B1A9C"/>
    <w:rsid w:val="001B5966"/>
    <w:rsid w:val="001C035C"/>
    <w:rsid w:val="001D2E91"/>
    <w:rsid w:val="001D5B33"/>
    <w:rsid w:val="001D7870"/>
    <w:rsid w:val="001E15A8"/>
    <w:rsid w:val="001E6F36"/>
    <w:rsid w:val="001F3689"/>
    <w:rsid w:val="00200DED"/>
    <w:rsid w:val="002034CB"/>
    <w:rsid w:val="00204664"/>
    <w:rsid w:val="00216434"/>
    <w:rsid w:val="00217124"/>
    <w:rsid w:val="00223E92"/>
    <w:rsid w:val="00234376"/>
    <w:rsid w:val="002361AF"/>
    <w:rsid w:val="00237ADD"/>
    <w:rsid w:val="002417E0"/>
    <w:rsid w:val="00245447"/>
    <w:rsid w:val="00250611"/>
    <w:rsid w:val="0025131D"/>
    <w:rsid w:val="002548CD"/>
    <w:rsid w:val="002623E5"/>
    <w:rsid w:val="00262CF1"/>
    <w:rsid w:val="002648C4"/>
    <w:rsid w:val="0026654B"/>
    <w:rsid w:val="00274FE8"/>
    <w:rsid w:val="00281048"/>
    <w:rsid w:val="0028210C"/>
    <w:rsid w:val="00286794"/>
    <w:rsid w:val="00286EB6"/>
    <w:rsid w:val="0029094E"/>
    <w:rsid w:val="002950AA"/>
    <w:rsid w:val="002A0CC7"/>
    <w:rsid w:val="002A1550"/>
    <w:rsid w:val="002B306C"/>
    <w:rsid w:val="002C0A78"/>
    <w:rsid w:val="002C42F1"/>
    <w:rsid w:val="002C62D5"/>
    <w:rsid w:val="002C7A9C"/>
    <w:rsid w:val="002D1067"/>
    <w:rsid w:val="002D12FC"/>
    <w:rsid w:val="002D1BE4"/>
    <w:rsid w:val="002D65DE"/>
    <w:rsid w:val="002D7728"/>
    <w:rsid w:val="002E66AF"/>
    <w:rsid w:val="002F1A2A"/>
    <w:rsid w:val="002F32B3"/>
    <w:rsid w:val="002F37AA"/>
    <w:rsid w:val="002F4491"/>
    <w:rsid w:val="002F4EE3"/>
    <w:rsid w:val="002F5B8D"/>
    <w:rsid w:val="00304C1F"/>
    <w:rsid w:val="003066B2"/>
    <w:rsid w:val="00313227"/>
    <w:rsid w:val="00320939"/>
    <w:rsid w:val="00320A25"/>
    <w:rsid w:val="00322320"/>
    <w:rsid w:val="00323254"/>
    <w:rsid w:val="003236F7"/>
    <w:rsid w:val="003303B6"/>
    <w:rsid w:val="003324C5"/>
    <w:rsid w:val="0033721B"/>
    <w:rsid w:val="003410CE"/>
    <w:rsid w:val="003430D1"/>
    <w:rsid w:val="003433D7"/>
    <w:rsid w:val="00344F72"/>
    <w:rsid w:val="003451F7"/>
    <w:rsid w:val="00353F18"/>
    <w:rsid w:val="00356A80"/>
    <w:rsid w:val="00360A8E"/>
    <w:rsid w:val="003626C6"/>
    <w:rsid w:val="00363982"/>
    <w:rsid w:val="0036572B"/>
    <w:rsid w:val="00366BC7"/>
    <w:rsid w:val="00367B55"/>
    <w:rsid w:val="003734AA"/>
    <w:rsid w:val="00373FE4"/>
    <w:rsid w:val="003759A3"/>
    <w:rsid w:val="00383B0E"/>
    <w:rsid w:val="003918C3"/>
    <w:rsid w:val="003926DA"/>
    <w:rsid w:val="00396EAD"/>
    <w:rsid w:val="003A12AA"/>
    <w:rsid w:val="003A4F71"/>
    <w:rsid w:val="003A7917"/>
    <w:rsid w:val="003B2D70"/>
    <w:rsid w:val="003C30BE"/>
    <w:rsid w:val="003C534D"/>
    <w:rsid w:val="003D073B"/>
    <w:rsid w:val="003D35C7"/>
    <w:rsid w:val="003D4495"/>
    <w:rsid w:val="003D57BD"/>
    <w:rsid w:val="003D746B"/>
    <w:rsid w:val="003E0EFB"/>
    <w:rsid w:val="003E3D9D"/>
    <w:rsid w:val="003E64D3"/>
    <w:rsid w:val="003F381E"/>
    <w:rsid w:val="003F5044"/>
    <w:rsid w:val="004024F2"/>
    <w:rsid w:val="00421BFF"/>
    <w:rsid w:val="00421FA1"/>
    <w:rsid w:val="004224C2"/>
    <w:rsid w:val="00423CA0"/>
    <w:rsid w:val="00426E63"/>
    <w:rsid w:val="00427A32"/>
    <w:rsid w:val="0043184F"/>
    <w:rsid w:val="0043490A"/>
    <w:rsid w:val="00444BB8"/>
    <w:rsid w:val="00445223"/>
    <w:rsid w:val="00447718"/>
    <w:rsid w:val="00450573"/>
    <w:rsid w:val="00451A53"/>
    <w:rsid w:val="00452EFD"/>
    <w:rsid w:val="00462084"/>
    <w:rsid w:val="00464832"/>
    <w:rsid w:val="00467484"/>
    <w:rsid w:val="00471C05"/>
    <w:rsid w:val="004737DC"/>
    <w:rsid w:val="0048171F"/>
    <w:rsid w:val="00483F09"/>
    <w:rsid w:val="00487D84"/>
    <w:rsid w:val="00492FFE"/>
    <w:rsid w:val="00495ECB"/>
    <w:rsid w:val="00496BA9"/>
    <w:rsid w:val="004A21F2"/>
    <w:rsid w:val="004A5D90"/>
    <w:rsid w:val="004C0BD4"/>
    <w:rsid w:val="004C4526"/>
    <w:rsid w:val="004C4A40"/>
    <w:rsid w:val="004C4A70"/>
    <w:rsid w:val="004D0ACE"/>
    <w:rsid w:val="004D4FB5"/>
    <w:rsid w:val="004D63ED"/>
    <w:rsid w:val="004D6640"/>
    <w:rsid w:val="004E21E3"/>
    <w:rsid w:val="004E37B0"/>
    <w:rsid w:val="004E4BE6"/>
    <w:rsid w:val="004E78C8"/>
    <w:rsid w:val="004E7EEB"/>
    <w:rsid w:val="004E7F8C"/>
    <w:rsid w:val="004F1576"/>
    <w:rsid w:val="004F1A8F"/>
    <w:rsid w:val="004F62EC"/>
    <w:rsid w:val="00500BFC"/>
    <w:rsid w:val="00506018"/>
    <w:rsid w:val="00510425"/>
    <w:rsid w:val="00511A96"/>
    <w:rsid w:val="00513FED"/>
    <w:rsid w:val="00516436"/>
    <w:rsid w:val="00517AD3"/>
    <w:rsid w:val="00523E29"/>
    <w:rsid w:val="0052692D"/>
    <w:rsid w:val="00532437"/>
    <w:rsid w:val="005348DF"/>
    <w:rsid w:val="005363E6"/>
    <w:rsid w:val="005371AE"/>
    <w:rsid w:val="0053735B"/>
    <w:rsid w:val="0054307E"/>
    <w:rsid w:val="0054498F"/>
    <w:rsid w:val="0054651D"/>
    <w:rsid w:val="00546CD4"/>
    <w:rsid w:val="00550787"/>
    <w:rsid w:val="0055684B"/>
    <w:rsid w:val="005601E5"/>
    <w:rsid w:val="00561440"/>
    <w:rsid w:val="00583381"/>
    <w:rsid w:val="00587034"/>
    <w:rsid w:val="00587716"/>
    <w:rsid w:val="00590798"/>
    <w:rsid w:val="005927DB"/>
    <w:rsid w:val="005A456E"/>
    <w:rsid w:val="005C09DC"/>
    <w:rsid w:val="005C0FFA"/>
    <w:rsid w:val="005C26D1"/>
    <w:rsid w:val="005C59F4"/>
    <w:rsid w:val="005D167C"/>
    <w:rsid w:val="005D1C42"/>
    <w:rsid w:val="005D217B"/>
    <w:rsid w:val="005D2EB1"/>
    <w:rsid w:val="005D5C12"/>
    <w:rsid w:val="005D6675"/>
    <w:rsid w:val="005D68BD"/>
    <w:rsid w:val="005D6A0B"/>
    <w:rsid w:val="005D70F1"/>
    <w:rsid w:val="005D7A96"/>
    <w:rsid w:val="005E10B4"/>
    <w:rsid w:val="005E254A"/>
    <w:rsid w:val="005E26D8"/>
    <w:rsid w:val="005E2D65"/>
    <w:rsid w:val="005E695A"/>
    <w:rsid w:val="005F1E74"/>
    <w:rsid w:val="005F2549"/>
    <w:rsid w:val="005F301B"/>
    <w:rsid w:val="005F30A7"/>
    <w:rsid w:val="005F6BC8"/>
    <w:rsid w:val="005F7F1B"/>
    <w:rsid w:val="0060286A"/>
    <w:rsid w:val="00604576"/>
    <w:rsid w:val="0060497F"/>
    <w:rsid w:val="00610C60"/>
    <w:rsid w:val="00613C81"/>
    <w:rsid w:val="006158D6"/>
    <w:rsid w:val="00616E24"/>
    <w:rsid w:val="00617ED8"/>
    <w:rsid w:val="00620DB6"/>
    <w:rsid w:val="00622D65"/>
    <w:rsid w:val="0062462E"/>
    <w:rsid w:val="00627047"/>
    <w:rsid w:val="00630EE7"/>
    <w:rsid w:val="0063432B"/>
    <w:rsid w:val="00635F8D"/>
    <w:rsid w:val="00643E7D"/>
    <w:rsid w:val="0065009F"/>
    <w:rsid w:val="0065732B"/>
    <w:rsid w:val="00657E0B"/>
    <w:rsid w:val="00661161"/>
    <w:rsid w:val="00665770"/>
    <w:rsid w:val="00675309"/>
    <w:rsid w:val="006778E0"/>
    <w:rsid w:val="006813BD"/>
    <w:rsid w:val="0068307A"/>
    <w:rsid w:val="00685452"/>
    <w:rsid w:val="00685C35"/>
    <w:rsid w:val="00687C08"/>
    <w:rsid w:val="006913E2"/>
    <w:rsid w:val="00691820"/>
    <w:rsid w:val="006931CF"/>
    <w:rsid w:val="00693616"/>
    <w:rsid w:val="006936DD"/>
    <w:rsid w:val="0069727D"/>
    <w:rsid w:val="006A111B"/>
    <w:rsid w:val="006A2A27"/>
    <w:rsid w:val="006A71B8"/>
    <w:rsid w:val="006B0987"/>
    <w:rsid w:val="006B7702"/>
    <w:rsid w:val="006C2CEF"/>
    <w:rsid w:val="006C7B9D"/>
    <w:rsid w:val="006D0E69"/>
    <w:rsid w:val="006D3CBC"/>
    <w:rsid w:val="006D4D07"/>
    <w:rsid w:val="006E159A"/>
    <w:rsid w:val="006F0175"/>
    <w:rsid w:val="006F0D53"/>
    <w:rsid w:val="006F5195"/>
    <w:rsid w:val="006F67D1"/>
    <w:rsid w:val="007045B2"/>
    <w:rsid w:val="0070522A"/>
    <w:rsid w:val="00705E07"/>
    <w:rsid w:val="007063B0"/>
    <w:rsid w:val="007078E5"/>
    <w:rsid w:val="007123A3"/>
    <w:rsid w:val="00717261"/>
    <w:rsid w:val="007219F1"/>
    <w:rsid w:val="007237E5"/>
    <w:rsid w:val="007238F8"/>
    <w:rsid w:val="00724AC2"/>
    <w:rsid w:val="0073456C"/>
    <w:rsid w:val="00743049"/>
    <w:rsid w:val="00750DAE"/>
    <w:rsid w:val="00760693"/>
    <w:rsid w:val="00762F77"/>
    <w:rsid w:val="00771DA1"/>
    <w:rsid w:val="00773D99"/>
    <w:rsid w:val="007839D1"/>
    <w:rsid w:val="00787A17"/>
    <w:rsid w:val="00793515"/>
    <w:rsid w:val="00794E6C"/>
    <w:rsid w:val="00796258"/>
    <w:rsid w:val="00797F47"/>
    <w:rsid w:val="007A03E1"/>
    <w:rsid w:val="007A727E"/>
    <w:rsid w:val="007B57A8"/>
    <w:rsid w:val="007C033C"/>
    <w:rsid w:val="007C28FE"/>
    <w:rsid w:val="007C2B59"/>
    <w:rsid w:val="007C3A4C"/>
    <w:rsid w:val="007C56FD"/>
    <w:rsid w:val="007C5836"/>
    <w:rsid w:val="007D02F2"/>
    <w:rsid w:val="007D2B4E"/>
    <w:rsid w:val="007D3871"/>
    <w:rsid w:val="007D55EF"/>
    <w:rsid w:val="007D7172"/>
    <w:rsid w:val="007E23B1"/>
    <w:rsid w:val="007E35CA"/>
    <w:rsid w:val="007F26A3"/>
    <w:rsid w:val="007F53CA"/>
    <w:rsid w:val="008068F1"/>
    <w:rsid w:val="00807753"/>
    <w:rsid w:val="008117CC"/>
    <w:rsid w:val="008119D0"/>
    <w:rsid w:val="0081470B"/>
    <w:rsid w:val="0081474D"/>
    <w:rsid w:val="008164C0"/>
    <w:rsid w:val="0081673E"/>
    <w:rsid w:val="00820857"/>
    <w:rsid w:val="00823B8A"/>
    <w:rsid w:val="00823D0C"/>
    <w:rsid w:val="00831BE0"/>
    <w:rsid w:val="008345BE"/>
    <w:rsid w:val="00834770"/>
    <w:rsid w:val="00837B53"/>
    <w:rsid w:val="00845723"/>
    <w:rsid w:val="0084645B"/>
    <w:rsid w:val="00847F0E"/>
    <w:rsid w:val="00851674"/>
    <w:rsid w:val="008529B7"/>
    <w:rsid w:val="00852BBE"/>
    <w:rsid w:val="00855C4E"/>
    <w:rsid w:val="00856157"/>
    <w:rsid w:val="00856CD2"/>
    <w:rsid w:val="00860C81"/>
    <w:rsid w:val="00861376"/>
    <w:rsid w:val="00862768"/>
    <w:rsid w:val="00863AAD"/>
    <w:rsid w:val="008666E6"/>
    <w:rsid w:val="00872E28"/>
    <w:rsid w:val="008735B2"/>
    <w:rsid w:val="00873911"/>
    <w:rsid w:val="00877C78"/>
    <w:rsid w:val="00882C7A"/>
    <w:rsid w:val="00885BE6"/>
    <w:rsid w:val="008922EB"/>
    <w:rsid w:val="008A2595"/>
    <w:rsid w:val="008A3503"/>
    <w:rsid w:val="008A3712"/>
    <w:rsid w:val="008B19C2"/>
    <w:rsid w:val="008B6114"/>
    <w:rsid w:val="008C03C6"/>
    <w:rsid w:val="008C29ED"/>
    <w:rsid w:val="008C4B47"/>
    <w:rsid w:val="008C4BAC"/>
    <w:rsid w:val="008C5890"/>
    <w:rsid w:val="008D00DE"/>
    <w:rsid w:val="008D369C"/>
    <w:rsid w:val="008D43A0"/>
    <w:rsid w:val="008D726A"/>
    <w:rsid w:val="008E006C"/>
    <w:rsid w:val="008E0098"/>
    <w:rsid w:val="008E475A"/>
    <w:rsid w:val="008E63CD"/>
    <w:rsid w:val="008E798F"/>
    <w:rsid w:val="008F08A8"/>
    <w:rsid w:val="008F2DAA"/>
    <w:rsid w:val="008F2DF4"/>
    <w:rsid w:val="008F35B3"/>
    <w:rsid w:val="008F3B71"/>
    <w:rsid w:val="008F4D3D"/>
    <w:rsid w:val="008F5DD7"/>
    <w:rsid w:val="008F7625"/>
    <w:rsid w:val="0090354F"/>
    <w:rsid w:val="00907C39"/>
    <w:rsid w:val="00907E6A"/>
    <w:rsid w:val="00910F0A"/>
    <w:rsid w:val="00912099"/>
    <w:rsid w:val="0091686B"/>
    <w:rsid w:val="0092190A"/>
    <w:rsid w:val="00925C27"/>
    <w:rsid w:val="00927B3C"/>
    <w:rsid w:val="0093042C"/>
    <w:rsid w:val="0093251F"/>
    <w:rsid w:val="0093675C"/>
    <w:rsid w:val="009406D7"/>
    <w:rsid w:val="00942255"/>
    <w:rsid w:val="00951463"/>
    <w:rsid w:val="00953431"/>
    <w:rsid w:val="00953A43"/>
    <w:rsid w:val="00954DCC"/>
    <w:rsid w:val="00956439"/>
    <w:rsid w:val="00961C83"/>
    <w:rsid w:val="00966EDF"/>
    <w:rsid w:val="009674D9"/>
    <w:rsid w:val="00971F06"/>
    <w:rsid w:val="00975D30"/>
    <w:rsid w:val="009760EC"/>
    <w:rsid w:val="0097628C"/>
    <w:rsid w:val="00977B9D"/>
    <w:rsid w:val="00980EBE"/>
    <w:rsid w:val="00981350"/>
    <w:rsid w:val="0098166E"/>
    <w:rsid w:val="0098276C"/>
    <w:rsid w:val="00983759"/>
    <w:rsid w:val="00986BD9"/>
    <w:rsid w:val="00990845"/>
    <w:rsid w:val="00990FF3"/>
    <w:rsid w:val="00992114"/>
    <w:rsid w:val="009928B8"/>
    <w:rsid w:val="009965DA"/>
    <w:rsid w:val="009A0C92"/>
    <w:rsid w:val="009A3E25"/>
    <w:rsid w:val="009B1786"/>
    <w:rsid w:val="009B327E"/>
    <w:rsid w:val="009C0BE6"/>
    <w:rsid w:val="009C3D09"/>
    <w:rsid w:val="009C7D1C"/>
    <w:rsid w:val="009D557C"/>
    <w:rsid w:val="009D6FC8"/>
    <w:rsid w:val="009D7D58"/>
    <w:rsid w:val="009E604D"/>
    <w:rsid w:val="009E6789"/>
    <w:rsid w:val="009E6AA0"/>
    <w:rsid w:val="009F262F"/>
    <w:rsid w:val="009F2B70"/>
    <w:rsid w:val="009F373B"/>
    <w:rsid w:val="009F3D03"/>
    <w:rsid w:val="009F4BAA"/>
    <w:rsid w:val="00A03A5B"/>
    <w:rsid w:val="00A0483A"/>
    <w:rsid w:val="00A06254"/>
    <w:rsid w:val="00A11B8C"/>
    <w:rsid w:val="00A12823"/>
    <w:rsid w:val="00A157C8"/>
    <w:rsid w:val="00A22BD1"/>
    <w:rsid w:val="00A25708"/>
    <w:rsid w:val="00A259A4"/>
    <w:rsid w:val="00A31270"/>
    <w:rsid w:val="00A3390A"/>
    <w:rsid w:val="00A33FAD"/>
    <w:rsid w:val="00A40B6E"/>
    <w:rsid w:val="00A44070"/>
    <w:rsid w:val="00A44AD0"/>
    <w:rsid w:val="00A4738A"/>
    <w:rsid w:val="00A52B24"/>
    <w:rsid w:val="00A5379F"/>
    <w:rsid w:val="00A54DF3"/>
    <w:rsid w:val="00A567DE"/>
    <w:rsid w:val="00A56C05"/>
    <w:rsid w:val="00A60BA6"/>
    <w:rsid w:val="00A6539A"/>
    <w:rsid w:val="00A65698"/>
    <w:rsid w:val="00A66691"/>
    <w:rsid w:val="00A759EE"/>
    <w:rsid w:val="00A75FEB"/>
    <w:rsid w:val="00A77609"/>
    <w:rsid w:val="00A8096B"/>
    <w:rsid w:val="00A83C0C"/>
    <w:rsid w:val="00A84D17"/>
    <w:rsid w:val="00A855C4"/>
    <w:rsid w:val="00A8731F"/>
    <w:rsid w:val="00A87632"/>
    <w:rsid w:val="00A91786"/>
    <w:rsid w:val="00A91EC1"/>
    <w:rsid w:val="00A9249A"/>
    <w:rsid w:val="00A9551F"/>
    <w:rsid w:val="00AA4400"/>
    <w:rsid w:val="00AA57C7"/>
    <w:rsid w:val="00AB0645"/>
    <w:rsid w:val="00AB2441"/>
    <w:rsid w:val="00AB4613"/>
    <w:rsid w:val="00AB4AD6"/>
    <w:rsid w:val="00AC067B"/>
    <w:rsid w:val="00AC0C12"/>
    <w:rsid w:val="00AC3E0B"/>
    <w:rsid w:val="00AC4F8B"/>
    <w:rsid w:val="00AC540B"/>
    <w:rsid w:val="00AC632D"/>
    <w:rsid w:val="00AD0A14"/>
    <w:rsid w:val="00AD3D8C"/>
    <w:rsid w:val="00AD72FA"/>
    <w:rsid w:val="00AE094E"/>
    <w:rsid w:val="00AE1247"/>
    <w:rsid w:val="00AE151D"/>
    <w:rsid w:val="00AE67F1"/>
    <w:rsid w:val="00AF4F31"/>
    <w:rsid w:val="00B01694"/>
    <w:rsid w:val="00B0234F"/>
    <w:rsid w:val="00B04F1A"/>
    <w:rsid w:val="00B06AF1"/>
    <w:rsid w:val="00B07AC7"/>
    <w:rsid w:val="00B13E3E"/>
    <w:rsid w:val="00B20C9C"/>
    <w:rsid w:val="00B31EC8"/>
    <w:rsid w:val="00B41633"/>
    <w:rsid w:val="00B42E0D"/>
    <w:rsid w:val="00B4447E"/>
    <w:rsid w:val="00B471D7"/>
    <w:rsid w:val="00B5012A"/>
    <w:rsid w:val="00B527F1"/>
    <w:rsid w:val="00B52CF4"/>
    <w:rsid w:val="00B542C7"/>
    <w:rsid w:val="00B54842"/>
    <w:rsid w:val="00B61150"/>
    <w:rsid w:val="00B6207F"/>
    <w:rsid w:val="00B7050E"/>
    <w:rsid w:val="00B77017"/>
    <w:rsid w:val="00B801E2"/>
    <w:rsid w:val="00B82E31"/>
    <w:rsid w:val="00B84527"/>
    <w:rsid w:val="00B85EF3"/>
    <w:rsid w:val="00B86E7B"/>
    <w:rsid w:val="00B87E64"/>
    <w:rsid w:val="00B94512"/>
    <w:rsid w:val="00B9625E"/>
    <w:rsid w:val="00B97D92"/>
    <w:rsid w:val="00BA0D7F"/>
    <w:rsid w:val="00BA374A"/>
    <w:rsid w:val="00BA6800"/>
    <w:rsid w:val="00BA7AB2"/>
    <w:rsid w:val="00BC4F8C"/>
    <w:rsid w:val="00BC569C"/>
    <w:rsid w:val="00BC6A16"/>
    <w:rsid w:val="00BD6909"/>
    <w:rsid w:val="00BE12D7"/>
    <w:rsid w:val="00BE3431"/>
    <w:rsid w:val="00BE3AB0"/>
    <w:rsid w:val="00BE3BCC"/>
    <w:rsid w:val="00BE5EB6"/>
    <w:rsid w:val="00BF58D1"/>
    <w:rsid w:val="00C00C28"/>
    <w:rsid w:val="00C021D2"/>
    <w:rsid w:val="00C05960"/>
    <w:rsid w:val="00C14933"/>
    <w:rsid w:val="00C14C94"/>
    <w:rsid w:val="00C17017"/>
    <w:rsid w:val="00C20D3F"/>
    <w:rsid w:val="00C301BA"/>
    <w:rsid w:val="00C34CBC"/>
    <w:rsid w:val="00C35376"/>
    <w:rsid w:val="00C419F4"/>
    <w:rsid w:val="00C4252F"/>
    <w:rsid w:val="00C50D38"/>
    <w:rsid w:val="00C52CA0"/>
    <w:rsid w:val="00C54B83"/>
    <w:rsid w:val="00C56056"/>
    <w:rsid w:val="00C572D1"/>
    <w:rsid w:val="00C612C6"/>
    <w:rsid w:val="00C71B4D"/>
    <w:rsid w:val="00C72EE6"/>
    <w:rsid w:val="00C75DED"/>
    <w:rsid w:val="00C76745"/>
    <w:rsid w:val="00C77A9E"/>
    <w:rsid w:val="00C837B8"/>
    <w:rsid w:val="00C86119"/>
    <w:rsid w:val="00C8761A"/>
    <w:rsid w:val="00C90A73"/>
    <w:rsid w:val="00C9129B"/>
    <w:rsid w:val="00C91571"/>
    <w:rsid w:val="00C9173D"/>
    <w:rsid w:val="00C945E3"/>
    <w:rsid w:val="00C95F69"/>
    <w:rsid w:val="00CA066B"/>
    <w:rsid w:val="00CA1881"/>
    <w:rsid w:val="00CA411C"/>
    <w:rsid w:val="00CA5131"/>
    <w:rsid w:val="00CA517E"/>
    <w:rsid w:val="00CA5B19"/>
    <w:rsid w:val="00CA70BF"/>
    <w:rsid w:val="00CB31B9"/>
    <w:rsid w:val="00CB43C9"/>
    <w:rsid w:val="00CB6774"/>
    <w:rsid w:val="00CB7564"/>
    <w:rsid w:val="00CC2746"/>
    <w:rsid w:val="00CC3188"/>
    <w:rsid w:val="00CC52B9"/>
    <w:rsid w:val="00CD3A67"/>
    <w:rsid w:val="00CD3BF0"/>
    <w:rsid w:val="00CD4BB4"/>
    <w:rsid w:val="00CD6108"/>
    <w:rsid w:val="00CD64DB"/>
    <w:rsid w:val="00CD6764"/>
    <w:rsid w:val="00CD7BF6"/>
    <w:rsid w:val="00CE2A3B"/>
    <w:rsid w:val="00CE5CB6"/>
    <w:rsid w:val="00CF2897"/>
    <w:rsid w:val="00D13CCE"/>
    <w:rsid w:val="00D14DD0"/>
    <w:rsid w:val="00D14FE4"/>
    <w:rsid w:val="00D165C8"/>
    <w:rsid w:val="00D205EC"/>
    <w:rsid w:val="00D233BA"/>
    <w:rsid w:val="00D257F8"/>
    <w:rsid w:val="00D31849"/>
    <w:rsid w:val="00D320E9"/>
    <w:rsid w:val="00D321AE"/>
    <w:rsid w:val="00D335EB"/>
    <w:rsid w:val="00D3580D"/>
    <w:rsid w:val="00D4172F"/>
    <w:rsid w:val="00D44913"/>
    <w:rsid w:val="00D464B3"/>
    <w:rsid w:val="00D516D5"/>
    <w:rsid w:val="00D56349"/>
    <w:rsid w:val="00D60C9A"/>
    <w:rsid w:val="00D64F20"/>
    <w:rsid w:val="00D65F1C"/>
    <w:rsid w:val="00D66B32"/>
    <w:rsid w:val="00D76C85"/>
    <w:rsid w:val="00D828E3"/>
    <w:rsid w:val="00D833F0"/>
    <w:rsid w:val="00D87BE6"/>
    <w:rsid w:val="00D90EFF"/>
    <w:rsid w:val="00D9109D"/>
    <w:rsid w:val="00D9791D"/>
    <w:rsid w:val="00DA77BD"/>
    <w:rsid w:val="00DB5556"/>
    <w:rsid w:val="00DB6FC6"/>
    <w:rsid w:val="00DC0357"/>
    <w:rsid w:val="00DC2A15"/>
    <w:rsid w:val="00DC607E"/>
    <w:rsid w:val="00DC6228"/>
    <w:rsid w:val="00DC6BDD"/>
    <w:rsid w:val="00DD1CEE"/>
    <w:rsid w:val="00DD3AF1"/>
    <w:rsid w:val="00DD5AB6"/>
    <w:rsid w:val="00DD60E5"/>
    <w:rsid w:val="00DD61AB"/>
    <w:rsid w:val="00DE184C"/>
    <w:rsid w:val="00DE619C"/>
    <w:rsid w:val="00DE7BFA"/>
    <w:rsid w:val="00DF1D8C"/>
    <w:rsid w:val="00DF410A"/>
    <w:rsid w:val="00DF44CD"/>
    <w:rsid w:val="00DF5F63"/>
    <w:rsid w:val="00E046D9"/>
    <w:rsid w:val="00E05B7D"/>
    <w:rsid w:val="00E10C82"/>
    <w:rsid w:val="00E13B08"/>
    <w:rsid w:val="00E13CB1"/>
    <w:rsid w:val="00E14456"/>
    <w:rsid w:val="00E23211"/>
    <w:rsid w:val="00E23412"/>
    <w:rsid w:val="00E30A87"/>
    <w:rsid w:val="00E362BC"/>
    <w:rsid w:val="00E53843"/>
    <w:rsid w:val="00E55788"/>
    <w:rsid w:val="00E6098F"/>
    <w:rsid w:val="00E60F0E"/>
    <w:rsid w:val="00E67861"/>
    <w:rsid w:val="00E70103"/>
    <w:rsid w:val="00E702AF"/>
    <w:rsid w:val="00E70503"/>
    <w:rsid w:val="00E731C7"/>
    <w:rsid w:val="00E74D60"/>
    <w:rsid w:val="00E77991"/>
    <w:rsid w:val="00E8267A"/>
    <w:rsid w:val="00E8296A"/>
    <w:rsid w:val="00E833B2"/>
    <w:rsid w:val="00E85C30"/>
    <w:rsid w:val="00E86314"/>
    <w:rsid w:val="00E93C04"/>
    <w:rsid w:val="00E966D1"/>
    <w:rsid w:val="00E979E7"/>
    <w:rsid w:val="00EA7485"/>
    <w:rsid w:val="00EB08E1"/>
    <w:rsid w:val="00EB1920"/>
    <w:rsid w:val="00EB1C91"/>
    <w:rsid w:val="00EC5E4D"/>
    <w:rsid w:val="00EE5612"/>
    <w:rsid w:val="00EE6A99"/>
    <w:rsid w:val="00EF221B"/>
    <w:rsid w:val="00EF2E26"/>
    <w:rsid w:val="00EF498A"/>
    <w:rsid w:val="00EF4C39"/>
    <w:rsid w:val="00F03D63"/>
    <w:rsid w:val="00F117F9"/>
    <w:rsid w:val="00F131B0"/>
    <w:rsid w:val="00F15113"/>
    <w:rsid w:val="00F169E4"/>
    <w:rsid w:val="00F1711D"/>
    <w:rsid w:val="00F177B9"/>
    <w:rsid w:val="00F21A7D"/>
    <w:rsid w:val="00F22BFB"/>
    <w:rsid w:val="00F24BF5"/>
    <w:rsid w:val="00F26B78"/>
    <w:rsid w:val="00F2755E"/>
    <w:rsid w:val="00F31A26"/>
    <w:rsid w:val="00F365CF"/>
    <w:rsid w:val="00F367DC"/>
    <w:rsid w:val="00F413C6"/>
    <w:rsid w:val="00F44021"/>
    <w:rsid w:val="00F57C56"/>
    <w:rsid w:val="00F627D5"/>
    <w:rsid w:val="00F70C39"/>
    <w:rsid w:val="00F77C5F"/>
    <w:rsid w:val="00F81A51"/>
    <w:rsid w:val="00F81C98"/>
    <w:rsid w:val="00F85588"/>
    <w:rsid w:val="00F870D5"/>
    <w:rsid w:val="00F9190F"/>
    <w:rsid w:val="00F96D8A"/>
    <w:rsid w:val="00F97061"/>
    <w:rsid w:val="00F97A84"/>
    <w:rsid w:val="00FA0916"/>
    <w:rsid w:val="00FA3EBC"/>
    <w:rsid w:val="00FB267B"/>
    <w:rsid w:val="00FB37CF"/>
    <w:rsid w:val="00FB7FAE"/>
    <w:rsid w:val="00FC092F"/>
    <w:rsid w:val="00FD0D37"/>
    <w:rsid w:val="00FD16CA"/>
    <w:rsid w:val="00FD25C1"/>
    <w:rsid w:val="00FD61AC"/>
    <w:rsid w:val="00FD6F90"/>
    <w:rsid w:val="00FD7105"/>
    <w:rsid w:val="00FE0017"/>
    <w:rsid w:val="00FE29D7"/>
    <w:rsid w:val="00FF3F39"/>
    <w:rsid w:val="00FF46AD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950DD"/>
  <w14:defaultImageDpi w14:val="0"/>
  <w15:docId w15:val="{3D2BC29B-BAE2-46FB-AD6E-5DC3F64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021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402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4402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4402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595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F4402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4402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4402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4402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4402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44021"/>
    <w:pPr>
      <w:tabs>
        <w:tab w:val="left" w:pos="2880"/>
      </w:tabs>
    </w:pPr>
  </w:style>
  <w:style w:type="paragraph" w:customStyle="1" w:styleId="Apara">
    <w:name w:val="A para"/>
    <w:basedOn w:val="Normal"/>
    <w:rsid w:val="00F4402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4402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4402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4402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4402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4402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44021"/>
    <w:rPr>
      <w:rFonts w:cs="Times New Roman"/>
    </w:rPr>
  </w:style>
  <w:style w:type="paragraph" w:customStyle="1" w:styleId="CoverInForce">
    <w:name w:val="CoverInForce"/>
    <w:basedOn w:val="Normal"/>
    <w:rsid w:val="00F4402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4402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4402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44021"/>
    <w:rPr>
      <w:rFonts w:cs="Times New Roman"/>
    </w:rPr>
  </w:style>
  <w:style w:type="paragraph" w:customStyle="1" w:styleId="Aparabullet">
    <w:name w:val="A para bullet"/>
    <w:basedOn w:val="Normal"/>
    <w:rsid w:val="00F4402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44021"/>
  </w:style>
  <w:style w:type="paragraph" w:styleId="TOC2">
    <w:name w:val="toc 2"/>
    <w:basedOn w:val="Normal"/>
    <w:next w:val="Normal"/>
    <w:autoRedefine/>
    <w:uiPriority w:val="39"/>
    <w:semiHidden/>
    <w:rsid w:val="00F4402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4402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4402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4402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4402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4402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4402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44021"/>
    <w:pPr>
      <w:ind w:left="1920"/>
    </w:pPr>
  </w:style>
  <w:style w:type="character" w:styleId="Hyperlink">
    <w:name w:val="Hyperlink"/>
    <w:basedOn w:val="DefaultParagraphFont"/>
    <w:uiPriority w:val="99"/>
    <w:rsid w:val="00F440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4402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4402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4402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4402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4402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4402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402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4402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440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9F2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B2D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2D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D7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2D70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B2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2D70"/>
    <w:rPr>
      <w:rFonts w:ascii="Tahoma" w:hAnsi="Tahoma" w:cs="Tahoma"/>
      <w:sz w:val="16"/>
      <w:szCs w:val="16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0939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82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E930-CB91-46D1-8489-550B0F5CD5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82B13D-205E-4635-BD24-2482362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5567</Characters>
  <Application>Microsoft Office Word</Application>
  <DocSecurity>0</DocSecurity>
  <Lines>101</Lines>
  <Paragraphs>40</Paragraphs>
  <ScaleCrop>false</ScaleCrop>
  <Company>InTACT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Moxon, KarenL</cp:lastModifiedBy>
  <cp:revision>2</cp:revision>
  <cp:lastPrinted>2019-06-27T00:26:00Z</cp:lastPrinted>
  <dcterms:created xsi:type="dcterms:W3CDTF">2022-09-20T02:47:00Z</dcterms:created>
  <dcterms:modified xsi:type="dcterms:W3CDTF">2022-09-20T02:47:00Z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A12485447</vt:lpwstr>
  </property>
  <property fmtid="{D5CDD505-2E9C-101B-9397-08002B2CF9AE}" pid="4" name="Objective-Title">
    <vt:lpwstr>Attachment B - Draft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2016-07-30T14:00:00Z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2016-10-09T14:00:00Z</vt:filetime>
  </property>
  <property fmtid="{D5CDD505-2E9C-101B-9397-08002B2CF9AE}" pid="10" name="Objective-ModificationStamp">
    <vt:filetime>2016-10-09T14:00:00Z</vt:filetime>
  </property>
  <property fmtid="{D5CDD505-2E9C-101B-9397-08002B2CF9AE}" pid="11" name="Objective-Owner">
    <vt:lpwstr>Amanda Slade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Correspondence:Environment &amp; Land Management (PCS):EN - Information Briefs:16/21</vt:lpwstr>
  </property>
  <property fmtid="{D5CDD505-2E9C-101B-9397-08002B2CF9AE}" pid="13" name="Objective-Parent">
    <vt:lpwstr>16/21570  - Fisheries prohibition and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1-2016/21570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0826208a-2b1a-46e8-a382-9fb97d78262b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