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0BD0" w14:textId="77777777" w:rsidR="00AF0D54" w:rsidRPr="00050F68" w:rsidRDefault="00AF0D54" w:rsidP="00AF0D54">
      <w:pPr>
        <w:autoSpaceDE w:val="0"/>
        <w:autoSpaceDN w:val="0"/>
        <w:adjustRightInd w:val="0"/>
        <w:spacing w:before="240" w:after="120"/>
        <w:jc w:val="center"/>
        <w:rPr>
          <w:rFonts w:ascii="Arial" w:hAnsi="Arial" w:cs="Arial"/>
          <w:b/>
          <w:bCs/>
          <w:szCs w:val="24"/>
        </w:rPr>
      </w:pPr>
    </w:p>
    <w:p w14:paraId="587DDEA3" w14:textId="58930160" w:rsidR="0030585F" w:rsidRPr="00050F68" w:rsidRDefault="0030585F" w:rsidP="00AF0D54">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20</w:t>
      </w:r>
      <w:r w:rsidR="00050F68">
        <w:rPr>
          <w:rFonts w:ascii="Arial" w:hAnsi="Arial" w:cs="Arial"/>
          <w:b/>
          <w:bCs/>
          <w:szCs w:val="24"/>
        </w:rPr>
        <w:t>2</w:t>
      </w:r>
      <w:r w:rsidR="00574940">
        <w:rPr>
          <w:rFonts w:ascii="Arial" w:hAnsi="Arial" w:cs="Arial"/>
          <w:b/>
          <w:bCs/>
          <w:szCs w:val="24"/>
        </w:rPr>
        <w:t>2</w:t>
      </w:r>
    </w:p>
    <w:p w14:paraId="6FD2F644"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0B3E93DB" w14:textId="77777777" w:rsidR="0030585F" w:rsidRPr="00050F68" w:rsidRDefault="0030585F" w:rsidP="002E1092">
      <w:pPr>
        <w:autoSpaceDE w:val="0"/>
        <w:autoSpaceDN w:val="0"/>
        <w:adjustRightInd w:val="0"/>
        <w:spacing w:before="240" w:after="120"/>
        <w:rPr>
          <w:rFonts w:ascii="Arial" w:hAnsi="Arial" w:cs="Arial"/>
          <w:b/>
          <w:bCs/>
          <w:szCs w:val="24"/>
        </w:rPr>
      </w:pPr>
    </w:p>
    <w:p w14:paraId="7ABAE37D" w14:textId="77777777" w:rsidR="00EE32FF" w:rsidRPr="00050F68" w:rsidRDefault="00EE32FF" w:rsidP="002E1092">
      <w:pPr>
        <w:autoSpaceDE w:val="0"/>
        <w:autoSpaceDN w:val="0"/>
        <w:adjustRightInd w:val="0"/>
        <w:spacing w:before="240" w:after="120"/>
        <w:rPr>
          <w:rFonts w:ascii="Arial" w:hAnsi="Arial" w:cs="Arial"/>
          <w:b/>
          <w:bCs/>
          <w:szCs w:val="24"/>
        </w:rPr>
      </w:pPr>
    </w:p>
    <w:p w14:paraId="6EB635AF" w14:textId="2B2519DE" w:rsidR="0030585F" w:rsidRPr="00050F68" w:rsidRDefault="00050F68" w:rsidP="00A363CB">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THE </w:t>
      </w:r>
      <w:r w:rsidR="0030585F" w:rsidRPr="00050F68">
        <w:rPr>
          <w:rFonts w:ascii="Arial" w:hAnsi="Arial" w:cs="Arial"/>
          <w:b/>
          <w:bCs/>
          <w:szCs w:val="24"/>
        </w:rPr>
        <w:t>LEGISLATIVE ASSEMBLY FOR THE</w:t>
      </w:r>
    </w:p>
    <w:p w14:paraId="5F365D67" w14:textId="77777777" w:rsidR="0030585F" w:rsidRPr="00050F68" w:rsidRDefault="0030585F" w:rsidP="00A363CB">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AUSTRALIAN CAPITAL TERRITORY</w:t>
      </w:r>
    </w:p>
    <w:p w14:paraId="43AA28BC" w14:textId="77777777" w:rsidR="0030585F" w:rsidRPr="00050F68" w:rsidRDefault="0030585F" w:rsidP="002E1092">
      <w:pPr>
        <w:autoSpaceDE w:val="0"/>
        <w:autoSpaceDN w:val="0"/>
        <w:adjustRightInd w:val="0"/>
        <w:spacing w:before="240" w:after="120"/>
        <w:rPr>
          <w:rFonts w:ascii="Arial" w:hAnsi="Arial" w:cs="Arial"/>
          <w:b/>
          <w:bCs/>
          <w:szCs w:val="24"/>
        </w:rPr>
      </w:pPr>
    </w:p>
    <w:p w14:paraId="71E998D9"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2999B3E5" w14:textId="48E3A3BE" w:rsidR="007326EC" w:rsidRPr="00F25649" w:rsidRDefault="00F25649" w:rsidP="00F25649">
      <w:pPr>
        <w:pStyle w:val="NoSpacing"/>
        <w:spacing w:after="120"/>
        <w:jc w:val="center"/>
        <w:rPr>
          <w:rFonts w:ascii="Arial" w:hAnsi="Arial" w:cs="Arial"/>
          <w:b/>
          <w:bCs/>
          <w:szCs w:val="24"/>
        </w:rPr>
      </w:pPr>
      <w:r>
        <w:rPr>
          <w:rFonts w:ascii="Arial" w:hAnsi="Arial" w:cs="Arial"/>
          <w:b/>
          <w:bCs/>
          <w:szCs w:val="24"/>
        </w:rPr>
        <w:t>SEXUAL ASSAULT REFORM LEGISLATION AMENDMENT BILL 2022</w:t>
      </w:r>
    </w:p>
    <w:p w14:paraId="089723CC" w14:textId="77777777" w:rsidR="0030585F" w:rsidRPr="00050F68" w:rsidRDefault="0030585F" w:rsidP="00A363CB">
      <w:pPr>
        <w:autoSpaceDE w:val="0"/>
        <w:autoSpaceDN w:val="0"/>
        <w:adjustRightInd w:val="0"/>
        <w:spacing w:before="240" w:after="120"/>
        <w:rPr>
          <w:rFonts w:ascii="Arial" w:hAnsi="Arial" w:cs="Arial"/>
          <w:b/>
          <w:bCs/>
          <w:szCs w:val="24"/>
        </w:rPr>
      </w:pPr>
    </w:p>
    <w:p w14:paraId="29450727" w14:textId="77777777" w:rsidR="00EE32FF" w:rsidRPr="00050F68" w:rsidRDefault="00EE32FF" w:rsidP="00A363CB">
      <w:pPr>
        <w:autoSpaceDE w:val="0"/>
        <w:autoSpaceDN w:val="0"/>
        <w:adjustRightInd w:val="0"/>
        <w:spacing w:before="240" w:after="120"/>
        <w:rPr>
          <w:rFonts w:ascii="Arial" w:hAnsi="Arial" w:cs="Arial"/>
          <w:b/>
          <w:bCs/>
          <w:szCs w:val="24"/>
        </w:rPr>
      </w:pPr>
    </w:p>
    <w:p w14:paraId="583025EE" w14:textId="322D9C8C" w:rsidR="0030585F" w:rsidRPr="00050F68" w:rsidRDefault="0030585F" w:rsidP="00050F68">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EXPLANATORY STATEMENT</w:t>
      </w:r>
    </w:p>
    <w:p w14:paraId="6EF40694" w14:textId="77777777" w:rsidR="001C2523" w:rsidRPr="00050F68" w:rsidRDefault="001C2523" w:rsidP="00050F68">
      <w:pPr>
        <w:pStyle w:val="NoSpacing"/>
        <w:spacing w:after="120"/>
        <w:jc w:val="center"/>
        <w:rPr>
          <w:rFonts w:ascii="Arial" w:hAnsi="Arial" w:cs="Arial"/>
          <w:b/>
          <w:bCs/>
          <w:szCs w:val="24"/>
        </w:rPr>
      </w:pPr>
      <w:r w:rsidRPr="00050F68">
        <w:rPr>
          <w:rFonts w:ascii="Arial" w:hAnsi="Arial" w:cs="Arial"/>
          <w:b/>
          <w:bCs/>
          <w:szCs w:val="24"/>
        </w:rPr>
        <w:t>and</w:t>
      </w:r>
    </w:p>
    <w:p w14:paraId="22AD6111" w14:textId="5C0A69A3" w:rsidR="001C2523" w:rsidRPr="00050F68" w:rsidRDefault="00050F68" w:rsidP="00050F68">
      <w:pPr>
        <w:pStyle w:val="NoSpacing"/>
        <w:spacing w:after="120"/>
        <w:jc w:val="center"/>
        <w:rPr>
          <w:rFonts w:ascii="Arial" w:hAnsi="Arial" w:cs="Arial"/>
          <w:b/>
          <w:bCs/>
          <w:szCs w:val="24"/>
        </w:rPr>
      </w:pPr>
      <w:r>
        <w:rPr>
          <w:rFonts w:ascii="Arial" w:hAnsi="Arial" w:cs="Arial"/>
          <w:b/>
          <w:bCs/>
          <w:szCs w:val="24"/>
        </w:rPr>
        <w:t>HUMAN RIGHTS COMPATIBILITY STATEMENT</w:t>
      </w:r>
    </w:p>
    <w:p w14:paraId="1ADB6D12" w14:textId="7071820B" w:rsidR="001C2523" w:rsidRPr="00050F68" w:rsidRDefault="001C2523" w:rsidP="001C2523">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w:t>
      </w:r>
      <w:r w:rsidRPr="00050F68">
        <w:rPr>
          <w:rFonts w:ascii="Arial" w:hAnsi="Arial" w:cs="Arial"/>
          <w:b/>
          <w:bCs/>
          <w:i/>
          <w:iCs/>
          <w:szCs w:val="24"/>
        </w:rPr>
        <w:t>Human Rights Act 2004</w:t>
      </w:r>
      <w:r w:rsidRPr="00050F68">
        <w:rPr>
          <w:rFonts w:ascii="Arial" w:hAnsi="Arial" w:cs="Arial"/>
          <w:b/>
          <w:bCs/>
          <w:szCs w:val="24"/>
        </w:rPr>
        <w:t>, s 37)</w:t>
      </w:r>
    </w:p>
    <w:p w14:paraId="4A2BEF3B" w14:textId="77777777" w:rsidR="0030585F" w:rsidRPr="00050F68" w:rsidRDefault="0030585F" w:rsidP="00A363CB">
      <w:pPr>
        <w:autoSpaceDE w:val="0"/>
        <w:autoSpaceDN w:val="0"/>
        <w:adjustRightInd w:val="0"/>
        <w:spacing w:before="240" w:after="120"/>
        <w:rPr>
          <w:rFonts w:ascii="Arial" w:hAnsi="Arial" w:cs="Arial"/>
          <w:b/>
          <w:bCs/>
          <w:szCs w:val="24"/>
        </w:rPr>
      </w:pPr>
    </w:p>
    <w:p w14:paraId="1285871F" w14:textId="77777777" w:rsidR="007B7934" w:rsidRPr="00050F68" w:rsidRDefault="007B7934" w:rsidP="00A363CB">
      <w:pPr>
        <w:autoSpaceDE w:val="0"/>
        <w:autoSpaceDN w:val="0"/>
        <w:adjustRightInd w:val="0"/>
        <w:spacing w:before="240" w:after="120"/>
        <w:rPr>
          <w:rFonts w:ascii="Arial" w:hAnsi="Arial" w:cs="Arial"/>
          <w:b/>
          <w:bCs/>
          <w:szCs w:val="24"/>
        </w:rPr>
      </w:pPr>
    </w:p>
    <w:p w14:paraId="279D7E30" w14:textId="77777777" w:rsidR="0030585F" w:rsidRPr="00050F68" w:rsidRDefault="0030585F" w:rsidP="00A363CB">
      <w:pPr>
        <w:autoSpaceDE w:val="0"/>
        <w:autoSpaceDN w:val="0"/>
        <w:adjustRightInd w:val="0"/>
        <w:spacing w:before="240" w:after="120"/>
        <w:rPr>
          <w:rFonts w:ascii="Arial" w:hAnsi="Arial" w:cs="Arial"/>
          <w:b/>
          <w:bCs/>
          <w:szCs w:val="24"/>
        </w:rPr>
      </w:pPr>
    </w:p>
    <w:p w14:paraId="5FFECDAE" w14:textId="77777777" w:rsidR="00852B37" w:rsidRPr="00050F68" w:rsidRDefault="00852B37" w:rsidP="00A363CB">
      <w:pPr>
        <w:autoSpaceDE w:val="0"/>
        <w:autoSpaceDN w:val="0"/>
        <w:adjustRightInd w:val="0"/>
        <w:spacing w:before="240" w:after="120"/>
        <w:rPr>
          <w:rFonts w:ascii="Arial" w:hAnsi="Arial" w:cs="Arial"/>
          <w:b/>
          <w:bCs/>
          <w:szCs w:val="24"/>
        </w:rPr>
      </w:pPr>
    </w:p>
    <w:p w14:paraId="4D2568AC" w14:textId="77777777" w:rsidR="00EE32FF" w:rsidRPr="00050F68" w:rsidRDefault="00EE32FF" w:rsidP="00A363CB">
      <w:pPr>
        <w:autoSpaceDE w:val="0"/>
        <w:autoSpaceDN w:val="0"/>
        <w:adjustRightInd w:val="0"/>
        <w:spacing w:before="240" w:after="120"/>
        <w:rPr>
          <w:rFonts w:ascii="Arial" w:hAnsi="Arial" w:cs="Arial"/>
          <w:b/>
          <w:bCs/>
          <w:szCs w:val="24"/>
        </w:rPr>
      </w:pPr>
    </w:p>
    <w:p w14:paraId="2F2D6DDF" w14:textId="77777777" w:rsidR="0030585F" w:rsidRPr="00050F68" w:rsidRDefault="0030585F" w:rsidP="00A363CB">
      <w:pPr>
        <w:autoSpaceDE w:val="0"/>
        <w:autoSpaceDN w:val="0"/>
        <w:adjustRightInd w:val="0"/>
        <w:spacing w:before="240" w:after="120"/>
        <w:rPr>
          <w:rFonts w:ascii="Arial" w:hAnsi="Arial" w:cs="Arial"/>
          <w:b/>
          <w:bCs/>
          <w:szCs w:val="24"/>
        </w:rPr>
      </w:pPr>
    </w:p>
    <w:p w14:paraId="7CDCC040" w14:textId="77777777" w:rsidR="0030585F" w:rsidRPr="00050F68" w:rsidRDefault="0030585F" w:rsidP="00A363CB">
      <w:pPr>
        <w:autoSpaceDE w:val="0"/>
        <w:autoSpaceDN w:val="0"/>
        <w:adjustRightInd w:val="0"/>
        <w:spacing w:before="240" w:after="120"/>
        <w:rPr>
          <w:rFonts w:ascii="Arial" w:hAnsi="Arial" w:cs="Arial"/>
          <w:b/>
          <w:bCs/>
          <w:szCs w:val="24"/>
        </w:rPr>
      </w:pPr>
    </w:p>
    <w:p w14:paraId="3BC858F4" w14:textId="77777777" w:rsidR="0030585F" w:rsidRPr="00050F68" w:rsidRDefault="0030585F" w:rsidP="00EE32FF">
      <w:pPr>
        <w:autoSpaceDE w:val="0"/>
        <w:autoSpaceDN w:val="0"/>
        <w:adjustRightInd w:val="0"/>
        <w:spacing w:after="0" w:line="240" w:lineRule="auto"/>
        <w:jc w:val="right"/>
        <w:rPr>
          <w:rFonts w:ascii="Arial" w:hAnsi="Arial" w:cs="Arial"/>
          <w:b/>
          <w:bCs/>
          <w:szCs w:val="24"/>
        </w:rPr>
      </w:pPr>
      <w:r w:rsidRPr="00050F68">
        <w:rPr>
          <w:rFonts w:ascii="Arial" w:hAnsi="Arial" w:cs="Arial"/>
          <w:b/>
          <w:bCs/>
          <w:szCs w:val="24"/>
        </w:rPr>
        <w:t>Presented by</w:t>
      </w:r>
    </w:p>
    <w:p w14:paraId="10094C4E" w14:textId="346FD290" w:rsidR="0030585F" w:rsidRPr="00050F68" w:rsidRDefault="00F25649"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 xml:space="preserve">Shane Rattenbury </w:t>
      </w:r>
      <w:r w:rsidR="0030585F" w:rsidRPr="00050F68">
        <w:rPr>
          <w:rFonts w:ascii="Arial" w:hAnsi="Arial" w:cs="Arial"/>
          <w:b/>
          <w:bCs/>
          <w:szCs w:val="24"/>
        </w:rPr>
        <w:t>MLA</w:t>
      </w:r>
    </w:p>
    <w:sdt>
      <w:sdtPr>
        <w:rPr>
          <w:rFonts w:ascii="Arial" w:hAnsi="Arial" w:cs="Arial"/>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482C2A36" w:rsidR="0030585F" w:rsidRPr="00050F68" w:rsidRDefault="00DE49A7" w:rsidP="00EE32FF">
          <w:pPr>
            <w:spacing w:after="0" w:line="240" w:lineRule="auto"/>
            <w:jc w:val="right"/>
            <w:rPr>
              <w:rFonts w:ascii="Arial" w:hAnsi="Arial" w:cs="Arial"/>
              <w:b/>
              <w:bCs/>
              <w:szCs w:val="24"/>
            </w:rPr>
          </w:pPr>
          <w:r>
            <w:rPr>
              <w:rFonts w:ascii="Arial" w:hAnsi="Arial" w:cs="Arial"/>
              <w:b/>
              <w:bCs/>
              <w:szCs w:val="24"/>
            </w:rPr>
            <w:t>Attorney-General</w:t>
          </w:r>
        </w:p>
      </w:sdtContent>
    </w:sdt>
    <w:p w14:paraId="3A423ED0" w14:textId="77777777" w:rsidR="00EE32FF" w:rsidRPr="00050F68" w:rsidRDefault="009428EA" w:rsidP="002E1092">
      <w:pPr>
        <w:spacing w:after="120"/>
        <w:jc w:val="center"/>
        <w:rPr>
          <w:rFonts w:ascii="Arial" w:hAnsi="Arial" w:cs="Arial"/>
          <w:b/>
          <w:bCs/>
          <w:szCs w:val="24"/>
        </w:rPr>
        <w:sectPr w:rsidR="00EE32FF" w:rsidRPr="00050F68"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050F68">
        <w:rPr>
          <w:rFonts w:ascii="Arial" w:hAnsi="Arial" w:cs="Arial"/>
          <w:b/>
          <w:bCs/>
          <w:szCs w:val="24"/>
        </w:rPr>
        <w:br w:type="page"/>
      </w:r>
    </w:p>
    <w:p w14:paraId="7DC4385F" w14:textId="77777777" w:rsidR="00F25649" w:rsidRPr="00F25649" w:rsidRDefault="00F25649" w:rsidP="00F25649">
      <w:pPr>
        <w:pStyle w:val="NoSpacing"/>
        <w:spacing w:after="120"/>
        <w:jc w:val="center"/>
        <w:rPr>
          <w:rFonts w:ascii="Arial" w:hAnsi="Arial" w:cs="Arial"/>
          <w:b/>
          <w:bCs/>
          <w:szCs w:val="24"/>
        </w:rPr>
      </w:pPr>
      <w:bookmarkStart w:id="0" w:name="_Toc426711258"/>
      <w:bookmarkStart w:id="1" w:name="_Toc429052821"/>
      <w:bookmarkStart w:id="2" w:name="_Toc114051951"/>
      <w:r>
        <w:rPr>
          <w:rFonts w:ascii="Arial" w:hAnsi="Arial" w:cs="Arial"/>
          <w:b/>
          <w:bCs/>
          <w:szCs w:val="24"/>
        </w:rPr>
        <w:lastRenderedPageBreak/>
        <w:t>SEXUAL ASSAULT REFORM LEGISLATION AMENDMENT BILL 2022</w:t>
      </w:r>
    </w:p>
    <w:p w14:paraId="69842CE4" w14:textId="77777777" w:rsidR="006431CF" w:rsidRPr="00050F68" w:rsidRDefault="006431CF" w:rsidP="0088781C">
      <w:pPr>
        <w:pStyle w:val="Title"/>
        <w:rPr>
          <w:rFonts w:ascii="Arial" w:hAnsi="Arial" w:cs="Arial"/>
          <w:sz w:val="24"/>
          <w:szCs w:val="24"/>
        </w:rPr>
      </w:pPr>
      <w:r w:rsidRPr="00050F68">
        <w:rPr>
          <w:rFonts w:ascii="Arial" w:hAnsi="Arial" w:cs="Arial"/>
          <w:sz w:val="24"/>
          <w:szCs w:val="24"/>
        </w:rPr>
        <w:t>Outline</w:t>
      </w:r>
      <w:bookmarkEnd w:id="0"/>
      <w:bookmarkEnd w:id="1"/>
      <w:bookmarkEnd w:id="2"/>
    </w:p>
    <w:p w14:paraId="68FF4EAE" w14:textId="0D0EDFAA" w:rsidR="00705348" w:rsidRDefault="00326167">
      <w:pPr>
        <w:pStyle w:val="TOC1"/>
        <w:tabs>
          <w:tab w:val="right" w:leader="dot" w:pos="9016"/>
        </w:tabs>
        <w:rPr>
          <w:rFonts w:asciiTheme="minorHAnsi" w:eastAsiaTheme="minorEastAsia" w:hAnsiTheme="minorHAnsi" w:cstheme="minorBidi"/>
          <w:noProof/>
          <w:sz w:val="22"/>
          <w:lang w:eastAsia="en-AU"/>
        </w:rPr>
      </w:pPr>
      <w:r w:rsidRPr="00050F68">
        <w:rPr>
          <w:rFonts w:ascii="Arial" w:hAnsi="Arial" w:cs="Arial"/>
          <w:szCs w:val="24"/>
        </w:rPr>
        <w:fldChar w:fldCharType="begin"/>
      </w:r>
      <w:r w:rsidR="00AC5B87" w:rsidRPr="00050F68">
        <w:rPr>
          <w:rFonts w:ascii="Arial" w:hAnsi="Arial" w:cs="Arial"/>
          <w:szCs w:val="24"/>
        </w:rPr>
        <w:instrText xml:space="preserve"> TOC \o "1-3" \h \z \u </w:instrText>
      </w:r>
      <w:r w:rsidRPr="00050F68">
        <w:rPr>
          <w:rFonts w:ascii="Arial" w:hAnsi="Arial" w:cs="Arial"/>
          <w:szCs w:val="24"/>
        </w:rPr>
        <w:fldChar w:fldCharType="separate"/>
      </w:r>
      <w:hyperlink w:anchor="_Toc114051951" w:history="1">
        <w:r w:rsidR="00705348" w:rsidRPr="00942461">
          <w:rPr>
            <w:rStyle w:val="Hyperlink"/>
            <w:rFonts w:ascii="Arial" w:hAnsi="Arial" w:cs="Arial"/>
            <w:noProof/>
          </w:rPr>
          <w:t>Outline</w:t>
        </w:r>
        <w:r w:rsidR="00705348">
          <w:rPr>
            <w:noProof/>
            <w:webHidden/>
          </w:rPr>
          <w:tab/>
        </w:r>
        <w:r w:rsidR="00705348">
          <w:rPr>
            <w:noProof/>
            <w:webHidden/>
          </w:rPr>
          <w:fldChar w:fldCharType="begin"/>
        </w:r>
        <w:r w:rsidR="00705348">
          <w:rPr>
            <w:noProof/>
            <w:webHidden/>
          </w:rPr>
          <w:instrText xml:space="preserve"> PAGEREF _Toc114051951 \h </w:instrText>
        </w:r>
        <w:r w:rsidR="00705348">
          <w:rPr>
            <w:noProof/>
            <w:webHidden/>
          </w:rPr>
        </w:r>
        <w:r w:rsidR="00705348">
          <w:rPr>
            <w:noProof/>
            <w:webHidden/>
          </w:rPr>
          <w:fldChar w:fldCharType="separate"/>
        </w:r>
        <w:r w:rsidR="00705348">
          <w:rPr>
            <w:noProof/>
            <w:webHidden/>
          </w:rPr>
          <w:t>1</w:t>
        </w:r>
        <w:r w:rsidR="00705348">
          <w:rPr>
            <w:noProof/>
            <w:webHidden/>
          </w:rPr>
          <w:fldChar w:fldCharType="end"/>
        </w:r>
      </w:hyperlink>
    </w:p>
    <w:p w14:paraId="257A5C01" w14:textId="3B62262E" w:rsidR="00705348" w:rsidRDefault="001D44C5">
      <w:pPr>
        <w:pStyle w:val="TOC2"/>
        <w:tabs>
          <w:tab w:val="right" w:leader="dot" w:pos="9016"/>
        </w:tabs>
        <w:rPr>
          <w:rFonts w:asciiTheme="minorHAnsi" w:eastAsiaTheme="minorEastAsia" w:hAnsiTheme="minorHAnsi" w:cstheme="minorBidi"/>
          <w:noProof/>
          <w:sz w:val="22"/>
          <w:lang w:eastAsia="en-AU"/>
        </w:rPr>
      </w:pPr>
      <w:hyperlink w:anchor="_Toc114051952" w:history="1">
        <w:r w:rsidR="00705348" w:rsidRPr="00942461">
          <w:rPr>
            <w:rStyle w:val="Hyperlink"/>
            <w:rFonts w:ascii="Arial" w:hAnsi="Arial" w:cs="Arial"/>
            <w:caps/>
            <w:noProof/>
          </w:rPr>
          <w:t>SEXUAL ASSAULT REFORM LEGISLATION AMENDMENT BILL 2022</w:t>
        </w:r>
        <w:r w:rsidR="00705348">
          <w:rPr>
            <w:noProof/>
            <w:webHidden/>
          </w:rPr>
          <w:tab/>
        </w:r>
        <w:r w:rsidR="00705348">
          <w:rPr>
            <w:noProof/>
            <w:webHidden/>
          </w:rPr>
          <w:fldChar w:fldCharType="begin"/>
        </w:r>
        <w:r w:rsidR="00705348">
          <w:rPr>
            <w:noProof/>
            <w:webHidden/>
          </w:rPr>
          <w:instrText xml:space="preserve"> PAGEREF _Toc114051952 \h </w:instrText>
        </w:r>
        <w:r w:rsidR="00705348">
          <w:rPr>
            <w:noProof/>
            <w:webHidden/>
          </w:rPr>
        </w:r>
        <w:r w:rsidR="00705348">
          <w:rPr>
            <w:noProof/>
            <w:webHidden/>
          </w:rPr>
          <w:fldChar w:fldCharType="separate"/>
        </w:r>
        <w:r w:rsidR="00705348">
          <w:rPr>
            <w:noProof/>
            <w:webHidden/>
          </w:rPr>
          <w:t>2</w:t>
        </w:r>
        <w:r w:rsidR="00705348">
          <w:rPr>
            <w:noProof/>
            <w:webHidden/>
          </w:rPr>
          <w:fldChar w:fldCharType="end"/>
        </w:r>
      </w:hyperlink>
    </w:p>
    <w:p w14:paraId="62285054" w14:textId="0DB582C8" w:rsidR="00705348" w:rsidRDefault="001D44C5">
      <w:pPr>
        <w:pStyle w:val="TOC2"/>
        <w:tabs>
          <w:tab w:val="right" w:leader="dot" w:pos="9016"/>
        </w:tabs>
        <w:rPr>
          <w:rFonts w:asciiTheme="minorHAnsi" w:eastAsiaTheme="minorEastAsia" w:hAnsiTheme="minorHAnsi" w:cstheme="minorBidi"/>
          <w:noProof/>
          <w:sz w:val="22"/>
          <w:lang w:eastAsia="en-AU"/>
        </w:rPr>
      </w:pPr>
      <w:hyperlink w:anchor="_Toc114051953" w:history="1">
        <w:r w:rsidR="00705348" w:rsidRPr="00942461">
          <w:rPr>
            <w:rStyle w:val="Hyperlink"/>
            <w:rFonts w:ascii="Arial" w:hAnsi="Arial" w:cs="Arial"/>
            <w:noProof/>
          </w:rPr>
          <w:t>OVERVIEW OF THE BILL</w:t>
        </w:r>
        <w:r w:rsidR="00705348">
          <w:rPr>
            <w:noProof/>
            <w:webHidden/>
          </w:rPr>
          <w:tab/>
        </w:r>
        <w:r w:rsidR="00705348">
          <w:rPr>
            <w:noProof/>
            <w:webHidden/>
          </w:rPr>
          <w:fldChar w:fldCharType="begin"/>
        </w:r>
        <w:r w:rsidR="00705348">
          <w:rPr>
            <w:noProof/>
            <w:webHidden/>
          </w:rPr>
          <w:instrText xml:space="preserve"> PAGEREF _Toc114051953 \h </w:instrText>
        </w:r>
        <w:r w:rsidR="00705348">
          <w:rPr>
            <w:noProof/>
            <w:webHidden/>
          </w:rPr>
        </w:r>
        <w:r w:rsidR="00705348">
          <w:rPr>
            <w:noProof/>
            <w:webHidden/>
          </w:rPr>
          <w:fldChar w:fldCharType="separate"/>
        </w:r>
        <w:r w:rsidR="00705348">
          <w:rPr>
            <w:noProof/>
            <w:webHidden/>
          </w:rPr>
          <w:t>2</w:t>
        </w:r>
        <w:r w:rsidR="00705348">
          <w:rPr>
            <w:noProof/>
            <w:webHidden/>
          </w:rPr>
          <w:fldChar w:fldCharType="end"/>
        </w:r>
      </w:hyperlink>
    </w:p>
    <w:p w14:paraId="3F9E88AC" w14:textId="0689C987" w:rsidR="00705348" w:rsidRDefault="001D44C5">
      <w:pPr>
        <w:pStyle w:val="TOC2"/>
        <w:tabs>
          <w:tab w:val="right" w:leader="dot" w:pos="9016"/>
        </w:tabs>
        <w:rPr>
          <w:rFonts w:asciiTheme="minorHAnsi" w:eastAsiaTheme="minorEastAsia" w:hAnsiTheme="minorHAnsi" w:cstheme="minorBidi"/>
          <w:noProof/>
          <w:sz w:val="22"/>
          <w:lang w:eastAsia="en-AU"/>
        </w:rPr>
      </w:pPr>
      <w:hyperlink w:anchor="_Toc114051954" w:history="1">
        <w:r w:rsidR="00705348" w:rsidRPr="00942461">
          <w:rPr>
            <w:rStyle w:val="Hyperlink"/>
            <w:rFonts w:ascii="Arial" w:hAnsi="Arial" w:cs="Arial"/>
            <w:noProof/>
          </w:rPr>
          <w:t>CONSULTATION ON THE PROPOSED APPROACH</w:t>
        </w:r>
        <w:r w:rsidR="00705348">
          <w:rPr>
            <w:noProof/>
            <w:webHidden/>
          </w:rPr>
          <w:tab/>
        </w:r>
        <w:r w:rsidR="00705348">
          <w:rPr>
            <w:noProof/>
            <w:webHidden/>
          </w:rPr>
          <w:fldChar w:fldCharType="begin"/>
        </w:r>
        <w:r w:rsidR="00705348">
          <w:rPr>
            <w:noProof/>
            <w:webHidden/>
          </w:rPr>
          <w:instrText xml:space="preserve"> PAGEREF _Toc114051954 \h </w:instrText>
        </w:r>
        <w:r w:rsidR="00705348">
          <w:rPr>
            <w:noProof/>
            <w:webHidden/>
          </w:rPr>
        </w:r>
        <w:r w:rsidR="00705348">
          <w:rPr>
            <w:noProof/>
            <w:webHidden/>
          </w:rPr>
          <w:fldChar w:fldCharType="separate"/>
        </w:r>
        <w:r w:rsidR="00705348">
          <w:rPr>
            <w:noProof/>
            <w:webHidden/>
          </w:rPr>
          <w:t>3</w:t>
        </w:r>
        <w:r w:rsidR="00705348">
          <w:rPr>
            <w:noProof/>
            <w:webHidden/>
          </w:rPr>
          <w:fldChar w:fldCharType="end"/>
        </w:r>
      </w:hyperlink>
    </w:p>
    <w:p w14:paraId="3FEE0660" w14:textId="752A7CA3" w:rsidR="00705348" w:rsidRDefault="001D44C5">
      <w:pPr>
        <w:pStyle w:val="TOC2"/>
        <w:tabs>
          <w:tab w:val="right" w:leader="dot" w:pos="9016"/>
        </w:tabs>
        <w:rPr>
          <w:rFonts w:asciiTheme="minorHAnsi" w:eastAsiaTheme="minorEastAsia" w:hAnsiTheme="minorHAnsi" w:cstheme="minorBidi"/>
          <w:noProof/>
          <w:sz w:val="22"/>
          <w:lang w:eastAsia="en-AU"/>
        </w:rPr>
      </w:pPr>
      <w:hyperlink w:anchor="_Toc114051955" w:history="1">
        <w:r w:rsidR="00705348" w:rsidRPr="00942461">
          <w:rPr>
            <w:rStyle w:val="Hyperlink"/>
            <w:rFonts w:ascii="Arial" w:hAnsi="Arial" w:cs="Arial"/>
            <w:noProof/>
          </w:rPr>
          <w:t>SUMMARY OF AMENDMENTS</w:t>
        </w:r>
        <w:r w:rsidR="00705348">
          <w:rPr>
            <w:noProof/>
            <w:webHidden/>
          </w:rPr>
          <w:tab/>
        </w:r>
        <w:r w:rsidR="00705348">
          <w:rPr>
            <w:noProof/>
            <w:webHidden/>
          </w:rPr>
          <w:fldChar w:fldCharType="begin"/>
        </w:r>
        <w:r w:rsidR="00705348">
          <w:rPr>
            <w:noProof/>
            <w:webHidden/>
          </w:rPr>
          <w:instrText xml:space="preserve"> PAGEREF _Toc114051955 \h </w:instrText>
        </w:r>
        <w:r w:rsidR="00705348">
          <w:rPr>
            <w:noProof/>
            <w:webHidden/>
          </w:rPr>
        </w:r>
        <w:r w:rsidR="00705348">
          <w:rPr>
            <w:noProof/>
            <w:webHidden/>
          </w:rPr>
          <w:fldChar w:fldCharType="separate"/>
        </w:r>
        <w:r w:rsidR="00705348">
          <w:rPr>
            <w:noProof/>
            <w:webHidden/>
          </w:rPr>
          <w:t>4</w:t>
        </w:r>
        <w:r w:rsidR="00705348">
          <w:rPr>
            <w:noProof/>
            <w:webHidden/>
          </w:rPr>
          <w:fldChar w:fldCharType="end"/>
        </w:r>
      </w:hyperlink>
    </w:p>
    <w:p w14:paraId="29776D30" w14:textId="74693DF3" w:rsidR="00705348" w:rsidRDefault="001D44C5">
      <w:pPr>
        <w:pStyle w:val="TOC2"/>
        <w:tabs>
          <w:tab w:val="right" w:leader="dot" w:pos="9016"/>
        </w:tabs>
        <w:rPr>
          <w:rFonts w:asciiTheme="minorHAnsi" w:eastAsiaTheme="minorEastAsia" w:hAnsiTheme="minorHAnsi" w:cstheme="minorBidi"/>
          <w:noProof/>
          <w:sz w:val="22"/>
          <w:lang w:eastAsia="en-AU"/>
        </w:rPr>
      </w:pPr>
      <w:hyperlink w:anchor="_Toc114051956" w:history="1">
        <w:r w:rsidR="00705348" w:rsidRPr="00942461">
          <w:rPr>
            <w:rStyle w:val="Hyperlink"/>
            <w:rFonts w:ascii="Arial" w:hAnsi="Arial" w:cs="Arial"/>
            <w:noProof/>
          </w:rPr>
          <w:t>CONSISTENCY WITH HUMAN RIGHTS</w:t>
        </w:r>
        <w:r w:rsidR="00705348">
          <w:rPr>
            <w:noProof/>
            <w:webHidden/>
          </w:rPr>
          <w:tab/>
        </w:r>
        <w:r w:rsidR="00705348">
          <w:rPr>
            <w:noProof/>
            <w:webHidden/>
          </w:rPr>
          <w:fldChar w:fldCharType="begin"/>
        </w:r>
        <w:r w:rsidR="00705348">
          <w:rPr>
            <w:noProof/>
            <w:webHidden/>
          </w:rPr>
          <w:instrText xml:space="preserve"> PAGEREF _Toc114051956 \h </w:instrText>
        </w:r>
        <w:r w:rsidR="00705348">
          <w:rPr>
            <w:noProof/>
            <w:webHidden/>
          </w:rPr>
        </w:r>
        <w:r w:rsidR="00705348">
          <w:rPr>
            <w:noProof/>
            <w:webHidden/>
          </w:rPr>
          <w:fldChar w:fldCharType="separate"/>
        </w:r>
        <w:r w:rsidR="00705348">
          <w:rPr>
            <w:noProof/>
            <w:webHidden/>
          </w:rPr>
          <w:t>8</w:t>
        </w:r>
        <w:r w:rsidR="00705348">
          <w:rPr>
            <w:noProof/>
            <w:webHidden/>
          </w:rPr>
          <w:fldChar w:fldCharType="end"/>
        </w:r>
      </w:hyperlink>
    </w:p>
    <w:p w14:paraId="65A49BE2" w14:textId="5C866DA5" w:rsidR="00705348" w:rsidRDefault="001D44C5">
      <w:pPr>
        <w:pStyle w:val="TOC1"/>
        <w:tabs>
          <w:tab w:val="right" w:leader="dot" w:pos="9016"/>
        </w:tabs>
        <w:rPr>
          <w:rFonts w:asciiTheme="minorHAnsi" w:eastAsiaTheme="minorEastAsia" w:hAnsiTheme="minorHAnsi" w:cstheme="minorBidi"/>
          <w:noProof/>
          <w:sz w:val="22"/>
          <w:lang w:eastAsia="en-AU"/>
        </w:rPr>
      </w:pPr>
      <w:hyperlink w:anchor="_Toc114051957" w:history="1">
        <w:r w:rsidR="00705348" w:rsidRPr="00942461">
          <w:rPr>
            <w:rStyle w:val="Hyperlink"/>
            <w:rFonts w:ascii="Arial" w:hAnsi="Arial" w:cs="Arial"/>
            <w:noProof/>
            <w:lang w:eastAsia="en-AU"/>
          </w:rPr>
          <w:t>Detail</w:t>
        </w:r>
        <w:r w:rsidR="00705348">
          <w:rPr>
            <w:noProof/>
            <w:webHidden/>
          </w:rPr>
          <w:tab/>
        </w:r>
        <w:r w:rsidR="00705348">
          <w:rPr>
            <w:noProof/>
            <w:webHidden/>
          </w:rPr>
          <w:fldChar w:fldCharType="begin"/>
        </w:r>
        <w:r w:rsidR="00705348">
          <w:rPr>
            <w:noProof/>
            <w:webHidden/>
          </w:rPr>
          <w:instrText xml:space="preserve"> PAGEREF _Toc114051957 \h </w:instrText>
        </w:r>
        <w:r w:rsidR="00705348">
          <w:rPr>
            <w:noProof/>
            <w:webHidden/>
          </w:rPr>
        </w:r>
        <w:r w:rsidR="00705348">
          <w:rPr>
            <w:noProof/>
            <w:webHidden/>
          </w:rPr>
          <w:fldChar w:fldCharType="separate"/>
        </w:r>
        <w:r w:rsidR="00705348">
          <w:rPr>
            <w:noProof/>
            <w:webHidden/>
          </w:rPr>
          <w:t>21</w:t>
        </w:r>
        <w:r w:rsidR="00705348">
          <w:rPr>
            <w:noProof/>
            <w:webHidden/>
          </w:rPr>
          <w:fldChar w:fldCharType="end"/>
        </w:r>
      </w:hyperlink>
    </w:p>
    <w:p w14:paraId="76FD17F2" w14:textId="299E97C8" w:rsidR="00705348" w:rsidRDefault="001D44C5">
      <w:pPr>
        <w:pStyle w:val="TOC1"/>
        <w:tabs>
          <w:tab w:val="right" w:leader="dot" w:pos="9016"/>
        </w:tabs>
        <w:rPr>
          <w:rFonts w:asciiTheme="minorHAnsi" w:eastAsiaTheme="minorEastAsia" w:hAnsiTheme="minorHAnsi" w:cstheme="minorBidi"/>
          <w:noProof/>
          <w:sz w:val="22"/>
          <w:lang w:eastAsia="en-AU"/>
        </w:rPr>
      </w:pPr>
      <w:hyperlink w:anchor="_Toc114051958" w:history="1">
        <w:r w:rsidR="00705348" w:rsidRPr="00942461">
          <w:rPr>
            <w:rStyle w:val="Hyperlink"/>
            <w:rFonts w:ascii="Arial" w:hAnsi="Arial" w:cs="Arial"/>
            <w:noProof/>
            <w:lang w:eastAsia="en-AU"/>
          </w:rPr>
          <w:t>Part 1 – Preliminary</w:t>
        </w:r>
        <w:r w:rsidR="00705348">
          <w:rPr>
            <w:noProof/>
            <w:webHidden/>
          </w:rPr>
          <w:tab/>
        </w:r>
        <w:r w:rsidR="00705348">
          <w:rPr>
            <w:noProof/>
            <w:webHidden/>
          </w:rPr>
          <w:fldChar w:fldCharType="begin"/>
        </w:r>
        <w:r w:rsidR="00705348">
          <w:rPr>
            <w:noProof/>
            <w:webHidden/>
          </w:rPr>
          <w:instrText xml:space="preserve"> PAGEREF _Toc114051958 \h </w:instrText>
        </w:r>
        <w:r w:rsidR="00705348">
          <w:rPr>
            <w:noProof/>
            <w:webHidden/>
          </w:rPr>
        </w:r>
        <w:r w:rsidR="00705348">
          <w:rPr>
            <w:noProof/>
            <w:webHidden/>
          </w:rPr>
          <w:fldChar w:fldCharType="separate"/>
        </w:r>
        <w:r w:rsidR="00705348">
          <w:rPr>
            <w:noProof/>
            <w:webHidden/>
          </w:rPr>
          <w:t>21</w:t>
        </w:r>
        <w:r w:rsidR="00705348">
          <w:rPr>
            <w:noProof/>
            <w:webHidden/>
          </w:rPr>
          <w:fldChar w:fldCharType="end"/>
        </w:r>
      </w:hyperlink>
    </w:p>
    <w:p w14:paraId="668C9FDD" w14:textId="3F1FB16A" w:rsidR="00705348" w:rsidRDefault="001D44C5">
      <w:pPr>
        <w:pStyle w:val="TOC1"/>
        <w:tabs>
          <w:tab w:val="right" w:leader="dot" w:pos="9016"/>
        </w:tabs>
        <w:rPr>
          <w:rFonts w:asciiTheme="minorHAnsi" w:eastAsiaTheme="minorEastAsia" w:hAnsiTheme="minorHAnsi" w:cstheme="minorBidi"/>
          <w:noProof/>
          <w:sz w:val="22"/>
          <w:lang w:eastAsia="en-AU"/>
        </w:rPr>
      </w:pPr>
      <w:hyperlink w:anchor="_Toc114051959" w:history="1">
        <w:r w:rsidR="00705348" w:rsidRPr="00942461">
          <w:rPr>
            <w:rStyle w:val="Hyperlink"/>
            <w:rFonts w:ascii="Arial" w:hAnsi="Arial" w:cs="Arial"/>
            <w:noProof/>
            <w:lang w:eastAsia="en-AU"/>
          </w:rPr>
          <w:t>Part 2 – Bail Act 1992</w:t>
        </w:r>
        <w:r w:rsidR="00705348">
          <w:rPr>
            <w:noProof/>
            <w:webHidden/>
          </w:rPr>
          <w:tab/>
        </w:r>
        <w:r w:rsidR="00705348">
          <w:rPr>
            <w:noProof/>
            <w:webHidden/>
          </w:rPr>
          <w:fldChar w:fldCharType="begin"/>
        </w:r>
        <w:r w:rsidR="00705348">
          <w:rPr>
            <w:noProof/>
            <w:webHidden/>
          </w:rPr>
          <w:instrText xml:space="preserve"> PAGEREF _Toc114051959 \h </w:instrText>
        </w:r>
        <w:r w:rsidR="00705348">
          <w:rPr>
            <w:noProof/>
            <w:webHidden/>
          </w:rPr>
        </w:r>
        <w:r w:rsidR="00705348">
          <w:rPr>
            <w:noProof/>
            <w:webHidden/>
          </w:rPr>
          <w:fldChar w:fldCharType="separate"/>
        </w:r>
        <w:r w:rsidR="00705348">
          <w:rPr>
            <w:noProof/>
            <w:webHidden/>
          </w:rPr>
          <w:t>21</w:t>
        </w:r>
        <w:r w:rsidR="00705348">
          <w:rPr>
            <w:noProof/>
            <w:webHidden/>
          </w:rPr>
          <w:fldChar w:fldCharType="end"/>
        </w:r>
      </w:hyperlink>
    </w:p>
    <w:p w14:paraId="3BDDD25A" w14:textId="28CD290D" w:rsidR="00705348" w:rsidRDefault="001D44C5">
      <w:pPr>
        <w:pStyle w:val="TOC1"/>
        <w:tabs>
          <w:tab w:val="right" w:leader="dot" w:pos="9016"/>
        </w:tabs>
        <w:rPr>
          <w:rFonts w:asciiTheme="minorHAnsi" w:eastAsiaTheme="minorEastAsia" w:hAnsiTheme="minorHAnsi" w:cstheme="minorBidi"/>
          <w:noProof/>
          <w:sz w:val="22"/>
          <w:lang w:eastAsia="en-AU"/>
        </w:rPr>
      </w:pPr>
      <w:hyperlink w:anchor="_Toc114051960" w:history="1">
        <w:r w:rsidR="00705348" w:rsidRPr="00942461">
          <w:rPr>
            <w:rStyle w:val="Hyperlink"/>
            <w:rFonts w:ascii="Arial" w:hAnsi="Arial" w:cs="Arial"/>
            <w:noProof/>
            <w:lang w:eastAsia="en-AU"/>
          </w:rPr>
          <w:t>Part 3 – Crimes Act 1900</w:t>
        </w:r>
        <w:r w:rsidR="00705348">
          <w:rPr>
            <w:noProof/>
            <w:webHidden/>
          </w:rPr>
          <w:tab/>
        </w:r>
        <w:r w:rsidR="00705348">
          <w:rPr>
            <w:noProof/>
            <w:webHidden/>
          </w:rPr>
          <w:fldChar w:fldCharType="begin"/>
        </w:r>
        <w:r w:rsidR="00705348">
          <w:rPr>
            <w:noProof/>
            <w:webHidden/>
          </w:rPr>
          <w:instrText xml:space="preserve"> PAGEREF _Toc114051960 \h </w:instrText>
        </w:r>
        <w:r w:rsidR="00705348">
          <w:rPr>
            <w:noProof/>
            <w:webHidden/>
          </w:rPr>
        </w:r>
        <w:r w:rsidR="00705348">
          <w:rPr>
            <w:noProof/>
            <w:webHidden/>
          </w:rPr>
          <w:fldChar w:fldCharType="separate"/>
        </w:r>
        <w:r w:rsidR="00705348">
          <w:rPr>
            <w:noProof/>
            <w:webHidden/>
          </w:rPr>
          <w:t>22</w:t>
        </w:r>
        <w:r w:rsidR="00705348">
          <w:rPr>
            <w:noProof/>
            <w:webHidden/>
          </w:rPr>
          <w:fldChar w:fldCharType="end"/>
        </w:r>
      </w:hyperlink>
    </w:p>
    <w:p w14:paraId="47DBA435" w14:textId="1E26B9E4" w:rsidR="00705348" w:rsidRDefault="001D44C5">
      <w:pPr>
        <w:pStyle w:val="TOC1"/>
        <w:tabs>
          <w:tab w:val="right" w:leader="dot" w:pos="9016"/>
        </w:tabs>
        <w:rPr>
          <w:rFonts w:asciiTheme="minorHAnsi" w:eastAsiaTheme="minorEastAsia" w:hAnsiTheme="minorHAnsi" w:cstheme="minorBidi"/>
          <w:noProof/>
          <w:sz w:val="22"/>
          <w:lang w:eastAsia="en-AU"/>
        </w:rPr>
      </w:pPr>
      <w:hyperlink w:anchor="_Toc114051961" w:history="1">
        <w:r w:rsidR="00705348" w:rsidRPr="00942461">
          <w:rPr>
            <w:rStyle w:val="Hyperlink"/>
            <w:rFonts w:ascii="Arial" w:hAnsi="Arial" w:cs="Arial"/>
            <w:noProof/>
            <w:lang w:eastAsia="en-AU"/>
          </w:rPr>
          <w:t>Part 4 – Evidence (Miscellaneous Provisions) Act 1991</w:t>
        </w:r>
        <w:r w:rsidR="00705348">
          <w:rPr>
            <w:noProof/>
            <w:webHidden/>
          </w:rPr>
          <w:tab/>
        </w:r>
        <w:r w:rsidR="00705348">
          <w:rPr>
            <w:noProof/>
            <w:webHidden/>
          </w:rPr>
          <w:fldChar w:fldCharType="begin"/>
        </w:r>
        <w:r w:rsidR="00705348">
          <w:rPr>
            <w:noProof/>
            <w:webHidden/>
          </w:rPr>
          <w:instrText xml:space="preserve"> PAGEREF _Toc114051961 \h </w:instrText>
        </w:r>
        <w:r w:rsidR="00705348">
          <w:rPr>
            <w:noProof/>
            <w:webHidden/>
          </w:rPr>
        </w:r>
        <w:r w:rsidR="00705348">
          <w:rPr>
            <w:noProof/>
            <w:webHidden/>
          </w:rPr>
          <w:fldChar w:fldCharType="separate"/>
        </w:r>
        <w:r w:rsidR="00705348">
          <w:rPr>
            <w:noProof/>
            <w:webHidden/>
          </w:rPr>
          <w:t>23</w:t>
        </w:r>
        <w:r w:rsidR="00705348">
          <w:rPr>
            <w:noProof/>
            <w:webHidden/>
          </w:rPr>
          <w:fldChar w:fldCharType="end"/>
        </w:r>
      </w:hyperlink>
    </w:p>
    <w:p w14:paraId="5037531B" w14:textId="3F1601B6" w:rsidR="00705348" w:rsidRDefault="001D44C5">
      <w:pPr>
        <w:pStyle w:val="TOC1"/>
        <w:tabs>
          <w:tab w:val="right" w:leader="dot" w:pos="9016"/>
        </w:tabs>
        <w:rPr>
          <w:rFonts w:asciiTheme="minorHAnsi" w:eastAsiaTheme="minorEastAsia" w:hAnsiTheme="minorHAnsi" w:cstheme="minorBidi"/>
          <w:noProof/>
          <w:sz w:val="22"/>
          <w:lang w:eastAsia="en-AU"/>
        </w:rPr>
      </w:pPr>
      <w:hyperlink w:anchor="_Toc114051962" w:history="1">
        <w:r w:rsidR="00705348" w:rsidRPr="00942461">
          <w:rPr>
            <w:rStyle w:val="Hyperlink"/>
            <w:rFonts w:ascii="Arial" w:hAnsi="Arial" w:cs="Arial"/>
            <w:noProof/>
            <w:lang w:eastAsia="en-AU"/>
          </w:rPr>
          <w:t>Part 5 – Personal Violence Act 2016</w:t>
        </w:r>
        <w:r w:rsidR="00705348">
          <w:rPr>
            <w:noProof/>
            <w:webHidden/>
          </w:rPr>
          <w:tab/>
        </w:r>
        <w:r w:rsidR="00705348">
          <w:rPr>
            <w:noProof/>
            <w:webHidden/>
          </w:rPr>
          <w:fldChar w:fldCharType="begin"/>
        </w:r>
        <w:r w:rsidR="00705348">
          <w:rPr>
            <w:noProof/>
            <w:webHidden/>
          </w:rPr>
          <w:instrText xml:space="preserve"> PAGEREF _Toc114051962 \h </w:instrText>
        </w:r>
        <w:r w:rsidR="00705348">
          <w:rPr>
            <w:noProof/>
            <w:webHidden/>
          </w:rPr>
        </w:r>
        <w:r w:rsidR="00705348">
          <w:rPr>
            <w:noProof/>
            <w:webHidden/>
          </w:rPr>
          <w:fldChar w:fldCharType="separate"/>
        </w:r>
        <w:r w:rsidR="00705348">
          <w:rPr>
            <w:noProof/>
            <w:webHidden/>
          </w:rPr>
          <w:t>24</w:t>
        </w:r>
        <w:r w:rsidR="00705348">
          <w:rPr>
            <w:noProof/>
            <w:webHidden/>
          </w:rPr>
          <w:fldChar w:fldCharType="end"/>
        </w:r>
      </w:hyperlink>
    </w:p>
    <w:p w14:paraId="757C0214" w14:textId="51606F13" w:rsidR="00705348" w:rsidRDefault="001D44C5">
      <w:pPr>
        <w:pStyle w:val="TOC1"/>
        <w:tabs>
          <w:tab w:val="right" w:leader="dot" w:pos="9016"/>
        </w:tabs>
        <w:rPr>
          <w:rFonts w:asciiTheme="minorHAnsi" w:eastAsiaTheme="minorEastAsia" w:hAnsiTheme="minorHAnsi" w:cstheme="minorBidi"/>
          <w:noProof/>
          <w:sz w:val="22"/>
          <w:lang w:eastAsia="en-AU"/>
        </w:rPr>
      </w:pPr>
      <w:hyperlink w:anchor="_Toc114051963" w:history="1">
        <w:r w:rsidR="00705348" w:rsidRPr="00942461">
          <w:rPr>
            <w:rStyle w:val="Hyperlink"/>
            <w:rFonts w:ascii="Arial" w:hAnsi="Arial" w:cs="Arial"/>
            <w:noProof/>
            <w:lang w:eastAsia="en-AU"/>
          </w:rPr>
          <w:t>Schedule 1 – Consequential amendments</w:t>
        </w:r>
        <w:r w:rsidR="00705348">
          <w:rPr>
            <w:noProof/>
            <w:webHidden/>
          </w:rPr>
          <w:tab/>
        </w:r>
        <w:r w:rsidR="00705348">
          <w:rPr>
            <w:noProof/>
            <w:webHidden/>
          </w:rPr>
          <w:fldChar w:fldCharType="begin"/>
        </w:r>
        <w:r w:rsidR="00705348">
          <w:rPr>
            <w:noProof/>
            <w:webHidden/>
          </w:rPr>
          <w:instrText xml:space="preserve"> PAGEREF _Toc114051963 \h </w:instrText>
        </w:r>
        <w:r w:rsidR="00705348">
          <w:rPr>
            <w:noProof/>
            <w:webHidden/>
          </w:rPr>
        </w:r>
        <w:r w:rsidR="00705348">
          <w:rPr>
            <w:noProof/>
            <w:webHidden/>
          </w:rPr>
          <w:fldChar w:fldCharType="separate"/>
        </w:r>
        <w:r w:rsidR="00705348">
          <w:rPr>
            <w:noProof/>
            <w:webHidden/>
          </w:rPr>
          <w:t>26</w:t>
        </w:r>
        <w:r w:rsidR="00705348">
          <w:rPr>
            <w:noProof/>
            <w:webHidden/>
          </w:rPr>
          <w:fldChar w:fldCharType="end"/>
        </w:r>
      </w:hyperlink>
    </w:p>
    <w:p w14:paraId="3168C036" w14:textId="4BED12D8" w:rsidR="00705348" w:rsidRDefault="001D44C5">
      <w:pPr>
        <w:pStyle w:val="TOC1"/>
        <w:tabs>
          <w:tab w:val="right" w:leader="dot" w:pos="9016"/>
        </w:tabs>
        <w:rPr>
          <w:rFonts w:asciiTheme="minorHAnsi" w:eastAsiaTheme="minorEastAsia" w:hAnsiTheme="minorHAnsi" w:cstheme="minorBidi"/>
          <w:noProof/>
          <w:sz w:val="22"/>
          <w:lang w:eastAsia="en-AU"/>
        </w:rPr>
      </w:pPr>
      <w:hyperlink w:anchor="_Toc114051964" w:history="1">
        <w:r w:rsidR="00705348" w:rsidRPr="00942461">
          <w:rPr>
            <w:rStyle w:val="Hyperlink"/>
            <w:rFonts w:ascii="Arial" w:hAnsi="Arial" w:cs="Arial"/>
            <w:noProof/>
            <w:lang w:eastAsia="en-AU"/>
          </w:rPr>
          <w:t>Schedule 2 – Technical amendments</w:t>
        </w:r>
        <w:r w:rsidR="00705348">
          <w:rPr>
            <w:noProof/>
            <w:webHidden/>
          </w:rPr>
          <w:tab/>
        </w:r>
        <w:r w:rsidR="00705348">
          <w:rPr>
            <w:noProof/>
            <w:webHidden/>
          </w:rPr>
          <w:fldChar w:fldCharType="begin"/>
        </w:r>
        <w:r w:rsidR="00705348">
          <w:rPr>
            <w:noProof/>
            <w:webHidden/>
          </w:rPr>
          <w:instrText xml:space="preserve"> PAGEREF _Toc114051964 \h </w:instrText>
        </w:r>
        <w:r w:rsidR="00705348">
          <w:rPr>
            <w:noProof/>
            <w:webHidden/>
          </w:rPr>
        </w:r>
        <w:r w:rsidR="00705348">
          <w:rPr>
            <w:noProof/>
            <w:webHidden/>
          </w:rPr>
          <w:fldChar w:fldCharType="separate"/>
        </w:r>
        <w:r w:rsidR="00705348">
          <w:rPr>
            <w:noProof/>
            <w:webHidden/>
          </w:rPr>
          <w:t>28</w:t>
        </w:r>
        <w:r w:rsidR="00705348">
          <w:rPr>
            <w:noProof/>
            <w:webHidden/>
          </w:rPr>
          <w:fldChar w:fldCharType="end"/>
        </w:r>
      </w:hyperlink>
    </w:p>
    <w:p w14:paraId="314FFBD4" w14:textId="1AA2B6B4" w:rsidR="00AC5B87" w:rsidRPr="00050F68" w:rsidRDefault="00326167" w:rsidP="00AC5B87">
      <w:pPr>
        <w:rPr>
          <w:rFonts w:ascii="Arial" w:hAnsi="Arial" w:cs="Arial"/>
          <w:szCs w:val="24"/>
        </w:rPr>
      </w:pPr>
      <w:r w:rsidRPr="00050F68">
        <w:rPr>
          <w:rFonts w:ascii="Arial" w:hAnsi="Arial" w:cs="Arial"/>
          <w:szCs w:val="24"/>
        </w:rPr>
        <w:fldChar w:fldCharType="end"/>
      </w:r>
    </w:p>
    <w:p w14:paraId="306EEBDF" w14:textId="77777777" w:rsidR="0051718C" w:rsidRPr="00050F68" w:rsidRDefault="00AC5B87" w:rsidP="002E1092">
      <w:pPr>
        <w:pStyle w:val="Heading2"/>
        <w:spacing w:after="120"/>
        <w:rPr>
          <w:rFonts w:ascii="Arial" w:hAnsi="Arial" w:cs="Arial"/>
          <w:szCs w:val="24"/>
        </w:rPr>
      </w:pPr>
      <w:bookmarkStart w:id="3" w:name="_Toc426711259"/>
      <w:bookmarkStart w:id="4" w:name="_Toc429052822"/>
      <w:r w:rsidRPr="00050F68">
        <w:rPr>
          <w:rFonts w:ascii="Arial" w:hAnsi="Arial" w:cs="Arial"/>
          <w:szCs w:val="24"/>
        </w:rPr>
        <w:br w:type="page"/>
      </w:r>
    </w:p>
    <w:p w14:paraId="5671B9AA" w14:textId="34FAEED0" w:rsidR="0051718C" w:rsidRPr="00050F68" w:rsidRDefault="0002114C" w:rsidP="0051718C">
      <w:pPr>
        <w:pStyle w:val="Heading2"/>
        <w:spacing w:after="120"/>
        <w:jc w:val="center"/>
        <w:rPr>
          <w:rFonts w:ascii="Arial" w:eastAsia="Calibri" w:hAnsi="Arial" w:cs="Arial"/>
          <w:b w:val="0"/>
          <w:bCs w:val="0"/>
          <w:iCs w:val="0"/>
          <w:szCs w:val="24"/>
          <w:u w:val="none"/>
        </w:rPr>
      </w:pPr>
      <w:bookmarkStart w:id="5" w:name="_Toc114051952"/>
      <w:r>
        <w:rPr>
          <w:rFonts w:ascii="Arial" w:hAnsi="Arial" w:cs="Arial"/>
          <w:b w:val="0"/>
          <w:bCs w:val="0"/>
          <w:caps/>
          <w:szCs w:val="24"/>
        </w:rPr>
        <w:lastRenderedPageBreak/>
        <w:t>SEXUAL ASSAULT REFORM LEGISLATION AMENDMENT BILL 2022</w:t>
      </w:r>
      <w:bookmarkEnd w:id="5"/>
    </w:p>
    <w:p w14:paraId="15C4153C" w14:textId="66EC9492" w:rsidR="0051718C" w:rsidRPr="00050F68" w:rsidRDefault="0051718C" w:rsidP="0051718C">
      <w:pPr>
        <w:rPr>
          <w:rFonts w:ascii="Arial" w:hAnsi="Arial" w:cs="Arial"/>
          <w:szCs w:val="24"/>
        </w:rPr>
      </w:pPr>
      <w:r w:rsidRPr="00050F68">
        <w:rPr>
          <w:rFonts w:ascii="Arial" w:hAnsi="Arial" w:cs="Arial"/>
          <w:szCs w:val="24"/>
        </w:rPr>
        <w:t>The</w:t>
      </w:r>
      <w:r w:rsidR="00F25649">
        <w:rPr>
          <w:rFonts w:ascii="Arial" w:hAnsi="Arial" w:cs="Arial"/>
          <w:szCs w:val="24"/>
        </w:rPr>
        <w:t xml:space="preserve"> Sexual Assault Reform Legislation Amendment Bill 2022</w:t>
      </w:r>
      <w:r w:rsidRPr="00050F68">
        <w:rPr>
          <w:rFonts w:ascii="Arial" w:hAnsi="Arial" w:cs="Arial"/>
          <w:szCs w:val="24"/>
        </w:rPr>
        <w:t xml:space="preserve"> </w:t>
      </w:r>
      <w:r w:rsidR="00E264D6">
        <w:rPr>
          <w:rFonts w:ascii="Arial" w:hAnsi="Arial" w:cs="Arial"/>
          <w:szCs w:val="24"/>
        </w:rPr>
        <w:t>(the Bill)</w:t>
      </w:r>
      <w:r w:rsidRPr="00050F68">
        <w:rPr>
          <w:rFonts w:ascii="Arial" w:hAnsi="Arial" w:cs="Arial"/>
          <w:szCs w:val="24"/>
        </w:rPr>
        <w:t xml:space="preserve"> </w:t>
      </w:r>
      <w:r w:rsidRPr="00655062">
        <w:rPr>
          <w:rFonts w:ascii="Arial" w:hAnsi="Arial" w:cs="Arial"/>
          <w:szCs w:val="24"/>
        </w:rPr>
        <w:t>is</w:t>
      </w:r>
      <w:r w:rsidRPr="00050F68">
        <w:rPr>
          <w:rFonts w:ascii="Arial" w:hAnsi="Arial" w:cs="Arial"/>
          <w:szCs w:val="24"/>
        </w:rPr>
        <w:t xml:space="preserve"> a Significant Bill. Significant Bills are bills that have been assessed as likely to have significant engagement of human rights and require more detailed reasoning in relation to compatibility with the </w:t>
      </w:r>
      <w:r w:rsidRPr="0002114C">
        <w:rPr>
          <w:rFonts w:ascii="Arial" w:hAnsi="Arial" w:cs="Arial"/>
          <w:i/>
          <w:iCs/>
          <w:szCs w:val="24"/>
        </w:rPr>
        <w:t>Human Rights Act 2004</w:t>
      </w:r>
      <w:r w:rsidRPr="00050F68">
        <w:rPr>
          <w:rFonts w:ascii="Arial" w:hAnsi="Arial" w:cs="Arial"/>
          <w:szCs w:val="24"/>
        </w:rPr>
        <w:t>.</w:t>
      </w:r>
    </w:p>
    <w:p w14:paraId="647CCAEE" w14:textId="3605225D" w:rsidR="0030585F" w:rsidRPr="00050F68" w:rsidRDefault="00050F68" w:rsidP="002E1092">
      <w:pPr>
        <w:pStyle w:val="Heading2"/>
        <w:spacing w:after="120"/>
        <w:rPr>
          <w:rFonts w:ascii="Arial" w:hAnsi="Arial" w:cs="Arial"/>
          <w:szCs w:val="24"/>
          <w:u w:val="none"/>
        </w:rPr>
      </w:pPr>
      <w:bookmarkStart w:id="6" w:name="_Toc114051953"/>
      <w:bookmarkEnd w:id="3"/>
      <w:bookmarkEnd w:id="4"/>
      <w:r>
        <w:rPr>
          <w:rFonts w:ascii="Arial" w:hAnsi="Arial" w:cs="Arial"/>
          <w:szCs w:val="24"/>
          <w:u w:val="none"/>
        </w:rPr>
        <w:t>OVERVIEW OF THE BILL</w:t>
      </w:r>
      <w:bookmarkEnd w:id="6"/>
    </w:p>
    <w:p w14:paraId="5AF83A02" w14:textId="2D5CC118" w:rsidR="00B30DE4" w:rsidRDefault="00CE1BDF" w:rsidP="00E264D6">
      <w:pPr>
        <w:keepNext/>
        <w:autoSpaceDE w:val="0"/>
        <w:autoSpaceDN w:val="0"/>
        <w:adjustRightInd w:val="0"/>
        <w:spacing w:before="240" w:after="120"/>
        <w:rPr>
          <w:rFonts w:ascii="Arial" w:hAnsi="Arial" w:cs="Arial"/>
        </w:rPr>
      </w:pPr>
      <w:r w:rsidRPr="00050F68">
        <w:rPr>
          <w:rFonts w:ascii="Arial" w:hAnsi="Arial" w:cs="Arial"/>
          <w:szCs w:val="24"/>
        </w:rPr>
        <w:t xml:space="preserve">The </w:t>
      </w:r>
      <w:r w:rsidR="00E264D6">
        <w:rPr>
          <w:rFonts w:ascii="Arial" w:hAnsi="Arial" w:cs="Arial"/>
          <w:szCs w:val="24"/>
        </w:rPr>
        <w:t>Bill</w:t>
      </w:r>
      <w:r w:rsidR="00DF7319" w:rsidRPr="00050F68">
        <w:rPr>
          <w:rFonts w:ascii="Arial" w:hAnsi="Arial" w:cs="Arial"/>
          <w:szCs w:val="24"/>
        </w:rPr>
        <w:t xml:space="preserve"> </w:t>
      </w:r>
      <w:r w:rsidR="00E264D6">
        <w:rPr>
          <w:rFonts w:ascii="Arial" w:hAnsi="Arial" w:cs="Arial"/>
          <w:szCs w:val="24"/>
        </w:rPr>
        <w:t xml:space="preserve">seeks </w:t>
      </w:r>
      <w:r w:rsidR="00DF7319" w:rsidRPr="009342B5">
        <w:rPr>
          <w:rFonts w:ascii="Arial" w:hAnsi="Arial" w:cs="Arial"/>
          <w:szCs w:val="24"/>
        </w:rPr>
        <w:t xml:space="preserve">to </w:t>
      </w:r>
      <w:r w:rsidR="00E264D6" w:rsidRPr="00E264D6">
        <w:rPr>
          <w:rFonts w:ascii="Arial" w:hAnsi="Arial" w:cs="Arial"/>
          <w:szCs w:val="24"/>
        </w:rPr>
        <w:t>improve how ACT laws respond to sexual violence with an aim of improving victim-survivors’ access to justice and enhancing their safety</w:t>
      </w:r>
      <w:r w:rsidR="00D4609B">
        <w:rPr>
          <w:rFonts w:ascii="Arial" w:hAnsi="Arial" w:cs="Arial"/>
          <w:szCs w:val="24"/>
        </w:rPr>
        <w:t>.</w:t>
      </w:r>
      <w:r w:rsidR="00B30DE4">
        <w:rPr>
          <w:rFonts w:ascii="Arial" w:hAnsi="Arial" w:cs="Arial"/>
        </w:rPr>
        <w:t xml:space="preserve"> </w:t>
      </w:r>
    </w:p>
    <w:p w14:paraId="22820147" w14:textId="0F561AB4" w:rsidR="00226A09" w:rsidRDefault="00B30DE4" w:rsidP="006C4CFD">
      <w:pPr>
        <w:keepNext/>
        <w:autoSpaceDE w:val="0"/>
        <w:autoSpaceDN w:val="0"/>
        <w:adjustRightInd w:val="0"/>
        <w:spacing w:before="240" w:after="120"/>
        <w:rPr>
          <w:rFonts w:ascii="Arial" w:hAnsi="Arial" w:cs="Arial"/>
        </w:rPr>
      </w:pPr>
      <w:r>
        <w:rPr>
          <w:rFonts w:ascii="Arial" w:hAnsi="Arial" w:cs="Arial"/>
        </w:rPr>
        <w:t xml:space="preserve">The Bill implements </w:t>
      </w:r>
      <w:r w:rsidR="009342B5" w:rsidRPr="009342B5">
        <w:rPr>
          <w:rFonts w:ascii="Arial" w:hAnsi="Arial" w:cs="Arial"/>
        </w:rPr>
        <w:t xml:space="preserve">some recommendations </w:t>
      </w:r>
      <w:r w:rsidR="00A92FB8">
        <w:rPr>
          <w:rFonts w:ascii="Arial" w:hAnsi="Arial" w:cs="Arial"/>
        </w:rPr>
        <w:t>from</w:t>
      </w:r>
      <w:r w:rsidR="00A92FB8" w:rsidRPr="009342B5">
        <w:rPr>
          <w:rFonts w:ascii="Arial" w:hAnsi="Arial" w:cs="Arial"/>
        </w:rPr>
        <w:t xml:space="preserve"> </w:t>
      </w:r>
      <w:r w:rsidR="009342B5" w:rsidRPr="009342B5">
        <w:rPr>
          <w:rFonts w:ascii="Arial" w:hAnsi="Arial" w:cs="Arial"/>
        </w:rPr>
        <w:t xml:space="preserve">the </w:t>
      </w:r>
      <w:r w:rsidR="009342B5" w:rsidRPr="00331814">
        <w:rPr>
          <w:rFonts w:ascii="Arial" w:hAnsi="Arial" w:cs="Arial"/>
          <w:i/>
          <w:iCs/>
        </w:rPr>
        <w:t xml:space="preserve">Listen. Take Action to Prevent, Believe and Heal </w:t>
      </w:r>
      <w:r w:rsidR="009342B5" w:rsidRPr="009342B5">
        <w:rPr>
          <w:rFonts w:ascii="Arial" w:hAnsi="Arial" w:cs="Arial"/>
        </w:rPr>
        <w:t>Report</w:t>
      </w:r>
      <w:r w:rsidR="00E05C10">
        <w:rPr>
          <w:rFonts w:ascii="Arial" w:hAnsi="Arial" w:cs="Arial"/>
        </w:rPr>
        <w:t xml:space="preserve"> (the SAPR Report)</w:t>
      </w:r>
      <w:r>
        <w:rPr>
          <w:rFonts w:ascii="Arial" w:hAnsi="Arial" w:cs="Arial"/>
        </w:rPr>
        <w:t xml:space="preserve"> which was published </w:t>
      </w:r>
      <w:r w:rsidR="00A44AF2">
        <w:rPr>
          <w:rFonts w:ascii="Arial" w:hAnsi="Arial" w:cs="Arial"/>
        </w:rPr>
        <w:t xml:space="preserve">in December 2021 </w:t>
      </w:r>
      <w:r>
        <w:rPr>
          <w:rFonts w:ascii="Arial" w:hAnsi="Arial" w:cs="Arial"/>
        </w:rPr>
        <w:t xml:space="preserve">and corrects </w:t>
      </w:r>
      <w:r w:rsidR="0016030E">
        <w:rPr>
          <w:rFonts w:ascii="Arial" w:hAnsi="Arial" w:cs="Arial"/>
        </w:rPr>
        <w:t>two</w:t>
      </w:r>
      <w:r>
        <w:rPr>
          <w:rFonts w:ascii="Arial" w:hAnsi="Arial" w:cs="Arial"/>
        </w:rPr>
        <w:t xml:space="preserve"> unintended consequence</w:t>
      </w:r>
      <w:r w:rsidR="0016030E">
        <w:rPr>
          <w:rFonts w:ascii="Arial" w:hAnsi="Arial" w:cs="Arial"/>
        </w:rPr>
        <w:t>s</w:t>
      </w:r>
      <w:r>
        <w:rPr>
          <w:rFonts w:ascii="Arial" w:hAnsi="Arial" w:cs="Arial"/>
        </w:rPr>
        <w:t xml:space="preserve"> arising from the </w:t>
      </w:r>
      <w:r w:rsidRPr="0002114C">
        <w:rPr>
          <w:rFonts w:ascii="Arial" w:hAnsi="Arial" w:cs="Arial"/>
          <w:i/>
          <w:iCs/>
          <w:szCs w:val="24"/>
        </w:rPr>
        <w:t>Crimes (Consent) Amendment Act 2022</w:t>
      </w:r>
      <w:r>
        <w:rPr>
          <w:rFonts w:ascii="Arial" w:hAnsi="Arial" w:cs="Arial"/>
        </w:rPr>
        <w:t xml:space="preserve">. </w:t>
      </w:r>
    </w:p>
    <w:p w14:paraId="74E6EF9A" w14:textId="365ACEF8" w:rsidR="00B30DE4" w:rsidRDefault="00D31698" w:rsidP="00A363CB">
      <w:pPr>
        <w:keepNext/>
        <w:autoSpaceDE w:val="0"/>
        <w:autoSpaceDN w:val="0"/>
        <w:adjustRightInd w:val="0"/>
        <w:spacing w:before="240" w:after="120"/>
        <w:rPr>
          <w:rFonts w:ascii="Arial" w:hAnsi="Arial" w:cs="Arial"/>
        </w:rPr>
      </w:pPr>
      <w:r>
        <w:rPr>
          <w:rFonts w:ascii="Arial" w:hAnsi="Arial" w:cs="Arial"/>
        </w:rPr>
        <w:t xml:space="preserve">The SAPR Report </w:t>
      </w:r>
      <w:r w:rsidR="0002114C">
        <w:rPr>
          <w:rFonts w:ascii="Arial" w:hAnsi="Arial" w:cs="Arial"/>
        </w:rPr>
        <w:t>was</w:t>
      </w:r>
      <w:r>
        <w:rPr>
          <w:rFonts w:ascii="Arial" w:hAnsi="Arial" w:cs="Arial"/>
        </w:rPr>
        <w:t xml:space="preserve"> prepared by </w:t>
      </w:r>
      <w:r w:rsidR="0002114C">
        <w:rPr>
          <w:rFonts w:ascii="Arial" w:hAnsi="Arial" w:cs="Arial"/>
        </w:rPr>
        <w:t>the</w:t>
      </w:r>
      <w:r>
        <w:rPr>
          <w:rFonts w:ascii="Arial" w:hAnsi="Arial" w:cs="Arial"/>
        </w:rPr>
        <w:t xml:space="preserve"> independent </w:t>
      </w:r>
      <w:r w:rsidRPr="004B61AC">
        <w:rPr>
          <w:rFonts w:ascii="Arial" w:hAnsi="Arial" w:cs="Arial"/>
        </w:rPr>
        <w:t>Sexual Assault Prevention and Response Program</w:t>
      </w:r>
      <w:r>
        <w:rPr>
          <w:rFonts w:ascii="Arial" w:hAnsi="Arial" w:cs="Arial"/>
        </w:rPr>
        <w:t xml:space="preserve"> (SAPR) Steering Committee. The</w:t>
      </w:r>
      <w:r w:rsidR="00331814">
        <w:rPr>
          <w:rFonts w:ascii="Arial" w:hAnsi="Arial" w:cs="Arial"/>
        </w:rPr>
        <w:t xml:space="preserve"> </w:t>
      </w:r>
      <w:r w:rsidR="00E05C10">
        <w:rPr>
          <w:rFonts w:ascii="Arial" w:hAnsi="Arial" w:cs="Arial"/>
        </w:rPr>
        <w:t xml:space="preserve">SAPR </w:t>
      </w:r>
      <w:r w:rsidR="00331814">
        <w:rPr>
          <w:rFonts w:ascii="Arial" w:hAnsi="Arial" w:cs="Arial"/>
        </w:rPr>
        <w:t xml:space="preserve">Report </w:t>
      </w:r>
      <w:r>
        <w:rPr>
          <w:rFonts w:ascii="Arial" w:hAnsi="Arial" w:cs="Arial"/>
        </w:rPr>
        <w:t xml:space="preserve">makes </w:t>
      </w:r>
      <w:r w:rsidR="00331814">
        <w:rPr>
          <w:rFonts w:ascii="Arial" w:hAnsi="Arial" w:cs="Arial"/>
        </w:rPr>
        <w:t xml:space="preserve">24 </w:t>
      </w:r>
      <w:r w:rsidR="00B30DE4">
        <w:rPr>
          <w:rFonts w:ascii="Arial" w:hAnsi="Arial" w:cs="Arial"/>
        </w:rPr>
        <w:t xml:space="preserve">wide-ranging </w:t>
      </w:r>
      <w:r w:rsidR="00331814">
        <w:rPr>
          <w:rFonts w:ascii="Arial" w:hAnsi="Arial" w:cs="Arial"/>
        </w:rPr>
        <w:t xml:space="preserve">recommendations </w:t>
      </w:r>
      <w:r w:rsidR="00B30DE4">
        <w:rPr>
          <w:rFonts w:ascii="Arial" w:hAnsi="Arial" w:cs="Arial"/>
        </w:rPr>
        <w:t xml:space="preserve">including </w:t>
      </w:r>
      <w:r w:rsidR="00570100">
        <w:rPr>
          <w:rFonts w:ascii="Arial" w:hAnsi="Arial" w:cs="Arial"/>
        </w:rPr>
        <w:t>two</w:t>
      </w:r>
      <w:r w:rsidR="007D30CE">
        <w:rPr>
          <w:rFonts w:ascii="Arial" w:hAnsi="Arial" w:cs="Arial"/>
        </w:rPr>
        <w:t xml:space="preserve"> overarching recommendations and 18 </w:t>
      </w:r>
      <w:r w:rsidR="00B30DE4">
        <w:rPr>
          <w:rFonts w:ascii="Arial" w:hAnsi="Arial" w:cs="Arial"/>
        </w:rPr>
        <w:t xml:space="preserve">law reform proposals </w:t>
      </w:r>
      <w:r w:rsidR="00331814">
        <w:rPr>
          <w:rFonts w:ascii="Arial" w:hAnsi="Arial" w:cs="Arial"/>
        </w:rPr>
        <w:t>to improve how the ACT prevents and responds to sexual violence in the community</w:t>
      </w:r>
      <w:r w:rsidR="002F4CBC">
        <w:rPr>
          <w:rFonts w:ascii="Arial" w:hAnsi="Arial" w:cs="Arial"/>
        </w:rPr>
        <w:t xml:space="preserve"> as part of a </w:t>
      </w:r>
      <w:r w:rsidR="00655062">
        <w:rPr>
          <w:rFonts w:ascii="Arial" w:hAnsi="Arial" w:cs="Arial"/>
        </w:rPr>
        <w:t>longer-term</w:t>
      </w:r>
      <w:r w:rsidR="002F4CBC">
        <w:rPr>
          <w:rFonts w:ascii="Arial" w:hAnsi="Arial" w:cs="Arial"/>
        </w:rPr>
        <w:t xml:space="preserve"> strategy</w:t>
      </w:r>
      <w:r w:rsidR="00331814">
        <w:rPr>
          <w:rFonts w:ascii="Arial" w:hAnsi="Arial" w:cs="Arial"/>
        </w:rPr>
        <w:t xml:space="preserve">. </w:t>
      </w:r>
      <w:r w:rsidR="00B30DE4">
        <w:rPr>
          <w:rFonts w:ascii="Arial" w:hAnsi="Arial" w:cs="Arial"/>
        </w:rPr>
        <w:t>T</w:t>
      </w:r>
      <w:r w:rsidR="00B30DE4" w:rsidRPr="00331814">
        <w:rPr>
          <w:rFonts w:ascii="Arial" w:hAnsi="Arial" w:cs="Arial"/>
        </w:rPr>
        <w:t>h</w:t>
      </w:r>
      <w:r w:rsidR="00B30DE4">
        <w:rPr>
          <w:rFonts w:ascii="Arial" w:hAnsi="Arial" w:cs="Arial"/>
        </w:rPr>
        <w:t>is</w:t>
      </w:r>
      <w:r w:rsidR="00B30DE4" w:rsidRPr="00331814">
        <w:rPr>
          <w:rFonts w:ascii="Arial" w:hAnsi="Arial" w:cs="Arial"/>
        </w:rPr>
        <w:t xml:space="preserve"> </w:t>
      </w:r>
      <w:r w:rsidR="00331814" w:rsidRPr="00331814">
        <w:rPr>
          <w:rFonts w:ascii="Arial" w:hAnsi="Arial" w:cs="Arial"/>
        </w:rPr>
        <w:t xml:space="preserve">Bill is the </w:t>
      </w:r>
      <w:r w:rsidR="0002114C">
        <w:rPr>
          <w:rFonts w:ascii="Arial" w:hAnsi="Arial" w:cs="Arial"/>
        </w:rPr>
        <w:t>first</w:t>
      </w:r>
      <w:r w:rsidR="00F5411A">
        <w:rPr>
          <w:rFonts w:ascii="Arial" w:hAnsi="Arial" w:cs="Arial"/>
        </w:rPr>
        <w:t xml:space="preserve"> </w:t>
      </w:r>
      <w:r w:rsidR="00C121B2">
        <w:rPr>
          <w:rFonts w:ascii="Arial" w:hAnsi="Arial" w:cs="Arial"/>
        </w:rPr>
        <w:t>tranche</w:t>
      </w:r>
      <w:r w:rsidR="00331814" w:rsidRPr="00331814">
        <w:rPr>
          <w:rFonts w:ascii="Arial" w:hAnsi="Arial" w:cs="Arial"/>
        </w:rPr>
        <w:t xml:space="preserve"> </w:t>
      </w:r>
      <w:r w:rsidR="00B30DE4">
        <w:rPr>
          <w:rFonts w:ascii="Arial" w:hAnsi="Arial" w:cs="Arial"/>
        </w:rPr>
        <w:t>of a phased law reform program and includes amendments to</w:t>
      </w:r>
      <w:r w:rsidR="00331814" w:rsidRPr="00331814">
        <w:rPr>
          <w:rFonts w:ascii="Arial" w:hAnsi="Arial" w:cs="Arial"/>
        </w:rPr>
        <w:t xml:space="preserve"> implement</w:t>
      </w:r>
      <w:r w:rsidR="00B30DE4">
        <w:rPr>
          <w:rFonts w:ascii="Arial" w:hAnsi="Arial" w:cs="Arial"/>
        </w:rPr>
        <w:t xml:space="preserve"> </w:t>
      </w:r>
      <w:r w:rsidR="00A321A4">
        <w:rPr>
          <w:rFonts w:ascii="Arial" w:hAnsi="Arial" w:cs="Arial"/>
        </w:rPr>
        <w:t>five</w:t>
      </w:r>
      <w:r w:rsidR="00331814" w:rsidRPr="00331814">
        <w:rPr>
          <w:rFonts w:ascii="Arial" w:hAnsi="Arial" w:cs="Arial"/>
        </w:rPr>
        <w:t xml:space="preserve"> law reform </w:t>
      </w:r>
      <w:r w:rsidR="00DA6045">
        <w:rPr>
          <w:rFonts w:ascii="Arial" w:hAnsi="Arial" w:cs="Arial"/>
        </w:rPr>
        <w:t>proposals</w:t>
      </w:r>
      <w:r w:rsidR="00331814" w:rsidRPr="00331814">
        <w:rPr>
          <w:rFonts w:ascii="Arial" w:hAnsi="Arial" w:cs="Arial"/>
        </w:rPr>
        <w:t xml:space="preserve"> </w:t>
      </w:r>
      <w:r w:rsidR="00B30DE4">
        <w:rPr>
          <w:rFonts w:ascii="Arial" w:hAnsi="Arial" w:cs="Arial"/>
        </w:rPr>
        <w:t xml:space="preserve">as outlined </w:t>
      </w:r>
      <w:r w:rsidR="00331814" w:rsidRPr="00331814">
        <w:rPr>
          <w:rFonts w:ascii="Arial" w:hAnsi="Arial" w:cs="Arial"/>
        </w:rPr>
        <w:t>in Recommendation 23</w:t>
      </w:r>
      <w:r w:rsidR="00B30DE4">
        <w:rPr>
          <w:rFonts w:ascii="Arial" w:hAnsi="Arial" w:cs="Arial"/>
        </w:rPr>
        <w:t xml:space="preserve"> of the SAPR Report</w:t>
      </w:r>
      <w:r w:rsidR="00331814" w:rsidRPr="00331814">
        <w:rPr>
          <w:rFonts w:ascii="Arial" w:hAnsi="Arial" w:cs="Arial"/>
        </w:rPr>
        <w:t xml:space="preserve">. </w:t>
      </w:r>
    </w:p>
    <w:p w14:paraId="149D709E" w14:textId="59BC1566" w:rsidR="0088463C" w:rsidRPr="00050F68" w:rsidRDefault="0030585F" w:rsidP="00A363CB">
      <w:pPr>
        <w:autoSpaceDE w:val="0"/>
        <w:autoSpaceDN w:val="0"/>
        <w:adjustRightInd w:val="0"/>
        <w:spacing w:before="240" w:after="120"/>
        <w:rPr>
          <w:rFonts w:ascii="Arial" w:hAnsi="Arial" w:cs="Arial"/>
          <w:szCs w:val="24"/>
        </w:rPr>
      </w:pPr>
      <w:bookmarkStart w:id="7" w:name="_Hlk113452916"/>
      <w:r w:rsidRPr="00050F68">
        <w:rPr>
          <w:rFonts w:ascii="Arial" w:hAnsi="Arial" w:cs="Arial"/>
          <w:szCs w:val="24"/>
        </w:rPr>
        <w:t xml:space="preserve">The </w:t>
      </w:r>
      <w:r w:rsidR="00CF2266">
        <w:rPr>
          <w:rFonts w:ascii="Arial" w:hAnsi="Arial" w:cs="Arial"/>
          <w:iCs/>
          <w:szCs w:val="24"/>
        </w:rPr>
        <w:t>Bill</w:t>
      </w:r>
      <w:r w:rsidR="00DF7319" w:rsidRPr="00050F68">
        <w:rPr>
          <w:rFonts w:ascii="Arial" w:hAnsi="Arial" w:cs="Arial"/>
          <w:szCs w:val="24"/>
        </w:rPr>
        <w:t xml:space="preserve"> </w:t>
      </w:r>
      <w:r w:rsidRPr="00050F68">
        <w:rPr>
          <w:rFonts w:ascii="Arial" w:hAnsi="Arial" w:cs="Arial"/>
          <w:szCs w:val="24"/>
        </w:rPr>
        <w:t>will</w:t>
      </w:r>
      <w:r w:rsidR="00A26427" w:rsidRPr="00050F68">
        <w:rPr>
          <w:rFonts w:ascii="Arial" w:hAnsi="Arial" w:cs="Arial"/>
          <w:szCs w:val="24"/>
        </w:rPr>
        <w:t xml:space="preserve">: </w:t>
      </w:r>
    </w:p>
    <w:p w14:paraId="02EF91E8" w14:textId="649520A4" w:rsidR="00331814" w:rsidRPr="007443A0" w:rsidRDefault="00331814" w:rsidP="00D56B26">
      <w:pPr>
        <w:numPr>
          <w:ilvl w:val="1"/>
          <w:numId w:val="1"/>
        </w:numPr>
        <w:autoSpaceDE w:val="0"/>
        <w:autoSpaceDN w:val="0"/>
        <w:adjustRightInd w:val="0"/>
        <w:spacing w:before="240" w:after="120"/>
        <w:rPr>
          <w:rFonts w:ascii="Arial" w:hAnsi="Arial" w:cs="Arial"/>
          <w:szCs w:val="24"/>
        </w:rPr>
      </w:pPr>
      <w:r w:rsidRPr="00331814">
        <w:rPr>
          <w:rFonts w:ascii="Arial" w:hAnsi="Arial" w:cs="Arial"/>
        </w:rPr>
        <w:t xml:space="preserve">explicitly provide that evidence of prior family violence between parties may be admissible in sexual offence proceedings (recommendation 23 (e) of the SAPR Report); </w:t>
      </w:r>
    </w:p>
    <w:p w14:paraId="7641E075" w14:textId="4951B409" w:rsidR="00331814" w:rsidRPr="00874A9E" w:rsidRDefault="00331814" w:rsidP="00D56B26">
      <w:pPr>
        <w:numPr>
          <w:ilvl w:val="1"/>
          <w:numId w:val="1"/>
        </w:numPr>
        <w:autoSpaceDE w:val="0"/>
        <w:autoSpaceDN w:val="0"/>
        <w:adjustRightInd w:val="0"/>
        <w:spacing w:before="240" w:after="120"/>
        <w:rPr>
          <w:rFonts w:ascii="Arial" w:hAnsi="Arial" w:cs="Arial"/>
          <w:szCs w:val="24"/>
        </w:rPr>
      </w:pPr>
      <w:r w:rsidRPr="00331814">
        <w:rPr>
          <w:rFonts w:ascii="Arial" w:hAnsi="Arial" w:cs="Arial"/>
        </w:rPr>
        <w:t xml:space="preserve">provide that the presumption of bail does not apply to offences in sections 55 (2), 55A and 56 of the </w:t>
      </w:r>
      <w:r w:rsidRPr="006C4CFD">
        <w:rPr>
          <w:rFonts w:ascii="Arial" w:hAnsi="Arial" w:cs="Arial"/>
          <w:i/>
          <w:iCs/>
        </w:rPr>
        <w:t>Crimes Act 1900</w:t>
      </w:r>
      <w:r w:rsidRPr="00331814">
        <w:rPr>
          <w:rFonts w:ascii="Arial" w:hAnsi="Arial" w:cs="Arial"/>
        </w:rPr>
        <w:t xml:space="preserve"> (recommendation 23 (i) of the SAPR Report); </w:t>
      </w:r>
    </w:p>
    <w:p w14:paraId="7A3744CA" w14:textId="77777777" w:rsidR="00331814" w:rsidRPr="00331814" w:rsidRDefault="00331814" w:rsidP="00D56B26">
      <w:pPr>
        <w:numPr>
          <w:ilvl w:val="1"/>
          <w:numId w:val="1"/>
        </w:numPr>
        <w:autoSpaceDE w:val="0"/>
        <w:autoSpaceDN w:val="0"/>
        <w:adjustRightInd w:val="0"/>
        <w:spacing w:before="240" w:after="120"/>
        <w:rPr>
          <w:rFonts w:ascii="Arial" w:hAnsi="Arial" w:cs="Arial"/>
          <w:szCs w:val="24"/>
        </w:rPr>
      </w:pPr>
      <w:r w:rsidRPr="00331814">
        <w:rPr>
          <w:rFonts w:ascii="Arial" w:hAnsi="Arial" w:cs="Arial"/>
        </w:rPr>
        <w:t xml:space="preserve">amend or omit section 80D of the </w:t>
      </w:r>
      <w:r w:rsidRPr="006C4CFD">
        <w:rPr>
          <w:rFonts w:ascii="Arial" w:hAnsi="Arial" w:cs="Arial"/>
          <w:i/>
          <w:iCs/>
        </w:rPr>
        <w:t>Evidence (Miscellaneous Provisions) Act 1991</w:t>
      </w:r>
      <w:r w:rsidRPr="00331814">
        <w:rPr>
          <w:rFonts w:ascii="Arial" w:hAnsi="Arial" w:cs="Arial"/>
        </w:rPr>
        <w:t xml:space="preserve"> to require consideration of the reasonableness of a mistaken belief as to consent (recommendation 23 (k) of the SAPR Report); </w:t>
      </w:r>
    </w:p>
    <w:p w14:paraId="63D18B53" w14:textId="4A793C6B" w:rsidR="00331814" w:rsidRPr="00874A9E" w:rsidRDefault="00331814" w:rsidP="00D56B26">
      <w:pPr>
        <w:numPr>
          <w:ilvl w:val="1"/>
          <w:numId w:val="1"/>
        </w:numPr>
        <w:autoSpaceDE w:val="0"/>
        <w:autoSpaceDN w:val="0"/>
        <w:adjustRightInd w:val="0"/>
        <w:spacing w:before="240" w:after="120"/>
        <w:rPr>
          <w:rFonts w:ascii="Arial" w:hAnsi="Arial" w:cs="Arial"/>
          <w:szCs w:val="24"/>
        </w:rPr>
      </w:pPr>
      <w:r w:rsidRPr="00331814">
        <w:rPr>
          <w:rFonts w:ascii="Arial" w:hAnsi="Arial" w:cs="Arial"/>
        </w:rPr>
        <w:t xml:space="preserve">provide that self-induced intoxication cannot be considered in determining whether the accused person had knowledge, recklessness or a reasonable belief as to consent (recommendation 23 (l) of the SAPR Report); </w:t>
      </w:r>
    </w:p>
    <w:p w14:paraId="3C5120F8" w14:textId="33B0DC00" w:rsidR="00722E63" w:rsidRPr="00874A9E" w:rsidRDefault="00331814" w:rsidP="00D56B26">
      <w:pPr>
        <w:numPr>
          <w:ilvl w:val="1"/>
          <w:numId w:val="1"/>
        </w:numPr>
        <w:autoSpaceDE w:val="0"/>
        <w:autoSpaceDN w:val="0"/>
        <w:adjustRightInd w:val="0"/>
        <w:spacing w:before="240" w:after="120"/>
        <w:rPr>
          <w:rFonts w:ascii="Arial" w:hAnsi="Arial" w:cs="Arial"/>
          <w:szCs w:val="24"/>
        </w:rPr>
      </w:pPr>
      <w:r w:rsidRPr="00331814">
        <w:rPr>
          <w:rFonts w:ascii="Arial" w:hAnsi="Arial" w:cs="Arial"/>
        </w:rPr>
        <w:t>allow special interim Personal Protection Orders and Workplace Protection Orders which will operate for longer than 12 months where there are ongoing related criminal proceedings (recommendation 23 (n) of the SAPR Report)</w:t>
      </w:r>
      <w:r w:rsidR="0088463C">
        <w:rPr>
          <w:rFonts w:ascii="Arial" w:hAnsi="Arial" w:cs="Arial"/>
        </w:rPr>
        <w:t>; and</w:t>
      </w:r>
    </w:p>
    <w:p w14:paraId="1424A424" w14:textId="1511E545" w:rsidR="0088463C" w:rsidRPr="00442765" w:rsidRDefault="009C1628" w:rsidP="00D56B26">
      <w:pPr>
        <w:numPr>
          <w:ilvl w:val="1"/>
          <w:numId w:val="1"/>
        </w:numPr>
        <w:autoSpaceDE w:val="0"/>
        <w:autoSpaceDN w:val="0"/>
        <w:adjustRightInd w:val="0"/>
        <w:spacing w:before="240" w:after="120"/>
        <w:rPr>
          <w:rFonts w:ascii="Arial" w:hAnsi="Arial" w:cs="Arial"/>
          <w:szCs w:val="24"/>
        </w:rPr>
      </w:pPr>
      <w:r>
        <w:rPr>
          <w:rFonts w:ascii="Arial" w:hAnsi="Arial" w:cs="Arial"/>
          <w:szCs w:val="24"/>
        </w:rPr>
        <w:lastRenderedPageBreak/>
        <w:t xml:space="preserve">amend the </w:t>
      </w:r>
      <w:r w:rsidR="0088463C" w:rsidRPr="0088463C">
        <w:rPr>
          <w:rFonts w:ascii="Arial" w:hAnsi="Arial" w:cs="Arial"/>
          <w:szCs w:val="24"/>
        </w:rPr>
        <w:t xml:space="preserve">definition of “sexual act” </w:t>
      </w:r>
      <w:r>
        <w:rPr>
          <w:rFonts w:ascii="Arial" w:hAnsi="Arial" w:cs="Arial"/>
        </w:rPr>
        <w:t xml:space="preserve">in the </w:t>
      </w:r>
      <w:r>
        <w:rPr>
          <w:rFonts w:ascii="Arial" w:hAnsi="Arial" w:cs="Arial"/>
          <w:i/>
          <w:iCs/>
        </w:rPr>
        <w:t>Crimes Act 1900</w:t>
      </w:r>
      <w:r w:rsidR="003818A2">
        <w:rPr>
          <w:rFonts w:ascii="Arial" w:hAnsi="Arial" w:cs="Arial"/>
          <w:i/>
          <w:iCs/>
        </w:rPr>
        <w:t xml:space="preserve"> </w:t>
      </w:r>
      <w:r w:rsidR="003818A2">
        <w:rPr>
          <w:rFonts w:ascii="Arial" w:hAnsi="Arial" w:cs="Arial"/>
        </w:rPr>
        <w:t xml:space="preserve">to </w:t>
      </w:r>
      <w:r w:rsidR="003C40E9">
        <w:rPr>
          <w:rFonts w:ascii="Arial" w:hAnsi="Arial" w:cs="Arial"/>
        </w:rPr>
        <w:t>address</w:t>
      </w:r>
      <w:r w:rsidR="003818A2">
        <w:rPr>
          <w:rFonts w:ascii="Arial" w:hAnsi="Arial" w:cs="Arial"/>
        </w:rPr>
        <w:t xml:space="preserve"> unintended consequences</w:t>
      </w:r>
      <w:r w:rsidR="0088463C">
        <w:rPr>
          <w:rFonts w:ascii="Arial" w:hAnsi="Arial" w:cs="Arial"/>
        </w:rPr>
        <w:t xml:space="preserve">. </w:t>
      </w:r>
    </w:p>
    <w:p w14:paraId="505C6A60" w14:textId="11AB1BAF" w:rsidR="00D45237" w:rsidRDefault="00D45237" w:rsidP="00D45237">
      <w:pPr>
        <w:rPr>
          <w:rFonts w:ascii="Arial" w:hAnsi="Arial" w:cs="Arial"/>
          <w:szCs w:val="24"/>
        </w:rPr>
      </w:pPr>
      <w:bookmarkStart w:id="8" w:name="_Toc426711260"/>
      <w:bookmarkStart w:id="9" w:name="_Toc429052823"/>
      <w:bookmarkEnd w:id="7"/>
      <w:r w:rsidRPr="00D45237">
        <w:rPr>
          <w:rFonts w:ascii="Arial" w:hAnsi="Arial" w:cs="Arial"/>
          <w:szCs w:val="24"/>
        </w:rPr>
        <w:t xml:space="preserve">The Bill </w:t>
      </w:r>
      <w:r>
        <w:rPr>
          <w:rFonts w:ascii="Arial" w:hAnsi="Arial" w:cs="Arial"/>
          <w:szCs w:val="24"/>
        </w:rPr>
        <w:t xml:space="preserve">also </w:t>
      </w:r>
      <w:r w:rsidRPr="00D45237">
        <w:rPr>
          <w:rFonts w:ascii="Arial" w:hAnsi="Arial" w:cs="Arial"/>
          <w:szCs w:val="24"/>
        </w:rPr>
        <w:t xml:space="preserve">contains 2 schedules </w:t>
      </w:r>
      <w:r>
        <w:rPr>
          <w:rFonts w:ascii="Arial" w:hAnsi="Arial" w:cs="Arial"/>
          <w:szCs w:val="24"/>
        </w:rPr>
        <w:t xml:space="preserve">consisting of consequential and technical amendments </w:t>
      </w:r>
      <w:r w:rsidRPr="00D45237">
        <w:rPr>
          <w:rFonts w:ascii="Arial" w:hAnsi="Arial" w:cs="Arial"/>
          <w:szCs w:val="24"/>
        </w:rPr>
        <w:t xml:space="preserve">and has been </w:t>
      </w:r>
      <w:r>
        <w:rPr>
          <w:rFonts w:ascii="Arial" w:hAnsi="Arial" w:cs="Arial"/>
          <w:szCs w:val="24"/>
        </w:rPr>
        <w:t xml:space="preserve">structured to assist the transparency of the amendments made by it. </w:t>
      </w:r>
    </w:p>
    <w:p w14:paraId="2CDEB443" w14:textId="72B978CE" w:rsidR="00B55BED" w:rsidRPr="00050F68" w:rsidRDefault="00050F68" w:rsidP="00B55BED">
      <w:pPr>
        <w:pStyle w:val="Heading2"/>
        <w:spacing w:after="120"/>
        <w:rPr>
          <w:rFonts w:ascii="Arial" w:hAnsi="Arial" w:cs="Arial"/>
          <w:szCs w:val="24"/>
          <w:u w:val="none"/>
        </w:rPr>
      </w:pPr>
      <w:bookmarkStart w:id="10" w:name="_Toc114051954"/>
      <w:r>
        <w:rPr>
          <w:rFonts w:ascii="Arial" w:hAnsi="Arial" w:cs="Arial"/>
          <w:szCs w:val="24"/>
          <w:u w:val="none"/>
        </w:rPr>
        <w:t>CONSULTATION ON THE PROPOSED APPROACH</w:t>
      </w:r>
      <w:bookmarkEnd w:id="10"/>
    </w:p>
    <w:bookmarkEnd w:id="8"/>
    <w:bookmarkEnd w:id="9"/>
    <w:p w14:paraId="03EA01CA" w14:textId="7899C00E" w:rsidR="00E05C10" w:rsidRPr="00442765" w:rsidRDefault="00D31698" w:rsidP="00050F68">
      <w:pPr>
        <w:rPr>
          <w:rFonts w:ascii="Arial" w:hAnsi="Arial" w:cs="Arial"/>
        </w:rPr>
      </w:pPr>
      <w:r>
        <w:rPr>
          <w:rFonts w:ascii="Arial" w:hAnsi="Arial" w:cs="Arial"/>
        </w:rPr>
        <w:t xml:space="preserve">Significant consultation with </w:t>
      </w:r>
      <w:r w:rsidR="00E05C10" w:rsidRPr="00442765">
        <w:rPr>
          <w:rFonts w:ascii="Arial" w:hAnsi="Arial" w:cs="Arial"/>
        </w:rPr>
        <w:t>key sector stakeholders within the ACT and members of our community</w:t>
      </w:r>
      <w:r>
        <w:rPr>
          <w:rFonts w:ascii="Arial" w:hAnsi="Arial" w:cs="Arial"/>
        </w:rPr>
        <w:t xml:space="preserve"> was undertaken by the SAPR Steering Committee as part of developing the SAPR Report. </w:t>
      </w:r>
    </w:p>
    <w:p w14:paraId="6EA58625" w14:textId="2BE6A22F" w:rsidR="00331814" w:rsidRPr="00331814" w:rsidRDefault="00331814" w:rsidP="00050F68">
      <w:pPr>
        <w:rPr>
          <w:rFonts w:ascii="Arial" w:hAnsi="Arial" w:cs="Arial"/>
        </w:rPr>
      </w:pPr>
      <w:r w:rsidRPr="00331814">
        <w:rPr>
          <w:rFonts w:ascii="Arial" w:hAnsi="Arial" w:cs="Arial"/>
        </w:rPr>
        <w:t xml:space="preserve">The amendments </w:t>
      </w:r>
      <w:r w:rsidR="00C06EC5">
        <w:rPr>
          <w:rFonts w:ascii="Arial" w:hAnsi="Arial" w:cs="Arial"/>
        </w:rPr>
        <w:t xml:space="preserve">in the Bill </w:t>
      </w:r>
      <w:r w:rsidRPr="00331814">
        <w:rPr>
          <w:rFonts w:ascii="Arial" w:hAnsi="Arial" w:cs="Arial"/>
        </w:rPr>
        <w:t>were developed in consultation with key justice stakeholders, and amendments were circulated to the following stakeholders:</w:t>
      </w:r>
    </w:p>
    <w:p w14:paraId="0AA7B5C8"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 Gender Agenda</w:t>
      </w:r>
      <w:r>
        <w:rPr>
          <w:rFonts w:ascii="Arial" w:hAnsi="Arial" w:cs="Arial"/>
          <w:sz w:val="24"/>
          <w:szCs w:val="24"/>
        </w:rPr>
        <w:t>;</w:t>
      </w:r>
    </w:p>
    <w:p w14:paraId="54EEDDC3"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Aboriginal Legal Service</w:t>
      </w:r>
      <w:r>
        <w:rPr>
          <w:rFonts w:ascii="Arial" w:hAnsi="Arial" w:cs="Arial"/>
          <w:sz w:val="24"/>
          <w:szCs w:val="24"/>
        </w:rPr>
        <w:t xml:space="preserve">; </w:t>
      </w:r>
    </w:p>
    <w:p w14:paraId="78465C90"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Aboriginal and Torres Strait Islander Elected Body</w:t>
      </w:r>
      <w:r>
        <w:rPr>
          <w:rFonts w:ascii="Arial" w:hAnsi="Arial" w:cs="Arial"/>
          <w:sz w:val="24"/>
          <w:szCs w:val="24"/>
        </w:rPr>
        <w:t xml:space="preserve">; </w:t>
      </w:r>
    </w:p>
    <w:p w14:paraId="150F39A3"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ACT Bar Association</w:t>
      </w:r>
      <w:r>
        <w:rPr>
          <w:rFonts w:ascii="Arial" w:hAnsi="Arial" w:cs="Arial"/>
          <w:sz w:val="24"/>
          <w:szCs w:val="24"/>
        </w:rPr>
        <w:t xml:space="preserve">; </w:t>
      </w:r>
    </w:p>
    <w:p w14:paraId="283D574F" w14:textId="2032F4FF"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ACTCOSS</w:t>
      </w:r>
      <w:r>
        <w:rPr>
          <w:rFonts w:ascii="Arial" w:hAnsi="Arial" w:cs="Arial"/>
          <w:sz w:val="24"/>
          <w:szCs w:val="24"/>
        </w:rPr>
        <w:t xml:space="preserve">; </w:t>
      </w:r>
    </w:p>
    <w:p w14:paraId="5DED8C2A" w14:textId="0574F9E7"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ACT Corrective Services;</w:t>
      </w:r>
    </w:p>
    <w:p w14:paraId="73A3C185" w14:textId="6814AA27"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ACT Courts and Tribunal;</w:t>
      </w:r>
    </w:p>
    <w:p w14:paraId="7BD08F81" w14:textId="1A3BCBD8"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ACT Director of Public Prosecutions;</w:t>
      </w:r>
    </w:p>
    <w:p w14:paraId="30C24A8E" w14:textId="7F934C06"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ACT Human Rights Commission;</w:t>
      </w:r>
    </w:p>
    <w:p w14:paraId="71865F7A" w14:textId="48241E66"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ACT Law Societ</w:t>
      </w:r>
      <w:r>
        <w:rPr>
          <w:rFonts w:ascii="Arial" w:hAnsi="Arial" w:cs="Arial"/>
          <w:sz w:val="24"/>
          <w:szCs w:val="24"/>
        </w:rPr>
        <w:t>y;</w:t>
      </w:r>
    </w:p>
    <w:p w14:paraId="2CAF16AF" w14:textId="69B32FC0" w:rsidR="004D5FF3" w:rsidRPr="004D5FF3" w:rsidRDefault="004D5FF3" w:rsidP="004D5FF3">
      <w:pPr>
        <w:pStyle w:val="ListParagraph"/>
        <w:numPr>
          <w:ilvl w:val="0"/>
          <w:numId w:val="25"/>
        </w:numPr>
        <w:rPr>
          <w:rFonts w:ascii="Arial" w:hAnsi="Arial" w:cs="Arial"/>
          <w:sz w:val="24"/>
          <w:szCs w:val="24"/>
        </w:rPr>
      </w:pPr>
      <w:r>
        <w:rPr>
          <w:rFonts w:ascii="Arial" w:hAnsi="Arial" w:cs="Arial"/>
          <w:sz w:val="24"/>
          <w:szCs w:val="24"/>
        </w:rPr>
        <w:t>ACT Policing;</w:t>
      </w:r>
    </w:p>
    <w:p w14:paraId="71A4617C"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Advocacy for Inclusion</w:t>
      </w:r>
      <w:r>
        <w:rPr>
          <w:rFonts w:ascii="Arial" w:hAnsi="Arial" w:cs="Arial"/>
          <w:sz w:val="24"/>
          <w:szCs w:val="24"/>
        </w:rPr>
        <w:t>;</w:t>
      </w:r>
    </w:p>
    <w:p w14:paraId="03997A26" w14:textId="150AE341"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Canberra Community Law</w:t>
      </w:r>
      <w:r>
        <w:rPr>
          <w:rFonts w:ascii="Arial" w:hAnsi="Arial" w:cs="Arial"/>
          <w:sz w:val="24"/>
          <w:szCs w:val="24"/>
        </w:rPr>
        <w:t>;</w:t>
      </w:r>
    </w:p>
    <w:p w14:paraId="5DBCFB58" w14:textId="2D351D56"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Canberra Health Services;</w:t>
      </w:r>
    </w:p>
    <w:p w14:paraId="0E46BC51" w14:textId="79238880" w:rsidR="004D5FF3" w:rsidRPr="00E62C51" w:rsidRDefault="004D5FF3" w:rsidP="00E62C51">
      <w:pPr>
        <w:pStyle w:val="ListParagraph"/>
        <w:numPr>
          <w:ilvl w:val="0"/>
          <w:numId w:val="25"/>
        </w:numPr>
        <w:rPr>
          <w:rFonts w:ascii="Arial" w:hAnsi="Arial" w:cs="Arial"/>
          <w:sz w:val="24"/>
          <w:szCs w:val="32"/>
        </w:rPr>
      </w:pPr>
      <w:r w:rsidRPr="00E62C51">
        <w:rPr>
          <w:rFonts w:ascii="Arial" w:hAnsi="Arial" w:cs="Arial"/>
          <w:sz w:val="24"/>
          <w:szCs w:val="32"/>
        </w:rPr>
        <w:t>Chief Minister, Treasury and Economic Development Directorate (CMTEDD);</w:t>
      </w:r>
    </w:p>
    <w:p w14:paraId="5C2A7DCD" w14:textId="77777777" w:rsid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Canberra Rape Crisis Centre</w:t>
      </w:r>
      <w:r>
        <w:rPr>
          <w:rFonts w:ascii="Arial" w:hAnsi="Arial" w:cs="Arial"/>
          <w:sz w:val="24"/>
          <w:szCs w:val="24"/>
        </w:rPr>
        <w:t>;</w:t>
      </w:r>
    </w:p>
    <w:p w14:paraId="7FF5D93F" w14:textId="4177CA6D" w:rsidR="002B0F70"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Domestic Violence Prevention Council</w:t>
      </w:r>
      <w:r w:rsidR="002B0F70">
        <w:rPr>
          <w:rFonts w:ascii="Arial" w:hAnsi="Arial" w:cs="Arial"/>
          <w:sz w:val="24"/>
          <w:szCs w:val="24"/>
        </w:rPr>
        <w:t>;</w:t>
      </w:r>
    </w:p>
    <w:p w14:paraId="2B9D8467" w14:textId="18310ABB"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Justice Reform Branch (JACS);</w:t>
      </w:r>
    </w:p>
    <w:p w14:paraId="26D835D2" w14:textId="7E8D9243"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lastRenderedPageBreak/>
        <w:t>Human Rights and Social Policy Team (JACS);</w:t>
      </w:r>
    </w:p>
    <w:p w14:paraId="4AD74B41" w14:textId="4298E4C8"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Legal Aid ACT;</w:t>
      </w:r>
    </w:p>
    <w:p w14:paraId="6B14C001" w14:textId="425C2954" w:rsidR="002B0F70"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Meridian</w:t>
      </w:r>
      <w:r w:rsidR="002B0F70">
        <w:rPr>
          <w:rFonts w:ascii="Arial" w:hAnsi="Arial" w:cs="Arial"/>
          <w:sz w:val="24"/>
          <w:szCs w:val="24"/>
        </w:rPr>
        <w:t>;</w:t>
      </w:r>
    </w:p>
    <w:p w14:paraId="4651E571" w14:textId="16E30389"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 xml:space="preserve">Office for Aboriginal and Torres </w:t>
      </w:r>
      <w:r w:rsidR="00C55803">
        <w:rPr>
          <w:rFonts w:ascii="Arial" w:hAnsi="Arial" w:cs="Arial"/>
          <w:sz w:val="24"/>
          <w:szCs w:val="24"/>
        </w:rPr>
        <w:t>Strait</w:t>
      </w:r>
      <w:r>
        <w:rPr>
          <w:rFonts w:ascii="Arial" w:hAnsi="Arial" w:cs="Arial"/>
          <w:sz w:val="24"/>
          <w:szCs w:val="24"/>
        </w:rPr>
        <w:t xml:space="preserve"> Islander Affairs;</w:t>
      </w:r>
    </w:p>
    <w:p w14:paraId="3E8E129B" w14:textId="3AAEE08B" w:rsidR="004D5FF3" w:rsidRDefault="004D5FF3" w:rsidP="004D5FF3">
      <w:pPr>
        <w:pStyle w:val="ListParagraph"/>
        <w:numPr>
          <w:ilvl w:val="0"/>
          <w:numId w:val="25"/>
        </w:numPr>
        <w:rPr>
          <w:rFonts w:ascii="Arial" w:hAnsi="Arial" w:cs="Arial"/>
          <w:sz w:val="24"/>
          <w:szCs w:val="24"/>
        </w:rPr>
      </w:pPr>
      <w:r>
        <w:rPr>
          <w:rFonts w:ascii="Arial" w:hAnsi="Arial" w:cs="Arial"/>
          <w:sz w:val="24"/>
          <w:szCs w:val="24"/>
        </w:rPr>
        <w:t>Office for the Coordinator-General for Family Safety (CSD);</w:t>
      </w:r>
    </w:p>
    <w:p w14:paraId="41CBB290" w14:textId="66252950"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Office for Disability;</w:t>
      </w:r>
    </w:p>
    <w:p w14:paraId="19C9C1C5" w14:textId="1331520B" w:rsidR="004D5FF3" w:rsidRDefault="004D5FF3" w:rsidP="00F816B3">
      <w:pPr>
        <w:pStyle w:val="ListParagraph"/>
        <w:numPr>
          <w:ilvl w:val="0"/>
          <w:numId w:val="25"/>
        </w:numPr>
        <w:rPr>
          <w:rFonts w:ascii="Arial" w:hAnsi="Arial" w:cs="Arial"/>
          <w:sz w:val="24"/>
          <w:szCs w:val="24"/>
        </w:rPr>
      </w:pPr>
      <w:r>
        <w:rPr>
          <w:rFonts w:ascii="Arial" w:hAnsi="Arial" w:cs="Arial"/>
          <w:sz w:val="24"/>
          <w:szCs w:val="24"/>
        </w:rPr>
        <w:t>Office for Multicultural Affairs;</w:t>
      </w:r>
    </w:p>
    <w:p w14:paraId="602995EF" w14:textId="77777777" w:rsidR="002B0F70"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Women’s Legal Centre</w:t>
      </w:r>
      <w:r w:rsidR="002B0F70">
        <w:rPr>
          <w:rFonts w:ascii="Arial" w:hAnsi="Arial" w:cs="Arial"/>
          <w:sz w:val="24"/>
          <w:szCs w:val="24"/>
        </w:rPr>
        <w:t>;</w:t>
      </w:r>
    </w:p>
    <w:p w14:paraId="698B86E6" w14:textId="77777777" w:rsidR="002B0F70"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Women with Disabilities ACT</w:t>
      </w:r>
      <w:r w:rsidR="002B0F70">
        <w:rPr>
          <w:rFonts w:ascii="Arial" w:hAnsi="Arial" w:cs="Arial"/>
          <w:sz w:val="24"/>
          <w:szCs w:val="24"/>
        </w:rPr>
        <w:t>;</w:t>
      </w:r>
      <w:r w:rsidRPr="00F816B3">
        <w:rPr>
          <w:rFonts w:ascii="Arial" w:hAnsi="Arial" w:cs="Arial"/>
          <w:sz w:val="24"/>
          <w:szCs w:val="24"/>
        </w:rPr>
        <w:t xml:space="preserve"> and </w:t>
      </w:r>
    </w:p>
    <w:p w14:paraId="3AD93532" w14:textId="149D1717" w:rsidR="00331814" w:rsidRPr="00F816B3" w:rsidRDefault="00F816B3" w:rsidP="00F816B3">
      <w:pPr>
        <w:pStyle w:val="ListParagraph"/>
        <w:numPr>
          <w:ilvl w:val="0"/>
          <w:numId w:val="25"/>
        </w:numPr>
        <w:rPr>
          <w:rFonts w:ascii="Arial" w:hAnsi="Arial" w:cs="Arial"/>
          <w:sz w:val="24"/>
          <w:szCs w:val="24"/>
        </w:rPr>
      </w:pPr>
      <w:r w:rsidRPr="00F816B3">
        <w:rPr>
          <w:rFonts w:ascii="Arial" w:hAnsi="Arial" w:cs="Arial"/>
          <w:sz w:val="24"/>
          <w:szCs w:val="24"/>
        </w:rPr>
        <w:t>YWCA Canberra.</w:t>
      </w:r>
    </w:p>
    <w:p w14:paraId="254C0A6D" w14:textId="59357AE8" w:rsidR="00761CF9" w:rsidRPr="00050F68" w:rsidRDefault="00761CF9" w:rsidP="00761CF9">
      <w:pPr>
        <w:pStyle w:val="Heading2"/>
        <w:spacing w:after="120"/>
        <w:rPr>
          <w:rFonts w:ascii="Arial" w:hAnsi="Arial" w:cs="Arial"/>
          <w:szCs w:val="24"/>
          <w:u w:val="none"/>
        </w:rPr>
      </w:pPr>
      <w:bookmarkStart w:id="11" w:name="_Toc114051955"/>
      <w:r>
        <w:rPr>
          <w:rFonts w:ascii="Arial" w:hAnsi="Arial" w:cs="Arial"/>
          <w:szCs w:val="24"/>
          <w:u w:val="none"/>
        </w:rPr>
        <w:t>SUMMARY OF AMENDMENTS</w:t>
      </w:r>
      <w:bookmarkEnd w:id="11"/>
    </w:p>
    <w:p w14:paraId="430629D8" w14:textId="54C99929" w:rsidR="00761CF9" w:rsidRPr="00FB7ADA" w:rsidRDefault="00FB7ADA" w:rsidP="00761CF9">
      <w:pPr>
        <w:autoSpaceDE w:val="0"/>
        <w:autoSpaceDN w:val="0"/>
        <w:adjustRightInd w:val="0"/>
        <w:spacing w:before="240" w:after="120"/>
        <w:rPr>
          <w:rFonts w:ascii="Arial" w:hAnsi="Arial" w:cs="Arial"/>
          <w:color w:val="000000"/>
          <w:u w:val="single"/>
          <w:shd w:val="clear" w:color="auto" w:fill="FFFFFF"/>
        </w:rPr>
      </w:pPr>
      <w:r w:rsidRPr="00FB7ADA">
        <w:rPr>
          <w:rFonts w:ascii="Arial" w:hAnsi="Arial" w:cs="Arial"/>
          <w:color w:val="000000"/>
          <w:u w:val="single"/>
          <w:shd w:val="clear" w:color="auto" w:fill="FFFFFF"/>
        </w:rPr>
        <w:t>Evidence of prior family violence</w:t>
      </w:r>
    </w:p>
    <w:p w14:paraId="6006A292" w14:textId="297EA427" w:rsidR="004002A4" w:rsidRDefault="004002A4" w:rsidP="004002A4">
      <w:pPr>
        <w:autoSpaceDE w:val="0"/>
        <w:autoSpaceDN w:val="0"/>
        <w:adjustRightInd w:val="0"/>
        <w:spacing w:before="240" w:after="120"/>
        <w:rPr>
          <w:rFonts w:ascii="Arial" w:hAnsi="Arial" w:cs="Arial"/>
          <w:color w:val="000000"/>
          <w:shd w:val="clear" w:color="auto" w:fill="FFFFFF"/>
        </w:rPr>
      </w:pPr>
      <w:r w:rsidRPr="004002A4">
        <w:rPr>
          <w:rFonts w:ascii="Arial" w:hAnsi="Arial" w:cs="Arial"/>
          <w:color w:val="000000"/>
          <w:shd w:val="clear" w:color="auto" w:fill="FFFFFF"/>
        </w:rPr>
        <w:t xml:space="preserve">Recommendation 23 (e) of the SAPR Report recommends reform to make clear that evidence of prior family violence between parties is relevant and admissible in sexual assault cases, provided this evidence is not unfairly prejudicial to the defendant. </w:t>
      </w:r>
    </w:p>
    <w:p w14:paraId="7A6C2AE1" w14:textId="04B34A74" w:rsidR="00A10A65" w:rsidRPr="00A10A65" w:rsidRDefault="00A10A65" w:rsidP="00A10A65">
      <w:pPr>
        <w:rPr>
          <w:rFonts w:ascii="Arial" w:hAnsi="Arial" w:cs="Arial"/>
          <w:szCs w:val="24"/>
        </w:rPr>
      </w:pPr>
      <w:r>
        <w:rPr>
          <w:rFonts w:ascii="Arial" w:hAnsi="Arial" w:cs="Arial"/>
          <w:szCs w:val="24"/>
        </w:rPr>
        <w:t xml:space="preserve">The Bill provides that </w:t>
      </w:r>
      <w:r w:rsidRPr="004C1C3B">
        <w:rPr>
          <w:rFonts w:ascii="Arial" w:hAnsi="Arial" w:cs="Arial"/>
          <w:szCs w:val="24"/>
        </w:rPr>
        <w:t xml:space="preserve">evidence of family violence would encompass </w:t>
      </w:r>
      <w:r>
        <w:rPr>
          <w:rFonts w:ascii="Arial" w:hAnsi="Arial" w:cs="Arial"/>
          <w:szCs w:val="24"/>
        </w:rPr>
        <w:t xml:space="preserve">current and </w:t>
      </w:r>
      <w:r w:rsidRPr="004C1C3B">
        <w:rPr>
          <w:rFonts w:ascii="Arial" w:hAnsi="Arial" w:cs="Arial"/>
          <w:szCs w:val="24"/>
        </w:rPr>
        <w:t>historical family violence involving intimate/domestic relationship</w:t>
      </w:r>
      <w:r>
        <w:rPr>
          <w:rFonts w:ascii="Arial" w:hAnsi="Arial" w:cs="Arial"/>
          <w:szCs w:val="24"/>
        </w:rPr>
        <w:t>s</w:t>
      </w:r>
      <w:r w:rsidRPr="004C1C3B">
        <w:rPr>
          <w:rFonts w:ascii="Arial" w:hAnsi="Arial" w:cs="Arial"/>
          <w:szCs w:val="24"/>
        </w:rPr>
        <w:t xml:space="preserve"> and children who are exposed to domestic and family violence as a ‘family member’</w:t>
      </w:r>
      <w:r w:rsidR="00F914AF">
        <w:rPr>
          <w:rFonts w:ascii="Arial" w:hAnsi="Arial" w:cs="Arial"/>
          <w:szCs w:val="24"/>
        </w:rPr>
        <w:t>, drawing</w:t>
      </w:r>
      <w:r w:rsidRPr="008C0476">
        <w:rPr>
          <w:rFonts w:ascii="Arial" w:hAnsi="Arial" w:cs="Arial"/>
          <w:szCs w:val="24"/>
        </w:rPr>
        <w:t xml:space="preserve"> on </w:t>
      </w:r>
      <w:r>
        <w:rPr>
          <w:rFonts w:ascii="Arial" w:hAnsi="Arial" w:cs="Arial"/>
          <w:szCs w:val="24"/>
        </w:rPr>
        <w:t xml:space="preserve">the </w:t>
      </w:r>
      <w:r w:rsidRPr="008C0476">
        <w:rPr>
          <w:rFonts w:ascii="Arial" w:hAnsi="Arial" w:cs="Arial"/>
          <w:szCs w:val="24"/>
        </w:rPr>
        <w:t xml:space="preserve">definition </w:t>
      </w:r>
      <w:r>
        <w:rPr>
          <w:rFonts w:ascii="Arial" w:hAnsi="Arial" w:cs="Arial"/>
          <w:szCs w:val="24"/>
        </w:rPr>
        <w:t xml:space="preserve">of family member </w:t>
      </w:r>
      <w:r w:rsidRPr="008C0476">
        <w:rPr>
          <w:rFonts w:ascii="Arial" w:hAnsi="Arial" w:cs="Arial"/>
          <w:szCs w:val="24"/>
        </w:rPr>
        <w:t xml:space="preserve">in section 9 of the </w:t>
      </w:r>
      <w:r w:rsidRPr="008C0476">
        <w:rPr>
          <w:rFonts w:ascii="Arial" w:hAnsi="Arial" w:cs="Arial"/>
          <w:i/>
          <w:iCs/>
          <w:szCs w:val="24"/>
        </w:rPr>
        <w:t>Family Violence Act 2016</w:t>
      </w:r>
      <w:r>
        <w:rPr>
          <w:rFonts w:ascii="Arial" w:hAnsi="Arial" w:cs="Arial"/>
          <w:szCs w:val="24"/>
        </w:rPr>
        <w:t xml:space="preserve">. </w:t>
      </w:r>
    </w:p>
    <w:p w14:paraId="7997A668" w14:textId="1BE39889" w:rsidR="004002A4" w:rsidRDefault="0058601C" w:rsidP="004002A4">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t>T</w:t>
      </w:r>
      <w:r w:rsidRPr="0058601C">
        <w:rPr>
          <w:rFonts w:ascii="Arial" w:hAnsi="Arial" w:cs="Arial"/>
          <w:color w:val="000000"/>
          <w:shd w:val="clear" w:color="auto" w:fill="FFFFFF"/>
        </w:rPr>
        <w:t xml:space="preserve">he </w:t>
      </w:r>
      <w:r>
        <w:rPr>
          <w:rFonts w:ascii="Arial" w:hAnsi="Arial" w:cs="Arial"/>
          <w:color w:val="000000"/>
          <w:shd w:val="clear" w:color="auto" w:fill="FFFFFF"/>
        </w:rPr>
        <w:t xml:space="preserve">Bill </w:t>
      </w:r>
      <w:r w:rsidR="008A3E4B">
        <w:rPr>
          <w:rFonts w:ascii="Arial" w:hAnsi="Arial" w:cs="Arial"/>
          <w:color w:val="000000"/>
          <w:shd w:val="clear" w:color="auto" w:fill="FFFFFF"/>
        </w:rPr>
        <w:t>legislates</w:t>
      </w:r>
      <w:r w:rsidRPr="0058601C">
        <w:rPr>
          <w:rFonts w:ascii="Arial" w:hAnsi="Arial" w:cs="Arial"/>
          <w:color w:val="000000"/>
          <w:shd w:val="clear" w:color="auto" w:fill="FFFFFF"/>
        </w:rPr>
        <w:t xml:space="preserve"> </w:t>
      </w:r>
      <w:r>
        <w:rPr>
          <w:rFonts w:ascii="Arial" w:hAnsi="Arial" w:cs="Arial"/>
          <w:color w:val="000000"/>
          <w:shd w:val="clear" w:color="auto" w:fill="FFFFFF"/>
        </w:rPr>
        <w:t xml:space="preserve">an existing common law </w:t>
      </w:r>
      <w:r w:rsidRPr="0058601C">
        <w:rPr>
          <w:rFonts w:ascii="Arial" w:hAnsi="Arial" w:cs="Arial"/>
          <w:color w:val="000000"/>
          <w:shd w:val="clear" w:color="auto" w:fill="FFFFFF"/>
        </w:rPr>
        <w:t>position</w:t>
      </w:r>
      <w:r>
        <w:rPr>
          <w:rFonts w:ascii="Arial" w:hAnsi="Arial" w:cs="Arial"/>
          <w:color w:val="000000"/>
          <w:shd w:val="clear" w:color="auto" w:fill="FFFFFF"/>
        </w:rPr>
        <w:t xml:space="preserve"> and </w:t>
      </w:r>
      <w:r w:rsidR="008A3E4B">
        <w:rPr>
          <w:rFonts w:ascii="Arial" w:hAnsi="Arial" w:cs="Arial"/>
          <w:color w:val="000000"/>
          <w:shd w:val="clear" w:color="auto" w:fill="FFFFFF"/>
        </w:rPr>
        <w:t xml:space="preserve">clarifies </w:t>
      </w:r>
      <w:r>
        <w:rPr>
          <w:rFonts w:ascii="Arial" w:hAnsi="Arial" w:cs="Arial"/>
          <w:color w:val="000000"/>
          <w:shd w:val="clear" w:color="auto" w:fill="FFFFFF"/>
        </w:rPr>
        <w:t xml:space="preserve">the application of section 56 of </w:t>
      </w:r>
      <w:r w:rsidRPr="004002A4">
        <w:rPr>
          <w:rFonts w:ascii="Arial" w:hAnsi="Arial" w:cs="Arial"/>
          <w:color w:val="000000"/>
          <w:shd w:val="clear" w:color="auto" w:fill="FFFFFF"/>
        </w:rPr>
        <w:t xml:space="preserve">the </w:t>
      </w:r>
      <w:r w:rsidRPr="006A7FBA">
        <w:rPr>
          <w:rFonts w:ascii="Arial" w:hAnsi="Arial" w:cs="Arial"/>
          <w:i/>
          <w:iCs/>
          <w:color w:val="000000"/>
          <w:shd w:val="clear" w:color="auto" w:fill="FFFFFF"/>
        </w:rPr>
        <w:t xml:space="preserve">Evidence Act </w:t>
      </w:r>
      <w:r>
        <w:rPr>
          <w:rFonts w:ascii="Arial" w:hAnsi="Arial" w:cs="Arial"/>
          <w:i/>
          <w:iCs/>
          <w:color w:val="000000"/>
          <w:shd w:val="clear" w:color="auto" w:fill="FFFFFF"/>
        </w:rPr>
        <w:t>2011</w:t>
      </w:r>
      <w:r>
        <w:rPr>
          <w:rFonts w:ascii="Arial" w:hAnsi="Arial" w:cs="Arial"/>
          <w:color w:val="000000"/>
          <w:shd w:val="clear" w:color="auto" w:fill="FFFFFF"/>
        </w:rPr>
        <w:t xml:space="preserve">, </w:t>
      </w:r>
      <w:r w:rsidRPr="0058601C">
        <w:rPr>
          <w:rFonts w:ascii="Arial" w:hAnsi="Arial" w:cs="Arial"/>
          <w:color w:val="000000"/>
          <w:shd w:val="clear" w:color="auto" w:fill="FFFFFF"/>
        </w:rPr>
        <w:t>to encourage normative and practical effects for how police investigate matters and how prosecutors adduce evidence.</w:t>
      </w:r>
      <w:r>
        <w:rPr>
          <w:rFonts w:ascii="Arial" w:hAnsi="Arial" w:cs="Arial"/>
          <w:color w:val="000000"/>
          <w:shd w:val="clear" w:color="auto" w:fill="FFFFFF"/>
        </w:rPr>
        <w:t xml:space="preserve"> The Bill provides that </w:t>
      </w:r>
      <w:r w:rsidRPr="004002A4">
        <w:rPr>
          <w:rFonts w:ascii="Arial" w:hAnsi="Arial" w:cs="Arial"/>
          <w:color w:val="000000"/>
          <w:shd w:val="clear" w:color="auto" w:fill="FFFFFF"/>
        </w:rPr>
        <w:t>evidence of prior uncharged acts of family violence may be relevant and admissible as context evidence.</w:t>
      </w:r>
      <w:r>
        <w:rPr>
          <w:rFonts w:ascii="Arial" w:hAnsi="Arial" w:cs="Arial"/>
          <w:color w:val="000000"/>
          <w:shd w:val="clear" w:color="auto" w:fill="FFFFFF"/>
        </w:rPr>
        <w:t xml:space="preserve"> </w:t>
      </w:r>
      <w:r w:rsidR="004002A4" w:rsidRPr="004002A4">
        <w:rPr>
          <w:rFonts w:ascii="Arial" w:hAnsi="Arial" w:cs="Arial"/>
          <w:color w:val="000000"/>
          <w:shd w:val="clear" w:color="auto" w:fill="FFFFFF"/>
        </w:rPr>
        <w:t xml:space="preserve">The purpose of context evidence is to place the offence in the context of the complainant’s overall allegations about the accused in order to assist the jury in understanding the pattern of behaviour. This type of evidence may overcome false impressions that the incident occurred in isolation or explain lack of or delay in complaint: </w:t>
      </w:r>
      <w:r w:rsidR="004002A4" w:rsidRPr="002C1EF2">
        <w:rPr>
          <w:rFonts w:ascii="Arial" w:hAnsi="Arial" w:cs="Arial"/>
          <w:i/>
          <w:iCs/>
          <w:color w:val="000000"/>
          <w:shd w:val="clear" w:color="auto" w:fill="FFFFFF"/>
        </w:rPr>
        <w:t>RG v R</w:t>
      </w:r>
      <w:r w:rsidR="004002A4" w:rsidRPr="004002A4">
        <w:rPr>
          <w:rFonts w:ascii="Arial" w:hAnsi="Arial" w:cs="Arial"/>
          <w:color w:val="000000"/>
          <w:shd w:val="clear" w:color="auto" w:fill="FFFFFF"/>
        </w:rPr>
        <w:t xml:space="preserve"> [2010] NSWCCA 173. Evidence is not admissible simply because it proves the relationship between the complainant and the accused but must be capable of providing context to the allegations, as it otherwise is irrelevant or proves a tendency: </w:t>
      </w:r>
      <w:r w:rsidR="004002A4" w:rsidRPr="002C1EF2">
        <w:rPr>
          <w:rFonts w:ascii="Arial" w:hAnsi="Arial" w:cs="Arial"/>
          <w:i/>
          <w:iCs/>
          <w:color w:val="000000"/>
          <w:shd w:val="clear" w:color="auto" w:fill="FFFFFF"/>
        </w:rPr>
        <w:t>R v ATM</w:t>
      </w:r>
      <w:r w:rsidR="004002A4" w:rsidRPr="004002A4">
        <w:rPr>
          <w:rFonts w:ascii="Arial" w:hAnsi="Arial" w:cs="Arial"/>
          <w:color w:val="000000"/>
          <w:shd w:val="clear" w:color="auto" w:fill="FFFFFF"/>
        </w:rPr>
        <w:t xml:space="preserve"> [2000] NSWCCA 475. </w:t>
      </w:r>
    </w:p>
    <w:p w14:paraId="6866E141" w14:textId="0C4DF55D" w:rsidR="00A10A65" w:rsidRDefault="006A7FBA" w:rsidP="006A7FBA">
      <w:pPr>
        <w:rPr>
          <w:rFonts w:ascii="Arial" w:hAnsi="Arial" w:cs="Arial"/>
        </w:rPr>
      </w:pPr>
      <w:r w:rsidRPr="00D77CD0">
        <w:rPr>
          <w:rFonts w:ascii="Arial" w:hAnsi="Arial" w:cs="Arial"/>
        </w:rPr>
        <w:t xml:space="preserve">Section 137 of the </w:t>
      </w:r>
      <w:r w:rsidRPr="00D77CD0">
        <w:rPr>
          <w:rFonts w:ascii="Arial" w:hAnsi="Arial" w:cs="Arial"/>
          <w:i/>
          <w:iCs/>
        </w:rPr>
        <w:t>Evidence Act 2011</w:t>
      </w:r>
      <w:r w:rsidRPr="00D77CD0">
        <w:rPr>
          <w:rFonts w:ascii="Arial" w:hAnsi="Arial" w:cs="Arial"/>
        </w:rPr>
        <w:t xml:space="preserve"> provides that the court must refuse to admit evidence presented by the prosecutor if its probative value is outweighed by the danger of unfair prejudice to the defendant. The amendment </w:t>
      </w:r>
      <w:r w:rsidR="00974373" w:rsidRPr="00D77CD0">
        <w:rPr>
          <w:rFonts w:ascii="Arial" w:hAnsi="Arial" w:cs="Arial"/>
        </w:rPr>
        <w:t>should</w:t>
      </w:r>
      <w:r w:rsidRPr="00D77CD0">
        <w:rPr>
          <w:rFonts w:ascii="Arial" w:hAnsi="Arial" w:cs="Arial"/>
        </w:rPr>
        <w:t xml:space="preserve"> be read in </w:t>
      </w:r>
      <w:r w:rsidRPr="00D77CD0">
        <w:rPr>
          <w:rFonts w:ascii="Arial" w:hAnsi="Arial" w:cs="Arial"/>
        </w:rPr>
        <w:lastRenderedPageBreak/>
        <w:t xml:space="preserve">conjunction with section 137 of the </w:t>
      </w:r>
      <w:r w:rsidRPr="00D77CD0">
        <w:rPr>
          <w:rFonts w:ascii="Arial" w:hAnsi="Arial" w:cs="Arial"/>
          <w:i/>
          <w:iCs/>
        </w:rPr>
        <w:t>Evidence Act</w:t>
      </w:r>
      <w:r w:rsidRPr="00D77CD0">
        <w:rPr>
          <w:rFonts w:ascii="Arial" w:hAnsi="Arial" w:cs="Arial"/>
        </w:rPr>
        <w:t xml:space="preserve"> </w:t>
      </w:r>
      <w:r w:rsidRPr="00D77CD0">
        <w:rPr>
          <w:rFonts w:ascii="Arial" w:hAnsi="Arial" w:cs="Arial"/>
          <w:i/>
          <w:iCs/>
        </w:rPr>
        <w:t xml:space="preserve">2011 </w:t>
      </w:r>
      <w:r w:rsidRPr="00D77CD0">
        <w:rPr>
          <w:rFonts w:ascii="Arial" w:hAnsi="Arial" w:cs="Arial"/>
        </w:rPr>
        <w:t xml:space="preserve">to provide a safeguard against the adducing of prejudicial material. It is not intended that section 137 of the </w:t>
      </w:r>
      <w:r w:rsidRPr="00D77CD0">
        <w:rPr>
          <w:rFonts w:ascii="Arial" w:hAnsi="Arial" w:cs="Arial"/>
          <w:i/>
          <w:iCs/>
        </w:rPr>
        <w:t>Evidence Act</w:t>
      </w:r>
      <w:r w:rsidRPr="00D77CD0">
        <w:rPr>
          <w:rFonts w:ascii="Arial" w:hAnsi="Arial" w:cs="Arial"/>
        </w:rPr>
        <w:t xml:space="preserve"> </w:t>
      </w:r>
      <w:r w:rsidR="0058601C" w:rsidRPr="00D77CD0">
        <w:rPr>
          <w:rFonts w:ascii="Arial" w:hAnsi="Arial" w:cs="Arial"/>
          <w:i/>
          <w:iCs/>
        </w:rPr>
        <w:t xml:space="preserve">2011 </w:t>
      </w:r>
      <w:r w:rsidRPr="00D77CD0">
        <w:rPr>
          <w:rFonts w:ascii="Arial" w:hAnsi="Arial" w:cs="Arial"/>
        </w:rPr>
        <w:t>be rendered negatory by the introduction of this amendment.</w:t>
      </w:r>
    </w:p>
    <w:p w14:paraId="7DF10AF8" w14:textId="61FDD061" w:rsidR="0058601C" w:rsidRPr="0058601C" w:rsidRDefault="0058601C" w:rsidP="006A7FBA">
      <w:pPr>
        <w:rPr>
          <w:rFonts w:ascii="Arial" w:hAnsi="Arial" w:cs="Arial"/>
          <w:u w:val="single"/>
        </w:rPr>
      </w:pPr>
      <w:r w:rsidRPr="0058601C">
        <w:rPr>
          <w:rFonts w:ascii="Arial" w:hAnsi="Arial" w:cs="Arial"/>
          <w:u w:val="single"/>
        </w:rPr>
        <w:t>Neutral bail presumption for certain sex offences</w:t>
      </w:r>
    </w:p>
    <w:p w14:paraId="0C132CB5" w14:textId="2045D077" w:rsidR="006A7FBA" w:rsidRDefault="00F64345" w:rsidP="004002A4">
      <w:pPr>
        <w:autoSpaceDE w:val="0"/>
        <w:autoSpaceDN w:val="0"/>
        <w:adjustRightInd w:val="0"/>
        <w:spacing w:before="240" w:after="120"/>
        <w:rPr>
          <w:rFonts w:ascii="Arial" w:hAnsi="Arial" w:cs="Arial"/>
          <w:color w:val="000000"/>
          <w:shd w:val="clear" w:color="auto" w:fill="FFFFFF"/>
        </w:rPr>
      </w:pPr>
      <w:r w:rsidRPr="00F64345">
        <w:rPr>
          <w:rFonts w:ascii="Arial" w:hAnsi="Arial" w:cs="Arial"/>
          <w:color w:val="000000"/>
          <w:shd w:val="clear" w:color="auto" w:fill="FFFFFF"/>
        </w:rPr>
        <w:t xml:space="preserve">Recommendation 23 (i) of the SAPR Report recommends that sections 55 (2), 55A, 56 and 66B of the </w:t>
      </w:r>
      <w:r w:rsidRPr="00F64345">
        <w:rPr>
          <w:rFonts w:ascii="Arial" w:hAnsi="Arial" w:cs="Arial"/>
          <w:i/>
          <w:iCs/>
          <w:color w:val="000000"/>
          <w:shd w:val="clear" w:color="auto" w:fill="FFFFFF"/>
        </w:rPr>
        <w:t>Crimes Act 1900</w:t>
      </w:r>
      <w:r w:rsidRPr="00F64345">
        <w:rPr>
          <w:rFonts w:ascii="Arial" w:hAnsi="Arial" w:cs="Arial"/>
          <w:color w:val="000000"/>
          <w:shd w:val="clear" w:color="auto" w:fill="FFFFFF"/>
        </w:rPr>
        <w:t xml:space="preserve"> be amended to provide that the presumption of bail does not apply. </w:t>
      </w:r>
    </w:p>
    <w:p w14:paraId="28E40078" w14:textId="1B4CE384" w:rsidR="00F64345" w:rsidRDefault="00F64345" w:rsidP="004002A4">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t>The Bill amends s</w:t>
      </w:r>
      <w:r w:rsidRPr="00F64345">
        <w:rPr>
          <w:rFonts w:ascii="Arial" w:hAnsi="Arial" w:cs="Arial"/>
          <w:color w:val="000000"/>
          <w:shd w:val="clear" w:color="auto" w:fill="FFFFFF"/>
        </w:rPr>
        <w:t xml:space="preserve">chedule 1 of the </w:t>
      </w:r>
      <w:r w:rsidRPr="00F64345">
        <w:rPr>
          <w:rFonts w:ascii="Arial" w:hAnsi="Arial" w:cs="Arial"/>
          <w:i/>
          <w:iCs/>
          <w:color w:val="000000"/>
          <w:shd w:val="clear" w:color="auto" w:fill="FFFFFF"/>
        </w:rPr>
        <w:t>Bail Act 1992</w:t>
      </w:r>
      <w:r w:rsidRPr="00F64345">
        <w:rPr>
          <w:rFonts w:ascii="Arial" w:hAnsi="Arial" w:cs="Arial"/>
          <w:color w:val="000000"/>
          <w:shd w:val="clear" w:color="auto" w:fill="FFFFFF"/>
        </w:rPr>
        <w:t xml:space="preserve"> </w:t>
      </w:r>
      <w:r>
        <w:rPr>
          <w:rFonts w:ascii="Arial" w:hAnsi="Arial" w:cs="Arial"/>
          <w:color w:val="000000"/>
          <w:shd w:val="clear" w:color="auto" w:fill="FFFFFF"/>
        </w:rPr>
        <w:t>to provide that the presumption of bail does not apply to the offences</w:t>
      </w:r>
      <w:r w:rsidR="00974373" w:rsidRPr="00974373">
        <w:rPr>
          <w:rFonts w:ascii="Arial" w:hAnsi="Arial" w:cs="Arial"/>
          <w:color w:val="000000"/>
          <w:shd w:val="clear" w:color="auto" w:fill="FFFFFF"/>
        </w:rPr>
        <w:t xml:space="preserve"> </w:t>
      </w:r>
      <w:r w:rsidR="00974373">
        <w:rPr>
          <w:rFonts w:ascii="Arial" w:hAnsi="Arial" w:cs="Arial"/>
          <w:color w:val="000000"/>
          <w:shd w:val="clear" w:color="auto" w:fill="FFFFFF"/>
        </w:rPr>
        <w:t xml:space="preserve">in sections 55 (2), 55A and 56 of the </w:t>
      </w:r>
      <w:r w:rsidR="00974373">
        <w:rPr>
          <w:rFonts w:ascii="Arial" w:hAnsi="Arial" w:cs="Arial"/>
          <w:i/>
          <w:iCs/>
          <w:color w:val="000000"/>
          <w:shd w:val="clear" w:color="auto" w:fill="FFFFFF"/>
        </w:rPr>
        <w:t>Crimes Act 1900</w:t>
      </w:r>
      <w:r>
        <w:rPr>
          <w:rFonts w:ascii="Arial" w:hAnsi="Arial" w:cs="Arial"/>
          <w:color w:val="000000"/>
          <w:shd w:val="clear" w:color="auto" w:fill="FFFFFF"/>
        </w:rPr>
        <w:t>. S</w:t>
      </w:r>
      <w:r w:rsidRPr="00F64345">
        <w:rPr>
          <w:rFonts w:ascii="Arial" w:hAnsi="Arial" w:cs="Arial"/>
          <w:color w:val="000000"/>
          <w:shd w:val="clear" w:color="auto" w:fill="FFFFFF"/>
        </w:rPr>
        <w:t>ection 66B</w:t>
      </w:r>
      <w:r>
        <w:rPr>
          <w:rFonts w:ascii="Arial" w:hAnsi="Arial" w:cs="Arial"/>
          <w:color w:val="000000"/>
          <w:shd w:val="clear" w:color="auto" w:fill="FFFFFF"/>
        </w:rPr>
        <w:t xml:space="preserve"> has not been included as it</w:t>
      </w:r>
      <w:r w:rsidRPr="00F64345">
        <w:rPr>
          <w:rFonts w:ascii="Arial" w:hAnsi="Arial" w:cs="Arial"/>
          <w:color w:val="000000"/>
          <w:shd w:val="clear" w:color="auto" w:fill="FFFFFF"/>
        </w:rPr>
        <w:t xml:space="preserve"> is not a separate offence </w:t>
      </w:r>
      <w:r w:rsidR="00974373">
        <w:rPr>
          <w:rFonts w:ascii="Arial" w:hAnsi="Arial" w:cs="Arial"/>
          <w:color w:val="000000"/>
          <w:shd w:val="clear" w:color="auto" w:fill="FFFFFF"/>
        </w:rPr>
        <w:t>but</w:t>
      </w:r>
      <w:r w:rsidRPr="00F64345">
        <w:rPr>
          <w:rFonts w:ascii="Arial" w:hAnsi="Arial" w:cs="Arial"/>
          <w:color w:val="000000"/>
          <w:shd w:val="clear" w:color="auto" w:fill="FFFFFF"/>
        </w:rPr>
        <w:t xml:space="preserve"> merely sets out principles for how child sexual offences may be charged to capture a course of conduct</w:t>
      </w:r>
      <w:r>
        <w:rPr>
          <w:rFonts w:ascii="Arial" w:hAnsi="Arial" w:cs="Arial"/>
          <w:color w:val="000000"/>
          <w:shd w:val="clear" w:color="auto" w:fill="FFFFFF"/>
        </w:rPr>
        <w:t xml:space="preserve">. </w:t>
      </w:r>
    </w:p>
    <w:p w14:paraId="7360E9A1" w14:textId="029E222C" w:rsidR="00F64345" w:rsidRDefault="00456FB4" w:rsidP="00456FB4">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t xml:space="preserve">The Bill creates a neutral presumption of bail for the three offences which </w:t>
      </w:r>
      <w:r w:rsidR="008D599C">
        <w:rPr>
          <w:rFonts w:ascii="Arial" w:hAnsi="Arial" w:cs="Arial"/>
          <w:color w:val="000000"/>
          <w:shd w:val="clear" w:color="auto" w:fill="FFFFFF"/>
        </w:rPr>
        <w:t xml:space="preserve">are similar in nature to </w:t>
      </w:r>
      <w:r>
        <w:rPr>
          <w:rFonts w:ascii="Arial" w:hAnsi="Arial" w:cs="Arial"/>
          <w:color w:val="000000"/>
          <w:shd w:val="clear" w:color="auto" w:fill="FFFFFF"/>
        </w:rPr>
        <w:t xml:space="preserve">other types of sexual offences currently listed in schedule 1 of the </w:t>
      </w:r>
      <w:r>
        <w:rPr>
          <w:rFonts w:ascii="Arial" w:hAnsi="Arial" w:cs="Arial"/>
          <w:i/>
          <w:iCs/>
          <w:color w:val="000000"/>
          <w:shd w:val="clear" w:color="auto" w:fill="FFFFFF"/>
        </w:rPr>
        <w:t xml:space="preserve">Bail Act 1992 </w:t>
      </w:r>
      <w:r>
        <w:rPr>
          <w:rFonts w:ascii="Arial" w:hAnsi="Arial" w:cs="Arial"/>
          <w:color w:val="000000"/>
          <w:shd w:val="clear" w:color="auto" w:fill="FFFFFF"/>
        </w:rPr>
        <w:t>such as sexual</w:t>
      </w:r>
      <w:r w:rsidRPr="00456FB4">
        <w:rPr>
          <w:rFonts w:ascii="Arial" w:hAnsi="Arial" w:cs="Arial"/>
          <w:color w:val="000000"/>
          <w:shd w:val="clear" w:color="auto" w:fill="FFFFFF"/>
        </w:rPr>
        <w:t xml:space="preserve"> intercourse without consent and sexual</w:t>
      </w:r>
      <w:r>
        <w:rPr>
          <w:rFonts w:ascii="Arial" w:hAnsi="Arial" w:cs="Arial"/>
          <w:color w:val="000000"/>
          <w:shd w:val="clear" w:color="auto" w:fill="FFFFFF"/>
        </w:rPr>
        <w:t xml:space="preserve"> </w:t>
      </w:r>
      <w:r w:rsidRPr="00456FB4">
        <w:rPr>
          <w:rFonts w:ascii="Arial" w:hAnsi="Arial" w:cs="Arial"/>
          <w:color w:val="000000"/>
          <w:shd w:val="clear" w:color="auto" w:fill="FFFFFF"/>
        </w:rPr>
        <w:t>intercourse with a child under 10 (s</w:t>
      </w:r>
      <w:r>
        <w:rPr>
          <w:rFonts w:ascii="Arial" w:hAnsi="Arial" w:cs="Arial"/>
          <w:color w:val="000000"/>
          <w:shd w:val="clear" w:color="auto" w:fill="FFFFFF"/>
        </w:rPr>
        <w:t>ections</w:t>
      </w:r>
      <w:r w:rsidRPr="00456FB4">
        <w:rPr>
          <w:rFonts w:ascii="Arial" w:hAnsi="Arial" w:cs="Arial"/>
          <w:color w:val="000000"/>
          <w:shd w:val="clear" w:color="auto" w:fill="FFFFFF"/>
        </w:rPr>
        <w:t xml:space="preserve"> 54 and 55</w:t>
      </w:r>
      <w:r w:rsidR="004256DF">
        <w:rPr>
          <w:rFonts w:ascii="Arial" w:hAnsi="Arial" w:cs="Arial"/>
          <w:color w:val="000000"/>
          <w:shd w:val="clear" w:color="auto" w:fill="FFFFFF"/>
        </w:rPr>
        <w:t>(1)</w:t>
      </w:r>
      <w:r w:rsidRPr="00456FB4">
        <w:rPr>
          <w:rFonts w:ascii="Arial" w:hAnsi="Arial" w:cs="Arial"/>
          <w:color w:val="000000"/>
          <w:shd w:val="clear" w:color="auto" w:fill="FFFFFF"/>
        </w:rPr>
        <w:t xml:space="preserve"> of the </w:t>
      </w:r>
      <w:r w:rsidRPr="00456FB4">
        <w:rPr>
          <w:rFonts w:ascii="Arial" w:hAnsi="Arial" w:cs="Arial"/>
          <w:i/>
          <w:iCs/>
          <w:color w:val="000000"/>
          <w:shd w:val="clear" w:color="auto" w:fill="FFFFFF"/>
        </w:rPr>
        <w:t>Crimes Act 1900</w:t>
      </w:r>
      <w:r w:rsidRPr="00456FB4">
        <w:rPr>
          <w:rFonts w:ascii="Arial" w:hAnsi="Arial" w:cs="Arial"/>
          <w:color w:val="000000"/>
          <w:shd w:val="clear" w:color="auto" w:fill="FFFFFF"/>
        </w:rPr>
        <w:t xml:space="preserve"> respectively).</w:t>
      </w:r>
    </w:p>
    <w:p w14:paraId="5072430E" w14:textId="4A836323" w:rsidR="003F19D1" w:rsidRDefault="003F19D1" w:rsidP="00456FB4">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t>T</w:t>
      </w:r>
      <w:r w:rsidRPr="00782E89">
        <w:rPr>
          <w:rFonts w:ascii="Arial" w:hAnsi="Arial" w:cs="Arial"/>
          <w:color w:val="000000"/>
          <w:shd w:val="clear" w:color="auto" w:fill="FFFFFF"/>
        </w:rPr>
        <w:t>h</w:t>
      </w:r>
      <w:r>
        <w:rPr>
          <w:rFonts w:ascii="Arial" w:hAnsi="Arial" w:cs="Arial"/>
          <w:color w:val="000000"/>
          <w:shd w:val="clear" w:color="auto" w:fill="FFFFFF"/>
        </w:rPr>
        <w:t xml:space="preserve">e </w:t>
      </w:r>
      <w:r w:rsidRPr="00782E89">
        <w:rPr>
          <w:rFonts w:ascii="Arial" w:hAnsi="Arial" w:cs="Arial"/>
          <w:color w:val="000000"/>
          <w:shd w:val="clear" w:color="auto" w:fill="FFFFFF"/>
        </w:rPr>
        <w:t xml:space="preserve">amendment does not create a presumption </w:t>
      </w:r>
      <w:r>
        <w:rPr>
          <w:rFonts w:ascii="Arial" w:hAnsi="Arial" w:cs="Arial"/>
          <w:color w:val="000000"/>
          <w:shd w:val="clear" w:color="auto" w:fill="FFFFFF"/>
        </w:rPr>
        <w:t xml:space="preserve">against bail and does not subject the decision-maker to be </w:t>
      </w:r>
      <w:r w:rsidRPr="00782E89">
        <w:rPr>
          <w:rFonts w:ascii="Arial" w:hAnsi="Arial" w:cs="Arial"/>
          <w:color w:val="000000"/>
          <w:shd w:val="clear" w:color="auto" w:fill="FFFFFF"/>
        </w:rPr>
        <w:t xml:space="preserve">satisfied of the existence of special or exceptional circumstances favouring the grant of bail to a person. </w:t>
      </w:r>
      <w:r>
        <w:rPr>
          <w:rFonts w:ascii="Arial" w:hAnsi="Arial" w:cs="Arial"/>
          <w:color w:val="000000"/>
          <w:shd w:val="clear" w:color="auto" w:fill="FFFFFF"/>
        </w:rPr>
        <w:t xml:space="preserve">The effect of the amendment is that Division 2.2 of the </w:t>
      </w:r>
      <w:r>
        <w:rPr>
          <w:rFonts w:ascii="Arial" w:hAnsi="Arial" w:cs="Arial"/>
          <w:i/>
          <w:iCs/>
          <w:color w:val="000000"/>
          <w:shd w:val="clear" w:color="auto" w:fill="FFFFFF"/>
        </w:rPr>
        <w:t xml:space="preserve">Bail Act 1992 </w:t>
      </w:r>
      <w:r>
        <w:rPr>
          <w:rFonts w:ascii="Arial" w:hAnsi="Arial" w:cs="Arial"/>
          <w:color w:val="000000"/>
          <w:shd w:val="clear" w:color="auto" w:fill="FFFFFF"/>
        </w:rPr>
        <w:t xml:space="preserve">(presumption for bail) does not apply, however, the </w:t>
      </w:r>
      <w:r>
        <w:rPr>
          <w:rFonts w:ascii="Arial" w:hAnsi="Arial" w:cs="Arial"/>
        </w:rPr>
        <w:t xml:space="preserve">decision-maker </w:t>
      </w:r>
      <w:r w:rsidRPr="00D07A28">
        <w:rPr>
          <w:rFonts w:ascii="Arial" w:hAnsi="Arial" w:cs="Arial"/>
        </w:rPr>
        <w:t>will continue to retain discretion in assessing a person’s suitability for bail</w:t>
      </w:r>
      <w:r>
        <w:rPr>
          <w:rFonts w:ascii="Arial" w:hAnsi="Arial" w:cs="Arial"/>
        </w:rPr>
        <w:t xml:space="preserve"> against the legislative criteria under Part 4 of the </w:t>
      </w:r>
      <w:r>
        <w:rPr>
          <w:rFonts w:ascii="Arial" w:hAnsi="Arial" w:cs="Arial"/>
          <w:i/>
          <w:iCs/>
        </w:rPr>
        <w:t>Bail Act 1992</w:t>
      </w:r>
      <w:r>
        <w:rPr>
          <w:rFonts w:ascii="Arial" w:hAnsi="Arial" w:cs="Arial"/>
        </w:rPr>
        <w:t xml:space="preserve">.  </w:t>
      </w:r>
    </w:p>
    <w:p w14:paraId="59F90F6D" w14:textId="250EBDBC" w:rsidR="00BC054F" w:rsidRDefault="00BC054F" w:rsidP="00B73AEA">
      <w:pPr>
        <w:autoSpaceDE w:val="0"/>
        <w:autoSpaceDN w:val="0"/>
        <w:adjustRightInd w:val="0"/>
        <w:spacing w:before="240" w:after="120"/>
        <w:rPr>
          <w:rFonts w:ascii="Arial" w:hAnsi="Arial" w:cs="Arial"/>
          <w:color w:val="000000"/>
          <w:u w:val="single"/>
          <w:shd w:val="clear" w:color="auto" w:fill="FFFFFF"/>
        </w:rPr>
      </w:pPr>
      <w:r w:rsidRPr="00BC054F">
        <w:rPr>
          <w:rFonts w:ascii="Arial" w:hAnsi="Arial" w:cs="Arial"/>
          <w:color w:val="000000"/>
          <w:u w:val="single"/>
          <w:shd w:val="clear" w:color="auto" w:fill="FFFFFF"/>
        </w:rPr>
        <w:t>Self-induced intoxication and the accused person’s knowledge, recklessness or reasonable belief as to consent</w:t>
      </w:r>
    </w:p>
    <w:p w14:paraId="142578F4" w14:textId="2997BCC3" w:rsidR="00BC054F" w:rsidRDefault="00AA23CF" w:rsidP="00B73AEA">
      <w:pPr>
        <w:autoSpaceDE w:val="0"/>
        <w:autoSpaceDN w:val="0"/>
        <w:adjustRightInd w:val="0"/>
        <w:spacing w:before="240" w:after="120"/>
        <w:rPr>
          <w:rFonts w:ascii="Arial" w:hAnsi="Arial" w:cs="Arial"/>
          <w:color w:val="000000"/>
          <w:shd w:val="clear" w:color="auto" w:fill="FFFFFF"/>
        </w:rPr>
      </w:pPr>
      <w:r w:rsidRPr="00AA23CF">
        <w:rPr>
          <w:rFonts w:ascii="Arial" w:hAnsi="Arial" w:cs="Arial"/>
          <w:color w:val="000000"/>
          <w:shd w:val="clear" w:color="auto" w:fill="FFFFFF"/>
        </w:rPr>
        <w:t xml:space="preserve">Recommendation 23 (l) of the SAPR Report recommends legislative reform to clarify that in a sexual assault trial, the defendant’s level of intoxication is irrelevant to any assessment made by the factfinder as to the defendant’s recklessness regarding the element of consent. </w:t>
      </w:r>
    </w:p>
    <w:p w14:paraId="64401498" w14:textId="38392080" w:rsidR="00705FD3" w:rsidRPr="00705FD3" w:rsidRDefault="00705FD3" w:rsidP="00705FD3">
      <w:pPr>
        <w:autoSpaceDE w:val="0"/>
        <w:autoSpaceDN w:val="0"/>
        <w:adjustRightInd w:val="0"/>
        <w:spacing w:before="240" w:after="120"/>
        <w:rPr>
          <w:rFonts w:ascii="Arial" w:hAnsi="Arial" w:cs="Arial"/>
          <w:color w:val="000000"/>
          <w:shd w:val="clear" w:color="auto" w:fill="FFFFFF"/>
        </w:rPr>
      </w:pPr>
      <w:bookmarkStart w:id="12" w:name="_Hlk113794925"/>
      <w:r w:rsidRPr="00705FD3">
        <w:rPr>
          <w:rFonts w:ascii="Arial" w:hAnsi="Arial" w:cs="Arial"/>
          <w:color w:val="000000"/>
          <w:shd w:val="clear" w:color="auto" w:fill="FFFFFF"/>
        </w:rPr>
        <w:t xml:space="preserve">The </w:t>
      </w:r>
      <w:r w:rsidRPr="00705FD3">
        <w:rPr>
          <w:rFonts w:ascii="Arial" w:hAnsi="Arial" w:cs="Arial"/>
          <w:i/>
          <w:iCs/>
          <w:color w:val="000000"/>
          <w:shd w:val="clear" w:color="auto" w:fill="FFFFFF"/>
        </w:rPr>
        <w:t>Crimes Act 1900</w:t>
      </w:r>
      <w:r w:rsidRPr="00705FD3">
        <w:rPr>
          <w:rFonts w:ascii="Arial" w:hAnsi="Arial" w:cs="Arial"/>
          <w:color w:val="000000"/>
          <w:shd w:val="clear" w:color="auto" w:fill="FFFFFF"/>
        </w:rPr>
        <w:t xml:space="preserve"> provides that</w:t>
      </w:r>
      <w:r w:rsidR="00974373">
        <w:rPr>
          <w:rFonts w:ascii="Arial" w:hAnsi="Arial" w:cs="Arial"/>
          <w:color w:val="000000"/>
          <w:shd w:val="clear" w:color="auto" w:fill="FFFFFF"/>
        </w:rPr>
        <w:t>,</w:t>
      </w:r>
      <w:r w:rsidRPr="00705FD3">
        <w:rPr>
          <w:rFonts w:ascii="Arial" w:hAnsi="Arial" w:cs="Arial"/>
          <w:color w:val="000000"/>
          <w:shd w:val="clear" w:color="auto" w:fill="FFFFFF"/>
        </w:rPr>
        <w:t xml:space="preserve"> for the offences of sexual intercourse without consent and act of indecency without consent</w:t>
      </w:r>
      <w:r w:rsidR="00974373">
        <w:rPr>
          <w:rFonts w:ascii="Arial" w:hAnsi="Arial" w:cs="Arial"/>
          <w:color w:val="000000"/>
          <w:shd w:val="clear" w:color="auto" w:fill="FFFFFF"/>
        </w:rPr>
        <w:t>,</w:t>
      </w:r>
      <w:r w:rsidRPr="00705FD3">
        <w:rPr>
          <w:rFonts w:ascii="Arial" w:hAnsi="Arial" w:cs="Arial"/>
          <w:color w:val="000000"/>
          <w:shd w:val="clear" w:color="auto" w:fill="FFFFFF"/>
        </w:rPr>
        <w:t xml:space="preserve"> it is necessary for the prosecution to establish that the defendant either had knowledge that the other person did not consent or was reckless as to whether the other person consented: sections 54 (3)</w:t>
      </w:r>
      <w:r w:rsidR="00A821A1">
        <w:rPr>
          <w:rFonts w:ascii="Arial" w:hAnsi="Arial" w:cs="Arial"/>
          <w:color w:val="000000"/>
          <w:shd w:val="clear" w:color="auto" w:fill="FFFFFF"/>
        </w:rPr>
        <w:t xml:space="preserve">, </w:t>
      </w:r>
      <w:r w:rsidRPr="00705FD3">
        <w:rPr>
          <w:rFonts w:ascii="Arial" w:hAnsi="Arial" w:cs="Arial"/>
          <w:color w:val="000000"/>
          <w:shd w:val="clear" w:color="auto" w:fill="FFFFFF"/>
        </w:rPr>
        <w:t xml:space="preserve">and 60 (3) of the </w:t>
      </w:r>
      <w:r w:rsidRPr="00705FD3">
        <w:rPr>
          <w:rFonts w:ascii="Arial" w:hAnsi="Arial" w:cs="Arial"/>
          <w:i/>
          <w:iCs/>
          <w:color w:val="000000"/>
          <w:shd w:val="clear" w:color="auto" w:fill="FFFFFF"/>
        </w:rPr>
        <w:t>Crimes Act 1900</w:t>
      </w:r>
      <w:r w:rsidRPr="00705FD3">
        <w:rPr>
          <w:rFonts w:ascii="Arial" w:hAnsi="Arial" w:cs="Arial"/>
          <w:color w:val="000000"/>
          <w:shd w:val="clear" w:color="auto" w:fill="FFFFFF"/>
        </w:rPr>
        <w:t xml:space="preserve">. </w:t>
      </w:r>
    </w:p>
    <w:p w14:paraId="3D315E02" w14:textId="5BE8E226" w:rsidR="00705FD3" w:rsidRDefault="00705FD3" w:rsidP="00705FD3">
      <w:pPr>
        <w:autoSpaceDE w:val="0"/>
        <w:autoSpaceDN w:val="0"/>
        <w:adjustRightInd w:val="0"/>
        <w:spacing w:before="240" w:after="120"/>
        <w:rPr>
          <w:rFonts w:ascii="Arial" w:hAnsi="Arial" w:cs="Arial"/>
          <w:color w:val="000000"/>
          <w:shd w:val="clear" w:color="auto" w:fill="FFFFFF"/>
        </w:rPr>
      </w:pPr>
      <w:r w:rsidRPr="00705FD3">
        <w:rPr>
          <w:rFonts w:ascii="Arial" w:hAnsi="Arial" w:cs="Arial"/>
          <w:color w:val="000000"/>
          <w:shd w:val="clear" w:color="auto" w:fill="FFFFFF"/>
        </w:rPr>
        <w:t xml:space="preserve">The </w:t>
      </w:r>
      <w:r w:rsidRPr="00D26830">
        <w:rPr>
          <w:rFonts w:ascii="Arial" w:hAnsi="Arial" w:cs="Arial"/>
          <w:i/>
          <w:iCs/>
          <w:color w:val="000000"/>
          <w:shd w:val="clear" w:color="auto" w:fill="FFFFFF"/>
        </w:rPr>
        <w:t>Crimes (Consent) Amendment Act 2022</w:t>
      </w:r>
      <w:r w:rsidRPr="00705FD3">
        <w:rPr>
          <w:rFonts w:ascii="Arial" w:hAnsi="Arial" w:cs="Arial"/>
          <w:color w:val="000000"/>
          <w:shd w:val="clear" w:color="auto" w:fill="FFFFFF"/>
        </w:rPr>
        <w:t xml:space="preserve"> introduced a third alternative fault element for consent. Section 67 (4) of the </w:t>
      </w:r>
      <w:r w:rsidRPr="00705FD3">
        <w:rPr>
          <w:rFonts w:ascii="Arial" w:hAnsi="Arial" w:cs="Arial"/>
          <w:i/>
          <w:iCs/>
          <w:color w:val="000000"/>
          <w:shd w:val="clear" w:color="auto" w:fill="FFFFFF"/>
        </w:rPr>
        <w:t>Crimes Act</w:t>
      </w:r>
      <w:r w:rsidRPr="00705FD3">
        <w:rPr>
          <w:rFonts w:ascii="Arial" w:hAnsi="Arial" w:cs="Arial"/>
          <w:color w:val="000000"/>
          <w:shd w:val="clear" w:color="auto" w:fill="FFFFFF"/>
        </w:rPr>
        <w:t xml:space="preserve"> </w:t>
      </w:r>
      <w:r>
        <w:rPr>
          <w:rFonts w:ascii="Arial" w:hAnsi="Arial" w:cs="Arial"/>
          <w:i/>
          <w:iCs/>
          <w:color w:val="000000"/>
          <w:shd w:val="clear" w:color="auto" w:fill="FFFFFF"/>
        </w:rPr>
        <w:t xml:space="preserve">1900 </w:t>
      </w:r>
      <w:r w:rsidRPr="00705FD3">
        <w:rPr>
          <w:rFonts w:ascii="Arial" w:hAnsi="Arial" w:cs="Arial"/>
          <w:color w:val="000000"/>
          <w:shd w:val="clear" w:color="auto" w:fill="FFFFFF"/>
        </w:rPr>
        <w:t xml:space="preserve">now states that ‘an accused person is taken to know that another person does not consent to an act </w:t>
      </w:r>
      <w:r w:rsidRPr="00705FD3">
        <w:rPr>
          <w:rFonts w:ascii="Arial" w:hAnsi="Arial" w:cs="Arial"/>
          <w:color w:val="000000"/>
          <w:shd w:val="clear" w:color="auto" w:fill="FFFFFF"/>
        </w:rPr>
        <w:lastRenderedPageBreak/>
        <w:t>mentioned in a sexual offence consent provision if any belief that the accused person has, or may have, is not reasonable in the circumstances.’</w:t>
      </w:r>
    </w:p>
    <w:p w14:paraId="1000B7E7" w14:textId="5EDDCD93" w:rsidR="000A674A" w:rsidRDefault="00A00309" w:rsidP="00A00309">
      <w:pPr>
        <w:rPr>
          <w:rFonts w:ascii="Arial" w:hAnsi="Arial" w:cs="Arial"/>
          <w:szCs w:val="24"/>
        </w:rPr>
      </w:pPr>
      <w:r>
        <w:rPr>
          <w:rFonts w:ascii="Arial" w:hAnsi="Arial" w:cs="Arial"/>
          <w:szCs w:val="24"/>
        </w:rPr>
        <w:t xml:space="preserve">The </w:t>
      </w:r>
      <w:r w:rsidRPr="00B60D21">
        <w:rPr>
          <w:rFonts w:ascii="Arial" w:hAnsi="Arial" w:cs="Arial"/>
          <w:szCs w:val="24"/>
        </w:rPr>
        <w:t xml:space="preserve">Bill </w:t>
      </w:r>
      <w:r>
        <w:rPr>
          <w:rFonts w:ascii="Arial" w:hAnsi="Arial" w:cs="Arial"/>
          <w:szCs w:val="24"/>
        </w:rPr>
        <w:t xml:space="preserve">clarifies </w:t>
      </w:r>
      <w:r w:rsidRPr="00B60D21">
        <w:rPr>
          <w:rFonts w:ascii="Arial" w:hAnsi="Arial" w:cs="Arial"/>
          <w:szCs w:val="24"/>
        </w:rPr>
        <w:t xml:space="preserve">that </w:t>
      </w:r>
      <w:r>
        <w:rPr>
          <w:rFonts w:ascii="Arial" w:hAnsi="Arial" w:cs="Arial"/>
          <w:szCs w:val="24"/>
        </w:rPr>
        <w:t>a person who is intoxicated through self-</w:t>
      </w:r>
      <w:r w:rsidR="00C62BA9">
        <w:rPr>
          <w:rFonts w:ascii="Arial" w:hAnsi="Arial" w:cs="Arial"/>
          <w:szCs w:val="24"/>
        </w:rPr>
        <w:t xml:space="preserve">induced </w:t>
      </w:r>
      <w:r>
        <w:rPr>
          <w:rFonts w:ascii="Arial" w:hAnsi="Arial" w:cs="Arial"/>
          <w:szCs w:val="24"/>
        </w:rPr>
        <w:t>in</w:t>
      </w:r>
      <w:r w:rsidR="00D26830">
        <w:rPr>
          <w:rFonts w:ascii="Arial" w:hAnsi="Arial" w:cs="Arial"/>
          <w:szCs w:val="24"/>
        </w:rPr>
        <w:t>toxica</w:t>
      </w:r>
      <w:r>
        <w:rPr>
          <w:rFonts w:ascii="Arial" w:hAnsi="Arial" w:cs="Arial"/>
          <w:szCs w:val="24"/>
        </w:rPr>
        <w:t xml:space="preserve">tion is </w:t>
      </w:r>
      <w:r w:rsidR="00D26830">
        <w:rPr>
          <w:rFonts w:ascii="Arial" w:hAnsi="Arial" w:cs="Arial"/>
          <w:szCs w:val="24"/>
        </w:rPr>
        <w:t xml:space="preserve">to be </w:t>
      </w:r>
      <w:r>
        <w:rPr>
          <w:rFonts w:ascii="Arial" w:hAnsi="Arial" w:cs="Arial"/>
          <w:szCs w:val="24"/>
        </w:rPr>
        <w:t xml:space="preserve">treated as if they were sober </w:t>
      </w:r>
      <w:r w:rsidRPr="00B60D21">
        <w:rPr>
          <w:rFonts w:ascii="Arial" w:hAnsi="Arial" w:cs="Arial"/>
          <w:szCs w:val="24"/>
        </w:rPr>
        <w:t xml:space="preserve">by the trier of fact in determining </w:t>
      </w:r>
      <w:r>
        <w:rPr>
          <w:rFonts w:ascii="Arial" w:hAnsi="Arial" w:cs="Arial"/>
          <w:szCs w:val="24"/>
        </w:rPr>
        <w:t>the fault element of a sexual</w:t>
      </w:r>
      <w:r w:rsidRPr="00B60D21">
        <w:rPr>
          <w:rFonts w:ascii="Arial" w:hAnsi="Arial" w:cs="Arial"/>
          <w:szCs w:val="24"/>
        </w:rPr>
        <w:t xml:space="preserve"> offence</w:t>
      </w:r>
      <w:r>
        <w:rPr>
          <w:rFonts w:ascii="Arial" w:hAnsi="Arial" w:cs="Arial"/>
          <w:szCs w:val="24"/>
        </w:rPr>
        <w:t xml:space="preserve"> </w:t>
      </w:r>
      <w:r w:rsidRPr="00B60D21">
        <w:rPr>
          <w:rFonts w:ascii="Arial" w:hAnsi="Arial" w:cs="Arial"/>
          <w:szCs w:val="24"/>
        </w:rPr>
        <w:t xml:space="preserve">consent provision </w:t>
      </w:r>
      <w:r>
        <w:rPr>
          <w:rFonts w:ascii="Arial" w:hAnsi="Arial" w:cs="Arial"/>
          <w:szCs w:val="24"/>
        </w:rPr>
        <w:t xml:space="preserve">i.e. </w:t>
      </w:r>
      <w:r w:rsidRPr="00B60D21">
        <w:rPr>
          <w:rFonts w:ascii="Arial" w:hAnsi="Arial" w:cs="Arial"/>
          <w:szCs w:val="24"/>
        </w:rPr>
        <w:t>whether the accused person had</w:t>
      </w:r>
      <w:r>
        <w:rPr>
          <w:rFonts w:ascii="Arial" w:hAnsi="Arial" w:cs="Arial"/>
          <w:szCs w:val="24"/>
        </w:rPr>
        <w:t xml:space="preserve"> </w:t>
      </w:r>
      <w:r w:rsidRPr="00B60D21">
        <w:rPr>
          <w:rFonts w:ascii="Arial" w:hAnsi="Arial" w:cs="Arial"/>
          <w:szCs w:val="24"/>
        </w:rPr>
        <w:t xml:space="preserve">knowledge, </w:t>
      </w:r>
      <w:r w:rsidR="009A7530">
        <w:rPr>
          <w:rFonts w:ascii="Arial" w:hAnsi="Arial" w:cs="Arial"/>
          <w:szCs w:val="24"/>
        </w:rPr>
        <w:t xml:space="preserve">was </w:t>
      </w:r>
      <w:r w:rsidRPr="00B60D21">
        <w:rPr>
          <w:rFonts w:ascii="Arial" w:hAnsi="Arial" w:cs="Arial"/>
          <w:szCs w:val="24"/>
        </w:rPr>
        <w:t xml:space="preserve">reckless or </w:t>
      </w:r>
      <w:r w:rsidR="009A7530">
        <w:rPr>
          <w:rFonts w:ascii="Arial" w:hAnsi="Arial" w:cs="Arial"/>
          <w:szCs w:val="24"/>
        </w:rPr>
        <w:t xml:space="preserve">had </w:t>
      </w:r>
      <w:r w:rsidRPr="00B60D21">
        <w:rPr>
          <w:rFonts w:ascii="Arial" w:hAnsi="Arial" w:cs="Arial"/>
          <w:szCs w:val="24"/>
        </w:rPr>
        <w:t>a reasonable belief as to consent</w:t>
      </w:r>
      <w:r>
        <w:rPr>
          <w:rFonts w:ascii="Arial" w:hAnsi="Arial" w:cs="Arial"/>
          <w:szCs w:val="24"/>
        </w:rPr>
        <w:t xml:space="preserve"> to a sexual act</w:t>
      </w:r>
      <w:r w:rsidRPr="00B60D21">
        <w:rPr>
          <w:rFonts w:ascii="Arial" w:hAnsi="Arial" w:cs="Arial"/>
          <w:szCs w:val="24"/>
        </w:rPr>
        <w:t xml:space="preserve">. </w:t>
      </w:r>
    </w:p>
    <w:p w14:paraId="02449E45" w14:textId="7E245777" w:rsidR="00A00309" w:rsidRDefault="00D26830" w:rsidP="00A00309">
      <w:pPr>
        <w:rPr>
          <w:rFonts w:ascii="Arial" w:hAnsi="Arial" w:cs="Arial"/>
          <w:szCs w:val="24"/>
        </w:rPr>
      </w:pPr>
      <w:r>
        <w:rPr>
          <w:rFonts w:ascii="Arial" w:hAnsi="Arial" w:cs="Arial"/>
          <w:szCs w:val="24"/>
        </w:rPr>
        <w:t xml:space="preserve">Notably, </w:t>
      </w:r>
      <w:r w:rsidR="00A00309">
        <w:rPr>
          <w:rFonts w:ascii="Arial" w:hAnsi="Arial" w:cs="Arial"/>
          <w:szCs w:val="24"/>
        </w:rPr>
        <w:t>where a person is intoxicated through self-</w:t>
      </w:r>
      <w:r w:rsidR="00C62BA9">
        <w:rPr>
          <w:rFonts w:ascii="Arial" w:hAnsi="Arial" w:cs="Arial"/>
          <w:szCs w:val="24"/>
        </w:rPr>
        <w:t xml:space="preserve">induced </w:t>
      </w:r>
      <w:r w:rsidR="00A00309">
        <w:rPr>
          <w:rFonts w:ascii="Arial" w:hAnsi="Arial" w:cs="Arial"/>
          <w:szCs w:val="24"/>
        </w:rPr>
        <w:t>in</w:t>
      </w:r>
      <w:r>
        <w:rPr>
          <w:rFonts w:ascii="Arial" w:hAnsi="Arial" w:cs="Arial"/>
          <w:szCs w:val="24"/>
        </w:rPr>
        <w:t>toxi</w:t>
      </w:r>
      <w:r w:rsidR="00A00309">
        <w:rPr>
          <w:rFonts w:ascii="Arial" w:hAnsi="Arial" w:cs="Arial"/>
          <w:szCs w:val="24"/>
        </w:rPr>
        <w:t>c</w:t>
      </w:r>
      <w:r>
        <w:rPr>
          <w:rFonts w:ascii="Arial" w:hAnsi="Arial" w:cs="Arial"/>
          <w:szCs w:val="24"/>
        </w:rPr>
        <w:t>a</w:t>
      </w:r>
      <w:r w:rsidR="00A00309">
        <w:rPr>
          <w:rFonts w:ascii="Arial" w:hAnsi="Arial" w:cs="Arial"/>
          <w:szCs w:val="24"/>
        </w:rPr>
        <w:t>tion,</w:t>
      </w:r>
      <w:r>
        <w:rPr>
          <w:rFonts w:ascii="Arial" w:hAnsi="Arial" w:cs="Arial"/>
          <w:szCs w:val="24"/>
        </w:rPr>
        <w:t xml:space="preserve"> that state of</w:t>
      </w:r>
      <w:r w:rsidR="00A00309">
        <w:rPr>
          <w:rFonts w:ascii="Arial" w:hAnsi="Arial" w:cs="Arial"/>
          <w:szCs w:val="24"/>
        </w:rPr>
        <w:t xml:space="preserve"> </w:t>
      </w:r>
      <w:r w:rsidR="00A00309" w:rsidRPr="00B60D21">
        <w:rPr>
          <w:rFonts w:ascii="Arial" w:hAnsi="Arial" w:cs="Arial"/>
          <w:szCs w:val="24"/>
        </w:rPr>
        <w:t xml:space="preserve">intoxication is </w:t>
      </w:r>
      <w:r>
        <w:rPr>
          <w:rFonts w:ascii="Arial" w:hAnsi="Arial" w:cs="Arial"/>
          <w:szCs w:val="24"/>
        </w:rPr>
        <w:t xml:space="preserve">to be </w:t>
      </w:r>
      <w:r w:rsidR="00A00309" w:rsidRPr="00B60D21">
        <w:rPr>
          <w:rFonts w:ascii="Arial" w:hAnsi="Arial" w:cs="Arial"/>
          <w:szCs w:val="24"/>
        </w:rPr>
        <w:t xml:space="preserve">considered in a broader sense for context, and the behaviour of the accused is contrasted with what the accused’s mind would have been had they been </w:t>
      </w:r>
      <w:r w:rsidR="00A00309" w:rsidRPr="00806049">
        <w:rPr>
          <w:rFonts w:ascii="Arial" w:hAnsi="Arial" w:cs="Arial"/>
          <w:szCs w:val="24"/>
        </w:rPr>
        <w:t xml:space="preserve">sober. </w:t>
      </w:r>
    </w:p>
    <w:p w14:paraId="71C605BD" w14:textId="77F1AD11" w:rsidR="000A674A" w:rsidRPr="000A674A" w:rsidRDefault="000A674A" w:rsidP="000A674A">
      <w:pPr>
        <w:rPr>
          <w:rFonts w:ascii="Arial" w:hAnsi="Arial" w:cs="Arial"/>
          <w:szCs w:val="24"/>
        </w:rPr>
      </w:pPr>
      <w:r>
        <w:rPr>
          <w:rFonts w:ascii="Arial" w:hAnsi="Arial" w:cs="Arial"/>
          <w:szCs w:val="24"/>
        </w:rPr>
        <w:t xml:space="preserve">All the fault elements will still need to be made out for a person to be convicted and the amendment does not create a presumption that the accused was guilty or culpable just because of self-induced intoxication. </w:t>
      </w:r>
      <w:r w:rsidRPr="000A674A">
        <w:rPr>
          <w:rFonts w:ascii="Arial" w:hAnsi="Arial" w:cs="Arial"/>
          <w:szCs w:val="24"/>
        </w:rPr>
        <w:t xml:space="preserve">This means that if A was so drunk as to be reckless as to whether B was consenting (or so drunk that A formed an unreasonable belief that B was consenting) it cannot be used as an excuse by A. The trier of fact will consider whether a sober person in the same circumstances would also have been reckless or had such a belief. If the sober person would have realised that B was not consenting, then the fault element would be satisfied for the purpose of possibly finding A guilty. If the trier of fact thinks that a sober person in A’s position would still not have realised that B was not consenting due to other relevant circumstances, then the fault element will not be made out. </w:t>
      </w:r>
    </w:p>
    <w:p w14:paraId="43F9C482" w14:textId="01CE40D0" w:rsidR="00D77CD0" w:rsidRDefault="00D77CD0" w:rsidP="00A00309">
      <w:pPr>
        <w:rPr>
          <w:rFonts w:ascii="Arial" w:hAnsi="Arial" w:cs="Arial"/>
          <w:szCs w:val="24"/>
        </w:rPr>
      </w:pPr>
      <w:r>
        <w:rPr>
          <w:rFonts w:ascii="Arial" w:hAnsi="Arial" w:cs="Arial"/>
          <w:szCs w:val="24"/>
        </w:rPr>
        <w:t xml:space="preserve">The amendment is consistent and goes beyond the provisions relating to intoxication in </w:t>
      </w:r>
      <w:r w:rsidRPr="007E507C">
        <w:rPr>
          <w:rFonts w:ascii="Arial" w:hAnsi="Arial" w:cs="Arial"/>
          <w:szCs w:val="24"/>
        </w:rPr>
        <w:t>the</w:t>
      </w:r>
      <w:r w:rsidRPr="00D77CD0">
        <w:rPr>
          <w:rFonts w:ascii="Arial" w:hAnsi="Arial" w:cs="Arial"/>
          <w:i/>
          <w:iCs/>
          <w:szCs w:val="24"/>
        </w:rPr>
        <w:t xml:space="preserve"> Criminal Code 2002</w:t>
      </w:r>
      <w:r>
        <w:rPr>
          <w:rFonts w:ascii="Arial" w:hAnsi="Arial" w:cs="Arial"/>
          <w:szCs w:val="24"/>
        </w:rPr>
        <w:t xml:space="preserve">. While section 33 (1) of the </w:t>
      </w:r>
      <w:r w:rsidRPr="00D77CD0">
        <w:rPr>
          <w:rFonts w:ascii="Arial" w:hAnsi="Arial" w:cs="Arial"/>
          <w:i/>
          <w:iCs/>
          <w:szCs w:val="24"/>
        </w:rPr>
        <w:t>Criminal Code</w:t>
      </w:r>
      <w:r>
        <w:rPr>
          <w:rFonts w:ascii="Arial" w:hAnsi="Arial" w:cs="Arial"/>
          <w:szCs w:val="24"/>
        </w:rPr>
        <w:t xml:space="preserve"> </w:t>
      </w:r>
      <w:r w:rsidRPr="00D77CD0">
        <w:rPr>
          <w:rFonts w:ascii="Arial" w:hAnsi="Arial" w:cs="Arial"/>
          <w:i/>
          <w:iCs/>
          <w:szCs w:val="24"/>
        </w:rPr>
        <w:t>20</w:t>
      </w:r>
      <w:r>
        <w:rPr>
          <w:rFonts w:ascii="Arial" w:hAnsi="Arial" w:cs="Arial"/>
          <w:i/>
          <w:iCs/>
          <w:szCs w:val="24"/>
        </w:rPr>
        <w:t>0</w:t>
      </w:r>
      <w:r w:rsidRPr="00D77CD0">
        <w:rPr>
          <w:rFonts w:ascii="Arial" w:hAnsi="Arial" w:cs="Arial"/>
          <w:i/>
          <w:iCs/>
          <w:szCs w:val="24"/>
        </w:rPr>
        <w:t xml:space="preserve">2 </w:t>
      </w:r>
      <w:r>
        <w:rPr>
          <w:rFonts w:ascii="Arial" w:hAnsi="Arial" w:cs="Arial"/>
          <w:szCs w:val="24"/>
        </w:rPr>
        <w:t xml:space="preserve">provides that intoxication may be considered if </w:t>
      </w:r>
      <w:r w:rsidRPr="00D77CD0">
        <w:rPr>
          <w:rFonts w:ascii="Arial" w:hAnsi="Arial" w:cs="Arial"/>
          <w:szCs w:val="24"/>
        </w:rPr>
        <w:t>any part of a defence is based on actual knowledge or belief</w:t>
      </w:r>
      <w:r>
        <w:rPr>
          <w:rFonts w:ascii="Arial" w:hAnsi="Arial" w:cs="Arial"/>
          <w:szCs w:val="24"/>
        </w:rPr>
        <w:t xml:space="preserve">, new section 67A of the </w:t>
      </w:r>
      <w:r>
        <w:rPr>
          <w:rFonts w:ascii="Arial" w:hAnsi="Arial" w:cs="Arial"/>
          <w:i/>
          <w:iCs/>
          <w:szCs w:val="24"/>
        </w:rPr>
        <w:t xml:space="preserve">Crimes Act 1900 </w:t>
      </w:r>
      <w:r>
        <w:rPr>
          <w:rFonts w:ascii="Arial" w:hAnsi="Arial" w:cs="Arial"/>
          <w:szCs w:val="24"/>
        </w:rPr>
        <w:t xml:space="preserve">provides that </w:t>
      </w:r>
      <w:r w:rsidRPr="00106FD7">
        <w:rPr>
          <w:rFonts w:ascii="Arial" w:hAnsi="Arial" w:cs="Arial"/>
          <w:szCs w:val="24"/>
        </w:rPr>
        <w:t>self-induced</w:t>
      </w:r>
      <w:r>
        <w:rPr>
          <w:rFonts w:ascii="Arial" w:hAnsi="Arial" w:cs="Arial"/>
          <w:szCs w:val="24"/>
        </w:rPr>
        <w:t xml:space="preserve"> intoxication must not be considered i</w:t>
      </w:r>
      <w:r w:rsidRPr="00D77CD0">
        <w:rPr>
          <w:rFonts w:ascii="Arial" w:hAnsi="Arial" w:cs="Arial"/>
          <w:szCs w:val="24"/>
        </w:rPr>
        <w:t>n deciding a person’s (the accused person) knowledge or belief, or recklessness, about whether another person consented to an act</w:t>
      </w:r>
      <w:r>
        <w:rPr>
          <w:rFonts w:ascii="Arial" w:hAnsi="Arial" w:cs="Arial"/>
          <w:szCs w:val="24"/>
        </w:rPr>
        <w:t xml:space="preserve">. </w:t>
      </w:r>
    </w:p>
    <w:p w14:paraId="0E021D04" w14:textId="4F1AEC79" w:rsidR="00D77CD0" w:rsidRPr="00D77CD0" w:rsidRDefault="00D77CD0" w:rsidP="00A00309">
      <w:pPr>
        <w:rPr>
          <w:rFonts w:ascii="Arial" w:hAnsi="Arial" w:cs="Arial"/>
          <w:szCs w:val="24"/>
        </w:rPr>
      </w:pPr>
      <w:r>
        <w:rPr>
          <w:rFonts w:ascii="Arial" w:hAnsi="Arial" w:cs="Arial"/>
          <w:szCs w:val="24"/>
        </w:rPr>
        <w:t xml:space="preserve">Further section 33 (3) of the </w:t>
      </w:r>
      <w:r w:rsidRPr="00D77CD0">
        <w:rPr>
          <w:rFonts w:ascii="Arial" w:hAnsi="Arial" w:cs="Arial"/>
          <w:i/>
          <w:iCs/>
          <w:szCs w:val="24"/>
        </w:rPr>
        <w:t>Criminal Code 2002</w:t>
      </w:r>
      <w:r>
        <w:rPr>
          <w:rFonts w:ascii="Arial" w:hAnsi="Arial" w:cs="Arial"/>
          <w:szCs w:val="24"/>
        </w:rPr>
        <w:t xml:space="preserve"> provides that i</w:t>
      </w:r>
      <w:r w:rsidRPr="00D77CD0">
        <w:rPr>
          <w:rFonts w:ascii="Arial" w:hAnsi="Arial" w:cs="Arial"/>
          <w:szCs w:val="24"/>
        </w:rPr>
        <w:t>f any part of a defence is based on reasonable belief, in deciding whether the reasonable belief exists, regard must be had to the standard of a reasonable person who is not intoxicated.</w:t>
      </w:r>
      <w:r>
        <w:rPr>
          <w:rFonts w:ascii="Arial" w:hAnsi="Arial" w:cs="Arial"/>
          <w:szCs w:val="24"/>
        </w:rPr>
        <w:t xml:space="preserve"> This is consistent with new section 67A of the </w:t>
      </w:r>
      <w:r>
        <w:rPr>
          <w:rFonts w:ascii="Arial" w:hAnsi="Arial" w:cs="Arial"/>
          <w:i/>
          <w:iCs/>
          <w:szCs w:val="24"/>
        </w:rPr>
        <w:t>Crimes Act 1900.</w:t>
      </w:r>
    </w:p>
    <w:p w14:paraId="4F71A1D6" w14:textId="695A2EDB" w:rsidR="001A6B4A" w:rsidRDefault="001A6B4A" w:rsidP="00B73AEA">
      <w:pPr>
        <w:autoSpaceDE w:val="0"/>
        <w:autoSpaceDN w:val="0"/>
        <w:adjustRightInd w:val="0"/>
        <w:spacing w:before="240" w:after="120"/>
        <w:rPr>
          <w:rFonts w:ascii="Arial" w:hAnsi="Arial" w:cs="Arial"/>
          <w:color w:val="000000"/>
          <w:shd w:val="clear" w:color="auto" w:fill="FFFFFF"/>
        </w:rPr>
      </w:pPr>
      <w:r w:rsidRPr="001A6B4A">
        <w:rPr>
          <w:rFonts w:ascii="Arial" w:hAnsi="Arial" w:cs="Arial"/>
          <w:color w:val="000000"/>
          <w:shd w:val="clear" w:color="auto" w:fill="FFFFFF"/>
        </w:rPr>
        <w:t xml:space="preserve">The amendment </w:t>
      </w:r>
      <w:r w:rsidR="00913353">
        <w:rPr>
          <w:rFonts w:ascii="Arial" w:hAnsi="Arial" w:cs="Arial"/>
          <w:color w:val="000000"/>
          <w:shd w:val="clear" w:color="auto" w:fill="FFFFFF"/>
        </w:rPr>
        <w:t xml:space="preserve">models </w:t>
      </w:r>
      <w:r w:rsidRPr="001A6B4A">
        <w:rPr>
          <w:rFonts w:ascii="Arial" w:hAnsi="Arial" w:cs="Arial"/>
          <w:color w:val="000000"/>
          <w:shd w:val="clear" w:color="auto" w:fill="FFFFFF"/>
        </w:rPr>
        <w:t xml:space="preserve">section 61HK (5) (b) of the </w:t>
      </w:r>
      <w:r w:rsidRPr="001A6B4A">
        <w:rPr>
          <w:rFonts w:ascii="Arial" w:hAnsi="Arial" w:cs="Arial"/>
          <w:i/>
          <w:iCs/>
          <w:color w:val="000000"/>
          <w:shd w:val="clear" w:color="auto" w:fill="FFFFFF"/>
        </w:rPr>
        <w:t>Crimes Act 1900</w:t>
      </w:r>
      <w:r w:rsidRPr="001A6B4A">
        <w:rPr>
          <w:rFonts w:ascii="Arial" w:hAnsi="Arial" w:cs="Arial"/>
          <w:color w:val="000000"/>
          <w:shd w:val="clear" w:color="auto" w:fill="FFFFFF"/>
        </w:rPr>
        <w:t xml:space="preserve"> (NSW). </w:t>
      </w:r>
      <w:bookmarkStart w:id="13" w:name="_Hlk113866177"/>
      <w:r w:rsidR="00D26830">
        <w:rPr>
          <w:rFonts w:ascii="Arial" w:hAnsi="Arial" w:cs="Arial"/>
          <w:color w:val="000000"/>
          <w:shd w:val="clear" w:color="auto" w:fill="FFFFFF"/>
        </w:rPr>
        <w:t>Current rules for consideration of i</w:t>
      </w:r>
      <w:r w:rsidRPr="001A6B4A">
        <w:rPr>
          <w:rFonts w:ascii="Arial" w:hAnsi="Arial" w:cs="Arial"/>
          <w:color w:val="000000"/>
          <w:shd w:val="clear" w:color="auto" w:fill="FFFFFF"/>
        </w:rPr>
        <w:t>nvoluntary intoxication</w:t>
      </w:r>
      <w:r w:rsidR="00D26830">
        <w:rPr>
          <w:rFonts w:ascii="Arial" w:hAnsi="Arial" w:cs="Arial"/>
          <w:color w:val="000000"/>
          <w:shd w:val="clear" w:color="auto" w:fill="FFFFFF"/>
        </w:rPr>
        <w:t xml:space="preserve"> in establishing an element of a sexual offence</w:t>
      </w:r>
      <w:r w:rsidRPr="001A6B4A">
        <w:rPr>
          <w:rFonts w:ascii="Arial" w:hAnsi="Arial" w:cs="Arial"/>
          <w:color w:val="000000"/>
          <w:shd w:val="clear" w:color="auto" w:fill="FFFFFF"/>
        </w:rPr>
        <w:t xml:space="preserve"> </w:t>
      </w:r>
      <w:r w:rsidR="00D26830">
        <w:rPr>
          <w:rFonts w:ascii="Arial" w:hAnsi="Arial" w:cs="Arial"/>
          <w:color w:val="000000"/>
          <w:shd w:val="clear" w:color="auto" w:fill="FFFFFF"/>
        </w:rPr>
        <w:t>are not affected by the amendment</w:t>
      </w:r>
      <w:r w:rsidRPr="001A6B4A">
        <w:rPr>
          <w:rFonts w:ascii="Arial" w:hAnsi="Arial" w:cs="Arial"/>
          <w:color w:val="000000"/>
          <w:shd w:val="clear" w:color="auto" w:fill="FFFFFF"/>
        </w:rPr>
        <w:t xml:space="preserve">. The amendment </w:t>
      </w:r>
      <w:r w:rsidR="00D26830">
        <w:rPr>
          <w:rFonts w:ascii="Arial" w:hAnsi="Arial" w:cs="Arial"/>
          <w:color w:val="000000"/>
          <w:shd w:val="clear" w:color="auto" w:fill="FFFFFF"/>
        </w:rPr>
        <w:t>does not</w:t>
      </w:r>
      <w:r w:rsidRPr="001A6B4A">
        <w:rPr>
          <w:rFonts w:ascii="Arial" w:hAnsi="Arial" w:cs="Arial"/>
          <w:color w:val="000000"/>
          <w:shd w:val="clear" w:color="auto" w:fill="FFFFFF"/>
        </w:rPr>
        <w:t xml:space="preserve"> impact on</w:t>
      </w:r>
      <w:r w:rsidR="00D26830">
        <w:rPr>
          <w:rFonts w:ascii="Arial" w:hAnsi="Arial" w:cs="Arial"/>
          <w:color w:val="000000"/>
          <w:shd w:val="clear" w:color="auto" w:fill="FFFFFF"/>
        </w:rPr>
        <w:t xml:space="preserve"> the availability of</w:t>
      </w:r>
      <w:r w:rsidRPr="001A6B4A">
        <w:rPr>
          <w:rFonts w:ascii="Arial" w:hAnsi="Arial" w:cs="Arial"/>
          <w:color w:val="000000"/>
          <w:shd w:val="clear" w:color="auto" w:fill="FFFFFF"/>
        </w:rPr>
        <w:t xml:space="preserve"> mental impairment as a defence.</w:t>
      </w:r>
      <w:bookmarkEnd w:id="13"/>
    </w:p>
    <w:bookmarkEnd w:id="12"/>
    <w:p w14:paraId="56A962DC" w14:textId="4CF6F9E9" w:rsidR="00B94F48" w:rsidRDefault="002F16A6" w:rsidP="00B73AEA">
      <w:pPr>
        <w:autoSpaceDE w:val="0"/>
        <w:autoSpaceDN w:val="0"/>
        <w:adjustRightInd w:val="0"/>
        <w:spacing w:before="240" w:after="120"/>
        <w:rPr>
          <w:rFonts w:ascii="Arial" w:hAnsi="Arial" w:cs="Arial"/>
          <w:color w:val="000000"/>
          <w:u w:val="single"/>
          <w:shd w:val="clear" w:color="auto" w:fill="FFFFFF"/>
        </w:rPr>
      </w:pPr>
      <w:r w:rsidRPr="002F16A6">
        <w:rPr>
          <w:rFonts w:ascii="Arial" w:hAnsi="Arial" w:cs="Arial"/>
          <w:color w:val="000000"/>
          <w:u w:val="single"/>
          <w:shd w:val="clear" w:color="auto" w:fill="FFFFFF"/>
        </w:rPr>
        <w:t>Special interim orders for Personal Protection Orders and Workplace Protection Orders</w:t>
      </w:r>
    </w:p>
    <w:p w14:paraId="39DE4014" w14:textId="3F40AD75" w:rsidR="002F16A6" w:rsidRDefault="00C7071D" w:rsidP="00B73AEA">
      <w:pPr>
        <w:autoSpaceDE w:val="0"/>
        <w:autoSpaceDN w:val="0"/>
        <w:adjustRightInd w:val="0"/>
        <w:spacing w:before="240" w:after="120"/>
        <w:rPr>
          <w:rFonts w:ascii="Arial" w:hAnsi="Arial" w:cs="Arial"/>
          <w:color w:val="000000"/>
          <w:shd w:val="clear" w:color="auto" w:fill="FFFFFF"/>
        </w:rPr>
      </w:pPr>
      <w:r w:rsidRPr="00C7071D">
        <w:rPr>
          <w:rFonts w:ascii="Arial" w:hAnsi="Arial" w:cs="Arial"/>
          <w:color w:val="000000"/>
          <w:shd w:val="clear" w:color="auto" w:fill="FFFFFF"/>
        </w:rPr>
        <w:lastRenderedPageBreak/>
        <w:t xml:space="preserve">Recommendation 23 (n) of the SAPR Report recommends amending the </w:t>
      </w:r>
      <w:r w:rsidRPr="00C7071D">
        <w:rPr>
          <w:rFonts w:ascii="Arial" w:hAnsi="Arial" w:cs="Arial"/>
          <w:i/>
          <w:iCs/>
          <w:color w:val="000000"/>
          <w:shd w:val="clear" w:color="auto" w:fill="FFFFFF"/>
        </w:rPr>
        <w:t>Personal Violence Act 2016</w:t>
      </w:r>
      <w:r w:rsidRPr="00C7071D">
        <w:rPr>
          <w:rFonts w:ascii="Arial" w:hAnsi="Arial" w:cs="Arial"/>
          <w:color w:val="000000"/>
          <w:shd w:val="clear" w:color="auto" w:fill="FFFFFF"/>
        </w:rPr>
        <w:t xml:space="preserve"> to include the provision of special interim orders for P</w:t>
      </w:r>
      <w:r>
        <w:rPr>
          <w:rFonts w:ascii="Arial" w:hAnsi="Arial" w:cs="Arial"/>
          <w:color w:val="000000"/>
          <w:shd w:val="clear" w:color="auto" w:fill="FFFFFF"/>
        </w:rPr>
        <w:t xml:space="preserve">ersonal </w:t>
      </w:r>
      <w:r w:rsidRPr="00C7071D">
        <w:rPr>
          <w:rFonts w:ascii="Arial" w:hAnsi="Arial" w:cs="Arial"/>
          <w:color w:val="000000"/>
          <w:shd w:val="clear" w:color="auto" w:fill="FFFFFF"/>
        </w:rPr>
        <w:t>P</w:t>
      </w:r>
      <w:r>
        <w:rPr>
          <w:rFonts w:ascii="Arial" w:hAnsi="Arial" w:cs="Arial"/>
          <w:color w:val="000000"/>
          <w:shd w:val="clear" w:color="auto" w:fill="FFFFFF"/>
        </w:rPr>
        <w:t xml:space="preserve">rotection </w:t>
      </w:r>
      <w:r w:rsidRPr="00C7071D">
        <w:rPr>
          <w:rFonts w:ascii="Arial" w:hAnsi="Arial" w:cs="Arial"/>
          <w:color w:val="000000"/>
          <w:shd w:val="clear" w:color="auto" w:fill="FFFFFF"/>
        </w:rPr>
        <w:t>O</w:t>
      </w:r>
      <w:r>
        <w:rPr>
          <w:rFonts w:ascii="Arial" w:hAnsi="Arial" w:cs="Arial"/>
          <w:color w:val="000000"/>
          <w:shd w:val="clear" w:color="auto" w:fill="FFFFFF"/>
        </w:rPr>
        <w:t>rder</w:t>
      </w:r>
      <w:r w:rsidRPr="00C7071D">
        <w:rPr>
          <w:rFonts w:ascii="Arial" w:hAnsi="Arial" w:cs="Arial"/>
          <w:color w:val="000000"/>
          <w:shd w:val="clear" w:color="auto" w:fill="FFFFFF"/>
        </w:rPr>
        <w:t xml:space="preserve">s </w:t>
      </w:r>
      <w:r>
        <w:rPr>
          <w:rFonts w:ascii="Arial" w:hAnsi="Arial" w:cs="Arial"/>
          <w:color w:val="000000"/>
          <w:shd w:val="clear" w:color="auto" w:fill="FFFFFF"/>
        </w:rPr>
        <w:t xml:space="preserve">(PPOs) </w:t>
      </w:r>
      <w:r w:rsidRPr="00C7071D">
        <w:rPr>
          <w:rFonts w:ascii="Arial" w:hAnsi="Arial" w:cs="Arial"/>
          <w:color w:val="000000"/>
          <w:shd w:val="clear" w:color="auto" w:fill="FFFFFF"/>
        </w:rPr>
        <w:t>and W</w:t>
      </w:r>
      <w:r>
        <w:rPr>
          <w:rFonts w:ascii="Arial" w:hAnsi="Arial" w:cs="Arial"/>
          <w:color w:val="000000"/>
          <w:shd w:val="clear" w:color="auto" w:fill="FFFFFF"/>
        </w:rPr>
        <w:t xml:space="preserve">orkplace </w:t>
      </w:r>
      <w:r w:rsidRPr="00C7071D">
        <w:rPr>
          <w:rFonts w:ascii="Arial" w:hAnsi="Arial" w:cs="Arial"/>
          <w:color w:val="000000"/>
          <w:shd w:val="clear" w:color="auto" w:fill="FFFFFF"/>
        </w:rPr>
        <w:t>P</w:t>
      </w:r>
      <w:r>
        <w:rPr>
          <w:rFonts w:ascii="Arial" w:hAnsi="Arial" w:cs="Arial"/>
          <w:color w:val="000000"/>
          <w:shd w:val="clear" w:color="auto" w:fill="FFFFFF"/>
        </w:rPr>
        <w:t xml:space="preserve">rotection </w:t>
      </w:r>
      <w:r w:rsidRPr="00C7071D">
        <w:rPr>
          <w:rFonts w:ascii="Arial" w:hAnsi="Arial" w:cs="Arial"/>
          <w:color w:val="000000"/>
          <w:shd w:val="clear" w:color="auto" w:fill="FFFFFF"/>
        </w:rPr>
        <w:t>O</w:t>
      </w:r>
      <w:r>
        <w:rPr>
          <w:rFonts w:ascii="Arial" w:hAnsi="Arial" w:cs="Arial"/>
          <w:color w:val="000000"/>
          <w:shd w:val="clear" w:color="auto" w:fill="FFFFFF"/>
        </w:rPr>
        <w:t>rder</w:t>
      </w:r>
      <w:r w:rsidRPr="00C7071D">
        <w:rPr>
          <w:rFonts w:ascii="Arial" w:hAnsi="Arial" w:cs="Arial"/>
          <w:color w:val="000000"/>
          <w:shd w:val="clear" w:color="auto" w:fill="FFFFFF"/>
        </w:rPr>
        <w:t>s</w:t>
      </w:r>
      <w:r>
        <w:rPr>
          <w:rFonts w:ascii="Arial" w:hAnsi="Arial" w:cs="Arial"/>
          <w:color w:val="000000"/>
          <w:shd w:val="clear" w:color="auto" w:fill="FFFFFF"/>
        </w:rPr>
        <w:t xml:space="preserve"> (WPOs)</w:t>
      </w:r>
      <w:r w:rsidRPr="00C7071D">
        <w:rPr>
          <w:rFonts w:ascii="Arial" w:hAnsi="Arial" w:cs="Arial"/>
          <w:color w:val="000000"/>
          <w:shd w:val="clear" w:color="auto" w:fill="FFFFFF"/>
        </w:rPr>
        <w:t xml:space="preserve"> to ensure consistency with the provisions in the </w:t>
      </w:r>
      <w:r w:rsidRPr="00C7071D">
        <w:rPr>
          <w:rFonts w:ascii="Arial" w:hAnsi="Arial" w:cs="Arial"/>
          <w:i/>
          <w:iCs/>
          <w:color w:val="000000"/>
          <w:shd w:val="clear" w:color="auto" w:fill="FFFFFF"/>
        </w:rPr>
        <w:t>Family Violence Act 2016</w:t>
      </w:r>
      <w:r w:rsidRPr="00C7071D">
        <w:rPr>
          <w:rFonts w:ascii="Arial" w:hAnsi="Arial" w:cs="Arial"/>
          <w:color w:val="000000"/>
          <w:shd w:val="clear" w:color="auto" w:fill="FFFFFF"/>
        </w:rPr>
        <w:t xml:space="preserve"> for F</w:t>
      </w:r>
      <w:r>
        <w:rPr>
          <w:rFonts w:ascii="Arial" w:hAnsi="Arial" w:cs="Arial"/>
          <w:color w:val="000000"/>
          <w:shd w:val="clear" w:color="auto" w:fill="FFFFFF"/>
        </w:rPr>
        <w:t xml:space="preserve">amily </w:t>
      </w:r>
      <w:r w:rsidRPr="00C7071D">
        <w:rPr>
          <w:rFonts w:ascii="Arial" w:hAnsi="Arial" w:cs="Arial"/>
          <w:color w:val="000000"/>
          <w:shd w:val="clear" w:color="auto" w:fill="FFFFFF"/>
        </w:rPr>
        <w:t>V</w:t>
      </w:r>
      <w:r>
        <w:rPr>
          <w:rFonts w:ascii="Arial" w:hAnsi="Arial" w:cs="Arial"/>
          <w:color w:val="000000"/>
          <w:shd w:val="clear" w:color="auto" w:fill="FFFFFF"/>
        </w:rPr>
        <w:t xml:space="preserve">iolence </w:t>
      </w:r>
      <w:r w:rsidRPr="00C7071D">
        <w:rPr>
          <w:rFonts w:ascii="Arial" w:hAnsi="Arial" w:cs="Arial"/>
          <w:color w:val="000000"/>
          <w:shd w:val="clear" w:color="auto" w:fill="FFFFFF"/>
        </w:rPr>
        <w:t>O</w:t>
      </w:r>
      <w:r>
        <w:rPr>
          <w:rFonts w:ascii="Arial" w:hAnsi="Arial" w:cs="Arial"/>
          <w:color w:val="000000"/>
          <w:shd w:val="clear" w:color="auto" w:fill="FFFFFF"/>
        </w:rPr>
        <w:t>rder</w:t>
      </w:r>
      <w:r w:rsidRPr="00C7071D">
        <w:rPr>
          <w:rFonts w:ascii="Arial" w:hAnsi="Arial" w:cs="Arial"/>
          <w:color w:val="000000"/>
          <w:shd w:val="clear" w:color="auto" w:fill="FFFFFF"/>
        </w:rPr>
        <w:t>s</w:t>
      </w:r>
      <w:r>
        <w:rPr>
          <w:rFonts w:ascii="Arial" w:hAnsi="Arial" w:cs="Arial"/>
          <w:color w:val="000000"/>
          <w:shd w:val="clear" w:color="auto" w:fill="FFFFFF"/>
        </w:rPr>
        <w:t xml:space="preserve"> (FVOs)</w:t>
      </w:r>
      <w:r w:rsidRPr="00C7071D">
        <w:rPr>
          <w:rFonts w:ascii="Arial" w:hAnsi="Arial" w:cs="Arial"/>
          <w:color w:val="000000"/>
          <w:shd w:val="clear" w:color="auto" w:fill="FFFFFF"/>
        </w:rPr>
        <w:t xml:space="preserve">. </w:t>
      </w:r>
    </w:p>
    <w:p w14:paraId="60E3FE11" w14:textId="2A50B8FE" w:rsidR="00D94CAC" w:rsidRDefault="00220614" w:rsidP="00732C60">
      <w:pPr>
        <w:rPr>
          <w:rFonts w:ascii="Arial" w:hAnsi="Arial" w:cs="Arial"/>
          <w:szCs w:val="24"/>
        </w:rPr>
      </w:pPr>
      <w:bookmarkStart w:id="14" w:name="_Hlk113794972"/>
      <w:r>
        <w:rPr>
          <w:rFonts w:ascii="Arial" w:hAnsi="Arial" w:cs="Arial"/>
          <w:szCs w:val="24"/>
        </w:rPr>
        <w:t>The Bill introduces new s</w:t>
      </w:r>
      <w:r w:rsidRPr="002057E6">
        <w:rPr>
          <w:rFonts w:ascii="Arial" w:hAnsi="Arial" w:cs="Arial"/>
          <w:szCs w:val="24"/>
        </w:rPr>
        <w:t>pecial interim order</w:t>
      </w:r>
      <w:r>
        <w:rPr>
          <w:rFonts w:ascii="Arial" w:hAnsi="Arial" w:cs="Arial"/>
          <w:szCs w:val="24"/>
        </w:rPr>
        <w:t xml:space="preserve"> schemes in the ACT </w:t>
      </w:r>
      <w:r w:rsidRPr="002057E6">
        <w:rPr>
          <w:rFonts w:ascii="Arial" w:hAnsi="Arial" w:cs="Arial"/>
          <w:szCs w:val="24"/>
        </w:rPr>
        <w:t xml:space="preserve">under the </w:t>
      </w:r>
      <w:r w:rsidRPr="002057E6">
        <w:rPr>
          <w:rFonts w:ascii="Arial" w:hAnsi="Arial" w:cs="Arial"/>
          <w:i/>
          <w:iCs/>
          <w:szCs w:val="24"/>
        </w:rPr>
        <w:t>Personal Violence Act 2016</w:t>
      </w:r>
      <w:r>
        <w:rPr>
          <w:rFonts w:ascii="Arial" w:hAnsi="Arial" w:cs="Arial"/>
          <w:i/>
          <w:iCs/>
          <w:szCs w:val="24"/>
        </w:rPr>
        <w:t xml:space="preserve"> </w:t>
      </w:r>
      <w:r>
        <w:rPr>
          <w:rFonts w:ascii="Arial" w:hAnsi="Arial" w:cs="Arial"/>
          <w:szCs w:val="24"/>
        </w:rPr>
        <w:t xml:space="preserve">which mirror the </w:t>
      </w:r>
      <w:r>
        <w:rPr>
          <w:rFonts w:ascii="Arial" w:hAnsi="Arial" w:cs="Arial"/>
          <w:i/>
          <w:iCs/>
          <w:szCs w:val="24"/>
        </w:rPr>
        <w:t xml:space="preserve">Family Violence Act 2016 </w:t>
      </w:r>
      <w:r>
        <w:rPr>
          <w:rFonts w:ascii="Arial" w:hAnsi="Arial" w:cs="Arial"/>
          <w:szCs w:val="24"/>
        </w:rPr>
        <w:t xml:space="preserve">to ensure that </w:t>
      </w:r>
      <w:r w:rsidR="008F1E6B">
        <w:rPr>
          <w:rFonts w:ascii="Arial" w:hAnsi="Arial" w:cs="Arial"/>
          <w:szCs w:val="24"/>
        </w:rPr>
        <w:t xml:space="preserve">interim </w:t>
      </w:r>
      <w:r>
        <w:rPr>
          <w:rFonts w:ascii="Arial" w:hAnsi="Arial" w:cs="Arial"/>
          <w:szCs w:val="24"/>
        </w:rPr>
        <w:t xml:space="preserve">PPOs and WPOs can remain in force as long as </w:t>
      </w:r>
      <w:r w:rsidRPr="000C40FC">
        <w:rPr>
          <w:rFonts w:ascii="Arial" w:hAnsi="Arial" w:cs="Arial"/>
          <w:szCs w:val="24"/>
        </w:rPr>
        <w:t>there is a related charge outstanding in relation to the respondent</w:t>
      </w:r>
      <w:r>
        <w:rPr>
          <w:rFonts w:ascii="Arial" w:hAnsi="Arial" w:cs="Arial"/>
          <w:szCs w:val="24"/>
        </w:rPr>
        <w:t xml:space="preserve"> and the offence is against the applicant. </w:t>
      </w:r>
      <w:r w:rsidR="00932545">
        <w:rPr>
          <w:rFonts w:ascii="Arial" w:hAnsi="Arial" w:cs="Arial"/>
          <w:szCs w:val="24"/>
        </w:rPr>
        <w:t xml:space="preserve">The definition of a related charge similarly mirrors that in the relevant provision in </w:t>
      </w:r>
      <w:r w:rsidR="00932545">
        <w:rPr>
          <w:rFonts w:ascii="Arial" w:hAnsi="Arial" w:cs="Arial"/>
          <w:i/>
          <w:iCs/>
          <w:szCs w:val="24"/>
        </w:rPr>
        <w:t xml:space="preserve">Family Violence Act 2016. </w:t>
      </w:r>
      <w:r w:rsidR="00932545">
        <w:rPr>
          <w:rFonts w:ascii="Arial" w:hAnsi="Arial" w:cs="Arial"/>
          <w:szCs w:val="24"/>
        </w:rPr>
        <w:t>This is because i</w:t>
      </w:r>
      <w:r w:rsidR="00932545" w:rsidRPr="00220614">
        <w:rPr>
          <w:rFonts w:ascii="Arial" w:hAnsi="Arial" w:cs="Arial"/>
          <w:szCs w:val="24"/>
        </w:rPr>
        <w:t>n most conceivable circumstances, a charge against a person for an offence would be relevant to an interim or final order application if the person</w:t>
      </w:r>
      <w:r w:rsidR="00932545">
        <w:rPr>
          <w:rFonts w:ascii="Arial" w:hAnsi="Arial" w:cs="Arial"/>
          <w:szCs w:val="24"/>
        </w:rPr>
        <w:t xml:space="preserve"> charged</w:t>
      </w:r>
      <w:r w:rsidR="00932545" w:rsidRPr="00220614">
        <w:rPr>
          <w:rFonts w:ascii="Arial" w:hAnsi="Arial" w:cs="Arial"/>
          <w:szCs w:val="24"/>
        </w:rPr>
        <w:t xml:space="preserve"> is the respondent to the application and the offence is against the applicant</w:t>
      </w:r>
      <w:r w:rsidR="00932545">
        <w:rPr>
          <w:rFonts w:ascii="Arial" w:hAnsi="Arial" w:cs="Arial"/>
          <w:szCs w:val="24"/>
        </w:rPr>
        <w:t xml:space="preserve"> (apart from a contravention of a protection order)</w:t>
      </w:r>
      <w:r w:rsidR="00932545" w:rsidRPr="00220614">
        <w:rPr>
          <w:rFonts w:ascii="Arial" w:hAnsi="Arial" w:cs="Arial"/>
          <w:szCs w:val="24"/>
        </w:rPr>
        <w:t>.</w:t>
      </w:r>
    </w:p>
    <w:bookmarkEnd w:id="14"/>
    <w:p w14:paraId="03629D40" w14:textId="21D002B0" w:rsidR="00BD4F68" w:rsidRPr="00B572E7" w:rsidRDefault="00BD4F68" w:rsidP="00BD4F68">
      <w:pPr>
        <w:autoSpaceDE w:val="0"/>
        <w:autoSpaceDN w:val="0"/>
        <w:adjustRightInd w:val="0"/>
        <w:spacing w:before="240" w:after="120"/>
        <w:rPr>
          <w:rFonts w:ascii="Arial" w:hAnsi="Arial" w:cs="Arial"/>
          <w:color w:val="000000"/>
          <w:u w:val="single"/>
          <w:shd w:val="clear" w:color="auto" w:fill="FFFFFF"/>
        </w:rPr>
      </w:pPr>
      <w:r w:rsidRPr="00B572E7">
        <w:rPr>
          <w:rFonts w:ascii="Arial" w:hAnsi="Arial" w:cs="Arial"/>
          <w:color w:val="000000"/>
          <w:u w:val="single"/>
          <w:shd w:val="clear" w:color="auto" w:fill="FFFFFF"/>
        </w:rPr>
        <w:t>Jury directions about mistaken belief as to consent</w:t>
      </w:r>
      <w:r>
        <w:rPr>
          <w:rFonts w:ascii="Arial" w:hAnsi="Arial" w:cs="Arial"/>
          <w:color w:val="000000"/>
          <w:u w:val="single"/>
          <w:shd w:val="clear" w:color="auto" w:fill="FFFFFF"/>
        </w:rPr>
        <w:t xml:space="preserve"> </w:t>
      </w:r>
      <w:r w:rsidRPr="00050818">
        <w:rPr>
          <w:rFonts w:ascii="Arial" w:hAnsi="Arial" w:cs="Arial"/>
          <w:szCs w:val="24"/>
          <w:u w:val="single"/>
        </w:rPr>
        <w:t>following amendments arising from the Crimes (Consent) Amendment Act 2022</w:t>
      </w:r>
    </w:p>
    <w:p w14:paraId="7937420A" w14:textId="77777777" w:rsidR="00BD4F68" w:rsidRDefault="00BD4F68" w:rsidP="00BD4F68">
      <w:pPr>
        <w:autoSpaceDE w:val="0"/>
        <w:autoSpaceDN w:val="0"/>
        <w:adjustRightInd w:val="0"/>
        <w:spacing w:before="240" w:after="120"/>
        <w:rPr>
          <w:rFonts w:ascii="Arial" w:hAnsi="Arial" w:cs="Arial"/>
          <w:color w:val="000000"/>
          <w:shd w:val="clear" w:color="auto" w:fill="FFFFFF"/>
        </w:rPr>
      </w:pPr>
      <w:r w:rsidRPr="00B73AEA">
        <w:rPr>
          <w:rFonts w:ascii="Arial" w:hAnsi="Arial" w:cs="Arial"/>
          <w:color w:val="000000"/>
          <w:shd w:val="clear" w:color="auto" w:fill="FFFFFF"/>
        </w:rPr>
        <w:t xml:space="preserve">Recommendation 23 (k) of the SAPR Report recommends amending section 80D of the </w:t>
      </w:r>
      <w:r w:rsidRPr="00B73AEA">
        <w:rPr>
          <w:rFonts w:ascii="Arial" w:hAnsi="Arial" w:cs="Arial"/>
          <w:i/>
          <w:iCs/>
          <w:color w:val="000000"/>
          <w:shd w:val="clear" w:color="auto" w:fill="FFFFFF"/>
        </w:rPr>
        <w:t>Evidence (Miscellaneous Provisions) Act 1991</w:t>
      </w:r>
      <w:r w:rsidRPr="00B73AEA">
        <w:rPr>
          <w:rFonts w:ascii="Arial" w:hAnsi="Arial" w:cs="Arial"/>
          <w:color w:val="000000"/>
          <w:shd w:val="clear" w:color="auto" w:fill="FFFFFF"/>
        </w:rPr>
        <w:t xml:space="preserve"> to ensure that in a sexual offence proceeding, the jury must consider whether the defendant’s mistaken belief as to consent was reasonable in the circumstances. </w:t>
      </w:r>
    </w:p>
    <w:p w14:paraId="57ED76C3" w14:textId="77777777" w:rsidR="00BD4F68" w:rsidRPr="00B73AEA" w:rsidRDefault="00BD4F68" w:rsidP="00BD4F68">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t>The Bill omits s</w:t>
      </w:r>
      <w:r w:rsidRPr="00B73AEA">
        <w:rPr>
          <w:rFonts w:ascii="Arial" w:hAnsi="Arial" w:cs="Arial"/>
          <w:color w:val="000000"/>
          <w:shd w:val="clear" w:color="auto" w:fill="FFFFFF"/>
        </w:rPr>
        <w:t xml:space="preserve">ection 80D of the </w:t>
      </w:r>
      <w:r w:rsidRPr="00B73AEA">
        <w:rPr>
          <w:rFonts w:ascii="Arial" w:hAnsi="Arial" w:cs="Arial"/>
          <w:i/>
          <w:iCs/>
          <w:color w:val="000000"/>
          <w:shd w:val="clear" w:color="auto" w:fill="FFFFFF"/>
        </w:rPr>
        <w:t>Evidence (Miscellaneous Provisions) Act 1991</w:t>
      </w:r>
      <w:r w:rsidRPr="00B73AEA">
        <w:rPr>
          <w:rFonts w:ascii="Arial" w:hAnsi="Arial" w:cs="Arial"/>
          <w:color w:val="000000"/>
          <w:shd w:val="clear" w:color="auto" w:fill="FFFFFF"/>
        </w:rPr>
        <w:t xml:space="preserve"> </w:t>
      </w:r>
      <w:r>
        <w:rPr>
          <w:rFonts w:ascii="Arial" w:hAnsi="Arial" w:cs="Arial"/>
          <w:color w:val="000000"/>
          <w:shd w:val="clear" w:color="auto" w:fill="FFFFFF"/>
        </w:rPr>
        <w:t xml:space="preserve">noting it </w:t>
      </w:r>
      <w:r w:rsidRPr="00B73AEA">
        <w:rPr>
          <w:rFonts w:ascii="Arial" w:hAnsi="Arial" w:cs="Arial"/>
          <w:color w:val="000000"/>
          <w:shd w:val="clear" w:color="auto" w:fill="FFFFFF"/>
        </w:rPr>
        <w:t xml:space="preserve">is at odds with the recent amendment to section 67 (4) of the </w:t>
      </w:r>
      <w:r w:rsidRPr="00052196">
        <w:rPr>
          <w:rFonts w:ascii="Arial" w:hAnsi="Arial" w:cs="Arial"/>
          <w:i/>
          <w:iCs/>
          <w:color w:val="000000"/>
          <w:shd w:val="clear" w:color="auto" w:fill="FFFFFF"/>
        </w:rPr>
        <w:t>Crimes Act 1900</w:t>
      </w:r>
      <w:r>
        <w:rPr>
          <w:rFonts w:ascii="Arial" w:hAnsi="Arial" w:cs="Arial"/>
          <w:color w:val="000000"/>
          <w:shd w:val="clear" w:color="auto" w:fill="FFFFFF"/>
        </w:rPr>
        <w:t xml:space="preserve">, </w:t>
      </w:r>
      <w:r w:rsidRPr="00B73AEA">
        <w:rPr>
          <w:rFonts w:ascii="Arial" w:hAnsi="Arial" w:cs="Arial"/>
          <w:color w:val="000000"/>
          <w:shd w:val="clear" w:color="auto" w:fill="FFFFFF"/>
        </w:rPr>
        <w:t xml:space="preserve">made by the </w:t>
      </w:r>
      <w:r w:rsidRPr="00D26830">
        <w:rPr>
          <w:rFonts w:ascii="Arial" w:hAnsi="Arial" w:cs="Arial"/>
          <w:i/>
          <w:iCs/>
          <w:color w:val="000000"/>
          <w:shd w:val="clear" w:color="auto" w:fill="FFFFFF"/>
        </w:rPr>
        <w:t>Crimes (Consent) Amendment Act 2022</w:t>
      </w:r>
      <w:r>
        <w:rPr>
          <w:rFonts w:ascii="Arial" w:hAnsi="Arial" w:cs="Arial"/>
          <w:color w:val="000000"/>
          <w:shd w:val="clear" w:color="auto" w:fill="FFFFFF"/>
        </w:rPr>
        <w:t xml:space="preserve">. </w:t>
      </w:r>
    </w:p>
    <w:p w14:paraId="4BF1FDDE" w14:textId="77777777" w:rsidR="00BD4F68" w:rsidRDefault="00BD4F68" w:rsidP="00BD4F68">
      <w:pPr>
        <w:autoSpaceDE w:val="0"/>
        <w:autoSpaceDN w:val="0"/>
        <w:adjustRightInd w:val="0"/>
        <w:spacing w:before="240" w:after="120"/>
        <w:rPr>
          <w:rFonts w:ascii="Arial" w:hAnsi="Arial" w:cs="Arial"/>
          <w:color w:val="000000"/>
          <w:shd w:val="clear" w:color="auto" w:fill="FFFFFF"/>
        </w:rPr>
      </w:pPr>
      <w:r w:rsidRPr="00B73AEA">
        <w:rPr>
          <w:rFonts w:ascii="Arial" w:hAnsi="Arial" w:cs="Arial"/>
          <w:color w:val="000000"/>
          <w:shd w:val="clear" w:color="auto" w:fill="FFFFFF"/>
        </w:rPr>
        <w:t xml:space="preserve">Section 80D of the </w:t>
      </w:r>
      <w:r w:rsidRPr="00B73AEA">
        <w:rPr>
          <w:rFonts w:ascii="Arial" w:hAnsi="Arial" w:cs="Arial"/>
          <w:i/>
          <w:iCs/>
          <w:color w:val="000000"/>
          <w:shd w:val="clear" w:color="auto" w:fill="FFFFFF"/>
        </w:rPr>
        <w:t>Evidence (Miscellaneous Provisions) Act 1991</w:t>
      </w:r>
      <w:r w:rsidRPr="00B73AEA">
        <w:rPr>
          <w:rFonts w:ascii="Arial" w:hAnsi="Arial" w:cs="Arial"/>
          <w:color w:val="000000"/>
          <w:shd w:val="clear" w:color="auto" w:fill="FFFFFF"/>
        </w:rPr>
        <w:t xml:space="preserve"> provides that in a sexual offence proceeding, the judge must, in a relevant case, direct the jury that, in deciding whether the accused person was under a mistaken belief that a person consented to a sexual act, the jury </w:t>
      </w:r>
      <w:r w:rsidRPr="00CC1089">
        <w:rPr>
          <w:rFonts w:ascii="Arial" w:hAnsi="Arial" w:cs="Arial"/>
          <w:i/>
          <w:iCs/>
          <w:color w:val="000000"/>
          <w:shd w:val="clear" w:color="auto" w:fill="FFFFFF"/>
        </w:rPr>
        <w:t>may</w:t>
      </w:r>
      <w:r w:rsidRPr="00B73AEA">
        <w:rPr>
          <w:rFonts w:ascii="Arial" w:hAnsi="Arial" w:cs="Arial"/>
          <w:color w:val="000000"/>
          <w:shd w:val="clear" w:color="auto" w:fill="FFFFFF"/>
        </w:rPr>
        <w:t xml:space="preserve"> consider whether the belief was reasonable in the circumstances.</w:t>
      </w:r>
      <w:r>
        <w:rPr>
          <w:rFonts w:ascii="Arial" w:hAnsi="Arial" w:cs="Arial"/>
          <w:color w:val="000000"/>
          <w:shd w:val="clear" w:color="auto" w:fill="FFFFFF"/>
        </w:rPr>
        <w:t xml:space="preserve"> This is at odds with s</w:t>
      </w:r>
      <w:r w:rsidRPr="00B73AEA">
        <w:rPr>
          <w:rFonts w:ascii="Arial" w:hAnsi="Arial" w:cs="Arial"/>
          <w:color w:val="000000"/>
          <w:shd w:val="clear" w:color="auto" w:fill="FFFFFF"/>
        </w:rPr>
        <w:t xml:space="preserve">ection 67 (4) of the </w:t>
      </w:r>
      <w:r w:rsidRPr="00B73AEA">
        <w:rPr>
          <w:rFonts w:ascii="Arial" w:hAnsi="Arial" w:cs="Arial"/>
          <w:i/>
          <w:iCs/>
          <w:color w:val="000000"/>
          <w:shd w:val="clear" w:color="auto" w:fill="FFFFFF"/>
        </w:rPr>
        <w:t>Crimes Act 1900</w:t>
      </w:r>
      <w:r>
        <w:rPr>
          <w:rFonts w:ascii="Arial" w:hAnsi="Arial" w:cs="Arial"/>
          <w:color w:val="000000"/>
          <w:shd w:val="clear" w:color="auto" w:fill="FFFFFF"/>
        </w:rPr>
        <w:t xml:space="preserve"> which </w:t>
      </w:r>
      <w:r w:rsidRPr="00B73AEA">
        <w:rPr>
          <w:rFonts w:ascii="Arial" w:hAnsi="Arial" w:cs="Arial"/>
          <w:color w:val="000000"/>
          <w:shd w:val="clear" w:color="auto" w:fill="FFFFFF"/>
        </w:rPr>
        <w:t xml:space="preserve">provides that the jury </w:t>
      </w:r>
      <w:r>
        <w:rPr>
          <w:rFonts w:ascii="Arial" w:hAnsi="Arial" w:cs="Arial"/>
          <w:i/>
          <w:iCs/>
          <w:color w:val="000000"/>
          <w:shd w:val="clear" w:color="auto" w:fill="FFFFFF"/>
        </w:rPr>
        <w:t>must</w:t>
      </w:r>
      <w:r w:rsidRPr="00B73AEA">
        <w:rPr>
          <w:rFonts w:ascii="Arial" w:hAnsi="Arial" w:cs="Arial"/>
          <w:color w:val="000000"/>
          <w:shd w:val="clear" w:color="auto" w:fill="FFFFFF"/>
        </w:rPr>
        <w:t xml:space="preserve"> (rather than </w:t>
      </w:r>
      <w:r w:rsidRPr="00B73AEA">
        <w:rPr>
          <w:rFonts w:ascii="Arial" w:hAnsi="Arial" w:cs="Arial"/>
          <w:i/>
          <w:iCs/>
          <w:color w:val="000000"/>
          <w:shd w:val="clear" w:color="auto" w:fill="FFFFFF"/>
        </w:rPr>
        <w:t>may</w:t>
      </w:r>
      <w:r w:rsidRPr="00B73AEA">
        <w:rPr>
          <w:rFonts w:ascii="Arial" w:hAnsi="Arial" w:cs="Arial"/>
          <w:color w:val="000000"/>
          <w:shd w:val="clear" w:color="auto" w:fill="FFFFFF"/>
        </w:rPr>
        <w:t xml:space="preserve">) consider (as part of considering the fault element of consent) whether any belief the accused person has, or may have, that the other person consents to the act is not reasonable in the circumstances.  </w:t>
      </w:r>
    </w:p>
    <w:p w14:paraId="6831C1A0" w14:textId="7FCBC8B7" w:rsidR="00050818" w:rsidRPr="0016030E" w:rsidRDefault="00050818" w:rsidP="00220614">
      <w:pPr>
        <w:rPr>
          <w:rFonts w:ascii="Arial" w:hAnsi="Arial" w:cs="Arial"/>
          <w:i/>
          <w:iCs/>
          <w:szCs w:val="24"/>
          <w:u w:val="single"/>
        </w:rPr>
      </w:pPr>
      <w:r w:rsidRPr="00050818">
        <w:rPr>
          <w:rFonts w:ascii="Arial" w:hAnsi="Arial" w:cs="Arial"/>
          <w:szCs w:val="24"/>
          <w:u w:val="single"/>
        </w:rPr>
        <w:t xml:space="preserve">Redefining ‘sexual act’ following amendments </w:t>
      </w:r>
      <w:r w:rsidR="0016030E">
        <w:rPr>
          <w:rFonts w:ascii="Arial" w:hAnsi="Arial" w:cs="Arial"/>
          <w:szCs w:val="24"/>
          <w:u w:val="single"/>
        </w:rPr>
        <w:t>in</w:t>
      </w:r>
      <w:r w:rsidRPr="00050818">
        <w:rPr>
          <w:rFonts w:ascii="Arial" w:hAnsi="Arial" w:cs="Arial"/>
          <w:szCs w:val="24"/>
          <w:u w:val="single"/>
        </w:rPr>
        <w:t xml:space="preserve"> the </w:t>
      </w:r>
      <w:r w:rsidRPr="0016030E">
        <w:rPr>
          <w:rFonts w:ascii="Arial" w:hAnsi="Arial" w:cs="Arial"/>
          <w:i/>
          <w:iCs/>
          <w:szCs w:val="24"/>
          <w:u w:val="single"/>
        </w:rPr>
        <w:t>Crimes (Consent) Amendment Act 2022</w:t>
      </w:r>
    </w:p>
    <w:p w14:paraId="30BF4552" w14:textId="4015DC05" w:rsidR="00050818" w:rsidRDefault="00D67516" w:rsidP="00220614">
      <w:pPr>
        <w:rPr>
          <w:rFonts w:ascii="Arial" w:hAnsi="Arial" w:cs="Arial"/>
          <w:color w:val="000000"/>
          <w:shd w:val="clear" w:color="auto" w:fill="FFFFFF"/>
        </w:rPr>
      </w:pPr>
      <w:r>
        <w:rPr>
          <w:rFonts w:ascii="Arial" w:hAnsi="Arial" w:cs="Arial"/>
          <w:szCs w:val="24"/>
        </w:rPr>
        <w:t>Section 50C</w:t>
      </w:r>
      <w:r w:rsidRPr="00D67516">
        <w:rPr>
          <w:rFonts w:ascii="Arial" w:hAnsi="Arial" w:cs="Arial"/>
          <w:szCs w:val="24"/>
        </w:rPr>
        <w:t xml:space="preserve"> </w:t>
      </w:r>
      <w:r w:rsidR="00440F0F">
        <w:rPr>
          <w:rFonts w:ascii="Arial" w:hAnsi="Arial" w:cs="Arial"/>
          <w:szCs w:val="24"/>
        </w:rPr>
        <w:t xml:space="preserve">of the </w:t>
      </w:r>
      <w:r w:rsidR="00440F0F">
        <w:rPr>
          <w:rFonts w:ascii="Arial" w:hAnsi="Arial" w:cs="Arial"/>
          <w:i/>
          <w:iCs/>
          <w:szCs w:val="24"/>
        </w:rPr>
        <w:t xml:space="preserve">Crimes Act 1900 </w:t>
      </w:r>
      <w:r w:rsidR="00440F0F">
        <w:rPr>
          <w:rFonts w:ascii="Arial" w:hAnsi="Arial" w:cs="Arial"/>
          <w:szCs w:val="24"/>
        </w:rPr>
        <w:t>was introduced by the</w:t>
      </w:r>
      <w:r w:rsidRPr="00D67516">
        <w:rPr>
          <w:rFonts w:ascii="Arial" w:hAnsi="Arial" w:cs="Arial"/>
          <w:szCs w:val="24"/>
        </w:rPr>
        <w:t xml:space="preserve"> </w:t>
      </w:r>
      <w:r w:rsidR="00440F0F" w:rsidRPr="0016030E">
        <w:rPr>
          <w:rFonts w:ascii="Arial" w:hAnsi="Arial" w:cs="Arial"/>
          <w:i/>
          <w:iCs/>
          <w:color w:val="000000"/>
          <w:shd w:val="clear" w:color="auto" w:fill="FFFFFF"/>
        </w:rPr>
        <w:t>Crimes (Consent) Amendment Act 2022</w:t>
      </w:r>
      <w:r w:rsidR="00440F0F">
        <w:rPr>
          <w:rFonts w:ascii="Arial" w:hAnsi="Arial" w:cs="Arial"/>
          <w:color w:val="000000"/>
          <w:shd w:val="clear" w:color="auto" w:fill="FFFFFF"/>
        </w:rPr>
        <w:t xml:space="preserve">. Section 50C currently provides that a ‘sexual act’ means sexual intercourse; sexual touching; and </w:t>
      </w:r>
      <w:r w:rsidR="00440F0F" w:rsidRPr="00440F0F">
        <w:rPr>
          <w:rFonts w:ascii="Arial" w:hAnsi="Arial" w:cs="Arial"/>
          <w:color w:val="000000"/>
          <w:shd w:val="clear" w:color="auto" w:fill="FFFFFF"/>
        </w:rPr>
        <w:t xml:space="preserve">any other act in circumstances where a </w:t>
      </w:r>
      <w:r w:rsidR="00440F0F" w:rsidRPr="00440F0F">
        <w:rPr>
          <w:rFonts w:ascii="Arial" w:hAnsi="Arial" w:cs="Arial"/>
          <w:color w:val="000000"/>
          <w:shd w:val="clear" w:color="auto" w:fill="FFFFFF"/>
        </w:rPr>
        <w:lastRenderedPageBreak/>
        <w:t>reasonable person would consider the act to be sexual</w:t>
      </w:r>
      <w:r w:rsidR="00440F0F">
        <w:rPr>
          <w:rFonts w:ascii="Arial" w:hAnsi="Arial" w:cs="Arial"/>
          <w:color w:val="000000"/>
          <w:shd w:val="clear" w:color="auto" w:fill="FFFFFF"/>
        </w:rPr>
        <w:t xml:space="preserve">. ‘Sexual act’ </w:t>
      </w:r>
      <w:r w:rsidR="00440F0F" w:rsidRPr="00440F0F">
        <w:rPr>
          <w:rFonts w:ascii="Arial" w:hAnsi="Arial" w:cs="Arial"/>
          <w:color w:val="000000"/>
          <w:shd w:val="clear" w:color="auto" w:fill="FFFFFF"/>
        </w:rPr>
        <w:t>does not include an act carried out for a proper medical purpose or otherwise authorised by law</w:t>
      </w:r>
      <w:r w:rsidR="00440F0F">
        <w:rPr>
          <w:rFonts w:ascii="Arial" w:hAnsi="Arial" w:cs="Arial"/>
          <w:color w:val="000000"/>
          <w:shd w:val="clear" w:color="auto" w:fill="FFFFFF"/>
        </w:rPr>
        <w:t xml:space="preserve">. </w:t>
      </w:r>
    </w:p>
    <w:p w14:paraId="73E87FF9" w14:textId="686F069B" w:rsidR="00440F0F" w:rsidRDefault="00440F0F" w:rsidP="00220614">
      <w:pPr>
        <w:rPr>
          <w:rFonts w:ascii="Arial" w:hAnsi="Arial" w:cs="Arial"/>
          <w:color w:val="000000"/>
          <w:shd w:val="clear" w:color="auto" w:fill="FFFFFF"/>
        </w:rPr>
      </w:pPr>
      <w:r w:rsidRPr="00440F0F">
        <w:rPr>
          <w:rFonts w:ascii="Arial" w:hAnsi="Arial" w:cs="Arial"/>
          <w:color w:val="000000"/>
          <w:shd w:val="clear" w:color="auto" w:fill="FFFFFF"/>
        </w:rPr>
        <w:t>While proposed section 50C defines ‘sexual touching’, reliance on this term and definition may create doubt as to whether ‘sexual touching’ is intended to include an ‘act of indecency’ (which relies on a common law definition).</w:t>
      </w:r>
      <w:r>
        <w:rPr>
          <w:rFonts w:ascii="Arial" w:hAnsi="Arial" w:cs="Arial"/>
          <w:color w:val="000000"/>
          <w:shd w:val="clear" w:color="auto" w:fill="FFFFFF"/>
        </w:rPr>
        <w:t xml:space="preserve"> </w:t>
      </w:r>
      <w:r w:rsidRPr="00440F0F">
        <w:rPr>
          <w:rFonts w:ascii="Arial" w:hAnsi="Arial" w:cs="Arial"/>
          <w:color w:val="000000"/>
          <w:shd w:val="clear" w:color="auto" w:fill="FFFFFF"/>
        </w:rPr>
        <w:t xml:space="preserve">There </w:t>
      </w:r>
      <w:r>
        <w:rPr>
          <w:rFonts w:ascii="Arial" w:hAnsi="Arial" w:cs="Arial"/>
          <w:color w:val="000000"/>
          <w:shd w:val="clear" w:color="auto" w:fill="FFFFFF"/>
        </w:rPr>
        <w:t>is</w:t>
      </w:r>
      <w:r w:rsidRPr="00440F0F">
        <w:rPr>
          <w:rFonts w:ascii="Arial" w:hAnsi="Arial" w:cs="Arial"/>
          <w:color w:val="000000"/>
          <w:shd w:val="clear" w:color="auto" w:fill="FFFFFF"/>
        </w:rPr>
        <w:t xml:space="preserve"> </w:t>
      </w:r>
      <w:r>
        <w:rPr>
          <w:rFonts w:ascii="Arial" w:hAnsi="Arial" w:cs="Arial"/>
          <w:color w:val="000000"/>
          <w:shd w:val="clear" w:color="auto" w:fill="FFFFFF"/>
        </w:rPr>
        <w:t>also a</w:t>
      </w:r>
      <w:r w:rsidRPr="00440F0F">
        <w:rPr>
          <w:rFonts w:ascii="Arial" w:hAnsi="Arial" w:cs="Arial"/>
          <w:color w:val="000000"/>
          <w:shd w:val="clear" w:color="auto" w:fill="FFFFFF"/>
        </w:rPr>
        <w:t xml:space="preserve"> risk of uncertainty as to whether the definition of ‘sexual touching’ in section 50C (3) is intended to legislatively capture the definition of an ‘act of indecency’. This is of particular concern as an act of indecency without consent (section 60) and the defence to an act of indecency with a young person (section 61 (</w:t>
      </w:r>
      <w:r w:rsidR="00693FF1">
        <w:rPr>
          <w:rFonts w:ascii="Arial" w:hAnsi="Arial" w:cs="Arial"/>
          <w:color w:val="000000"/>
          <w:shd w:val="clear" w:color="auto" w:fill="FFFFFF"/>
        </w:rPr>
        <w:t>5</w:t>
      </w:r>
      <w:r w:rsidRPr="00440F0F">
        <w:rPr>
          <w:rFonts w:ascii="Arial" w:hAnsi="Arial" w:cs="Arial"/>
          <w:color w:val="000000"/>
          <w:shd w:val="clear" w:color="auto" w:fill="FFFFFF"/>
        </w:rPr>
        <w:t xml:space="preserve">) (b)) are both considered ‘sexual offence consent provisions’ in section 67 (6) of the </w:t>
      </w:r>
      <w:r w:rsidRPr="00440F0F">
        <w:rPr>
          <w:rFonts w:ascii="Arial" w:hAnsi="Arial" w:cs="Arial"/>
          <w:i/>
          <w:iCs/>
          <w:color w:val="000000"/>
          <w:shd w:val="clear" w:color="auto" w:fill="FFFFFF"/>
        </w:rPr>
        <w:t>Crimes Act 1900</w:t>
      </w:r>
      <w:r w:rsidRPr="00440F0F">
        <w:rPr>
          <w:rFonts w:ascii="Arial" w:hAnsi="Arial" w:cs="Arial"/>
          <w:color w:val="000000"/>
          <w:shd w:val="clear" w:color="auto" w:fill="FFFFFF"/>
        </w:rPr>
        <w:t>.</w:t>
      </w:r>
    </w:p>
    <w:p w14:paraId="00F44F28" w14:textId="2879BC16" w:rsidR="00440F0F" w:rsidRDefault="00195035" w:rsidP="00220614">
      <w:pPr>
        <w:rPr>
          <w:rFonts w:ascii="Arial" w:hAnsi="Arial" w:cs="Arial"/>
          <w:szCs w:val="24"/>
        </w:rPr>
      </w:pPr>
      <w:r w:rsidRPr="00D77CD0">
        <w:rPr>
          <w:rFonts w:ascii="Arial" w:hAnsi="Arial" w:cs="Arial"/>
          <w:color w:val="000000"/>
          <w:shd w:val="clear" w:color="auto" w:fill="FFFFFF"/>
        </w:rPr>
        <w:t xml:space="preserve">The Bill amends the </w:t>
      </w:r>
      <w:r w:rsidRPr="00D77CD0">
        <w:rPr>
          <w:rFonts w:ascii="Arial" w:hAnsi="Arial" w:cs="Arial"/>
          <w:i/>
          <w:iCs/>
          <w:szCs w:val="24"/>
        </w:rPr>
        <w:t xml:space="preserve">Crimes Act 1900 </w:t>
      </w:r>
      <w:r w:rsidRPr="00D77CD0">
        <w:rPr>
          <w:rFonts w:ascii="Arial" w:hAnsi="Arial" w:cs="Arial"/>
          <w:szCs w:val="24"/>
        </w:rPr>
        <w:t xml:space="preserve">to </w:t>
      </w:r>
      <w:r w:rsidR="00307FA0" w:rsidRPr="00D77CD0">
        <w:rPr>
          <w:rFonts w:ascii="Arial" w:hAnsi="Arial" w:cs="Arial"/>
          <w:szCs w:val="24"/>
        </w:rPr>
        <w:t>substitute</w:t>
      </w:r>
      <w:r w:rsidRPr="00D77CD0">
        <w:rPr>
          <w:rFonts w:ascii="Arial" w:hAnsi="Arial" w:cs="Arial"/>
          <w:szCs w:val="24"/>
        </w:rPr>
        <w:t xml:space="preserve"> ‘sexual touching’ with ‘an act of indecency’ in section 50C. </w:t>
      </w:r>
      <w:r w:rsidR="00307FA0" w:rsidRPr="00D77CD0">
        <w:rPr>
          <w:rFonts w:ascii="Arial" w:hAnsi="Arial" w:cs="Arial"/>
          <w:szCs w:val="24"/>
        </w:rPr>
        <w:t xml:space="preserve">Prescribing ‘an act of indecency’ as an example of a ‘sexual act’ would clarify that </w:t>
      </w:r>
      <w:r w:rsidR="00DB589F" w:rsidRPr="00D77CD0">
        <w:rPr>
          <w:rFonts w:ascii="Arial" w:hAnsi="Arial" w:cs="Arial"/>
          <w:szCs w:val="24"/>
        </w:rPr>
        <w:t>relevant sexual offence consent provisions including those relating to an act of indecency in sections 60 and 61</w:t>
      </w:r>
      <w:r w:rsidR="00693FF1" w:rsidRPr="00D77CD0">
        <w:rPr>
          <w:rFonts w:ascii="Arial" w:hAnsi="Arial" w:cs="Arial"/>
          <w:szCs w:val="24"/>
        </w:rPr>
        <w:t xml:space="preserve"> (5) (b)</w:t>
      </w:r>
      <w:r w:rsidR="00DB589F" w:rsidRPr="00D77CD0">
        <w:rPr>
          <w:rFonts w:ascii="Arial" w:hAnsi="Arial" w:cs="Arial"/>
          <w:szCs w:val="24"/>
        </w:rPr>
        <w:t xml:space="preserve"> of the </w:t>
      </w:r>
      <w:r w:rsidR="00DB589F" w:rsidRPr="00D77CD0">
        <w:rPr>
          <w:rFonts w:ascii="Arial" w:hAnsi="Arial" w:cs="Arial"/>
          <w:i/>
          <w:iCs/>
          <w:szCs w:val="24"/>
        </w:rPr>
        <w:t>Crimes Act 1900</w:t>
      </w:r>
      <w:r w:rsidR="00E904A7" w:rsidRPr="00D77CD0">
        <w:rPr>
          <w:rFonts w:ascii="Arial" w:hAnsi="Arial" w:cs="Arial"/>
          <w:color w:val="000000"/>
          <w:shd w:val="clear" w:color="auto" w:fill="FFFFFF"/>
        </w:rPr>
        <w:t xml:space="preserve"> </w:t>
      </w:r>
      <w:r w:rsidR="00307FA0" w:rsidRPr="00D77CD0">
        <w:rPr>
          <w:rFonts w:ascii="Arial" w:hAnsi="Arial" w:cs="Arial"/>
          <w:szCs w:val="24"/>
        </w:rPr>
        <w:t xml:space="preserve">must be considered </w:t>
      </w:r>
      <w:r w:rsidR="006E28DA" w:rsidRPr="00D77CD0">
        <w:rPr>
          <w:rFonts w:ascii="Arial" w:hAnsi="Arial" w:cs="Arial"/>
          <w:szCs w:val="24"/>
        </w:rPr>
        <w:t>in accordance</w:t>
      </w:r>
      <w:r w:rsidR="00307FA0" w:rsidRPr="00D77CD0">
        <w:rPr>
          <w:rFonts w:ascii="Arial" w:hAnsi="Arial" w:cs="Arial"/>
          <w:szCs w:val="24"/>
        </w:rPr>
        <w:t xml:space="preserve"> with section 67 which prescribes </w:t>
      </w:r>
      <w:r w:rsidR="006E28DA" w:rsidRPr="00D77CD0">
        <w:rPr>
          <w:rFonts w:ascii="Arial" w:hAnsi="Arial" w:cs="Arial"/>
          <w:szCs w:val="24"/>
        </w:rPr>
        <w:t xml:space="preserve">the </w:t>
      </w:r>
      <w:r w:rsidR="00D93765" w:rsidRPr="00D77CD0">
        <w:rPr>
          <w:rFonts w:ascii="Arial" w:hAnsi="Arial" w:cs="Arial"/>
          <w:szCs w:val="24"/>
        </w:rPr>
        <w:t xml:space="preserve">additional fault element of consent: reasonable belief as to </w:t>
      </w:r>
      <w:r w:rsidR="006E28DA" w:rsidRPr="00D77CD0">
        <w:rPr>
          <w:rFonts w:ascii="Arial" w:hAnsi="Arial" w:cs="Arial"/>
          <w:szCs w:val="24"/>
        </w:rPr>
        <w:t>consent</w:t>
      </w:r>
      <w:r w:rsidR="00307FA0" w:rsidRPr="00D77CD0">
        <w:rPr>
          <w:rFonts w:ascii="Arial" w:hAnsi="Arial" w:cs="Arial"/>
          <w:szCs w:val="24"/>
        </w:rPr>
        <w:t xml:space="preserve">. </w:t>
      </w:r>
      <w:r w:rsidR="00F14039" w:rsidRPr="00D77CD0">
        <w:rPr>
          <w:rFonts w:ascii="Arial" w:hAnsi="Arial" w:cs="Arial"/>
          <w:szCs w:val="24"/>
        </w:rPr>
        <w:t>This</w:t>
      </w:r>
      <w:r w:rsidR="00307FA0" w:rsidRPr="00D77CD0">
        <w:rPr>
          <w:rFonts w:ascii="Arial" w:hAnsi="Arial" w:cs="Arial"/>
          <w:szCs w:val="24"/>
        </w:rPr>
        <w:t xml:space="preserve"> give</w:t>
      </w:r>
      <w:r w:rsidR="00951EE4" w:rsidRPr="00D77CD0">
        <w:rPr>
          <w:rFonts w:ascii="Arial" w:hAnsi="Arial" w:cs="Arial"/>
          <w:szCs w:val="24"/>
        </w:rPr>
        <w:t>s</w:t>
      </w:r>
      <w:r w:rsidR="00307FA0" w:rsidRPr="00D77CD0">
        <w:rPr>
          <w:rFonts w:ascii="Arial" w:hAnsi="Arial" w:cs="Arial"/>
          <w:szCs w:val="24"/>
        </w:rPr>
        <w:t xml:space="preserve"> effect to the intent of the recent amendments made by the </w:t>
      </w:r>
      <w:r w:rsidR="00307FA0" w:rsidRPr="00D77CD0">
        <w:rPr>
          <w:rFonts w:ascii="Arial" w:hAnsi="Arial" w:cs="Arial"/>
          <w:i/>
          <w:iCs/>
          <w:color w:val="000000"/>
          <w:shd w:val="clear" w:color="auto" w:fill="FFFFFF"/>
        </w:rPr>
        <w:t xml:space="preserve">Crimes (Consent) Amendment Act 2022 </w:t>
      </w:r>
      <w:r w:rsidR="00307FA0" w:rsidRPr="00D77CD0">
        <w:rPr>
          <w:rFonts w:ascii="Arial" w:hAnsi="Arial" w:cs="Arial"/>
          <w:szCs w:val="24"/>
        </w:rPr>
        <w:t>which introduce the principle that consent to a sexual act is informed agreement that must be (a) freely and voluntarily given; and (b) communicated by saying or doing something.</w:t>
      </w:r>
    </w:p>
    <w:p w14:paraId="0F6AAC2E" w14:textId="76B1EDFB" w:rsidR="00702566" w:rsidRPr="00050F68" w:rsidRDefault="00050F68" w:rsidP="00214EAF">
      <w:pPr>
        <w:pStyle w:val="Heading2"/>
        <w:spacing w:after="120"/>
        <w:rPr>
          <w:rFonts w:ascii="Arial" w:hAnsi="Arial" w:cs="Arial"/>
          <w:szCs w:val="24"/>
          <w:u w:val="none"/>
        </w:rPr>
      </w:pPr>
      <w:bookmarkStart w:id="15" w:name="_Toc114051956"/>
      <w:r>
        <w:rPr>
          <w:rFonts w:ascii="Arial" w:hAnsi="Arial" w:cs="Arial"/>
          <w:szCs w:val="24"/>
          <w:u w:val="none"/>
        </w:rPr>
        <w:t>CONSISTENCY WITH HUMAN RIGHTS</w:t>
      </w:r>
      <w:bookmarkEnd w:id="15"/>
    </w:p>
    <w:p w14:paraId="0F1E1A43" w14:textId="5AE44A49" w:rsidR="00F37F7A" w:rsidDel="00BD5C3E" w:rsidRDefault="001F3C34" w:rsidP="00A363CB">
      <w:pPr>
        <w:autoSpaceDE w:val="0"/>
        <w:autoSpaceDN w:val="0"/>
        <w:adjustRightInd w:val="0"/>
        <w:spacing w:before="240" w:after="120"/>
        <w:rPr>
          <w:rFonts w:ascii="Arial" w:hAnsi="Arial" w:cs="Arial"/>
          <w:szCs w:val="24"/>
        </w:rPr>
      </w:pPr>
      <w:r w:rsidDel="00BD5C3E">
        <w:rPr>
          <w:rFonts w:ascii="Arial" w:hAnsi="Arial" w:cs="Arial"/>
          <w:color w:val="000000"/>
          <w:shd w:val="clear" w:color="auto" w:fill="FFFFFF"/>
        </w:rPr>
        <w:t xml:space="preserve">During the development of this Bill due regard was given to its compatibility with </w:t>
      </w:r>
      <w:r w:rsidR="00CD20EB">
        <w:rPr>
          <w:rFonts w:ascii="Arial" w:hAnsi="Arial" w:cs="Arial"/>
          <w:color w:val="000000"/>
          <w:shd w:val="clear" w:color="auto" w:fill="FFFFFF"/>
        </w:rPr>
        <w:t>h</w:t>
      </w:r>
      <w:r w:rsidDel="00BD5C3E">
        <w:rPr>
          <w:rFonts w:ascii="Arial" w:hAnsi="Arial" w:cs="Arial"/>
          <w:color w:val="000000"/>
          <w:shd w:val="clear" w:color="auto" w:fill="FFFFFF"/>
        </w:rPr>
        <w:t>uman rights as set out in the </w:t>
      </w:r>
      <w:r w:rsidDel="00BD5C3E">
        <w:rPr>
          <w:rFonts w:ascii="Arial" w:hAnsi="Arial" w:cs="Arial"/>
          <w:i/>
          <w:iCs/>
          <w:color w:val="000000"/>
          <w:shd w:val="clear" w:color="auto" w:fill="FFFFFF"/>
        </w:rPr>
        <w:t>Human Rights Act 2004</w:t>
      </w:r>
      <w:r w:rsidDel="00BD5C3E">
        <w:rPr>
          <w:rFonts w:ascii="Arial" w:hAnsi="Arial" w:cs="Arial"/>
          <w:color w:val="000000"/>
          <w:shd w:val="clear" w:color="auto" w:fill="FFFFFF"/>
        </w:rPr>
        <w:t> (the HR Act). </w:t>
      </w:r>
    </w:p>
    <w:p w14:paraId="07DCB479" w14:textId="32646B34" w:rsidR="001E4E37" w:rsidRPr="00050F68" w:rsidRDefault="001E4E37" w:rsidP="001E4E37">
      <w:pPr>
        <w:tabs>
          <w:tab w:val="left" w:pos="2160"/>
        </w:tabs>
        <w:autoSpaceDE w:val="0"/>
        <w:autoSpaceDN w:val="0"/>
        <w:adjustRightInd w:val="0"/>
        <w:spacing w:before="240" w:after="120"/>
        <w:rPr>
          <w:rFonts w:ascii="Arial" w:hAnsi="Arial" w:cs="Arial"/>
          <w:b/>
          <w:szCs w:val="24"/>
        </w:rPr>
      </w:pPr>
      <w:r w:rsidRPr="00050F68">
        <w:rPr>
          <w:rFonts w:ascii="Arial" w:hAnsi="Arial" w:cs="Arial"/>
          <w:b/>
          <w:szCs w:val="24"/>
        </w:rPr>
        <w:t>Rights Promoted</w:t>
      </w:r>
      <w:r w:rsidRPr="00050F68">
        <w:rPr>
          <w:rFonts w:ascii="Arial" w:hAnsi="Arial" w:cs="Arial"/>
          <w:b/>
          <w:szCs w:val="24"/>
        </w:rPr>
        <w:tab/>
      </w:r>
    </w:p>
    <w:p w14:paraId="2C72C18F" w14:textId="3980823A" w:rsidR="000C2A15" w:rsidRDefault="00BD5C3E" w:rsidP="00BD5C3E">
      <w:pPr>
        <w:autoSpaceDE w:val="0"/>
        <w:autoSpaceDN w:val="0"/>
        <w:adjustRightInd w:val="0"/>
        <w:spacing w:before="240" w:after="120"/>
        <w:rPr>
          <w:rFonts w:ascii="Arial" w:hAnsi="Arial" w:cs="Arial"/>
          <w:szCs w:val="24"/>
        </w:rPr>
      </w:pPr>
      <w:r w:rsidDel="00BD5C3E">
        <w:rPr>
          <w:rFonts w:ascii="Arial" w:hAnsi="Arial" w:cs="Arial"/>
          <w:szCs w:val="24"/>
        </w:rPr>
        <w:t xml:space="preserve">Sexual violence </w:t>
      </w:r>
      <w:r>
        <w:rPr>
          <w:rFonts w:ascii="Arial" w:hAnsi="Arial" w:cs="Arial"/>
          <w:szCs w:val="24"/>
        </w:rPr>
        <w:t>is a</w:t>
      </w:r>
      <w:r w:rsidDel="00BD5C3E">
        <w:rPr>
          <w:rFonts w:ascii="Arial" w:hAnsi="Arial" w:cs="Arial"/>
          <w:szCs w:val="24"/>
        </w:rPr>
        <w:t xml:space="preserve"> serious and significant issue across the ACT and Australia, with devastating impacts on the victims, their families and communities. The SAPR Report </w:t>
      </w:r>
      <w:r>
        <w:rPr>
          <w:rFonts w:ascii="Arial" w:hAnsi="Arial" w:cs="Arial"/>
          <w:szCs w:val="24"/>
        </w:rPr>
        <w:t>revealed that</w:t>
      </w:r>
      <w:r w:rsidDel="00BD5C3E">
        <w:rPr>
          <w:rFonts w:ascii="Arial" w:hAnsi="Arial" w:cs="Arial"/>
          <w:szCs w:val="24"/>
        </w:rPr>
        <w:t xml:space="preserve"> many victim-survivors feel as though the ACT system has failed them</w:t>
      </w:r>
      <w:r w:rsidR="0016030E">
        <w:rPr>
          <w:rFonts w:ascii="Arial" w:hAnsi="Arial" w:cs="Arial"/>
          <w:szCs w:val="24"/>
        </w:rPr>
        <w:t xml:space="preserve">. The </w:t>
      </w:r>
      <w:r w:rsidDel="00BD5C3E">
        <w:rPr>
          <w:rFonts w:ascii="Arial" w:hAnsi="Arial" w:cs="Arial"/>
          <w:szCs w:val="24"/>
        </w:rPr>
        <w:t xml:space="preserve">recommendations </w:t>
      </w:r>
      <w:r w:rsidR="0016030E">
        <w:rPr>
          <w:rFonts w:ascii="Arial" w:hAnsi="Arial" w:cs="Arial"/>
          <w:szCs w:val="24"/>
        </w:rPr>
        <w:t xml:space="preserve">in the Report focus on </w:t>
      </w:r>
      <w:r w:rsidDel="00BD5C3E">
        <w:rPr>
          <w:rFonts w:ascii="Arial" w:hAnsi="Arial" w:cs="Arial"/>
          <w:szCs w:val="24"/>
        </w:rPr>
        <w:t xml:space="preserve">how the ACT can better respond to victims of sexual assault and sexual abuse, to support better outcomes </w:t>
      </w:r>
      <w:r w:rsidRPr="0045547F" w:rsidDel="00BD5C3E">
        <w:rPr>
          <w:rFonts w:ascii="Arial" w:hAnsi="Arial" w:cs="Arial"/>
          <w:szCs w:val="24"/>
        </w:rPr>
        <w:t xml:space="preserve">and </w:t>
      </w:r>
      <w:r w:rsidR="0016030E">
        <w:rPr>
          <w:rFonts w:ascii="Arial" w:hAnsi="Arial" w:cs="Arial"/>
          <w:szCs w:val="24"/>
        </w:rPr>
        <w:t>promote</w:t>
      </w:r>
      <w:r w:rsidRPr="0045547F" w:rsidDel="00BD5C3E">
        <w:rPr>
          <w:rFonts w:ascii="Arial" w:hAnsi="Arial" w:cs="Arial"/>
          <w:szCs w:val="24"/>
        </w:rPr>
        <w:t xml:space="preserve"> cultural and society change of views on sexual </w:t>
      </w:r>
      <w:r w:rsidR="00F22CB5">
        <w:rPr>
          <w:rFonts w:ascii="Arial" w:hAnsi="Arial" w:cs="Arial"/>
          <w:szCs w:val="24"/>
        </w:rPr>
        <w:t>violence</w:t>
      </w:r>
      <w:r w:rsidRPr="0045547F" w:rsidDel="00BD5C3E">
        <w:rPr>
          <w:rFonts w:ascii="Arial" w:hAnsi="Arial" w:cs="Arial"/>
          <w:szCs w:val="24"/>
        </w:rPr>
        <w:t xml:space="preserve">. </w:t>
      </w:r>
    </w:p>
    <w:p w14:paraId="50190C0D" w14:textId="28F2CD17" w:rsidR="00290075" w:rsidRPr="00050F68" w:rsidRDefault="00290075" w:rsidP="00290075">
      <w:pPr>
        <w:autoSpaceDE w:val="0"/>
        <w:autoSpaceDN w:val="0"/>
        <w:adjustRightInd w:val="0"/>
        <w:spacing w:before="240" w:after="120"/>
        <w:rPr>
          <w:rFonts w:ascii="Arial" w:hAnsi="Arial" w:cs="Arial"/>
          <w:bCs/>
          <w:szCs w:val="24"/>
        </w:rPr>
      </w:pPr>
      <w:r w:rsidRPr="00050F68">
        <w:rPr>
          <w:rFonts w:ascii="Arial" w:hAnsi="Arial" w:cs="Arial"/>
          <w:bCs/>
          <w:szCs w:val="24"/>
        </w:rPr>
        <w:t>Broadly, the Bill engages</w:t>
      </w:r>
      <w:r>
        <w:rPr>
          <w:rFonts w:ascii="Arial" w:hAnsi="Arial" w:cs="Arial"/>
          <w:bCs/>
          <w:szCs w:val="24"/>
        </w:rPr>
        <w:t xml:space="preserve"> and promotes</w:t>
      </w:r>
      <w:r w:rsidRPr="00050F68">
        <w:rPr>
          <w:rFonts w:ascii="Arial" w:hAnsi="Arial" w:cs="Arial"/>
          <w:bCs/>
          <w:szCs w:val="24"/>
        </w:rPr>
        <w:t xml:space="preserve"> the following </w:t>
      </w:r>
      <w:r>
        <w:rPr>
          <w:rFonts w:ascii="Arial" w:hAnsi="Arial" w:cs="Arial"/>
          <w:bCs/>
          <w:szCs w:val="24"/>
        </w:rPr>
        <w:t>HR Act</w:t>
      </w:r>
      <w:r w:rsidRPr="00050F68">
        <w:rPr>
          <w:rFonts w:ascii="Arial" w:hAnsi="Arial" w:cs="Arial"/>
          <w:bCs/>
          <w:szCs w:val="24"/>
        </w:rPr>
        <w:t xml:space="preserve"> rights: </w:t>
      </w:r>
    </w:p>
    <w:p w14:paraId="72606901" w14:textId="77A64A6C" w:rsidR="00020105" w:rsidRDefault="00020105" w:rsidP="00290075">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Section 8 – Right to equality and non-discrimination</w:t>
      </w:r>
      <w:r w:rsidR="005C6E37">
        <w:rPr>
          <w:rFonts w:ascii="Arial" w:hAnsi="Arial" w:cs="Arial"/>
          <w:bCs/>
          <w:szCs w:val="24"/>
        </w:rPr>
        <w:t>;</w:t>
      </w:r>
    </w:p>
    <w:p w14:paraId="6BF03E23" w14:textId="310D9D83" w:rsidR="00290075" w:rsidRPr="009E2E39" w:rsidRDefault="00290075" w:rsidP="00290075">
      <w:pPr>
        <w:numPr>
          <w:ilvl w:val="0"/>
          <w:numId w:val="2"/>
        </w:numPr>
        <w:autoSpaceDE w:val="0"/>
        <w:autoSpaceDN w:val="0"/>
        <w:adjustRightInd w:val="0"/>
        <w:spacing w:before="240" w:after="120"/>
        <w:rPr>
          <w:rFonts w:ascii="Arial" w:hAnsi="Arial" w:cs="Arial"/>
          <w:bCs/>
          <w:szCs w:val="24"/>
        </w:rPr>
      </w:pPr>
      <w:r w:rsidRPr="009E2E39">
        <w:rPr>
          <w:rFonts w:ascii="Arial" w:hAnsi="Arial" w:cs="Arial"/>
          <w:bCs/>
          <w:szCs w:val="24"/>
        </w:rPr>
        <w:t>Section 9 – Right to life;</w:t>
      </w:r>
    </w:p>
    <w:p w14:paraId="7A8CC8BC" w14:textId="2DD4D2DF" w:rsidR="00290075" w:rsidRPr="009E2E39" w:rsidRDefault="00290075" w:rsidP="00290075">
      <w:pPr>
        <w:numPr>
          <w:ilvl w:val="0"/>
          <w:numId w:val="2"/>
        </w:numPr>
        <w:autoSpaceDE w:val="0"/>
        <w:autoSpaceDN w:val="0"/>
        <w:adjustRightInd w:val="0"/>
        <w:spacing w:before="240" w:after="120"/>
        <w:rPr>
          <w:rFonts w:ascii="Arial" w:hAnsi="Arial" w:cs="Arial"/>
          <w:bCs/>
          <w:szCs w:val="24"/>
        </w:rPr>
      </w:pPr>
      <w:r w:rsidRPr="009E2E39">
        <w:rPr>
          <w:rFonts w:ascii="Arial" w:hAnsi="Arial" w:cs="Arial"/>
          <w:bCs/>
          <w:szCs w:val="24"/>
        </w:rPr>
        <w:t>Section 11 – Protection of family and children;</w:t>
      </w:r>
      <w:r w:rsidR="00872356">
        <w:rPr>
          <w:rFonts w:ascii="Arial" w:hAnsi="Arial" w:cs="Arial"/>
          <w:bCs/>
          <w:szCs w:val="24"/>
        </w:rPr>
        <w:t xml:space="preserve"> and</w:t>
      </w:r>
    </w:p>
    <w:p w14:paraId="324591D2" w14:textId="1EB91B17" w:rsidR="00290075" w:rsidRPr="009E2E39" w:rsidRDefault="00290075" w:rsidP="006C17B2">
      <w:pPr>
        <w:numPr>
          <w:ilvl w:val="0"/>
          <w:numId w:val="2"/>
        </w:numPr>
        <w:autoSpaceDE w:val="0"/>
        <w:autoSpaceDN w:val="0"/>
        <w:adjustRightInd w:val="0"/>
        <w:spacing w:before="240" w:after="120"/>
        <w:rPr>
          <w:rFonts w:ascii="Arial" w:hAnsi="Arial" w:cs="Arial"/>
          <w:bCs/>
          <w:szCs w:val="24"/>
        </w:rPr>
      </w:pPr>
      <w:r w:rsidRPr="009E2E39">
        <w:rPr>
          <w:rFonts w:ascii="Arial" w:hAnsi="Arial" w:cs="Arial"/>
          <w:bCs/>
          <w:szCs w:val="24"/>
        </w:rPr>
        <w:lastRenderedPageBreak/>
        <w:t>Section 18 – Right to liberty and security of person</w:t>
      </w:r>
      <w:r w:rsidR="00872356">
        <w:rPr>
          <w:rFonts w:ascii="Arial" w:hAnsi="Arial" w:cs="Arial"/>
          <w:bCs/>
          <w:szCs w:val="24"/>
        </w:rPr>
        <w:t>.</w:t>
      </w:r>
    </w:p>
    <w:p w14:paraId="2A71CE8C" w14:textId="41D3983D" w:rsidR="000C2A15" w:rsidRDefault="000C2A15" w:rsidP="00BD5C3E">
      <w:pPr>
        <w:autoSpaceDE w:val="0"/>
        <w:autoSpaceDN w:val="0"/>
        <w:adjustRightInd w:val="0"/>
        <w:spacing w:before="240" w:after="120"/>
        <w:rPr>
          <w:rFonts w:ascii="Arial" w:hAnsi="Arial" w:cs="Arial"/>
          <w:szCs w:val="24"/>
        </w:rPr>
      </w:pPr>
      <w:r w:rsidRPr="000C2A15">
        <w:rPr>
          <w:rFonts w:ascii="Arial" w:hAnsi="Arial" w:cs="Arial"/>
          <w:szCs w:val="24"/>
        </w:rPr>
        <w:t xml:space="preserve">The Bill introduces amendments that respond to changes in social and cultural norms about sexual violence and that reflect the severity of sexual violence offences and the harm caused to victim-survivors of sexual violence. </w:t>
      </w:r>
      <w:r w:rsidR="0016030E">
        <w:rPr>
          <w:rFonts w:ascii="Arial" w:hAnsi="Arial" w:cs="Arial"/>
          <w:szCs w:val="24"/>
        </w:rPr>
        <w:t>The amendments introduce measures</w:t>
      </w:r>
      <w:r w:rsidRPr="000C2A15">
        <w:rPr>
          <w:rFonts w:ascii="Arial" w:hAnsi="Arial" w:cs="Arial"/>
          <w:szCs w:val="24"/>
        </w:rPr>
        <w:t xml:space="preserve"> to support victim-survivors and the general community to feel safe about their participation, and be safe when participating, in a more trauma-informed criminal justice system.</w:t>
      </w:r>
    </w:p>
    <w:p w14:paraId="38BE942F" w14:textId="6D842164" w:rsidR="001E4E37" w:rsidRPr="00050F68" w:rsidRDefault="000C2A15" w:rsidP="00EA6C3A">
      <w:pPr>
        <w:autoSpaceDE w:val="0"/>
        <w:autoSpaceDN w:val="0"/>
        <w:adjustRightInd w:val="0"/>
        <w:spacing w:before="240" w:after="120"/>
        <w:rPr>
          <w:rFonts w:ascii="Arial" w:hAnsi="Arial" w:cs="Arial"/>
          <w:bCs/>
          <w:szCs w:val="24"/>
        </w:rPr>
      </w:pPr>
      <w:r w:rsidRPr="000C2A15">
        <w:rPr>
          <w:rFonts w:ascii="Arial" w:hAnsi="Arial" w:cs="Arial"/>
          <w:szCs w:val="24"/>
        </w:rPr>
        <w:t xml:space="preserve">The Bill clarifies </w:t>
      </w:r>
      <w:r w:rsidR="00FC5B54">
        <w:rPr>
          <w:rFonts w:ascii="Arial" w:hAnsi="Arial" w:cs="Arial"/>
          <w:szCs w:val="24"/>
        </w:rPr>
        <w:t xml:space="preserve">the </w:t>
      </w:r>
      <w:r w:rsidRPr="000C2A15">
        <w:rPr>
          <w:rFonts w:ascii="Arial" w:hAnsi="Arial" w:cs="Arial"/>
          <w:szCs w:val="24"/>
        </w:rPr>
        <w:t>common law position of context evidence in legislation, introduces consistency across ACT legislation and makes amendments to further clarify expectations of consensual sexual activity following recent amendments to ACT consent law. It seeks to promote consistent and clear treatment under the law to improve victim-survivors’ engagement with the administration of justice and access to justice.</w:t>
      </w:r>
      <w:r w:rsidR="00563C7D" w:rsidRPr="00563C7D">
        <w:rPr>
          <w:rFonts w:ascii="Arial" w:hAnsi="Arial" w:cs="Arial"/>
        </w:rPr>
        <w:t xml:space="preserve"> </w:t>
      </w:r>
    </w:p>
    <w:p w14:paraId="296C4D18" w14:textId="659FF676" w:rsidR="00020105" w:rsidRDefault="00020105" w:rsidP="001E4E37">
      <w:pPr>
        <w:autoSpaceDE w:val="0"/>
        <w:autoSpaceDN w:val="0"/>
        <w:adjustRightInd w:val="0"/>
        <w:spacing w:before="240" w:after="120"/>
        <w:rPr>
          <w:rFonts w:ascii="Arial" w:hAnsi="Arial" w:cs="Arial"/>
        </w:rPr>
      </w:pPr>
      <w:r w:rsidRPr="00020105">
        <w:rPr>
          <w:rFonts w:ascii="Arial" w:hAnsi="Arial" w:cs="Arial"/>
        </w:rPr>
        <w:t xml:space="preserve">The right to equality and non-discrimination </w:t>
      </w:r>
      <w:r w:rsidR="00F71861">
        <w:rPr>
          <w:rFonts w:ascii="Arial" w:hAnsi="Arial" w:cs="Arial"/>
        </w:rPr>
        <w:t xml:space="preserve">(section 8 </w:t>
      </w:r>
      <w:r w:rsidRPr="00020105">
        <w:rPr>
          <w:rFonts w:ascii="Arial" w:hAnsi="Arial" w:cs="Arial"/>
        </w:rPr>
        <w:t xml:space="preserve">in the </w:t>
      </w:r>
      <w:r>
        <w:rPr>
          <w:rFonts w:ascii="Arial" w:hAnsi="Arial" w:cs="Arial"/>
        </w:rPr>
        <w:t>HR Act</w:t>
      </w:r>
      <w:r w:rsidR="00F71861">
        <w:rPr>
          <w:rFonts w:ascii="Arial" w:hAnsi="Arial" w:cs="Arial"/>
        </w:rPr>
        <w:t>)</w:t>
      </w:r>
      <w:r w:rsidRPr="00020105">
        <w:rPr>
          <w:rFonts w:ascii="Arial" w:hAnsi="Arial" w:cs="Arial"/>
        </w:rPr>
        <w:t xml:space="preserve"> provides that everyone is entitled to enjoy their rights without discrimination of any kind, and that everyone is equal before the law and entitled to the equal protection of the law without discrimination. Given women are the main victims of sexual assault, the Bill promotes the right to equality because it seeks to ensure more women will be able to enjoy their other human rights without discrimination or distinction.</w:t>
      </w:r>
    </w:p>
    <w:p w14:paraId="1F0852D2" w14:textId="39A33057" w:rsidR="00CC1F6D" w:rsidRDefault="00CC1F6D" w:rsidP="001E4E37">
      <w:pPr>
        <w:autoSpaceDE w:val="0"/>
        <w:autoSpaceDN w:val="0"/>
        <w:adjustRightInd w:val="0"/>
        <w:spacing w:before="240" w:after="120"/>
        <w:rPr>
          <w:rFonts w:ascii="Arial" w:hAnsi="Arial" w:cs="Arial"/>
        </w:rPr>
      </w:pPr>
      <w:r w:rsidRPr="00062721">
        <w:rPr>
          <w:rFonts w:ascii="Arial" w:hAnsi="Arial" w:cs="Arial"/>
          <w:szCs w:val="24"/>
        </w:rPr>
        <w:t>The right to life (section 9 of the HR Act) includes</w:t>
      </w:r>
      <w:r w:rsidRPr="00CC1F6D">
        <w:rPr>
          <w:rFonts w:ascii="Arial" w:hAnsi="Arial" w:cs="Arial"/>
        </w:rPr>
        <w:t xml:space="preserve"> a positive obligation on government to take reasonable actions to safeguard life and protect individuals to address specific threats or pre-existing patterns of violence that may give rise to direct threats to life, such as by taking steps to reduce gender-based, domestic and family violence. </w:t>
      </w:r>
      <w:r w:rsidR="00F36F4E">
        <w:rPr>
          <w:rFonts w:ascii="Arial" w:hAnsi="Arial" w:cs="Arial"/>
        </w:rPr>
        <w:t xml:space="preserve">This right is promoted by a majority of the amendments in the Bill. </w:t>
      </w:r>
      <w:r w:rsidR="00914AA1">
        <w:rPr>
          <w:rFonts w:ascii="Arial" w:hAnsi="Arial" w:cs="Arial"/>
        </w:rPr>
        <w:t xml:space="preserve">The Bill promotes the right to life by </w:t>
      </w:r>
      <w:r w:rsidR="000C2A15">
        <w:rPr>
          <w:rFonts w:ascii="Arial" w:hAnsi="Arial" w:cs="Arial"/>
        </w:rPr>
        <w:t xml:space="preserve">improving </w:t>
      </w:r>
      <w:r w:rsidR="0016030E">
        <w:rPr>
          <w:rFonts w:ascii="Arial" w:hAnsi="Arial" w:cs="Arial"/>
        </w:rPr>
        <w:t xml:space="preserve">how </w:t>
      </w:r>
      <w:r w:rsidR="000C2A15">
        <w:rPr>
          <w:rFonts w:ascii="Arial" w:hAnsi="Arial" w:cs="Arial"/>
        </w:rPr>
        <w:t xml:space="preserve">victim-survivors of sexual violence </w:t>
      </w:r>
      <w:r w:rsidR="000C2A15" w:rsidRPr="000C2A15">
        <w:rPr>
          <w:rFonts w:ascii="Arial" w:hAnsi="Arial" w:cs="Arial"/>
          <w:szCs w:val="24"/>
        </w:rPr>
        <w:t>engage with the administration of justice and</w:t>
      </w:r>
      <w:r w:rsidR="000C2A15">
        <w:rPr>
          <w:rFonts w:ascii="Arial" w:hAnsi="Arial" w:cs="Arial"/>
          <w:szCs w:val="24"/>
        </w:rPr>
        <w:t xml:space="preserve"> </w:t>
      </w:r>
      <w:r w:rsidR="000C2A15" w:rsidRPr="000C2A15">
        <w:rPr>
          <w:rFonts w:ascii="Arial" w:hAnsi="Arial" w:cs="Arial"/>
          <w:szCs w:val="24"/>
        </w:rPr>
        <w:t xml:space="preserve">access </w:t>
      </w:r>
      <w:r w:rsidR="0016030E">
        <w:rPr>
          <w:rFonts w:ascii="Arial" w:hAnsi="Arial" w:cs="Arial"/>
          <w:szCs w:val="24"/>
        </w:rPr>
        <w:t>j</w:t>
      </w:r>
      <w:r w:rsidR="000C2A15" w:rsidRPr="000C2A15">
        <w:rPr>
          <w:rFonts w:ascii="Arial" w:hAnsi="Arial" w:cs="Arial"/>
          <w:szCs w:val="24"/>
        </w:rPr>
        <w:t>ustice</w:t>
      </w:r>
      <w:r w:rsidR="0016030E">
        <w:rPr>
          <w:rFonts w:ascii="Arial" w:hAnsi="Arial" w:cs="Arial"/>
          <w:szCs w:val="24"/>
        </w:rPr>
        <w:t xml:space="preserve">. </w:t>
      </w:r>
      <w:r w:rsidR="00660652">
        <w:rPr>
          <w:rFonts w:ascii="Arial" w:hAnsi="Arial" w:cs="Arial"/>
        </w:rPr>
        <w:t>Additionally, the Bill promotes the right to life by</w:t>
      </w:r>
      <w:r w:rsidR="003D2E0B">
        <w:rPr>
          <w:rFonts w:ascii="Arial" w:hAnsi="Arial" w:cs="Arial"/>
        </w:rPr>
        <w:t xml:space="preserve"> keeping</w:t>
      </w:r>
      <w:r w:rsidR="00914AA1">
        <w:rPr>
          <w:rFonts w:ascii="Arial" w:hAnsi="Arial" w:cs="Arial"/>
        </w:rPr>
        <w:t xml:space="preserve"> victim</w:t>
      </w:r>
      <w:r w:rsidR="00BC218D">
        <w:rPr>
          <w:rFonts w:ascii="Arial" w:hAnsi="Arial" w:cs="Arial"/>
        </w:rPr>
        <w:t>-survivors</w:t>
      </w:r>
      <w:r w:rsidR="00914AA1">
        <w:rPr>
          <w:rFonts w:ascii="Arial" w:hAnsi="Arial" w:cs="Arial"/>
        </w:rPr>
        <w:t xml:space="preserve"> </w:t>
      </w:r>
      <w:r w:rsidR="0089623F">
        <w:rPr>
          <w:rFonts w:ascii="Arial" w:hAnsi="Arial" w:cs="Arial"/>
        </w:rPr>
        <w:t xml:space="preserve">physically </w:t>
      </w:r>
      <w:r w:rsidR="00914AA1">
        <w:rPr>
          <w:rFonts w:ascii="Arial" w:hAnsi="Arial" w:cs="Arial"/>
        </w:rPr>
        <w:t>safe</w:t>
      </w:r>
      <w:r w:rsidR="0016030E">
        <w:rPr>
          <w:rFonts w:ascii="Arial" w:hAnsi="Arial" w:cs="Arial"/>
        </w:rPr>
        <w:t xml:space="preserve">, with the </w:t>
      </w:r>
      <w:r w:rsidR="00BC218D">
        <w:rPr>
          <w:rFonts w:ascii="Arial" w:hAnsi="Arial" w:cs="Arial"/>
        </w:rPr>
        <w:t>amendment</w:t>
      </w:r>
      <w:r w:rsidR="0016030E">
        <w:rPr>
          <w:rFonts w:ascii="Arial" w:hAnsi="Arial" w:cs="Arial"/>
        </w:rPr>
        <w:t xml:space="preserve"> to</w:t>
      </w:r>
      <w:r w:rsidR="00BC218D">
        <w:rPr>
          <w:rFonts w:ascii="Arial" w:hAnsi="Arial" w:cs="Arial"/>
        </w:rPr>
        <w:t xml:space="preserve"> remov</w:t>
      </w:r>
      <w:r w:rsidR="0016030E">
        <w:rPr>
          <w:rFonts w:ascii="Arial" w:hAnsi="Arial" w:cs="Arial"/>
        </w:rPr>
        <w:t>e</w:t>
      </w:r>
      <w:r w:rsidR="00BC218D">
        <w:rPr>
          <w:rFonts w:ascii="Arial" w:hAnsi="Arial" w:cs="Arial"/>
        </w:rPr>
        <w:t xml:space="preserve"> </w:t>
      </w:r>
      <w:r w:rsidR="00914AA1">
        <w:rPr>
          <w:rFonts w:ascii="Arial" w:hAnsi="Arial" w:cs="Arial"/>
        </w:rPr>
        <w:t xml:space="preserve">bail </w:t>
      </w:r>
      <w:r w:rsidR="00D061FF">
        <w:rPr>
          <w:rFonts w:ascii="Arial" w:hAnsi="Arial" w:cs="Arial"/>
        </w:rPr>
        <w:t>presumptions</w:t>
      </w:r>
      <w:r w:rsidR="00AA3FDE">
        <w:rPr>
          <w:rFonts w:ascii="Arial" w:hAnsi="Arial" w:cs="Arial"/>
        </w:rPr>
        <w:t xml:space="preserve"> </w:t>
      </w:r>
      <w:r w:rsidR="00BC218D">
        <w:rPr>
          <w:rFonts w:ascii="Arial" w:hAnsi="Arial" w:cs="Arial"/>
        </w:rPr>
        <w:t>for some sex</w:t>
      </w:r>
      <w:r w:rsidR="00341498">
        <w:rPr>
          <w:rFonts w:ascii="Arial" w:hAnsi="Arial" w:cs="Arial"/>
        </w:rPr>
        <w:t>ual</w:t>
      </w:r>
      <w:r w:rsidR="00BC218D">
        <w:rPr>
          <w:rFonts w:ascii="Arial" w:hAnsi="Arial" w:cs="Arial"/>
        </w:rPr>
        <w:t xml:space="preserve"> offences</w:t>
      </w:r>
      <w:r w:rsidR="00914AA1">
        <w:rPr>
          <w:rFonts w:ascii="Arial" w:hAnsi="Arial" w:cs="Arial"/>
        </w:rPr>
        <w:t xml:space="preserve">. </w:t>
      </w:r>
    </w:p>
    <w:p w14:paraId="23F6979F" w14:textId="453D0FCC" w:rsidR="00CC1F6D" w:rsidRDefault="00CC1F6D" w:rsidP="001E4E37">
      <w:pPr>
        <w:autoSpaceDE w:val="0"/>
        <w:autoSpaceDN w:val="0"/>
        <w:adjustRightInd w:val="0"/>
        <w:spacing w:before="240" w:after="120"/>
        <w:rPr>
          <w:rFonts w:ascii="Arial" w:hAnsi="Arial" w:cs="Arial"/>
        </w:rPr>
      </w:pPr>
      <w:r w:rsidRPr="00CC1F6D">
        <w:rPr>
          <w:rFonts w:ascii="Arial" w:hAnsi="Arial" w:cs="Arial"/>
        </w:rPr>
        <w:t xml:space="preserve">The </w:t>
      </w:r>
      <w:bookmarkStart w:id="16" w:name="_Hlk113454198"/>
      <w:r w:rsidRPr="00CC1F6D">
        <w:rPr>
          <w:rFonts w:ascii="Arial" w:hAnsi="Arial" w:cs="Arial"/>
        </w:rPr>
        <w:t xml:space="preserve">protection of family and children </w:t>
      </w:r>
      <w:bookmarkEnd w:id="16"/>
      <w:r w:rsidRPr="00CC1F6D">
        <w:rPr>
          <w:rFonts w:ascii="Arial" w:hAnsi="Arial" w:cs="Arial"/>
        </w:rPr>
        <w:t xml:space="preserve">(section 11 of the HR Act) recognises the importance of the family unit in making up society and the benefits that come from preserving family relations. It also recognises that children have particular vulnerabilities and should be given special protection in addition to other rights. </w:t>
      </w:r>
      <w:r w:rsidR="00914AA1">
        <w:rPr>
          <w:rFonts w:ascii="Arial" w:hAnsi="Arial" w:cs="Arial"/>
        </w:rPr>
        <w:t xml:space="preserve">This </w:t>
      </w:r>
      <w:r w:rsidR="0069674F">
        <w:rPr>
          <w:rFonts w:ascii="Arial" w:hAnsi="Arial" w:cs="Arial"/>
        </w:rPr>
        <w:t>right is promoted</w:t>
      </w:r>
      <w:r w:rsidR="00914AA1">
        <w:rPr>
          <w:rFonts w:ascii="Arial" w:hAnsi="Arial" w:cs="Arial"/>
        </w:rPr>
        <w:t xml:space="preserve"> </w:t>
      </w:r>
      <w:r w:rsidR="0089623F">
        <w:rPr>
          <w:rFonts w:ascii="Arial" w:hAnsi="Arial" w:cs="Arial"/>
        </w:rPr>
        <w:t xml:space="preserve">through the </w:t>
      </w:r>
      <w:r w:rsidR="00D62069">
        <w:rPr>
          <w:rFonts w:ascii="Arial" w:hAnsi="Arial" w:cs="Arial"/>
        </w:rPr>
        <w:t>amendments relating to</w:t>
      </w:r>
      <w:r w:rsidR="0089623F">
        <w:rPr>
          <w:rFonts w:ascii="Arial" w:hAnsi="Arial" w:cs="Arial"/>
        </w:rPr>
        <w:t xml:space="preserve"> </w:t>
      </w:r>
      <w:r w:rsidR="00D62069">
        <w:rPr>
          <w:rFonts w:ascii="Arial" w:hAnsi="Arial" w:cs="Arial"/>
        </w:rPr>
        <w:t xml:space="preserve">the admissibility of evidence of prior </w:t>
      </w:r>
      <w:r w:rsidR="0089623F">
        <w:rPr>
          <w:rFonts w:ascii="Arial" w:hAnsi="Arial" w:cs="Arial"/>
        </w:rPr>
        <w:t xml:space="preserve">family violence in </w:t>
      </w:r>
      <w:r w:rsidR="00D62069">
        <w:rPr>
          <w:rFonts w:ascii="Arial" w:hAnsi="Arial" w:cs="Arial"/>
        </w:rPr>
        <w:t xml:space="preserve">sexual offence </w:t>
      </w:r>
      <w:r w:rsidR="0089623F">
        <w:rPr>
          <w:rFonts w:ascii="Arial" w:hAnsi="Arial" w:cs="Arial"/>
        </w:rPr>
        <w:t>proceedings</w:t>
      </w:r>
      <w:r w:rsidR="005A7341">
        <w:rPr>
          <w:rFonts w:ascii="Arial" w:hAnsi="Arial" w:cs="Arial"/>
        </w:rPr>
        <w:t xml:space="preserve"> and </w:t>
      </w:r>
      <w:r w:rsidR="007260B0">
        <w:rPr>
          <w:rFonts w:ascii="Arial" w:hAnsi="Arial" w:cs="Arial"/>
        </w:rPr>
        <w:t>creating</w:t>
      </w:r>
      <w:r w:rsidR="005A7341">
        <w:rPr>
          <w:rFonts w:ascii="Arial" w:hAnsi="Arial" w:cs="Arial"/>
        </w:rPr>
        <w:t xml:space="preserve"> </w:t>
      </w:r>
      <w:r w:rsidR="007260B0">
        <w:rPr>
          <w:rFonts w:ascii="Arial" w:hAnsi="Arial" w:cs="Arial"/>
        </w:rPr>
        <w:t xml:space="preserve">a </w:t>
      </w:r>
      <w:r w:rsidR="005A7341">
        <w:rPr>
          <w:rFonts w:ascii="Arial" w:hAnsi="Arial" w:cs="Arial"/>
        </w:rPr>
        <w:t>special interim order</w:t>
      </w:r>
      <w:r w:rsidR="007260B0">
        <w:rPr>
          <w:rFonts w:ascii="Arial" w:hAnsi="Arial" w:cs="Arial"/>
        </w:rPr>
        <w:t xml:space="preserve"> scheme for personal protection orders</w:t>
      </w:r>
      <w:r w:rsidR="0089623F">
        <w:rPr>
          <w:rFonts w:ascii="Arial" w:hAnsi="Arial" w:cs="Arial"/>
        </w:rPr>
        <w:t>.</w:t>
      </w:r>
      <w:r w:rsidR="00914AA1">
        <w:rPr>
          <w:rFonts w:ascii="Arial" w:hAnsi="Arial" w:cs="Arial"/>
        </w:rPr>
        <w:t xml:space="preserve"> </w:t>
      </w:r>
      <w:r w:rsidR="0089623F">
        <w:rPr>
          <w:rFonts w:ascii="Arial" w:hAnsi="Arial" w:cs="Arial"/>
        </w:rPr>
        <w:t>Th</w:t>
      </w:r>
      <w:r w:rsidR="005A7341">
        <w:rPr>
          <w:rFonts w:ascii="Arial" w:hAnsi="Arial" w:cs="Arial"/>
        </w:rPr>
        <w:t xml:space="preserve">e Bill </w:t>
      </w:r>
      <w:r w:rsidR="00DF0CF9">
        <w:rPr>
          <w:rFonts w:ascii="Arial" w:hAnsi="Arial" w:cs="Arial"/>
        </w:rPr>
        <w:t xml:space="preserve">protects family and children by making it clear in law that </w:t>
      </w:r>
      <w:r w:rsidR="00DF0CF9" w:rsidRPr="00DF0CF9">
        <w:rPr>
          <w:rFonts w:ascii="Arial" w:hAnsi="Arial" w:cs="Arial"/>
        </w:rPr>
        <w:t>contextual domestic and family violence evidence</w:t>
      </w:r>
      <w:r w:rsidR="00DF0CF9">
        <w:rPr>
          <w:rFonts w:ascii="Arial" w:hAnsi="Arial" w:cs="Arial"/>
        </w:rPr>
        <w:t xml:space="preserve"> is relevant in</w:t>
      </w:r>
      <w:r w:rsidR="00DF0CF9" w:rsidRPr="00DF0CF9">
        <w:rPr>
          <w:rFonts w:ascii="Arial" w:hAnsi="Arial" w:cs="Arial"/>
        </w:rPr>
        <w:t xml:space="preserve"> criminal proceedings</w:t>
      </w:r>
      <w:r w:rsidR="00DF0CF9">
        <w:rPr>
          <w:rFonts w:ascii="Arial" w:hAnsi="Arial" w:cs="Arial"/>
        </w:rPr>
        <w:t xml:space="preserve">. The Bill </w:t>
      </w:r>
      <w:r w:rsidR="005A7341">
        <w:rPr>
          <w:rFonts w:ascii="Arial" w:hAnsi="Arial" w:cs="Arial"/>
        </w:rPr>
        <w:t>recognises the concept of family as one beyond a traditional nuclear family and aims to keep th</w:t>
      </w:r>
      <w:r w:rsidR="005D3464">
        <w:rPr>
          <w:rFonts w:ascii="Arial" w:hAnsi="Arial" w:cs="Arial"/>
        </w:rPr>
        <w:t>at</w:t>
      </w:r>
      <w:r w:rsidR="005A7341">
        <w:rPr>
          <w:rFonts w:ascii="Arial" w:hAnsi="Arial" w:cs="Arial"/>
        </w:rPr>
        <w:t xml:space="preserve"> family unit </w:t>
      </w:r>
      <w:r w:rsidR="00914AA1">
        <w:rPr>
          <w:rFonts w:ascii="Arial" w:hAnsi="Arial" w:cs="Arial"/>
        </w:rPr>
        <w:t xml:space="preserve">safe during </w:t>
      </w:r>
      <w:r w:rsidR="005A7341">
        <w:rPr>
          <w:rFonts w:ascii="Arial" w:hAnsi="Arial" w:cs="Arial"/>
        </w:rPr>
        <w:t xml:space="preserve">sexual offence proceedings, until related </w:t>
      </w:r>
      <w:r w:rsidR="00914AA1">
        <w:rPr>
          <w:rFonts w:ascii="Arial" w:hAnsi="Arial" w:cs="Arial"/>
        </w:rPr>
        <w:t xml:space="preserve">proceedings </w:t>
      </w:r>
      <w:r w:rsidR="005A7341">
        <w:rPr>
          <w:rFonts w:ascii="Arial" w:hAnsi="Arial" w:cs="Arial"/>
        </w:rPr>
        <w:t>are concluded</w:t>
      </w:r>
      <w:r w:rsidR="005D3464">
        <w:rPr>
          <w:rFonts w:ascii="Arial" w:hAnsi="Arial" w:cs="Arial"/>
        </w:rPr>
        <w:t xml:space="preserve"> and alleged offenders are convicted or acquitted. </w:t>
      </w:r>
    </w:p>
    <w:p w14:paraId="711B602B" w14:textId="7BFDE66A" w:rsidR="00CC1F6D" w:rsidRPr="00CC1F6D" w:rsidRDefault="00CC1F6D" w:rsidP="001E4E37">
      <w:pPr>
        <w:autoSpaceDE w:val="0"/>
        <w:autoSpaceDN w:val="0"/>
        <w:adjustRightInd w:val="0"/>
        <w:spacing w:before="240" w:after="120"/>
        <w:rPr>
          <w:rFonts w:ascii="Arial" w:hAnsi="Arial" w:cs="Arial"/>
          <w:szCs w:val="24"/>
          <w:lang w:eastAsia="en-AU"/>
        </w:rPr>
      </w:pPr>
      <w:r w:rsidRPr="00CC1F6D">
        <w:rPr>
          <w:rFonts w:ascii="Arial" w:hAnsi="Arial" w:cs="Arial"/>
        </w:rPr>
        <w:lastRenderedPageBreak/>
        <w:t xml:space="preserve">The right to security of person (section 18 of the HR Act) protects individuals against intentional bodily or mental injury. It imposes a positive obligation on government to take appropriate measures to protect individuals from foreseeable threats to bodily or mental integrity. This includes a requirement to respond appropriately to patterns of violence against categories of victims such as those of </w:t>
      </w:r>
      <w:r>
        <w:rPr>
          <w:rFonts w:ascii="Arial" w:hAnsi="Arial" w:cs="Arial"/>
        </w:rPr>
        <w:t>sexual violence</w:t>
      </w:r>
      <w:r w:rsidRPr="00CC1F6D">
        <w:rPr>
          <w:rFonts w:ascii="Arial" w:hAnsi="Arial" w:cs="Arial"/>
        </w:rPr>
        <w:t xml:space="preserve">. </w:t>
      </w:r>
      <w:r w:rsidR="00236813">
        <w:rPr>
          <w:rFonts w:ascii="Arial" w:hAnsi="Arial" w:cs="Arial"/>
        </w:rPr>
        <w:t>The Bill promotes this right by</w:t>
      </w:r>
      <w:r w:rsidR="008722DF">
        <w:rPr>
          <w:rFonts w:ascii="Arial" w:hAnsi="Arial" w:cs="Arial"/>
        </w:rPr>
        <w:t xml:space="preserve"> </w:t>
      </w:r>
      <w:r w:rsidR="00236813">
        <w:rPr>
          <w:rFonts w:ascii="Arial" w:hAnsi="Arial" w:cs="Arial"/>
        </w:rPr>
        <w:t xml:space="preserve">changing </w:t>
      </w:r>
      <w:r w:rsidR="00914AA1">
        <w:rPr>
          <w:rFonts w:ascii="Arial" w:hAnsi="Arial" w:cs="Arial"/>
        </w:rPr>
        <w:t xml:space="preserve">community standards </w:t>
      </w:r>
      <w:r w:rsidR="007260B0">
        <w:rPr>
          <w:rFonts w:ascii="Arial" w:hAnsi="Arial" w:cs="Arial"/>
        </w:rPr>
        <w:t>to ensure</w:t>
      </w:r>
      <w:r w:rsidR="00914AA1">
        <w:rPr>
          <w:rFonts w:ascii="Arial" w:hAnsi="Arial" w:cs="Arial"/>
        </w:rPr>
        <w:t xml:space="preserve"> intoxication </w:t>
      </w:r>
      <w:r w:rsidR="008722DF">
        <w:rPr>
          <w:rFonts w:ascii="Arial" w:hAnsi="Arial" w:cs="Arial"/>
        </w:rPr>
        <w:t>is</w:t>
      </w:r>
      <w:r w:rsidR="00914AA1">
        <w:rPr>
          <w:rFonts w:ascii="Arial" w:hAnsi="Arial" w:cs="Arial"/>
        </w:rPr>
        <w:t xml:space="preserve"> </w:t>
      </w:r>
      <w:r w:rsidR="007260B0">
        <w:rPr>
          <w:rFonts w:ascii="Arial" w:hAnsi="Arial" w:cs="Arial"/>
        </w:rPr>
        <w:t xml:space="preserve">never </w:t>
      </w:r>
      <w:r w:rsidR="00914AA1">
        <w:rPr>
          <w:rFonts w:ascii="Arial" w:hAnsi="Arial" w:cs="Arial"/>
        </w:rPr>
        <w:t xml:space="preserve">an excuse for sexual </w:t>
      </w:r>
      <w:r w:rsidR="007260B0">
        <w:rPr>
          <w:rFonts w:ascii="Arial" w:hAnsi="Arial" w:cs="Arial"/>
        </w:rPr>
        <w:t>violence</w:t>
      </w:r>
      <w:r w:rsidR="00914AA1">
        <w:rPr>
          <w:rFonts w:ascii="Arial" w:hAnsi="Arial" w:cs="Arial"/>
        </w:rPr>
        <w:t xml:space="preserve">, </w:t>
      </w:r>
      <w:r w:rsidR="007260B0">
        <w:rPr>
          <w:rFonts w:ascii="Arial" w:hAnsi="Arial" w:cs="Arial"/>
        </w:rPr>
        <w:t xml:space="preserve">creating </w:t>
      </w:r>
      <w:r w:rsidR="0045547F">
        <w:rPr>
          <w:rFonts w:ascii="Arial" w:hAnsi="Arial" w:cs="Arial"/>
        </w:rPr>
        <w:t>consistency</w:t>
      </w:r>
      <w:r w:rsidR="00914AA1">
        <w:rPr>
          <w:rFonts w:ascii="Arial" w:hAnsi="Arial" w:cs="Arial"/>
        </w:rPr>
        <w:t xml:space="preserve"> in</w:t>
      </w:r>
      <w:r w:rsidR="008722DF">
        <w:rPr>
          <w:rFonts w:ascii="Arial" w:hAnsi="Arial" w:cs="Arial"/>
        </w:rPr>
        <w:t xml:space="preserve"> bail applications for serious </w:t>
      </w:r>
      <w:r w:rsidR="0045547F">
        <w:rPr>
          <w:rFonts w:ascii="Arial" w:hAnsi="Arial" w:cs="Arial"/>
        </w:rPr>
        <w:t xml:space="preserve">sexual </w:t>
      </w:r>
      <w:r w:rsidR="008722DF">
        <w:rPr>
          <w:rFonts w:ascii="Arial" w:hAnsi="Arial" w:cs="Arial"/>
        </w:rPr>
        <w:t>offences</w:t>
      </w:r>
      <w:r w:rsidR="0045547F">
        <w:rPr>
          <w:rFonts w:ascii="Arial" w:hAnsi="Arial" w:cs="Arial"/>
        </w:rPr>
        <w:t xml:space="preserve">, and </w:t>
      </w:r>
      <w:r w:rsidR="00AA3624">
        <w:rPr>
          <w:rFonts w:ascii="Arial" w:hAnsi="Arial" w:cs="Arial"/>
        </w:rPr>
        <w:t>creating special interim order schemes</w:t>
      </w:r>
      <w:r w:rsidR="008767D7">
        <w:rPr>
          <w:rFonts w:ascii="Arial" w:hAnsi="Arial" w:cs="Arial"/>
        </w:rPr>
        <w:t xml:space="preserve"> in the </w:t>
      </w:r>
      <w:r w:rsidR="008767D7">
        <w:rPr>
          <w:rFonts w:ascii="Arial" w:hAnsi="Arial" w:cs="Arial"/>
          <w:i/>
          <w:iCs/>
        </w:rPr>
        <w:t>Personal Violence Act 2016</w:t>
      </w:r>
      <w:r w:rsidR="00AA3624">
        <w:rPr>
          <w:rFonts w:ascii="Arial" w:hAnsi="Arial" w:cs="Arial"/>
        </w:rPr>
        <w:t xml:space="preserve"> for personal protection orders and workplace protection orders</w:t>
      </w:r>
      <w:r w:rsidR="00914AA1">
        <w:rPr>
          <w:rFonts w:ascii="Arial" w:hAnsi="Arial" w:cs="Arial"/>
        </w:rPr>
        <w:t>.</w:t>
      </w:r>
      <w:r w:rsidR="00DF0D64">
        <w:rPr>
          <w:rFonts w:ascii="Arial" w:hAnsi="Arial" w:cs="Arial"/>
        </w:rPr>
        <w:t xml:space="preserve"> </w:t>
      </w:r>
    </w:p>
    <w:p w14:paraId="5E01CC9F" w14:textId="51894BB0" w:rsidR="002F0FD2" w:rsidRPr="00050F68" w:rsidRDefault="001E4E37" w:rsidP="001E4E37">
      <w:pPr>
        <w:autoSpaceDE w:val="0"/>
        <w:autoSpaceDN w:val="0"/>
        <w:adjustRightInd w:val="0"/>
        <w:spacing w:before="240" w:after="120"/>
        <w:rPr>
          <w:rFonts w:ascii="Arial" w:hAnsi="Arial" w:cs="Arial"/>
          <w:b/>
          <w:szCs w:val="24"/>
        </w:rPr>
      </w:pPr>
      <w:r w:rsidRPr="00050F68">
        <w:rPr>
          <w:rFonts w:ascii="Arial" w:hAnsi="Arial" w:cs="Arial"/>
          <w:b/>
          <w:szCs w:val="24"/>
        </w:rPr>
        <w:t>Rights Limited</w:t>
      </w:r>
    </w:p>
    <w:p w14:paraId="013CF05C" w14:textId="53791441" w:rsidR="00290075" w:rsidRPr="00050F68" w:rsidRDefault="00290075" w:rsidP="00290075">
      <w:pPr>
        <w:autoSpaceDE w:val="0"/>
        <w:autoSpaceDN w:val="0"/>
        <w:adjustRightInd w:val="0"/>
        <w:spacing w:before="240" w:after="120"/>
        <w:rPr>
          <w:rFonts w:ascii="Arial" w:hAnsi="Arial" w:cs="Arial"/>
          <w:bCs/>
          <w:szCs w:val="24"/>
        </w:rPr>
      </w:pPr>
      <w:r w:rsidRPr="00050F68">
        <w:rPr>
          <w:rFonts w:ascii="Arial" w:hAnsi="Arial" w:cs="Arial"/>
          <w:bCs/>
          <w:szCs w:val="24"/>
        </w:rPr>
        <w:t xml:space="preserve">Broadly, the Bill engages </w:t>
      </w:r>
      <w:r w:rsidR="008317D1">
        <w:rPr>
          <w:rFonts w:ascii="Arial" w:hAnsi="Arial" w:cs="Arial"/>
          <w:bCs/>
          <w:szCs w:val="24"/>
        </w:rPr>
        <w:t xml:space="preserve">and limits </w:t>
      </w:r>
      <w:r w:rsidRPr="00050F68">
        <w:rPr>
          <w:rFonts w:ascii="Arial" w:hAnsi="Arial" w:cs="Arial"/>
          <w:bCs/>
          <w:szCs w:val="24"/>
        </w:rPr>
        <w:t xml:space="preserve">the following </w:t>
      </w:r>
      <w:r>
        <w:rPr>
          <w:rFonts w:ascii="Arial" w:hAnsi="Arial" w:cs="Arial"/>
          <w:bCs/>
          <w:szCs w:val="24"/>
        </w:rPr>
        <w:t>HR Act</w:t>
      </w:r>
      <w:r w:rsidRPr="00050F68">
        <w:rPr>
          <w:rFonts w:ascii="Arial" w:hAnsi="Arial" w:cs="Arial"/>
          <w:bCs/>
          <w:szCs w:val="24"/>
        </w:rPr>
        <w:t xml:space="preserve"> rights: </w:t>
      </w:r>
    </w:p>
    <w:p w14:paraId="7F417A78" w14:textId="77777777" w:rsidR="00290075" w:rsidRPr="00050F68" w:rsidRDefault="00290075" w:rsidP="00290075">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Section 13 – Freedom of movement;</w:t>
      </w:r>
    </w:p>
    <w:p w14:paraId="22C3C24A" w14:textId="69ECBDF8" w:rsidR="00F709A2" w:rsidRDefault="00F709A2" w:rsidP="00290075">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18 - </w:t>
      </w:r>
      <w:r>
        <w:rPr>
          <w:rFonts w:ascii="Arial" w:hAnsi="Arial" w:cs="Arial"/>
          <w:szCs w:val="24"/>
        </w:rPr>
        <w:t>R</w:t>
      </w:r>
      <w:r w:rsidRPr="009341BF">
        <w:rPr>
          <w:rFonts w:ascii="Arial" w:hAnsi="Arial" w:cs="Arial"/>
          <w:szCs w:val="24"/>
        </w:rPr>
        <w:t xml:space="preserve">ight </w:t>
      </w:r>
      <w:r w:rsidRPr="00286223">
        <w:rPr>
          <w:rFonts w:ascii="Arial" w:hAnsi="Arial" w:cs="Arial"/>
        </w:rPr>
        <w:t>to liberty</w:t>
      </w:r>
      <w:r>
        <w:rPr>
          <w:rFonts w:ascii="Arial" w:hAnsi="Arial" w:cs="Arial"/>
        </w:rPr>
        <w:t>;</w:t>
      </w:r>
    </w:p>
    <w:p w14:paraId="5382FB60" w14:textId="703CDEFC" w:rsidR="00290075" w:rsidRPr="00806049" w:rsidRDefault="00290075" w:rsidP="00290075">
      <w:pPr>
        <w:numPr>
          <w:ilvl w:val="0"/>
          <w:numId w:val="2"/>
        </w:numPr>
        <w:autoSpaceDE w:val="0"/>
        <w:autoSpaceDN w:val="0"/>
        <w:adjustRightInd w:val="0"/>
        <w:spacing w:before="240" w:after="120"/>
        <w:rPr>
          <w:rFonts w:ascii="Arial" w:hAnsi="Arial" w:cs="Arial"/>
          <w:bCs/>
          <w:szCs w:val="24"/>
        </w:rPr>
      </w:pPr>
      <w:r w:rsidRPr="00806049">
        <w:rPr>
          <w:rFonts w:ascii="Arial" w:hAnsi="Arial" w:cs="Arial"/>
          <w:bCs/>
          <w:szCs w:val="24"/>
        </w:rPr>
        <w:t xml:space="preserve">Section 21 – Right to a fair </w:t>
      </w:r>
      <w:r w:rsidR="00197555" w:rsidRPr="00806049">
        <w:rPr>
          <w:rFonts w:ascii="Arial" w:hAnsi="Arial" w:cs="Arial"/>
          <w:bCs/>
          <w:szCs w:val="24"/>
        </w:rPr>
        <w:t>hearing</w:t>
      </w:r>
      <w:r w:rsidRPr="00806049">
        <w:rPr>
          <w:rFonts w:ascii="Arial" w:hAnsi="Arial" w:cs="Arial"/>
          <w:bCs/>
          <w:szCs w:val="24"/>
        </w:rPr>
        <w:t>;</w:t>
      </w:r>
    </w:p>
    <w:p w14:paraId="62F27FB8" w14:textId="77777777" w:rsidR="00290075" w:rsidRPr="0041186B" w:rsidRDefault="00290075" w:rsidP="00290075">
      <w:pPr>
        <w:numPr>
          <w:ilvl w:val="0"/>
          <w:numId w:val="2"/>
        </w:numPr>
        <w:autoSpaceDE w:val="0"/>
        <w:autoSpaceDN w:val="0"/>
        <w:adjustRightInd w:val="0"/>
        <w:spacing w:before="240" w:after="120"/>
        <w:rPr>
          <w:rFonts w:ascii="Arial" w:hAnsi="Arial" w:cs="Arial"/>
          <w:bCs/>
          <w:szCs w:val="24"/>
        </w:rPr>
      </w:pPr>
      <w:r w:rsidRPr="0041186B">
        <w:rPr>
          <w:rFonts w:ascii="Arial" w:hAnsi="Arial" w:cs="Arial"/>
          <w:bCs/>
          <w:szCs w:val="24"/>
        </w:rPr>
        <w:t>Section 22 – Rights in criminal proceedings; and</w:t>
      </w:r>
    </w:p>
    <w:p w14:paraId="0C1A9AA0" w14:textId="77777777" w:rsidR="00290075" w:rsidRPr="00050F68" w:rsidRDefault="00290075" w:rsidP="00290075">
      <w:pPr>
        <w:numPr>
          <w:ilvl w:val="0"/>
          <w:numId w:val="2"/>
        </w:numPr>
        <w:autoSpaceDE w:val="0"/>
        <w:autoSpaceDN w:val="0"/>
        <w:adjustRightInd w:val="0"/>
        <w:spacing w:before="240" w:after="120"/>
        <w:rPr>
          <w:rFonts w:ascii="Arial" w:hAnsi="Arial" w:cs="Arial"/>
          <w:bCs/>
          <w:szCs w:val="24"/>
        </w:rPr>
      </w:pPr>
      <w:r w:rsidRPr="00050F68">
        <w:rPr>
          <w:rFonts w:ascii="Arial" w:hAnsi="Arial" w:cs="Arial"/>
          <w:bCs/>
          <w:szCs w:val="24"/>
        </w:rPr>
        <w:t>Section 27</w:t>
      </w:r>
      <w:r>
        <w:rPr>
          <w:rFonts w:ascii="Arial" w:hAnsi="Arial" w:cs="Arial"/>
          <w:bCs/>
          <w:szCs w:val="24"/>
        </w:rPr>
        <w:t>B</w:t>
      </w:r>
      <w:r w:rsidRPr="00050F68">
        <w:rPr>
          <w:rFonts w:ascii="Arial" w:hAnsi="Arial" w:cs="Arial"/>
          <w:bCs/>
          <w:szCs w:val="24"/>
        </w:rPr>
        <w:t xml:space="preserve"> – Rights </w:t>
      </w:r>
      <w:r>
        <w:rPr>
          <w:rFonts w:ascii="Arial" w:hAnsi="Arial" w:cs="Arial"/>
          <w:bCs/>
          <w:szCs w:val="24"/>
        </w:rPr>
        <w:t>to work.</w:t>
      </w:r>
    </w:p>
    <w:p w14:paraId="4E7781E2" w14:textId="77777777" w:rsidR="00754137" w:rsidRDefault="00754137" w:rsidP="00A363CB">
      <w:pPr>
        <w:autoSpaceDE w:val="0"/>
        <w:autoSpaceDN w:val="0"/>
        <w:adjustRightInd w:val="0"/>
        <w:spacing w:before="240" w:after="120"/>
        <w:rPr>
          <w:rFonts w:ascii="Arial" w:hAnsi="Arial" w:cs="Arial"/>
        </w:rPr>
      </w:pPr>
      <w:r w:rsidRPr="00754137">
        <w:rPr>
          <w:rFonts w:ascii="Arial" w:hAnsi="Arial" w:cs="Arial"/>
        </w:rPr>
        <w:t xml:space="preserve">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14:paraId="4839BD6F" w14:textId="6566719A" w:rsidR="00754137" w:rsidRPr="00754137" w:rsidRDefault="00754137" w:rsidP="00A363CB">
      <w:pPr>
        <w:autoSpaceDE w:val="0"/>
        <w:autoSpaceDN w:val="0"/>
        <w:adjustRightInd w:val="0"/>
        <w:spacing w:before="240" w:after="120"/>
        <w:rPr>
          <w:rFonts w:ascii="Arial" w:hAnsi="Arial" w:cs="Arial"/>
          <w:bCs/>
          <w:szCs w:val="24"/>
        </w:rPr>
      </w:pPr>
      <w:r w:rsidRPr="00754137">
        <w:rPr>
          <w:rFonts w:ascii="Arial" w:hAnsi="Arial" w:cs="Arial"/>
        </w:rPr>
        <w:t>The limitations on human rights in the Bill are proportionate and justified in the circumstances because they are the least restrictive means available to achieve the purpose of protecting victims</w:t>
      </w:r>
      <w:r w:rsidR="00EF5F1A">
        <w:rPr>
          <w:rFonts w:ascii="Arial" w:hAnsi="Arial" w:cs="Arial"/>
        </w:rPr>
        <w:t xml:space="preserve"> of sexual assaults</w:t>
      </w:r>
      <w:r w:rsidR="005C57C4">
        <w:rPr>
          <w:rFonts w:ascii="Arial" w:hAnsi="Arial" w:cs="Arial"/>
        </w:rPr>
        <w:t xml:space="preserve"> (</w:t>
      </w:r>
      <w:r w:rsidRPr="00754137">
        <w:rPr>
          <w:rFonts w:ascii="Arial" w:hAnsi="Arial" w:cs="Arial"/>
        </w:rPr>
        <w:t xml:space="preserve">particularly </w:t>
      </w:r>
      <w:r w:rsidR="005C57C4">
        <w:rPr>
          <w:rFonts w:ascii="Arial" w:hAnsi="Arial" w:cs="Arial"/>
        </w:rPr>
        <w:t xml:space="preserve">those who are </w:t>
      </w:r>
      <w:r w:rsidRPr="00754137">
        <w:rPr>
          <w:rFonts w:ascii="Arial" w:hAnsi="Arial" w:cs="Arial"/>
        </w:rPr>
        <w:t>of domestic and family violence</w:t>
      </w:r>
      <w:r w:rsidR="005C57C4">
        <w:rPr>
          <w:rFonts w:ascii="Arial" w:hAnsi="Arial" w:cs="Arial"/>
        </w:rPr>
        <w:t>)</w:t>
      </w:r>
      <w:r w:rsidRPr="00754137">
        <w:rPr>
          <w:rFonts w:ascii="Arial" w:hAnsi="Arial" w:cs="Arial"/>
        </w:rPr>
        <w:t xml:space="preserve"> and the community as a whole</w:t>
      </w:r>
      <w:r w:rsidR="00EF5F1A">
        <w:rPr>
          <w:rFonts w:ascii="Arial" w:hAnsi="Arial" w:cs="Arial"/>
        </w:rPr>
        <w:t xml:space="preserve">. </w:t>
      </w:r>
    </w:p>
    <w:p w14:paraId="706DC5A8" w14:textId="70146F76" w:rsidR="00351F41" w:rsidRPr="009E2E39" w:rsidRDefault="00351F41" w:rsidP="00A363CB">
      <w:pPr>
        <w:autoSpaceDE w:val="0"/>
        <w:autoSpaceDN w:val="0"/>
        <w:adjustRightInd w:val="0"/>
        <w:spacing w:before="240" w:after="120"/>
        <w:rPr>
          <w:rFonts w:ascii="Arial" w:hAnsi="Arial" w:cs="Arial"/>
          <w:b/>
          <w:szCs w:val="24"/>
        </w:rPr>
      </w:pPr>
      <w:r w:rsidRPr="009E2E39">
        <w:rPr>
          <w:rFonts w:ascii="Arial" w:hAnsi="Arial" w:cs="Arial"/>
          <w:b/>
          <w:szCs w:val="24"/>
        </w:rPr>
        <w:t>Detailed human rights discussion</w:t>
      </w:r>
    </w:p>
    <w:p w14:paraId="7EECE941" w14:textId="4D029DDE" w:rsidR="00EF3037" w:rsidRPr="00EF3037" w:rsidRDefault="006F551E" w:rsidP="00DF7319">
      <w:pPr>
        <w:rPr>
          <w:rFonts w:ascii="Arial" w:hAnsi="Arial" w:cs="Arial"/>
          <w:i/>
          <w:iCs/>
          <w:szCs w:val="24"/>
          <w:u w:val="single"/>
        </w:rPr>
      </w:pPr>
      <w:r>
        <w:rPr>
          <w:rFonts w:ascii="Arial" w:hAnsi="Arial" w:cs="Arial"/>
          <w:i/>
          <w:iCs/>
          <w:szCs w:val="24"/>
          <w:u w:val="single"/>
        </w:rPr>
        <w:t>Evidence (Miscellaneous Provisions) Act 1991 -</w:t>
      </w:r>
      <w:r w:rsidR="00436C5A">
        <w:rPr>
          <w:rFonts w:ascii="Arial" w:hAnsi="Arial" w:cs="Arial"/>
          <w:i/>
          <w:iCs/>
          <w:szCs w:val="24"/>
          <w:u w:val="single"/>
        </w:rPr>
        <w:t xml:space="preserve"> </w:t>
      </w:r>
      <w:r>
        <w:rPr>
          <w:rFonts w:ascii="Arial" w:hAnsi="Arial" w:cs="Arial"/>
          <w:i/>
          <w:iCs/>
          <w:szCs w:val="24"/>
          <w:u w:val="single"/>
        </w:rPr>
        <w:t xml:space="preserve">Evidence of family violence may be relevant </w:t>
      </w:r>
    </w:p>
    <w:p w14:paraId="7604624E" w14:textId="58D530C1" w:rsidR="002070A2" w:rsidRPr="00050F68" w:rsidRDefault="00050F68" w:rsidP="002070A2">
      <w:pPr>
        <w:rPr>
          <w:rFonts w:ascii="Arial" w:hAnsi="Arial" w:cs="Arial"/>
          <w:szCs w:val="24"/>
        </w:rPr>
      </w:pPr>
      <w:r>
        <w:rPr>
          <w:rFonts w:ascii="Arial" w:hAnsi="Arial" w:cs="Arial"/>
          <w:b/>
          <w:i/>
          <w:szCs w:val="24"/>
        </w:rPr>
        <w:t>1. N</w:t>
      </w:r>
      <w:r w:rsidR="002070A2" w:rsidRPr="00050F68">
        <w:rPr>
          <w:rFonts w:ascii="Arial" w:hAnsi="Arial" w:cs="Arial"/>
          <w:b/>
          <w:i/>
          <w:szCs w:val="24"/>
        </w:rPr>
        <w:t xml:space="preserve">ature of the right </w:t>
      </w:r>
      <w:r w:rsidR="00B55BED" w:rsidRPr="00050F68">
        <w:rPr>
          <w:rFonts w:ascii="Arial" w:hAnsi="Arial" w:cs="Arial"/>
          <w:b/>
          <w:i/>
          <w:szCs w:val="24"/>
        </w:rPr>
        <w:t xml:space="preserve">and the limitation </w:t>
      </w:r>
      <w:r w:rsidR="002070A2" w:rsidRPr="00050F68">
        <w:rPr>
          <w:rFonts w:ascii="Arial" w:hAnsi="Arial" w:cs="Arial"/>
          <w:b/>
          <w:i/>
          <w:szCs w:val="24"/>
        </w:rPr>
        <w:t>(s 28 (2) (a)</w:t>
      </w:r>
      <w:r w:rsidR="00B55BED" w:rsidRPr="00050F68">
        <w:rPr>
          <w:rFonts w:ascii="Arial" w:hAnsi="Arial" w:cs="Arial"/>
          <w:b/>
          <w:i/>
          <w:szCs w:val="24"/>
        </w:rPr>
        <w:t xml:space="preserve"> and (c)</w:t>
      </w:r>
      <w:r w:rsidR="002070A2" w:rsidRPr="00050F68">
        <w:rPr>
          <w:rFonts w:ascii="Arial" w:hAnsi="Arial" w:cs="Arial"/>
          <w:b/>
          <w:i/>
          <w:szCs w:val="24"/>
        </w:rPr>
        <w:t>)</w:t>
      </w:r>
    </w:p>
    <w:p w14:paraId="54C1DCEE" w14:textId="3A6183E6" w:rsidR="00AC45FD" w:rsidRDefault="00AC45FD" w:rsidP="002070A2">
      <w:pPr>
        <w:rPr>
          <w:rFonts w:ascii="Arial" w:hAnsi="Arial" w:cs="Arial"/>
          <w:bCs/>
          <w:szCs w:val="24"/>
        </w:rPr>
      </w:pPr>
      <w:r>
        <w:rPr>
          <w:rFonts w:ascii="Arial" w:hAnsi="Arial" w:cs="Arial"/>
          <w:bCs/>
          <w:szCs w:val="24"/>
        </w:rPr>
        <w:t xml:space="preserve">The amendment </w:t>
      </w:r>
      <w:r w:rsidRPr="00AC45FD">
        <w:rPr>
          <w:rFonts w:ascii="Arial" w:hAnsi="Arial" w:cs="Arial"/>
          <w:bCs/>
          <w:szCs w:val="24"/>
        </w:rPr>
        <w:t>make</w:t>
      </w:r>
      <w:r>
        <w:rPr>
          <w:rFonts w:ascii="Arial" w:hAnsi="Arial" w:cs="Arial"/>
          <w:bCs/>
          <w:szCs w:val="24"/>
        </w:rPr>
        <w:t>s</w:t>
      </w:r>
      <w:r w:rsidRPr="00AC45FD">
        <w:rPr>
          <w:rFonts w:ascii="Arial" w:hAnsi="Arial" w:cs="Arial"/>
          <w:bCs/>
          <w:szCs w:val="24"/>
        </w:rPr>
        <w:t xml:space="preserve"> clear that evidence of prior family violence between parties </w:t>
      </w:r>
      <w:r w:rsidR="00D45EDE">
        <w:rPr>
          <w:rFonts w:ascii="Arial" w:hAnsi="Arial" w:cs="Arial"/>
          <w:bCs/>
          <w:szCs w:val="24"/>
        </w:rPr>
        <w:t xml:space="preserve">(which includes domestic violence) </w:t>
      </w:r>
      <w:r w:rsidR="00CE3F5F">
        <w:rPr>
          <w:rFonts w:ascii="Arial" w:hAnsi="Arial" w:cs="Arial"/>
          <w:bCs/>
          <w:szCs w:val="24"/>
        </w:rPr>
        <w:t>may be</w:t>
      </w:r>
      <w:r w:rsidRPr="00AC45FD">
        <w:rPr>
          <w:rFonts w:ascii="Arial" w:hAnsi="Arial" w:cs="Arial"/>
          <w:bCs/>
          <w:szCs w:val="24"/>
        </w:rPr>
        <w:t xml:space="preserve"> relevant and admissible in sexual assault cases, provided this evidence is not unfairly prejudicial to the defendant. </w:t>
      </w:r>
      <w:r>
        <w:rPr>
          <w:rFonts w:ascii="Arial" w:hAnsi="Arial" w:cs="Arial"/>
          <w:bCs/>
          <w:szCs w:val="24"/>
        </w:rPr>
        <w:t xml:space="preserve">The amendment </w:t>
      </w:r>
      <w:r w:rsidRPr="00AC45FD">
        <w:rPr>
          <w:rFonts w:ascii="Arial" w:hAnsi="Arial" w:cs="Arial"/>
          <w:bCs/>
          <w:szCs w:val="24"/>
        </w:rPr>
        <w:t>reiterates the common law position and does not presume that evidence of family violence will always be relevant and admissible.</w:t>
      </w:r>
      <w:r w:rsidR="00F01B7A">
        <w:rPr>
          <w:rFonts w:ascii="Arial" w:hAnsi="Arial" w:cs="Arial"/>
          <w:bCs/>
          <w:szCs w:val="24"/>
        </w:rPr>
        <w:t xml:space="preserve"> </w:t>
      </w:r>
    </w:p>
    <w:p w14:paraId="66121E97" w14:textId="21B8B91D" w:rsidR="00D06F2D" w:rsidRDefault="00D06F2D" w:rsidP="002070A2">
      <w:pPr>
        <w:rPr>
          <w:rFonts w:ascii="Arial" w:hAnsi="Arial" w:cs="Arial"/>
          <w:bCs/>
          <w:szCs w:val="24"/>
        </w:rPr>
      </w:pPr>
      <w:r>
        <w:rPr>
          <w:rFonts w:ascii="Arial" w:hAnsi="Arial" w:cs="Arial"/>
          <w:bCs/>
          <w:szCs w:val="24"/>
        </w:rPr>
        <w:lastRenderedPageBreak/>
        <w:t>Section 21 of the HR Act provides that t</w:t>
      </w:r>
      <w:r w:rsidRPr="00D06F2D">
        <w:rPr>
          <w:rFonts w:ascii="Arial" w:hAnsi="Arial" w:cs="Arial"/>
          <w:bCs/>
          <w:szCs w:val="24"/>
        </w:rPr>
        <w:t>he right to fair hearing is concerned with procedural fairness and encompasses notions of equality in proceedings.</w:t>
      </w:r>
      <w:r>
        <w:rPr>
          <w:rFonts w:ascii="Arial" w:hAnsi="Arial" w:cs="Arial"/>
          <w:bCs/>
          <w:szCs w:val="24"/>
        </w:rPr>
        <w:t xml:space="preserve"> </w:t>
      </w:r>
      <w:r w:rsidR="002E48CF">
        <w:rPr>
          <w:rFonts w:ascii="Arial" w:hAnsi="Arial" w:cs="Arial"/>
          <w:bCs/>
          <w:szCs w:val="24"/>
        </w:rPr>
        <w:t>The amendment engages and may limit t</w:t>
      </w:r>
      <w:r w:rsidR="002E48CF" w:rsidRPr="00AC34AE">
        <w:rPr>
          <w:rFonts w:ascii="Arial" w:hAnsi="Arial" w:cs="Arial"/>
          <w:bCs/>
          <w:szCs w:val="24"/>
        </w:rPr>
        <w:t xml:space="preserve">he </w:t>
      </w:r>
      <w:r w:rsidR="00F06F47" w:rsidRPr="00AC34AE">
        <w:rPr>
          <w:rFonts w:ascii="Arial" w:hAnsi="Arial" w:cs="Arial"/>
          <w:bCs/>
          <w:szCs w:val="24"/>
        </w:rPr>
        <w:t xml:space="preserve">right to a fair </w:t>
      </w:r>
      <w:r w:rsidR="00D11AC5">
        <w:rPr>
          <w:rFonts w:ascii="Arial" w:hAnsi="Arial" w:cs="Arial"/>
          <w:bCs/>
          <w:szCs w:val="24"/>
        </w:rPr>
        <w:t xml:space="preserve">hearing </w:t>
      </w:r>
      <w:r w:rsidR="002E48CF">
        <w:rPr>
          <w:rFonts w:ascii="Arial" w:hAnsi="Arial" w:cs="Arial"/>
          <w:bCs/>
          <w:szCs w:val="24"/>
        </w:rPr>
        <w:t>(section 21 of the HR Act)</w:t>
      </w:r>
      <w:r w:rsidR="000477EE">
        <w:rPr>
          <w:rFonts w:ascii="Arial" w:hAnsi="Arial" w:cs="Arial"/>
          <w:bCs/>
          <w:szCs w:val="24"/>
        </w:rPr>
        <w:t>.</w:t>
      </w:r>
      <w:r w:rsidR="00F01B7A">
        <w:rPr>
          <w:rFonts w:ascii="Arial" w:hAnsi="Arial" w:cs="Arial"/>
          <w:bCs/>
          <w:szCs w:val="24"/>
        </w:rPr>
        <w:t xml:space="preserve"> </w:t>
      </w:r>
      <w:r w:rsidR="000477EE">
        <w:rPr>
          <w:rFonts w:ascii="Arial" w:hAnsi="Arial" w:cs="Arial"/>
          <w:bCs/>
          <w:szCs w:val="24"/>
        </w:rPr>
        <w:t xml:space="preserve">While the amendment codifies common law, prior family </w:t>
      </w:r>
      <w:r w:rsidR="00D740FD">
        <w:rPr>
          <w:rFonts w:ascii="Arial" w:hAnsi="Arial" w:cs="Arial"/>
          <w:bCs/>
          <w:szCs w:val="24"/>
        </w:rPr>
        <w:t xml:space="preserve">and domestic </w:t>
      </w:r>
      <w:r w:rsidR="000477EE">
        <w:rPr>
          <w:rFonts w:ascii="Arial" w:hAnsi="Arial" w:cs="Arial"/>
          <w:bCs/>
          <w:szCs w:val="24"/>
        </w:rPr>
        <w:t xml:space="preserve">violence that may be relevant and admissible have not always been adduced and </w:t>
      </w:r>
      <w:r w:rsidR="00F01B7A">
        <w:rPr>
          <w:rFonts w:ascii="Arial" w:hAnsi="Arial" w:cs="Arial"/>
          <w:bCs/>
          <w:szCs w:val="24"/>
        </w:rPr>
        <w:t xml:space="preserve">the amendment </w:t>
      </w:r>
      <w:r w:rsidR="00FE6FB8">
        <w:rPr>
          <w:rFonts w:ascii="Arial" w:hAnsi="Arial" w:cs="Arial"/>
          <w:bCs/>
          <w:szCs w:val="24"/>
        </w:rPr>
        <w:t xml:space="preserve">may </w:t>
      </w:r>
      <w:r w:rsidR="00C83A1B">
        <w:rPr>
          <w:rFonts w:ascii="Arial" w:hAnsi="Arial" w:cs="Arial"/>
          <w:bCs/>
          <w:szCs w:val="24"/>
        </w:rPr>
        <w:t xml:space="preserve">cause </w:t>
      </w:r>
      <w:r w:rsidR="00C83A1B">
        <w:rPr>
          <w:rFonts w:ascii="Arial" w:hAnsi="Arial" w:cs="Arial"/>
          <w:szCs w:val="24"/>
        </w:rPr>
        <w:t xml:space="preserve">confusion in how </w:t>
      </w:r>
      <w:r w:rsidR="00DD6BB8">
        <w:rPr>
          <w:rFonts w:ascii="Arial" w:hAnsi="Arial" w:cs="Arial"/>
          <w:szCs w:val="24"/>
        </w:rPr>
        <w:t>such evidence</w:t>
      </w:r>
      <w:r w:rsidR="00C83A1B">
        <w:rPr>
          <w:rFonts w:ascii="Arial" w:hAnsi="Arial" w:cs="Arial"/>
          <w:szCs w:val="24"/>
        </w:rPr>
        <w:t xml:space="preserve"> may be relevant and admissible </w:t>
      </w:r>
      <w:r w:rsidR="000477EE">
        <w:rPr>
          <w:rFonts w:ascii="Arial" w:hAnsi="Arial" w:cs="Arial"/>
          <w:szCs w:val="24"/>
        </w:rPr>
        <w:t>especially in relation to self-represented parties.</w:t>
      </w:r>
      <w:r w:rsidR="00657419">
        <w:rPr>
          <w:rFonts w:ascii="Arial" w:hAnsi="Arial" w:cs="Arial"/>
          <w:szCs w:val="24"/>
        </w:rPr>
        <w:t xml:space="preserve"> </w:t>
      </w:r>
      <w:r w:rsidR="000477EE">
        <w:rPr>
          <w:rFonts w:ascii="Arial" w:hAnsi="Arial" w:cs="Arial"/>
          <w:bCs/>
          <w:szCs w:val="24"/>
        </w:rPr>
        <w:t xml:space="preserve">This will </w:t>
      </w:r>
      <w:r w:rsidR="00FE6FB8">
        <w:rPr>
          <w:rFonts w:ascii="Arial" w:hAnsi="Arial" w:cs="Arial"/>
          <w:bCs/>
          <w:szCs w:val="24"/>
        </w:rPr>
        <w:t xml:space="preserve">require </w:t>
      </w:r>
      <w:r w:rsidR="00F01B7A">
        <w:rPr>
          <w:rFonts w:ascii="Arial" w:hAnsi="Arial" w:cs="Arial"/>
          <w:bCs/>
          <w:szCs w:val="24"/>
        </w:rPr>
        <w:t xml:space="preserve">the </w:t>
      </w:r>
      <w:r w:rsidR="00F01B7A" w:rsidRPr="00F01B7A">
        <w:rPr>
          <w:rFonts w:ascii="Arial" w:hAnsi="Arial" w:cs="Arial"/>
          <w:bCs/>
          <w:szCs w:val="24"/>
        </w:rPr>
        <w:t xml:space="preserve">court </w:t>
      </w:r>
      <w:r w:rsidR="00F01B7A">
        <w:rPr>
          <w:rFonts w:ascii="Arial" w:hAnsi="Arial" w:cs="Arial"/>
          <w:bCs/>
          <w:szCs w:val="24"/>
        </w:rPr>
        <w:t>to exercise</w:t>
      </w:r>
      <w:r w:rsidR="00F01B7A" w:rsidRPr="00F01B7A">
        <w:rPr>
          <w:rFonts w:ascii="Arial" w:hAnsi="Arial" w:cs="Arial"/>
          <w:bCs/>
          <w:szCs w:val="24"/>
        </w:rPr>
        <w:t xml:space="preserve"> a positive responsibility to balance such disadvantage through judicial procedures such as directing the jury how much weight to give certain evidence</w:t>
      </w:r>
      <w:r w:rsidR="00106FD7">
        <w:rPr>
          <w:rFonts w:ascii="Arial" w:hAnsi="Arial" w:cs="Arial"/>
          <w:bCs/>
          <w:szCs w:val="24"/>
        </w:rPr>
        <w:t xml:space="preserve">, </w:t>
      </w:r>
      <w:r w:rsidR="00F01B7A" w:rsidRPr="00F01B7A">
        <w:rPr>
          <w:rFonts w:ascii="Arial" w:hAnsi="Arial" w:cs="Arial"/>
          <w:bCs/>
          <w:szCs w:val="24"/>
        </w:rPr>
        <w:t>or explaining the steps in the proceedings to disadvantaged parties.</w:t>
      </w:r>
      <w:r>
        <w:rPr>
          <w:rFonts w:ascii="Arial" w:hAnsi="Arial" w:cs="Arial"/>
          <w:bCs/>
          <w:szCs w:val="24"/>
        </w:rPr>
        <w:t xml:space="preserve"> </w:t>
      </w:r>
    </w:p>
    <w:p w14:paraId="239262B4" w14:textId="3E8D07FE" w:rsidR="004F57C7" w:rsidRPr="004F57C7" w:rsidRDefault="004F57C7" w:rsidP="004F57C7">
      <w:pPr>
        <w:rPr>
          <w:rFonts w:ascii="Arial" w:hAnsi="Arial" w:cs="Arial"/>
          <w:bCs/>
          <w:szCs w:val="24"/>
        </w:rPr>
      </w:pPr>
      <w:r>
        <w:rPr>
          <w:rFonts w:ascii="Arial" w:hAnsi="Arial" w:cs="Arial"/>
        </w:rPr>
        <w:t>Section 22 of the HR Act provides that t</w:t>
      </w:r>
      <w:r w:rsidRPr="004F57C7">
        <w:rPr>
          <w:rFonts w:ascii="Arial" w:hAnsi="Arial" w:cs="Arial"/>
        </w:rPr>
        <w:t>he</w:t>
      </w:r>
      <w:r w:rsidRPr="004F57C7">
        <w:t xml:space="preserve"> </w:t>
      </w:r>
      <w:r>
        <w:rPr>
          <w:rFonts w:ascii="Arial" w:hAnsi="Arial" w:cs="Arial"/>
        </w:rPr>
        <w:t xml:space="preserve">everyone </w:t>
      </w:r>
      <w:r w:rsidRPr="004F57C7">
        <w:rPr>
          <w:rFonts w:ascii="Arial" w:hAnsi="Arial" w:cs="Arial"/>
        </w:rPr>
        <w:t>charged with a criminal offence has the right to be presumed innocent until proved guilty according to law</w:t>
      </w:r>
      <w:r>
        <w:rPr>
          <w:rFonts w:ascii="Arial" w:hAnsi="Arial" w:cs="Arial"/>
        </w:rPr>
        <w:t>. The</w:t>
      </w:r>
      <w:r w:rsidRPr="004F57C7">
        <w:rPr>
          <w:rFonts w:ascii="Arial" w:hAnsi="Arial" w:cs="Arial"/>
        </w:rPr>
        <w:t xml:space="preserve"> right to a presumption of innocence includes that the accused has the 'benefit of the doubt', and that a person should not be punished again for offence for which a person has already been convicted. These rights may be limited by the Bill because it could create a risk that a decision maker considers that a person is guilty of the present offence because their prior offences were admitted as evidence.</w:t>
      </w:r>
    </w:p>
    <w:p w14:paraId="220CD5FC" w14:textId="76408D5E" w:rsidR="002070A2" w:rsidRPr="00050F68" w:rsidRDefault="00050F68" w:rsidP="002070A2">
      <w:pPr>
        <w:rPr>
          <w:rFonts w:ascii="Arial" w:hAnsi="Arial" w:cs="Arial"/>
          <w:szCs w:val="24"/>
        </w:rPr>
      </w:pPr>
      <w:r>
        <w:rPr>
          <w:rFonts w:ascii="Arial" w:hAnsi="Arial" w:cs="Arial"/>
          <w:b/>
          <w:i/>
          <w:szCs w:val="24"/>
        </w:rPr>
        <w:t xml:space="preserve">2. </w:t>
      </w:r>
      <w:r w:rsidR="001E4E37" w:rsidRPr="00050F68">
        <w:rPr>
          <w:rFonts w:ascii="Arial" w:hAnsi="Arial" w:cs="Arial"/>
          <w:b/>
          <w:i/>
          <w:szCs w:val="24"/>
        </w:rPr>
        <w:t>Legitimate purpose</w:t>
      </w:r>
      <w:r w:rsidR="002070A2" w:rsidRPr="00050F68">
        <w:rPr>
          <w:rFonts w:ascii="Arial" w:hAnsi="Arial" w:cs="Arial"/>
          <w:b/>
          <w:i/>
          <w:szCs w:val="24"/>
        </w:rPr>
        <w:t xml:space="preserve"> (s 28 (2) (b))</w:t>
      </w:r>
    </w:p>
    <w:p w14:paraId="7D23020C" w14:textId="0CF93A6E" w:rsidR="00DD3896" w:rsidRDefault="006E4C58" w:rsidP="00DF7319">
      <w:pPr>
        <w:rPr>
          <w:rFonts w:ascii="Arial" w:hAnsi="Arial" w:cs="Arial"/>
          <w:color w:val="000000"/>
          <w:szCs w:val="24"/>
        </w:rPr>
      </w:pPr>
      <w:r>
        <w:rPr>
          <w:rFonts w:ascii="Arial" w:hAnsi="Arial" w:cs="Arial"/>
          <w:color w:val="000000"/>
          <w:szCs w:val="24"/>
        </w:rPr>
        <w:t>Evidence of prior family violence between the parties is important in sexual violence proceedings</w:t>
      </w:r>
      <w:r w:rsidR="002E6EB4">
        <w:rPr>
          <w:rFonts w:ascii="Arial" w:hAnsi="Arial" w:cs="Arial"/>
          <w:color w:val="000000"/>
          <w:szCs w:val="24"/>
        </w:rPr>
        <w:t xml:space="preserve"> to improve victim-survivors’ encounter with the criminal justice system and </w:t>
      </w:r>
      <w:r w:rsidR="0064263A">
        <w:rPr>
          <w:rFonts w:ascii="Arial" w:hAnsi="Arial" w:cs="Arial"/>
          <w:color w:val="000000"/>
          <w:szCs w:val="24"/>
        </w:rPr>
        <w:t>enforcement of their legal rights and protections</w:t>
      </w:r>
      <w:r>
        <w:rPr>
          <w:rFonts w:ascii="Arial" w:hAnsi="Arial" w:cs="Arial"/>
          <w:color w:val="000000"/>
          <w:szCs w:val="24"/>
        </w:rPr>
        <w:t xml:space="preserve">. </w:t>
      </w:r>
    </w:p>
    <w:p w14:paraId="2CDF8460" w14:textId="47E2CB47" w:rsidR="00DD3896" w:rsidRDefault="00DD3896" w:rsidP="00DD3896">
      <w:pPr>
        <w:rPr>
          <w:rFonts w:ascii="Arial" w:hAnsi="Arial" w:cs="Arial"/>
        </w:rPr>
      </w:pPr>
      <w:r>
        <w:rPr>
          <w:rFonts w:ascii="Arial" w:hAnsi="Arial" w:cs="Arial"/>
        </w:rPr>
        <w:t>The SAPR Report noted that</w:t>
      </w:r>
      <w:r w:rsidRPr="00A25822">
        <w:rPr>
          <w:rFonts w:ascii="Arial" w:hAnsi="Arial" w:cs="Arial"/>
        </w:rPr>
        <w:t xml:space="preserve"> </w:t>
      </w:r>
      <w:r>
        <w:rPr>
          <w:rFonts w:ascii="Arial" w:hAnsi="Arial" w:cs="Arial"/>
        </w:rPr>
        <w:t xml:space="preserve">a high proportion of victim-survivors of </w:t>
      </w:r>
      <w:r w:rsidRPr="00A25822">
        <w:rPr>
          <w:rFonts w:ascii="Arial" w:hAnsi="Arial" w:cs="Arial"/>
        </w:rPr>
        <w:t xml:space="preserve">sexual assault </w:t>
      </w:r>
      <w:r>
        <w:rPr>
          <w:rFonts w:ascii="Arial" w:hAnsi="Arial" w:cs="Arial"/>
        </w:rPr>
        <w:t xml:space="preserve">also experience domestic and family violence and suggest that a lack of understanding of the interplay between prior domestic and family violence and sexual assault may result in such evidence not being collected at the initial interview stage of sexual assault reports and subsequently, not being adduced in court. </w:t>
      </w:r>
    </w:p>
    <w:p w14:paraId="629D3B95" w14:textId="1FA3BC94" w:rsidR="002B608C" w:rsidRDefault="006004F6" w:rsidP="002B608C">
      <w:pPr>
        <w:rPr>
          <w:rFonts w:ascii="Arial" w:hAnsi="Arial" w:cs="Arial"/>
        </w:rPr>
      </w:pPr>
      <w:r>
        <w:rPr>
          <w:rFonts w:ascii="Arial" w:hAnsi="Arial" w:cs="Arial"/>
        </w:rPr>
        <w:t>E</w:t>
      </w:r>
      <w:r w:rsidRPr="002B608C">
        <w:rPr>
          <w:rFonts w:ascii="Arial" w:hAnsi="Arial" w:cs="Arial"/>
        </w:rPr>
        <w:t>vidence of prior domestic and family violence</w:t>
      </w:r>
      <w:r>
        <w:rPr>
          <w:rFonts w:ascii="Arial" w:hAnsi="Arial" w:cs="Arial"/>
        </w:rPr>
        <w:t xml:space="preserve"> </w:t>
      </w:r>
      <w:r w:rsidRPr="002B608C">
        <w:rPr>
          <w:rFonts w:ascii="Arial" w:hAnsi="Arial" w:cs="Arial"/>
        </w:rPr>
        <w:t>between the parties is important in sexual assault trials.</w:t>
      </w:r>
      <w:r>
        <w:rPr>
          <w:rFonts w:ascii="Arial" w:hAnsi="Arial" w:cs="Arial"/>
        </w:rPr>
        <w:t xml:space="preserve"> As noted in the SAPR Report, </w:t>
      </w:r>
      <w:r w:rsidR="002B608C" w:rsidRPr="002B608C">
        <w:rPr>
          <w:rFonts w:ascii="Arial" w:hAnsi="Arial" w:cs="Arial"/>
        </w:rPr>
        <w:t>available research suggests a significant percentage of</w:t>
      </w:r>
      <w:r w:rsidR="002B608C">
        <w:rPr>
          <w:rFonts w:ascii="Arial" w:hAnsi="Arial" w:cs="Arial"/>
        </w:rPr>
        <w:t xml:space="preserve"> </w:t>
      </w:r>
      <w:r w:rsidR="002B608C" w:rsidRPr="002B608C">
        <w:rPr>
          <w:rFonts w:ascii="Arial" w:hAnsi="Arial" w:cs="Arial"/>
        </w:rPr>
        <w:t>victim survivors of sexual assault also experience domestic</w:t>
      </w:r>
      <w:r w:rsidR="002B608C">
        <w:rPr>
          <w:rFonts w:ascii="Arial" w:hAnsi="Arial" w:cs="Arial"/>
        </w:rPr>
        <w:t xml:space="preserve"> </w:t>
      </w:r>
      <w:r w:rsidR="002B608C" w:rsidRPr="002B608C">
        <w:rPr>
          <w:rFonts w:ascii="Arial" w:hAnsi="Arial" w:cs="Arial"/>
        </w:rPr>
        <w:t>and family violence. Specifically, ABS data reveals that, in</w:t>
      </w:r>
      <w:r w:rsidR="002B608C">
        <w:rPr>
          <w:rFonts w:ascii="Arial" w:hAnsi="Arial" w:cs="Arial"/>
        </w:rPr>
        <w:t xml:space="preserve"> </w:t>
      </w:r>
      <w:r w:rsidR="002B608C" w:rsidRPr="002B608C">
        <w:rPr>
          <w:rFonts w:ascii="Arial" w:hAnsi="Arial" w:cs="Arial"/>
        </w:rPr>
        <w:t>2020, 37 per cent of sexual assaults reported nationally were</w:t>
      </w:r>
      <w:r w:rsidR="002B608C">
        <w:rPr>
          <w:rFonts w:ascii="Arial" w:hAnsi="Arial" w:cs="Arial"/>
        </w:rPr>
        <w:t xml:space="preserve"> </w:t>
      </w:r>
      <w:r w:rsidR="002B608C" w:rsidRPr="002B608C">
        <w:rPr>
          <w:rFonts w:ascii="Arial" w:hAnsi="Arial" w:cs="Arial"/>
        </w:rPr>
        <w:t>related to domestic and family violence, while the figure in</w:t>
      </w:r>
      <w:r w:rsidR="002B608C">
        <w:rPr>
          <w:rFonts w:ascii="Arial" w:hAnsi="Arial" w:cs="Arial"/>
        </w:rPr>
        <w:t xml:space="preserve"> </w:t>
      </w:r>
      <w:r w:rsidR="002B608C" w:rsidRPr="002B608C">
        <w:rPr>
          <w:rFonts w:ascii="Arial" w:hAnsi="Arial" w:cs="Arial"/>
        </w:rPr>
        <w:t>the ACT was 27 per cent.</w:t>
      </w:r>
      <w:r w:rsidR="002B608C">
        <w:rPr>
          <w:rFonts w:ascii="Arial" w:hAnsi="Arial" w:cs="Arial"/>
        </w:rPr>
        <w:t xml:space="preserve"> </w:t>
      </w:r>
    </w:p>
    <w:p w14:paraId="67862E70" w14:textId="77700794" w:rsidR="006004F6" w:rsidRDefault="006004F6" w:rsidP="006004F6">
      <w:pPr>
        <w:rPr>
          <w:rFonts w:ascii="Arial" w:hAnsi="Arial" w:cs="Arial"/>
        </w:rPr>
      </w:pPr>
      <w:r>
        <w:rPr>
          <w:rFonts w:ascii="Arial" w:hAnsi="Arial" w:cs="Arial"/>
        </w:rPr>
        <w:t>Nevertheless</w:t>
      </w:r>
      <w:r w:rsidRPr="006004F6">
        <w:rPr>
          <w:rFonts w:ascii="Arial" w:hAnsi="Arial" w:cs="Arial"/>
        </w:rPr>
        <w:t xml:space="preserve">, </w:t>
      </w:r>
      <w:r>
        <w:rPr>
          <w:rFonts w:ascii="Arial" w:hAnsi="Arial" w:cs="Arial"/>
        </w:rPr>
        <w:t>the SAPR Report noted that</w:t>
      </w:r>
      <w:r w:rsidRPr="006004F6">
        <w:rPr>
          <w:rFonts w:ascii="Arial" w:hAnsi="Arial" w:cs="Arial"/>
        </w:rPr>
        <w:t xml:space="preserve"> </w:t>
      </w:r>
      <w:r>
        <w:rPr>
          <w:rFonts w:ascii="Arial" w:hAnsi="Arial" w:cs="Arial"/>
        </w:rPr>
        <w:t xml:space="preserve">while </w:t>
      </w:r>
      <w:r w:rsidRPr="006004F6">
        <w:rPr>
          <w:rFonts w:ascii="Arial" w:hAnsi="Arial" w:cs="Arial"/>
        </w:rPr>
        <w:t xml:space="preserve">the common law </w:t>
      </w:r>
      <w:r>
        <w:rPr>
          <w:rFonts w:ascii="Arial" w:hAnsi="Arial" w:cs="Arial"/>
        </w:rPr>
        <w:t xml:space="preserve">allows </w:t>
      </w:r>
      <w:r w:rsidRPr="006004F6">
        <w:rPr>
          <w:rFonts w:ascii="Arial" w:hAnsi="Arial" w:cs="Arial"/>
        </w:rPr>
        <w:t xml:space="preserve">parties </w:t>
      </w:r>
      <w:r>
        <w:rPr>
          <w:rFonts w:ascii="Arial" w:hAnsi="Arial" w:cs="Arial"/>
        </w:rPr>
        <w:t>to</w:t>
      </w:r>
      <w:r w:rsidRPr="006004F6">
        <w:rPr>
          <w:rFonts w:ascii="Arial" w:hAnsi="Arial" w:cs="Arial"/>
        </w:rPr>
        <w:t xml:space="preserve"> apply</w:t>
      </w:r>
      <w:r>
        <w:rPr>
          <w:rFonts w:ascii="Arial" w:hAnsi="Arial" w:cs="Arial"/>
        </w:rPr>
        <w:t xml:space="preserve"> </w:t>
      </w:r>
      <w:r w:rsidRPr="006004F6">
        <w:rPr>
          <w:rFonts w:ascii="Arial" w:hAnsi="Arial" w:cs="Arial"/>
        </w:rPr>
        <w:t xml:space="preserve">to adduce </w:t>
      </w:r>
      <w:r w:rsidRPr="002B608C">
        <w:rPr>
          <w:rFonts w:ascii="Arial" w:hAnsi="Arial" w:cs="Arial"/>
        </w:rPr>
        <w:t>prior domestic and family violence</w:t>
      </w:r>
      <w:r w:rsidRPr="006004F6">
        <w:rPr>
          <w:rFonts w:ascii="Arial" w:hAnsi="Arial" w:cs="Arial"/>
        </w:rPr>
        <w:t xml:space="preserve"> evidence where it is relevant and not unfairly</w:t>
      </w:r>
      <w:r>
        <w:rPr>
          <w:rFonts w:ascii="Arial" w:hAnsi="Arial" w:cs="Arial"/>
        </w:rPr>
        <w:t xml:space="preserve"> </w:t>
      </w:r>
      <w:r w:rsidRPr="006004F6">
        <w:rPr>
          <w:rFonts w:ascii="Arial" w:hAnsi="Arial" w:cs="Arial"/>
        </w:rPr>
        <w:t>prejudicial, this is not widely or consistently</w:t>
      </w:r>
      <w:r>
        <w:rPr>
          <w:rFonts w:ascii="Arial" w:hAnsi="Arial" w:cs="Arial"/>
        </w:rPr>
        <w:t xml:space="preserve"> </w:t>
      </w:r>
      <w:r w:rsidRPr="006004F6">
        <w:rPr>
          <w:rFonts w:ascii="Arial" w:hAnsi="Arial" w:cs="Arial"/>
        </w:rPr>
        <w:t>understood or practiced.</w:t>
      </w:r>
    </w:p>
    <w:p w14:paraId="30197B6E" w14:textId="7FEB5EC1" w:rsidR="00B133F9" w:rsidDel="00FD1546" w:rsidRDefault="00DD3896" w:rsidP="00DF7319">
      <w:pPr>
        <w:rPr>
          <w:rFonts w:ascii="Arial" w:hAnsi="Arial" w:cs="Arial"/>
          <w:color w:val="000000"/>
          <w:szCs w:val="24"/>
        </w:rPr>
      </w:pPr>
      <w:r>
        <w:rPr>
          <w:rFonts w:ascii="Arial" w:hAnsi="Arial" w:cs="Arial"/>
          <w:color w:val="000000"/>
          <w:szCs w:val="24"/>
        </w:rPr>
        <w:t>The amendment</w:t>
      </w:r>
      <w:r w:rsidR="006E4C58">
        <w:rPr>
          <w:rFonts w:ascii="Arial" w:hAnsi="Arial" w:cs="Arial"/>
          <w:color w:val="000000"/>
          <w:szCs w:val="24"/>
        </w:rPr>
        <w:t xml:space="preserve"> can assist the factfinder to better evaluate the true nature of relationships between the parties and why the victim survivor reacted the way as they did, which is vital to counter any misunderstandings of why someone acted in a particular way in response to sexual violence. The amendment seeks to ensure that </w:t>
      </w:r>
      <w:r w:rsidR="006E4C58">
        <w:rPr>
          <w:rFonts w:ascii="Arial" w:hAnsi="Arial" w:cs="Arial"/>
          <w:color w:val="000000"/>
          <w:szCs w:val="24"/>
        </w:rPr>
        <w:lastRenderedPageBreak/>
        <w:t xml:space="preserve">the common law position is more widely and consistently understood </w:t>
      </w:r>
      <w:r w:rsidR="00283BD1">
        <w:rPr>
          <w:rFonts w:ascii="Arial" w:hAnsi="Arial" w:cs="Arial"/>
          <w:color w:val="000000"/>
          <w:szCs w:val="24"/>
        </w:rPr>
        <w:t>and</w:t>
      </w:r>
      <w:r w:rsidR="006E4C58">
        <w:rPr>
          <w:rFonts w:ascii="Arial" w:hAnsi="Arial" w:cs="Arial"/>
          <w:color w:val="000000"/>
          <w:szCs w:val="24"/>
        </w:rPr>
        <w:t xml:space="preserve"> practiced. This will also </w:t>
      </w:r>
      <w:r w:rsidR="00271833" w:rsidRPr="00271833">
        <w:rPr>
          <w:rFonts w:ascii="Arial" w:hAnsi="Arial" w:cs="Arial"/>
          <w:color w:val="000000"/>
          <w:szCs w:val="24"/>
        </w:rPr>
        <w:t xml:space="preserve">encourage normative and practical effects for how police investigate matters and </w:t>
      </w:r>
      <w:r w:rsidR="006E4C58">
        <w:rPr>
          <w:rFonts w:ascii="Arial" w:hAnsi="Arial" w:cs="Arial"/>
          <w:color w:val="000000"/>
          <w:szCs w:val="24"/>
        </w:rPr>
        <w:t xml:space="preserve">support prosecutors to adduce such evidence in relevant proceedings. </w:t>
      </w:r>
    </w:p>
    <w:p w14:paraId="28173187" w14:textId="35D2BD43" w:rsidR="002070A2" w:rsidRPr="00050F68" w:rsidRDefault="00050F68" w:rsidP="002070A2">
      <w:pPr>
        <w:rPr>
          <w:rFonts w:ascii="Arial" w:hAnsi="Arial" w:cs="Arial"/>
          <w:szCs w:val="24"/>
        </w:rPr>
      </w:pPr>
      <w:r>
        <w:rPr>
          <w:rFonts w:ascii="Arial" w:hAnsi="Arial" w:cs="Arial"/>
          <w:b/>
          <w:i/>
          <w:szCs w:val="24"/>
        </w:rPr>
        <w:t xml:space="preserve">3. </w:t>
      </w:r>
      <w:r w:rsidR="00C2292D" w:rsidRPr="00050F68">
        <w:rPr>
          <w:rFonts w:ascii="Arial" w:hAnsi="Arial" w:cs="Arial"/>
          <w:b/>
          <w:i/>
          <w:szCs w:val="24"/>
        </w:rPr>
        <w:t>Rational connection</w:t>
      </w:r>
      <w:r>
        <w:rPr>
          <w:rFonts w:ascii="Arial" w:hAnsi="Arial" w:cs="Arial"/>
          <w:b/>
          <w:i/>
          <w:szCs w:val="24"/>
        </w:rPr>
        <w:t xml:space="preserve"> between the limitation and the purpose</w:t>
      </w:r>
      <w:r w:rsidR="00ED12EC" w:rsidRPr="00050F68">
        <w:rPr>
          <w:rFonts w:ascii="Arial" w:hAnsi="Arial" w:cs="Arial"/>
          <w:b/>
          <w:i/>
          <w:szCs w:val="24"/>
        </w:rPr>
        <w:t xml:space="preserve"> </w:t>
      </w:r>
      <w:r w:rsidR="002070A2" w:rsidRPr="00050F68">
        <w:rPr>
          <w:rFonts w:ascii="Arial" w:hAnsi="Arial" w:cs="Arial"/>
          <w:b/>
          <w:i/>
          <w:szCs w:val="24"/>
        </w:rPr>
        <w:t>(s 28 (2) (d))</w:t>
      </w:r>
    </w:p>
    <w:p w14:paraId="5653D73F" w14:textId="35348E38" w:rsidR="002E6EB4" w:rsidRDefault="002E6EB4" w:rsidP="00F564C4">
      <w:pPr>
        <w:rPr>
          <w:rFonts w:ascii="Arial" w:hAnsi="Arial" w:cs="Arial"/>
          <w:color w:val="000000"/>
          <w:szCs w:val="24"/>
        </w:rPr>
      </w:pPr>
      <w:r>
        <w:rPr>
          <w:rFonts w:ascii="Arial" w:hAnsi="Arial" w:cs="Arial"/>
        </w:rPr>
        <w:t xml:space="preserve">There is a rational connection between the limitation on the right to a fair </w:t>
      </w:r>
      <w:r w:rsidR="00D11AC5">
        <w:rPr>
          <w:rFonts w:ascii="Arial" w:hAnsi="Arial" w:cs="Arial"/>
        </w:rPr>
        <w:t>hearing</w:t>
      </w:r>
      <w:r>
        <w:rPr>
          <w:rFonts w:ascii="Arial" w:hAnsi="Arial" w:cs="Arial"/>
        </w:rPr>
        <w:t xml:space="preserve"> and </w:t>
      </w:r>
      <w:r w:rsidR="00FE6FB8">
        <w:rPr>
          <w:rFonts w:ascii="Arial" w:hAnsi="Arial" w:cs="Arial"/>
        </w:rPr>
        <w:t xml:space="preserve">the right to be presumed innocent until proved guilty and </w:t>
      </w:r>
      <w:r>
        <w:rPr>
          <w:rFonts w:ascii="Arial" w:hAnsi="Arial" w:cs="Arial"/>
        </w:rPr>
        <w:t xml:space="preserve">the aim of </w:t>
      </w:r>
      <w:r w:rsidR="0064263A">
        <w:rPr>
          <w:rFonts w:ascii="Arial" w:hAnsi="Arial" w:cs="Arial"/>
        </w:rPr>
        <w:t xml:space="preserve">improving a victim-survivors experience with the criminal justice system and the </w:t>
      </w:r>
      <w:r w:rsidR="0064263A">
        <w:rPr>
          <w:rFonts w:ascii="Arial" w:hAnsi="Arial" w:cs="Arial"/>
          <w:color w:val="000000"/>
          <w:szCs w:val="24"/>
        </w:rPr>
        <w:t xml:space="preserve">enforcement of their rights and protections under the law. </w:t>
      </w:r>
    </w:p>
    <w:p w14:paraId="163B0CCD" w14:textId="46A24CB3" w:rsidR="004F57C7" w:rsidRPr="00106FD7" w:rsidRDefault="00F7255B" w:rsidP="00F564C4">
      <w:pPr>
        <w:rPr>
          <w:rFonts w:ascii="Arial" w:hAnsi="Arial" w:cs="Arial"/>
          <w:szCs w:val="24"/>
        </w:rPr>
      </w:pPr>
      <w:r>
        <w:rPr>
          <w:rFonts w:ascii="Arial" w:hAnsi="Arial" w:cs="Arial"/>
          <w:szCs w:val="24"/>
        </w:rPr>
        <w:t>The amendment</w:t>
      </w:r>
      <w:r>
        <w:rPr>
          <w:rFonts w:ascii="Arial" w:eastAsiaTheme="minorHAnsi" w:hAnsi="Arial" w:cs="Arial"/>
          <w:szCs w:val="24"/>
        </w:rPr>
        <w:t xml:space="preserve"> would assist in improving criminal justice outcomes for victim-survivors. Clarifying in legislation that prior family violence </w:t>
      </w:r>
      <w:r w:rsidRPr="00F7255B">
        <w:rPr>
          <w:rFonts w:ascii="Arial" w:eastAsiaTheme="minorHAnsi" w:hAnsi="Arial" w:cs="Arial"/>
          <w:szCs w:val="24"/>
        </w:rPr>
        <w:t xml:space="preserve">evidence </w:t>
      </w:r>
      <w:r>
        <w:rPr>
          <w:rFonts w:ascii="Arial" w:eastAsiaTheme="minorHAnsi" w:hAnsi="Arial" w:cs="Arial"/>
          <w:szCs w:val="24"/>
        </w:rPr>
        <w:t xml:space="preserve">may be relevant in providing context and can be </w:t>
      </w:r>
      <w:r w:rsidRPr="00F7255B">
        <w:rPr>
          <w:rFonts w:ascii="Arial" w:eastAsiaTheme="minorHAnsi" w:hAnsi="Arial" w:cs="Arial"/>
          <w:szCs w:val="24"/>
        </w:rPr>
        <w:t xml:space="preserve">presented </w:t>
      </w:r>
      <w:r>
        <w:rPr>
          <w:rFonts w:ascii="Arial" w:eastAsiaTheme="minorHAnsi" w:hAnsi="Arial" w:cs="Arial"/>
          <w:szCs w:val="24"/>
        </w:rPr>
        <w:t xml:space="preserve">in a proceeding </w:t>
      </w:r>
      <w:r>
        <w:rPr>
          <w:rFonts w:ascii="Arial" w:hAnsi="Arial" w:cs="Arial"/>
          <w:szCs w:val="24"/>
        </w:rPr>
        <w:t>will</w:t>
      </w:r>
      <w:r w:rsidRPr="00B05312">
        <w:rPr>
          <w:rFonts w:ascii="Arial" w:hAnsi="Arial" w:cs="Arial"/>
          <w:szCs w:val="24"/>
        </w:rPr>
        <w:t xml:space="preserve"> </w:t>
      </w:r>
      <w:r>
        <w:rPr>
          <w:rFonts w:ascii="Arial" w:hAnsi="Arial" w:cs="Arial"/>
          <w:szCs w:val="24"/>
        </w:rPr>
        <w:t>facilitate</w:t>
      </w:r>
      <w:r w:rsidRPr="00B05312">
        <w:rPr>
          <w:rFonts w:ascii="Arial" w:hAnsi="Arial" w:cs="Arial"/>
          <w:szCs w:val="24"/>
        </w:rPr>
        <w:t xml:space="preserve"> the jury</w:t>
      </w:r>
      <w:r>
        <w:rPr>
          <w:rFonts w:ascii="Arial" w:hAnsi="Arial" w:cs="Arial"/>
          <w:szCs w:val="24"/>
        </w:rPr>
        <w:t>’s</w:t>
      </w:r>
      <w:r w:rsidRPr="00B05312">
        <w:rPr>
          <w:rFonts w:ascii="Arial" w:hAnsi="Arial" w:cs="Arial"/>
          <w:szCs w:val="24"/>
        </w:rPr>
        <w:t xml:space="preserve"> understanding </w:t>
      </w:r>
      <w:r>
        <w:rPr>
          <w:rFonts w:ascii="Arial" w:hAnsi="Arial" w:cs="Arial"/>
          <w:szCs w:val="24"/>
        </w:rPr>
        <w:t>of a</w:t>
      </w:r>
      <w:r w:rsidRPr="00B05312">
        <w:rPr>
          <w:rFonts w:ascii="Arial" w:hAnsi="Arial" w:cs="Arial"/>
          <w:szCs w:val="24"/>
        </w:rPr>
        <w:t xml:space="preserve"> pattern of behaviour</w:t>
      </w:r>
      <w:r>
        <w:rPr>
          <w:rFonts w:ascii="Arial" w:hAnsi="Arial" w:cs="Arial"/>
          <w:szCs w:val="24"/>
        </w:rPr>
        <w:t xml:space="preserve">. </w:t>
      </w:r>
      <w:r w:rsidR="00A10A65">
        <w:rPr>
          <w:rFonts w:ascii="Arial" w:hAnsi="Arial" w:cs="Arial"/>
          <w:szCs w:val="24"/>
        </w:rPr>
        <w:t xml:space="preserve"> </w:t>
      </w:r>
    </w:p>
    <w:p w14:paraId="029CA5AE" w14:textId="234E4266" w:rsidR="002070A2" w:rsidRPr="00050F68" w:rsidRDefault="00050F68" w:rsidP="002070A2">
      <w:pPr>
        <w:rPr>
          <w:rFonts w:ascii="Arial" w:hAnsi="Arial" w:cs="Arial"/>
          <w:szCs w:val="24"/>
        </w:rPr>
      </w:pPr>
      <w:r>
        <w:rPr>
          <w:rFonts w:ascii="Arial" w:hAnsi="Arial" w:cs="Arial"/>
          <w:b/>
          <w:i/>
          <w:szCs w:val="24"/>
        </w:rPr>
        <w:t xml:space="preserve">4. </w:t>
      </w:r>
      <w:r w:rsidR="001E4E37" w:rsidRPr="00050F68">
        <w:rPr>
          <w:rFonts w:ascii="Arial" w:hAnsi="Arial" w:cs="Arial"/>
          <w:b/>
          <w:i/>
          <w:szCs w:val="24"/>
        </w:rPr>
        <w:t>Proportionality</w:t>
      </w:r>
      <w:r w:rsidR="002070A2" w:rsidRPr="00050F68">
        <w:rPr>
          <w:rFonts w:ascii="Arial" w:hAnsi="Arial" w:cs="Arial"/>
          <w:b/>
          <w:i/>
          <w:szCs w:val="24"/>
        </w:rPr>
        <w:t xml:space="preserve"> (s 28 (2) (e))</w:t>
      </w:r>
    </w:p>
    <w:p w14:paraId="16CA3491" w14:textId="3A5E87C2" w:rsidR="007E0515" w:rsidRDefault="007E0515" w:rsidP="00767569">
      <w:pPr>
        <w:rPr>
          <w:rFonts w:ascii="Arial" w:hAnsi="Arial" w:cs="Arial"/>
        </w:rPr>
      </w:pPr>
      <w:r w:rsidRPr="007E0515">
        <w:rPr>
          <w:rFonts w:ascii="Arial" w:hAnsi="Arial" w:cs="Arial"/>
        </w:rPr>
        <w:t xml:space="preserve">The </w:t>
      </w:r>
      <w:r w:rsidR="00CE3F5F">
        <w:rPr>
          <w:rFonts w:ascii="Arial" w:hAnsi="Arial" w:cs="Arial"/>
        </w:rPr>
        <w:t>limitations</w:t>
      </w:r>
      <w:r w:rsidR="00CE3F5F" w:rsidRPr="007E0515">
        <w:rPr>
          <w:rFonts w:ascii="Arial" w:hAnsi="Arial" w:cs="Arial"/>
        </w:rPr>
        <w:t xml:space="preserve"> </w:t>
      </w:r>
      <w:r w:rsidRPr="007E0515">
        <w:rPr>
          <w:rFonts w:ascii="Arial" w:hAnsi="Arial" w:cs="Arial"/>
        </w:rPr>
        <w:t>on rights are proportionate to the aim of keeping vulnerable members of the community safe and are the least restrictive means possible in the circumstances.</w:t>
      </w:r>
      <w:r>
        <w:rPr>
          <w:rFonts w:ascii="Arial" w:hAnsi="Arial" w:cs="Arial"/>
        </w:rPr>
        <w:t xml:space="preserve"> </w:t>
      </w:r>
    </w:p>
    <w:p w14:paraId="578AE688" w14:textId="35750217" w:rsidR="00657419" w:rsidRDefault="00657419" w:rsidP="00767569">
      <w:pPr>
        <w:rPr>
          <w:rFonts w:ascii="Arial" w:hAnsi="Arial" w:cs="Arial"/>
        </w:rPr>
      </w:pPr>
      <w:r w:rsidRPr="004F57C7">
        <w:rPr>
          <w:rFonts w:ascii="Arial" w:hAnsi="Arial" w:cs="Arial"/>
        </w:rPr>
        <w:t>The limitation</w:t>
      </w:r>
      <w:r>
        <w:rPr>
          <w:rFonts w:ascii="Arial" w:hAnsi="Arial" w:cs="Arial"/>
        </w:rPr>
        <w:t xml:space="preserve"> on the right to be presumed innocent</w:t>
      </w:r>
      <w:r w:rsidRPr="004F57C7">
        <w:rPr>
          <w:rFonts w:ascii="Arial" w:hAnsi="Arial" w:cs="Arial"/>
        </w:rPr>
        <w:t xml:space="preserve"> is proportionate because there are many rules of evidence and law that protect against presumptions </w:t>
      </w:r>
      <w:r>
        <w:rPr>
          <w:rFonts w:ascii="Arial" w:hAnsi="Arial" w:cs="Arial"/>
        </w:rPr>
        <w:t>o</w:t>
      </w:r>
      <w:r w:rsidRPr="004F57C7">
        <w:rPr>
          <w:rFonts w:ascii="Arial" w:hAnsi="Arial" w:cs="Arial"/>
        </w:rPr>
        <w:t xml:space="preserve">f guilt including in relation to the admission of prior offences evidence. These </w:t>
      </w:r>
      <w:r>
        <w:rPr>
          <w:rFonts w:ascii="Arial" w:hAnsi="Arial" w:cs="Arial"/>
        </w:rPr>
        <w:t xml:space="preserve">protections are not affected by the Bill and </w:t>
      </w:r>
      <w:r w:rsidRPr="004F57C7">
        <w:rPr>
          <w:rFonts w:ascii="Arial" w:hAnsi="Arial" w:cs="Arial"/>
        </w:rPr>
        <w:t>effectively safeguard the right. Accordingly, no additional safeguards are required in the Bill.</w:t>
      </w:r>
    </w:p>
    <w:p w14:paraId="2D3F53C2" w14:textId="41F22A0F" w:rsidR="00A25822" w:rsidRDefault="00CB0788" w:rsidP="00767569">
      <w:pPr>
        <w:rPr>
          <w:rFonts w:ascii="Arial" w:hAnsi="Arial" w:cs="Arial"/>
          <w:szCs w:val="24"/>
        </w:rPr>
      </w:pPr>
      <w:r>
        <w:rPr>
          <w:rFonts w:ascii="Arial" w:hAnsi="Arial" w:cs="Arial"/>
        </w:rPr>
        <w:t xml:space="preserve">The </w:t>
      </w:r>
      <w:r w:rsidR="00251B0F">
        <w:rPr>
          <w:rFonts w:ascii="Arial" w:hAnsi="Arial" w:cs="Arial"/>
        </w:rPr>
        <w:t xml:space="preserve">limitation on the right to fair hearing is proportionate </w:t>
      </w:r>
      <w:r>
        <w:rPr>
          <w:rFonts w:ascii="Arial" w:hAnsi="Arial" w:cs="Arial"/>
        </w:rPr>
        <w:t>as e</w:t>
      </w:r>
      <w:r w:rsidR="00671189" w:rsidRPr="006C4111">
        <w:rPr>
          <w:rFonts w:ascii="Arial" w:hAnsi="Arial" w:cs="Arial"/>
        </w:rPr>
        <w:t xml:space="preserve">vidence of </w:t>
      </w:r>
      <w:r w:rsidR="00E51D47">
        <w:rPr>
          <w:rFonts w:ascii="Arial" w:hAnsi="Arial" w:cs="Arial"/>
        </w:rPr>
        <w:t xml:space="preserve">prior uncharged acts of </w:t>
      </w:r>
      <w:r w:rsidR="00671189" w:rsidRPr="006C4111">
        <w:rPr>
          <w:rFonts w:ascii="Arial" w:hAnsi="Arial" w:cs="Arial"/>
        </w:rPr>
        <w:t xml:space="preserve">family violence </w:t>
      </w:r>
      <w:r w:rsidR="00E51D47">
        <w:rPr>
          <w:rFonts w:ascii="Arial" w:hAnsi="Arial" w:cs="Arial"/>
        </w:rPr>
        <w:t xml:space="preserve">may </w:t>
      </w:r>
      <w:r>
        <w:rPr>
          <w:rFonts w:ascii="Arial" w:hAnsi="Arial" w:cs="Arial"/>
        </w:rPr>
        <w:t xml:space="preserve">already </w:t>
      </w:r>
      <w:r w:rsidR="00671189" w:rsidRPr="006C4111">
        <w:rPr>
          <w:rFonts w:ascii="Arial" w:hAnsi="Arial" w:cs="Arial"/>
        </w:rPr>
        <w:t xml:space="preserve">be used as context evidence in sexual </w:t>
      </w:r>
      <w:r w:rsidR="00EF5F1A">
        <w:rPr>
          <w:rFonts w:ascii="Arial" w:hAnsi="Arial" w:cs="Arial"/>
        </w:rPr>
        <w:t>assault criminal</w:t>
      </w:r>
      <w:r w:rsidR="00671189" w:rsidRPr="006C4111">
        <w:rPr>
          <w:rFonts w:ascii="Arial" w:hAnsi="Arial" w:cs="Arial"/>
        </w:rPr>
        <w:t xml:space="preserve"> proceedings, provided the evidence is relevant, admissible and not unfairly prejudicial to the accused person.</w:t>
      </w:r>
      <w:r w:rsidR="006C4111" w:rsidRPr="006C4111">
        <w:rPr>
          <w:rFonts w:ascii="Arial" w:hAnsi="Arial" w:cs="Arial"/>
          <w:szCs w:val="24"/>
        </w:rPr>
        <w:t xml:space="preserve"> </w:t>
      </w:r>
    </w:p>
    <w:p w14:paraId="089FA129" w14:textId="746DB244" w:rsidR="00A25822" w:rsidRDefault="00A25822" w:rsidP="00767569">
      <w:pPr>
        <w:rPr>
          <w:rFonts w:ascii="Arial" w:hAnsi="Arial" w:cs="Arial"/>
        </w:rPr>
      </w:pPr>
      <w:r>
        <w:rPr>
          <w:rFonts w:ascii="Arial" w:hAnsi="Arial" w:cs="Arial"/>
          <w:szCs w:val="24"/>
        </w:rPr>
        <w:t xml:space="preserve">The amendment does not </w:t>
      </w:r>
      <w:r w:rsidRPr="006C4111">
        <w:rPr>
          <w:rFonts w:ascii="Arial" w:hAnsi="Arial" w:cs="Arial"/>
        </w:rPr>
        <w:t>presume that evidence of family violence will always be relevant and admissible</w:t>
      </w:r>
      <w:r>
        <w:rPr>
          <w:rFonts w:ascii="Arial" w:hAnsi="Arial" w:cs="Arial"/>
        </w:rPr>
        <w:t xml:space="preserve"> especially in circumstances where the evidence simply</w:t>
      </w:r>
      <w:r w:rsidRPr="006C4111">
        <w:rPr>
          <w:rFonts w:ascii="Arial" w:hAnsi="Arial" w:cs="Arial"/>
        </w:rPr>
        <w:t xml:space="preserve"> proves the relationship between the complainant and the accused. </w:t>
      </w:r>
      <w:r w:rsidR="004135A1">
        <w:rPr>
          <w:rFonts w:ascii="Arial" w:hAnsi="Arial" w:cs="Arial"/>
          <w:szCs w:val="24"/>
        </w:rPr>
        <w:t>Rather, t</w:t>
      </w:r>
      <w:r w:rsidRPr="00A25822">
        <w:rPr>
          <w:rFonts w:ascii="Arial" w:hAnsi="Arial" w:cs="Arial"/>
          <w:szCs w:val="24"/>
        </w:rPr>
        <w:t>he purpose of</w:t>
      </w:r>
      <w:r>
        <w:rPr>
          <w:rFonts w:ascii="Arial" w:hAnsi="Arial" w:cs="Arial"/>
          <w:szCs w:val="24"/>
        </w:rPr>
        <w:t xml:space="preserve"> allowing </w:t>
      </w:r>
      <w:r w:rsidRPr="00A25822">
        <w:rPr>
          <w:rFonts w:ascii="Arial" w:hAnsi="Arial" w:cs="Arial"/>
          <w:szCs w:val="24"/>
        </w:rPr>
        <w:t>context evidence is to place the offence in the context of the complainant’s overall allegations</w:t>
      </w:r>
      <w:r>
        <w:rPr>
          <w:rFonts w:ascii="Arial" w:hAnsi="Arial" w:cs="Arial"/>
          <w:szCs w:val="24"/>
        </w:rPr>
        <w:t xml:space="preserve"> </w:t>
      </w:r>
      <w:r w:rsidRPr="00A25822">
        <w:rPr>
          <w:rFonts w:ascii="Arial" w:hAnsi="Arial" w:cs="Arial"/>
          <w:szCs w:val="24"/>
        </w:rPr>
        <w:t>about the accused.</w:t>
      </w:r>
      <w:r>
        <w:rPr>
          <w:rFonts w:ascii="Arial" w:hAnsi="Arial" w:cs="Arial"/>
          <w:szCs w:val="24"/>
        </w:rPr>
        <w:t xml:space="preserve"> </w:t>
      </w:r>
    </w:p>
    <w:p w14:paraId="38ACE083" w14:textId="5131B691" w:rsidR="00A25822" w:rsidRDefault="00767569" w:rsidP="00767569">
      <w:pPr>
        <w:rPr>
          <w:rFonts w:ascii="Arial" w:hAnsi="Arial" w:cs="Arial"/>
        </w:rPr>
      </w:pPr>
      <w:r w:rsidRPr="006C4111">
        <w:rPr>
          <w:rFonts w:ascii="Arial" w:hAnsi="Arial" w:cs="Arial"/>
        </w:rPr>
        <w:t xml:space="preserve">The admissibility of this evidence is still subject to the exclusionary rules in Chapter 3 of the </w:t>
      </w:r>
      <w:r w:rsidRPr="002F4A1A">
        <w:rPr>
          <w:rFonts w:ascii="Arial" w:hAnsi="Arial" w:cs="Arial"/>
          <w:i/>
          <w:iCs/>
        </w:rPr>
        <w:t>Evidence Act 2011</w:t>
      </w:r>
      <w:r w:rsidR="00A25822">
        <w:rPr>
          <w:rFonts w:ascii="Arial" w:hAnsi="Arial" w:cs="Arial"/>
          <w:i/>
          <w:iCs/>
        </w:rPr>
        <w:t xml:space="preserve"> </w:t>
      </w:r>
      <w:r w:rsidR="00A25822">
        <w:rPr>
          <w:rFonts w:ascii="Arial" w:hAnsi="Arial" w:cs="Arial"/>
        </w:rPr>
        <w:t>to ensure prior family violence evidence cannot be used for an excluded purpose such as to prove tendency or coincidence</w:t>
      </w:r>
      <w:r w:rsidRPr="006C4111">
        <w:rPr>
          <w:rFonts w:ascii="Arial" w:hAnsi="Arial" w:cs="Arial"/>
        </w:rPr>
        <w:t>, which safeguards the arbitrary limit of human rights</w:t>
      </w:r>
      <w:r w:rsidR="006D0854">
        <w:rPr>
          <w:rFonts w:ascii="Arial" w:hAnsi="Arial" w:cs="Arial"/>
        </w:rPr>
        <w:t xml:space="preserve"> </w:t>
      </w:r>
      <w:r w:rsidR="00D217D0">
        <w:rPr>
          <w:rFonts w:ascii="Arial" w:hAnsi="Arial" w:cs="Arial"/>
        </w:rPr>
        <w:t>like</w:t>
      </w:r>
      <w:r w:rsidR="006D0854">
        <w:rPr>
          <w:rFonts w:ascii="Arial" w:hAnsi="Arial" w:cs="Arial"/>
        </w:rPr>
        <w:t xml:space="preserve"> the presumption of innocence</w:t>
      </w:r>
      <w:r w:rsidRPr="006C4111">
        <w:rPr>
          <w:rFonts w:ascii="Arial" w:hAnsi="Arial" w:cs="Arial"/>
        </w:rPr>
        <w:t>.</w:t>
      </w:r>
      <w:r w:rsidR="006C4111" w:rsidRPr="006C4111">
        <w:rPr>
          <w:rFonts w:ascii="Arial" w:hAnsi="Arial" w:cs="Arial"/>
        </w:rPr>
        <w:t xml:space="preserve"> </w:t>
      </w:r>
    </w:p>
    <w:p w14:paraId="6CFBE600" w14:textId="06B840E4" w:rsidR="00767569" w:rsidRDefault="006C4111" w:rsidP="00767569">
      <w:pPr>
        <w:rPr>
          <w:rFonts w:ascii="Arial" w:hAnsi="Arial" w:cs="Arial"/>
        </w:rPr>
      </w:pPr>
      <w:r w:rsidRPr="006C4111">
        <w:rPr>
          <w:rFonts w:ascii="Arial" w:hAnsi="Arial" w:cs="Arial"/>
        </w:rPr>
        <w:t xml:space="preserve">The court also has a general discretion to refuse to admit or to limit the use of evidence if its probative value is substantially outweighed by the danger that the </w:t>
      </w:r>
      <w:r w:rsidRPr="006C4111">
        <w:rPr>
          <w:rFonts w:ascii="Arial" w:hAnsi="Arial" w:cs="Arial"/>
        </w:rPr>
        <w:lastRenderedPageBreak/>
        <w:t>evidence might be unfairly prejudicial to a party.</w:t>
      </w:r>
      <w:r w:rsidR="00D217D0">
        <w:rPr>
          <w:rFonts w:ascii="Arial" w:hAnsi="Arial" w:cs="Arial"/>
        </w:rPr>
        <w:t xml:space="preserve"> This prevents the section from being arbitrarily applied.</w:t>
      </w:r>
      <w:r w:rsidR="006A7FBA">
        <w:rPr>
          <w:rFonts w:ascii="Arial" w:hAnsi="Arial" w:cs="Arial"/>
        </w:rPr>
        <w:t xml:space="preserve"> </w:t>
      </w:r>
    </w:p>
    <w:p w14:paraId="7B32FF63" w14:textId="188AA079" w:rsidR="007741E0" w:rsidRDefault="007741E0" w:rsidP="007741E0">
      <w:pPr>
        <w:rPr>
          <w:rFonts w:ascii="Arial" w:hAnsi="Arial" w:cs="Arial"/>
          <w:i/>
          <w:iCs/>
          <w:u w:val="single"/>
        </w:rPr>
      </w:pPr>
      <w:r w:rsidRPr="00043A0C">
        <w:rPr>
          <w:rFonts w:ascii="Arial" w:hAnsi="Arial" w:cs="Arial"/>
          <w:i/>
          <w:iCs/>
          <w:u w:val="single"/>
        </w:rPr>
        <w:t>Presumption</w:t>
      </w:r>
      <w:r w:rsidR="006C4111" w:rsidRPr="00043A0C">
        <w:rPr>
          <w:rFonts w:ascii="Arial" w:hAnsi="Arial" w:cs="Arial"/>
          <w:i/>
          <w:iCs/>
          <w:u w:val="single"/>
        </w:rPr>
        <w:t xml:space="preserve"> for</w:t>
      </w:r>
      <w:r w:rsidRPr="00043A0C">
        <w:rPr>
          <w:rFonts w:ascii="Arial" w:hAnsi="Arial" w:cs="Arial"/>
          <w:i/>
          <w:iCs/>
          <w:u w:val="single"/>
        </w:rPr>
        <w:t xml:space="preserve"> bail does not apply in certain sexual offences</w:t>
      </w:r>
    </w:p>
    <w:p w14:paraId="00839101" w14:textId="3858F0C4" w:rsidR="00286223" w:rsidRDefault="00213836" w:rsidP="00013E9B">
      <w:pPr>
        <w:rPr>
          <w:rFonts w:ascii="Arial" w:hAnsi="Arial" w:cs="Arial"/>
        </w:rPr>
      </w:pPr>
      <w:r>
        <w:rPr>
          <w:rFonts w:ascii="Arial" w:hAnsi="Arial" w:cs="Arial"/>
        </w:rPr>
        <w:t xml:space="preserve">The Bill amends the </w:t>
      </w:r>
      <w:r>
        <w:rPr>
          <w:rFonts w:ascii="Arial" w:hAnsi="Arial" w:cs="Arial"/>
          <w:i/>
          <w:iCs/>
        </w:rPr>
        <w:t>Bail Act 1992</w:t>
      </w:r>
      <w:r>
        <w:rPr>
          <w:rFonts w:ascii="Arial" w:hAnsi="Arial" w:cs="Arial"/>
        </w:rPr>
        <w:t xml:space="preserve"> </w:t>
      </w:r>
      <w:r w:rsidR="00013E9B">
        <w:rPr>
          <w:rFonts w:ascii="Arial" w:hAnsi="Arial" w:cs="Arial"/>
        </w:rPr>
        <w:t xml:space="preserve">to </w:t>
      </w:r>
      <w:r w:rsidR="00013E9B" w:rsidRPr="00013E9B">
        <w:rPr>
          <w:rFonts w:ascii="Arial" w:hAnsi="Arial" w:cs="Arial"/>
        </w:rPr>
        <w:t xml:space="preserve">provide that </w:t>
      </w:r>
      <w:r w:rsidR="00013E9B">
        <w:rPr>
          <w:rFonts w:ascii="Arial" w:hAnsi="Arial" w:cs="Arial"/>
        </w:rPr>
        <w:t>a</w:t>
      </w:r>
      <w:r w:rsidR="00013E9B" w:rsidRPr="00013E9B">
        <w:rPr>
          <w:rFonts w:ascii="Arial" w:hAnsi="Arial" w:cs="Arial"/>
        </w:rPr>
        <w:t xml:space="preserve"> presumption of bail does not apply</w:t>
      </w:r>
      <w:r w:rsidR="00013E9B">
        <w:rPr>
          <w:rFonts w:ascii="Arial" w:hAnsi="Arial" w:cs="Arial"/>
        </w:rPr>
        <w:t xml:space="preserve"> to the following offences </w:t>
      </w:r>
      <w:r w:rsidR="00286223">
        <w:rPr>
          <w:rFonts w:ascii="Arial" w:hAnsi="Arial" w:cs="Arial"/>
        </w:rPr>
        <w:t xml:space="preserve">in the </w:t>
      </w:r>
      <w:r w:rsidR="00286223">
        <w:rPr>
          <w:rFonts w:ascii="Arial" w:hAnsi="Arial" w:cs="Arial"/>
          <w:i/>
          <w:iCs/>
        </w:rPr>
        <w:t>Crimes Act 1900</w:t>
      </w:r>
      <w:r w:rsidR="00286223">
        <w:rPr>
          <w:rFonts w:ascii="Arial" w:hAnsi="Arial" w:cs="Arial"/>
        </w:rPr>
        <w:t>:</w:t>
      </w:r>
    </w:p>
    <w:p w14:paraId="3E4F1DFD" w14:textId="77777777" w:rsidR="00286223" w:rsidRPr="005A7DC7" w:rsidRDefault="00286223" w:rsidP="00286223">
      <w:pPr>
        <w:pStyle w:val="ListParagraph"/>
        <w:numPr>
          <w:ilvl w:val="0"/>
          <w:numId w:val="34"/>
        </w:numPr>
        <w:rPr>
          <w:rFonts w:ascii="Arial" w:hAnsi="Arial" w:cs="Arial"/>
          <w:sz w:val="24"/>
          <w:szCs w:val="24"/>
        </w:rPr>
      </w:pPr>
      <w:r w:rsidRPr="005A7DC7">
        <w:rPr>
          <w:rFonts w:ascii="Arial" w:hAnsi="Arial" w:cs="Arial"/>
          <w:sz w:val="24"/>
          <w:szCs w:val="24"/>
        </w:rPr>
        <w:t xml:space="preserve">55 (2) sexual intercourse with young person under 16 years old </w:t>
      </w:r>
    </w:p>
    <w:p w14:paraId="63B3A65F" w14:textId="77777777" w:rsidR="00286223" w:rsidRPr="005A7DC7" w:rsidRDefault="00286223" w:rsidP="00286223">
      <w:pPr>
        <w:pStyle w:val="ListParagraph"/>
        <w:numPr>
          <w:ilvl w:val="0"/>
          <w:numId w:val="34"/>
        </w:numPr>
        <w:rPr>
          <w:rFonts w:ascii="Arial" w:hAnsi="Arial" w:cs="Arial"/>
          <w:sz w:val="24"/>
          <w:szCs w:val="24"/>
        </w:rPr>
      </w:pPr>
      <w:r w:rsidRPr="005A7DC7">
        <w:rPr>
          <w:rFonts w:ascii="Arial" w:hAnsi="Arial" w:cs="Arial"/>
          <w:sz w:val="24"/>
          <w:szCs w:val="24"/>
        </w:rPr>
        <w:t xml:space="preserve">55A (1) sexual intercourse with young person under special care </w:t>
      </w:r>
    </w:p>
    <w:p w14:paraId="74F8B063" w14:textId="2782E5B9" w:rsidR="00213836" w:rsidRPr="005A7DC7" w:rsidRDefault="00286223" w:rsidP="00286223">
      <w:pPr>
        <w:pStyle w:val="ListParagraph"/>
        <w:numPr>
          <w:ilvl w:val="0"/>
          <w:numId w:val="34"/>
        </w:numPr>
        <w:rPr>
          <w:rFonts w:ascii="Arial" w:hAnsi="Arial" w:cs="Arial"/>
          <w:sz w:val="24"/>
          <w:szCs w:val="24"/>
        </w:rPr>
      </w:pPr>
      <w:r w:rsidRPr="005A7DC7">
        <w:rPr>
          <w:rFonts w:ascii="Arial" w:hAnsi="Arial" w:cs="Arial"/>
          <w:sz w:val="24"/>
          <w:szCs w:val="24"/>
        </w:rPr>
        <w:t>56 (1) persistent sexual abuse of child or young person under special care</w:t>
      </w:r>
      <w:r w:rsidR="00213836" w:rsidRPr="005A7DC7">
        <w:rPr>
          <w:rFonts w:ascii="Arial" w:hAnsi="Arial" w:cs="Arial"/>
          <w:sz w:val="24"/>
          <w:szCs w:val="24"/>
        </w:rPr>
        <w:t xml:space="preserve"> </w:t>
      </w:r>
    </w:p>
    <w:p w14:paraId="605012F5" w14:textId="77777777" w:rsidR="00EF3037" w:rsidRPr="00050F68" w:rsidRDefault="00EF3037" w:rsidP="00EF3037">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507D2C2E" w14:textId="77777777" w:rsidR="00FF4855" w:rsidRDefault="009341BF" w:rsidP="009341BF">
      <w:pPr>
        <w:rPr>
          <w:rFonts w:ascii="Arial" w:hAnsi="Arial" w:cs="Arial"/>
          <w:szCs w:val="24"/>
        </w:rPr>
      </w:pPr>
      <w:r>
        <w:rPr>
          <w:rFonts w:ascii="Arial" w:hAnsi="Arial" w:cs="Arial"/>
          <w:szCs w:val="24"/>
        </w:rPr>
        <w:t xml:space="preserve">The amendment creates a neutral presumption for bail in relation to three additional sexual offences in the </w:t>
      </w:r>
      <w:r>
        <w:rPr>
          <w:rFonts w:ascii="Arial" w:hAnsi="Arial" w:cs="Arial"/>
          <w:i/>
          <w:iCs/>
          <w:szCs w:val="24"/>
        </w:rPr>
        <w:t>Crimes Act 1900</w:t>
      </w:r>
      <w:r w:rsidR="00FF4855">
        <w:rPr>
          <w:rFonts w:ascii="Arial" w:hAnsi="Arial" w:cs="Arial"/>
          <w:szCs w:val="24"/>
        </w:rPr>
        <w:t xml:space="preserve">. </w:t>
      </w:r>
    </w:p>
    <w:p w14:paraId="04C442C9" w14:textId="533E6C6C" w:rsidR="00A33788" w:rsidRDefault="00FF4855" w:rsidP="00FF4855">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t>T</w:t>
      </w:r>
      <w:r w:rsidRPr="00782E89">
        <w:rPr>
          <w:rFonts w:ascii="Arial" w:hAnsi="Arial" w:cs="Arial"/>
          <w:color w:val="000000"/>
          <w:shd w:val="clear" w:color="auto" w:fill="FFFFFF"/>
        </w:rPr>
        <w:t>h</w:t>
      </w:r>
      <w:r>
        <w:rPr>
          <w:rFonts w:ascii="Arial" w:hAnsi="Arial" w:cs="Arial"/>
          <w:color w:val="000000"/>
          <w:shd w:val="clear" w:color="auto" w:fill="FFFFFF"/>
        </w:rPr>
        <w:t xml:space="preserve">e </w:t>
      </w:r>
      <w:r w:rsidRPr="00782E89">
        <w:rPr>
          <w:rFonts w:ascii="Arial" w:hAnsi="Arial" w:cs="Arial"/>
          <w:color w:val="000000"/>
          <w:shd w:val="clear" w:color="auto" w:fill="FFFFFF"/>
        </w:rPr>
        <w:t xml:space="preserve">amendment does not create a presumption </w:t>
      </w:r>
      <w:r>
        <w:rPr>
          <w:rFonts w:ascii="Arial" w:hAnsi="Arial" w:cs="Arial"/>
          <w:color w:val="000000"/>
          <w:shd w:val="clear" w:color="auto" w:fill="FFFFFF"/>
        </w:rPr>
        <w:t xml:space="preserve">against bail </w:t>
      </w:r>
      <w:r w:rsidR="004966AB">
        <w:rPr>
          <w:rFonts w:ascii="Arial" w:hAnsi="Arial" w:cs="Arial"/>
          <w:color w:val="000000"/>
          <w:shd w:val="clear" w:color="auto" w:fill="FFFFFF"/>
        </w:rPr>
        <w:t xml:space="preserve">and does not subject the decision-maker to be </w:t>
      </w:r>
      <w:r w:rsidR="004966AB" w:rsidRPr="00782E89">
        <w:rPr>
          <w:rFonts w:ascii="Arial" w:hAnsi="Arial" w:cs="Arial"/>
          <w:color w:val="000000"/>
          <w:shd w:val="clear" w:color="auto" w:fill="FFFFFF"/>
        </w:rPr>
        <w:t xml:space="preserve">satisfied of the existence of special or exceptional circumstances favouring the grant of bail to a person. </w:t>
      </w:r>
      <w:r w:rsidR="00C232BF">
        <w:rPr>
          <w:rFonts w:ascii="Arial" w:hAnsi="Arial" w:cs="Arial"/>
          <w:color w:val="000000"/>
          <w:shd w:val="clear" w:color="auto" w:fill="FFFFFF"/>
        </w:rPr>
        <w:t xml:space="preserve">The effect of the amendment is that </w:t>
      </w:r>
      <w:r>
        <w:rPr>
          <w:rFonts w:ascii="Arial" w:hAnsi="Arial" w:cs="Arial"/>
          <w:color w:val="000000"/>
          <w:shd w:val="clear" w:color="auto" w:fill="FFFFFF"/>
        </w:rPr>
        <w:t>Division 2.2</w:t>
      </w:r>
      <w:r w:rsidR="00C232BF">
        <w:rPr>
          <w:rFonts w:ascii="Arial" w:hAnsi="Arial" w:cs="Arial"/>
          <w:color w:val="000000"/>
          <w:shd w:val="clear" w:color="auto" w:fill="FFFFFF"/>
        </w:rPr>
        <w:t xml:space="preserve"> of the </w:t>
      </w:r>
      <w:r w:rsidR="00C232BF">
        <w:rPr>
          <w:rFonts w:ascii="Arial" w:hAnsi="Arial" w:cs="Arial"/>
          <w:i/>
          <w:iCs/>
          <w:color w:val="000000"/>
          <w:shd w:val="clear" w:color="auto" w:fill="FFFFFF"/>
        </w:rPr>
        <w:t>Bail Act 1992</w:t>
      </w:r>
      <w:r w:rsidR="004966AB">
        <w:rPr>
          <w:rFonts w:ascii="Arial" w:hAnsi="Arial" w:cs="Arial"/>
          <w:i/>
          <w:iCs/>
          <w:color w:val="000000"/>
          <w:shd w:val="clear" w:color="auto" w:fill="FFFFFF"/>
        </w:rPr>
        <w:t xml:space="preserve"> </w:t>
      </w:r>
      <w:r w:rsidR="004966AB">
        <w:rPr>
          <w:rFonts w:ascii="Arial" w:hAnsi="Arial" w:cs="Arial"/>
          <w:color w:val="000000"/>
          <w:shd w:val="clear" w:color="auto" w:fill="FFFFFF"/>
        </w:rPr>
        <w:t>(presumption for bail)</w:t>
      </w:r>
      <w:r>
        <w:rPr>
          <w:rFonts w:ascii="Arial" w:hAnsi="Arial" w:cs="Arial"/>
          <w:color w:val="000000"/>
          <w:shd w:val="clear" w:color="auto" w:fill="FFFFFF"/>
        </w:rPr>
        <w:t xml:space="preserve"> does not apply</w:t>
      </w:r>
      <w:r w:rsidR="00A33788">
        <w:rPr>
          <w:rFonts w:ascii="Arial" w:hAnsi="Arial" w:cs="Arial"/>
          <w:color w:val="000000"/>
          <w:shd w:val="clear" w:color="auto" w:fill="FFFFFF"/>
        </w:rPr>
        <w:t xml:space="preserve">, however, the </w:t>
      </w:r>
      <w:r w:rsidR="00A33788">
        <w:rPr>
          <w:rFonts w:ascii="Arial" w:hAnsi="Arial" w:cs="Arial"/>
        </w:rPr>
        <w:t xml:space="preserve">decision-maker </w:t>
      </w:r>
      <w:r w:rsidR="00A33788" w:rsidRPr="00D07A28">
        <w:rPr>
          <w:rFonts w:ascii="Arial" w:hAnsi="Arial" w:cs="Arial"/>
        </w:rPr>
        <w:t>will continue to retain discretion in assessing a person’s suitability for bail</w:t>
      </w:r>
      <w:r w:rsidR="00A33788">
        <w:rPr>
          <w:rFonts w:ascii="Arial" w:hAnsi="Arial" w:cs="Arial"/>
        </w:rPr>
        <w:t xml:space="preserve"> against the legislative criteria under Part 4 of the </w:t>
      </w:r>
      <w:r w:rsidR="00A33788">
        <w:rPr>
          <w:rFonts w:ascii="Arial" w:hAnsi="Arial" w:cs="Arial"/>
          <w:i/>
          <w:iCs/>
        </w:rPr>
        <w:t>Bail Act 1992</w:t>
      </w:r>
      <w:r w:rsidR="00A33788">
        <w:rPr>
          <w:rFonts w:ascii="Arial" w:hAnsi="Arial" w:cs="Arial"/>
        </w:rPr>
        <w:t xml:space="preserve">.  </w:t>
      </w:r>
    </w:p>
    <w:p w14:paraId="6B5231F1" w14:textId="585E562C" w:rsidR="00FF4855" w:rsidRPr="00D07A28" w:rsidRDefault="00C232BF" w:rsidP="009341BF">
      <w:pPr>
        <w:rPr>
          <w:rFonts w:ascii="Arial" w:hAnsi="Arial" w:cs="Arial"/>
        </w:rPr>
      </w:pPr>
      <w:r>
        <w:rPr>
          <w:rFonts w:ascii="Arial" w:hAnsi="Arial" w:cs="Arial"/>
          <w:szCs w:val="24"/>
        </w:rPr>
        <w:t>Nevertheless, it is recognised</w:t>
      </w:r>
      <w:r w:rsidR="004966AB">
        <w:rPr>
          <w:rFonts w:ascii="Arial" w:hAnsi="Arial" w:cs="Arial"/>
          <w:szCs w:val="24"/>
        </w:rPr>
        <w:t xml:space="preserve"> that</w:t>
      </w:r>
      <w:r>
        <w:rPr>
          <w:rFonts w:ascii="Arial" w:hAnsi="Arial" w:cs="Arial"/>
          <w:szCs w:val="24"/>
        </w:rPr>
        <w:t xml:space="preserve"> creating a neutral presumption for bail may</w:t>
      </w:r>
      <w:r w:rsidRPr="009341BF">
        <w:rPr>
          <w:rFonts w:ascii="Arial" w:hAnsi="Arial" w:cs="Arial"/>
          <w:szCs w:val="24"/>
        </w:rPr>
        <w:t xml:space="preserve"> result in </w:t>
      </w:r>
      <w:r>
        <w:rPr>
          <w:rFonts w:ascii="Arial" w:hAnsi="Arial" w:cs="Arial"/>
          <w:szCs w:val="24"/>
        </w:rPr>
        <w:t xml:space="preserve">a greater likelihood in </w:t>
      </w:r>
      <w:r w:rsidRPr="009341BF">
        <w:rPr>
          <w:rFonts w:ascii="Arial" w:hAnsi="Arial" w:cs="Arial"/>
          <w:szCs w:val="24"/>
        </w:rPr>
        <w:t>an accused person being refused bail</w:t>
      </w:r>
      <w:r w:rsidR="00106FD7">
        <w:rPr>
          <w:rFonts w:ascii="Arial" w:hAnsi="Arial" w:cs="Arial"/>
          <w:szCs w:val="24"/>
        </w:rPr>
        <w:t>.</w:t>
      </w:r>
    </w:p>
    <w:p w14:paraId="67530DC6" w14:textId="3DAAC71B" w:rsidR="00126926" w:rsidRDefault="007B6C95" w:rsidP="00126926">
      <w:pPr>
        <w:rPr>
          <w:rFonts w:ascii="Arial" w:hAnsi="Arial" w:cs="Arial"/>
          <w:bCs/>
          <w:szCs w:val="24"/>
        </w:rPr>
      </w:pPr>
      <w:r>
        <w:rPr>
          <w:rFonts w:ascii="Arial" w:hAnsi="Arial" w:cs="Arial"/>
          <w:bCs/>
          <w:szCs w:val="24"/>
        </w:rPr>
        <w:t>Section 13 of the HRA provides that everyone has the right to move freely within the ACT and to enter and leave it, and the freedom to choose his or her residence in the ACT.</w:t>
      </w:r>
      <w:r w:rsidRPr="00126926">
        <w:rPr>
          <w:rFonts w:ascii="Arial" w:hAnsi="Arial" w:cs="Arial"/>
          <w:bCs/>
          <w:szCs w:val="24"/>
        </w:rPr>
        <w:t xml:space="preserve"> </w:t>
      </w:r>
      <w:r w:rsidR="00F47A85">
        <w:rPr>
          <w:rFonts w:ascii="Arial" w:hAnsi="Arial" w:cs="Arial"/>
        </w:rPr>
        <w:t xml:space="preserve">The amendment may also engage and limit the right to freedom of movement (section 13 of the HRA) </w:t>
      </w:r>
      <w:r w:rsidR="00F47A85">
        <w:rPr>
          <w:rFonts w:ascii="Arial" w:hAnsi="Arial" w:cs="Arial"/>
          <w:bCs/>
          <w:szCs w:val="24"/>
        </w:rPr>
        <w:t xml:space="preserve">as an increased likelihood of being refused bail would restrict an accused’s freedom of movement </w:t>
      </w:r>
      <w:r w:rsidR="00FC3E03">
        <w:rPr>
          <w:rFonts w:ascii="Arial" w:hAnsi="Arial" w:cs="Arial"/>
          <w:bCs/>
          <w:szCs w:val="24"/>
        </w:rPr>
        <w:t>as part of bail conditions imposed</w:t>
      </w:r>
      <w:r w:rsidR="0058314F">
        <w:rPr>
          <w:rFonts w:ascii="Arial" w:hAnsi="Arial" w:cs="Arial"/>
          <w:bCs/>
          <w:szCs w:val="24"/>
        </w:rPr>
        <w:t>.</w:t>
      </w:r>
      <w:r w:rsidR="00F709A2">
        <w:rPr>
          <w:rFonts w:ascii="Arial" w:hAnsi="Arial" w:cs="Arial"/>
          <w:bCs/>
          <w:szCs w:val="24"/>
        </w:rPr>
        <w:t xml:space="preserve"> </w:t>
      </w:r>
    </w:p>
    <w:p w14:paraId="002ED495" w14:textId="7ED5E618" w:rsidR="00302301" w:rsidRPr="00302301" w:rsidRDefault="00302301" w:rsidP="00126926">
      <w:pPr>
        <w:rPr>
          <w:rFonts w:ascii="Arial" w:hAnsi="Arial" w:cs="Arial"/>
        </w:rPr>
      </w:pPr>
      <w:r>
        <w:rPr>
          <w:rFonts w:ascii="Arial" w:hAnsi="Arial" w:cs="Arial"/>
          <w:szCs w:val="24"/>
        </w:rPr>
        <w:t>Section 18 of the HRA</w:t>
      </w:r>
      <w:r>
        <w:rPr>
          <w:rFonts w:ascii="Arial" w:hAnsi="Arial" w:cs="Arial"/>
        </w:rPr>
        <w:t xml:space="preserve"> provides that </w:t>
      </w:r>
      <w:r w:rsidRPr="00286223">
        <w:rPr>
          <w:rFonts w:ascii="Arial" w:hAnsi="Arial" w:cs="Arial"/>
        </w:rPr>
        <w:t>no-one may be deprived of their liberty, except on grounds and in accordance with law</w:t>
      </w:r>
      <w:r>
        <w:rPr>
          <w:rFonts w:ascii="Arial" w:hAnsi="Arial" w:cs="Arial"/>
        </w:rPr>
        <w:t>. Subsection 5</w:t>
      </w:r>
      <w:r w:rsidRPr="00F47A85">
        <w:rPr>
          <w:rFonts w:ascii="Arial" w:hAnsi="Arial" w:cs="Arial"/>
        </w:rPr>
        <w:t xml:space="preserve"> provid</w:t>
      </w:r>
      <w:r>
        <w:rPr>
          <w:rFonts w:ascii="Arial" w:hAnsi="Arial" w:cs="Arial"/>
        </w:rPr>
        <w:t>es</w:t>
      </w:r>
      <w:r w:rsidRPr="00F47A85">
        <w:rPr>
          <w:rFonts w:ascii="Arial" w:hAnsi="Arial" w:cs="Arial"/>
        </w:rPr>
        <w:t xml:space="preserve"> that persons awaiting trial must not be detained in custody as a general rule. </w:t>
      </w:r>
      <w:r>
        <w:rPr>
          <w:rFonts w:ascii="Arial" w:hAnsi="Arial" w:cs="Arial"/>
          <w:szCs w:val="24"/>
        </w:rPr>
        <w:t xml:space="preserve">The amendment may </w:t>
      </w:r>
      <w:r w:rsidRPr="009341BF">
        <w:rPr>
          <w:rFonts w:ascii="Arial" w:hAnsi="Arial" w:cs="Arial"/>
          <w:szCs w:val="24"/>
        </w:rPr>
        <w:t xml:space="preserve">limit the right </w:t>
      </w:r>
      <w:r w:rsidRPr="00286223">
        <w:rPr>
          <w:rFonts w:ascii="Arial" w:hAnsi="Arial" w:cs="Arial"/>
        </w:rPr>
        <w:t xml:space="preserve">to liberty (section 18) </w:t>
      </w:r>
      <w:r w:rsidRPr="009341BF">
        <w:rPr>
          <w:rFonts w:ascii="Arial" w:hAnsi="Arial" w:cs="Arial"/>
          <w:szCs w:val="24"/>
        </w:rPr>
        <w:t xml:space="preserve">by </w:t>
      </w:r>
      <w:r>
        <w:rPr>
          <w:rFonts w:ascii="Arial" w:hAnsi="Arial" w:cs="Arial"/>
          <w:szCs w:val="24"/>
        </w:rPr>
        <w:t>increasing the likelihood of someone being held</w:t>
      </w:r>
      <w:r w:rsidRPr="009341BF">
        <w:rPr>
          <w:rFonts w:ascii="Arial" w:hAnsi="Arial" w:cs="Arial"/>
          <w:szCs w:val="24"/>
        </w:rPr>
        <w:t xml:space="preserve"> on remand in custody while awaiting a trial. </w:t>
      </w:r>
    </w:p>
    <w:p w14:paraId="308176BA" w14:textId="77777777" w:rsidR="00EF3037" w:rsidRPr="00050F68" w:rsidRDefault="00EF3037" w:rsidP="00EF3037">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1054627D" w14:textId="72F7B57E" w:rsidR="00FC3E03" w:rsidRDefault="00D07A28" w:rsidP="00430915">
      <w:pPr>
        <w:rPr>
          <w:rFonts w:ascii="Arial" w:hAnsi="Arial" w:cs="Arial"/>
        </w:rPr>
      </w:pPr>
      <w:r>
        <w:rPr>
          <w:rFonts w:ascii="Arial" w:hAnsi="Arial" w:cs="Arial"/>
        </w:rPr>
        <w:t xml:space="preserve">The amendment will </w:t>
      </w:r>
      <w:r w:rsidRPr="00D07A28">
        <w:rPr>
          <w:rFonts w:ascii="Arial" w:hAnsi="Arial" w:cs="Arial"/>
        </w:rPr>
        <w:t xml:space="preserve">not create a presumption against bail </w:t>
      </w:r>
      <w:r>
        <w:rPr>
          <w:rFonts w:ascii="Arial" w:hAnsi="Arial" w:cs="Arial"/>
        </w:rPr>
        <w:t xml:space="preserve">but rather will create a neutral presumption for bail. </w:t>
      </w:r>
      <w:r w:rsidR="00E1333D" w:rsidRPr="009966D6">
        <w:rPr>
          <w:rFonts w:ascii="Arial" w:hAnsi="Arial" w:cs="Arial"/>
          <w:bCs/>
          <w:szCs w:val="24"/>
        </w:rPr>
        <w:t>The amendment seeks</w:t>
      </w:r>
      <w:r w:rsidR="00950782" w:rsidRPr="009966D6">
        <w:rPr>
          <w:rFonts w:ascii="Arial" w:hAnsi="Arial" w:cs="Arial"/>
          <w:szCs w:val="24"/>
        </w:rPr>
        <w:t xml:space="preserve"> </w:t>
      </w:r>
      <w:r w:rsidR="00FC3E03" w:rsidRPr="009966D6">
        <w:rPr>
          <w:rFonts w:ascii="Arial" w:hAnsi="Arial" w:cs="Arial"/>
          <w:bCs/>
          <w:szCs w:val="24"/>
        </w:rPr>
        <w:t xml:space="preserve">to </w:t>
      </w:r>
      <w:r w:rsidR="00E1333D" w:rsidRPr="009966D6">
        <w:rPr>
          <w:rFonts w:ascii="Arial" w:hAnsi="Arial" w:cs="Arial"/>
          <w:bCs/>
          <w:szCs w:val="24"/>
        </w:rPr>
        <w:t xml:space="preserve">create legislative consistency in </w:t>
      </w:r>
      <w:r w:rsidR="00B57F14" w:rsidRPr="009966D6">
        <w:rPr>
          <w:rFonts w:ascii="Arial" w:hAnsi="Arial" w:cs="Arial"/>
          <w:bCs/>
          <w:szCs w:val="24"/>
        </w:rPr>
        <w:t xml:space="preserve">relation to a </w:t>
      </w:r>
      <w:r w:rsidR="00E1333D" w:rsidRPr="009966D6">
        <w:rPr>
          <w:rFonts w:ascii="Arial" w:hAnsi="Arial" w:cs="Arial"/>
          <w:bCs/>
          <w:szCs w:val="24"/>
        </w:rPr>
        <w:t xml:space="preserve">presumption of bail </w:t>
      </w:r>
      <w:r w:rsidR="002C247E">
        <w:rPr>
          <w:rFonts w:ascii="Arial" w:hAnsi="Arial" w:cs="Arial"/>
          <w:bCs/>
          <w:szCs w:val="24"/>
        </w:rPr>
        <w:t>for</w:t>
      </w:r>
      <w:r w:rsidR="00E1333D" w:rsidRPr="009966D6">
        <w:rPr>
          <w:rFonts w:ascii="Arial" w:hAnsi="Arial" w:cs="Arial"/>
          <w:bCs/>
          <w:szCs w:val="24"/>
        </w:rPr>
        <w:t xml:space="preserve"> serious sexual offences</w:t>
      </w:r>
      <w:r w:rsidR="002C247E">
        <w:rPr>
          <w:rFonts w:ascii="Arial" w:hAnsi="Arial" w:cs="Arial"/>
          <w:bCs/>
          <w:szCs w:val="24"/>
        </w:rPr>
        <w:t xml:space="preserve"> such as between sections 55 (2) and 55 (1) of the </w:t>
      </w:r>
      <w:r w:rsidR="002C247E">
        <w:rPr>
          <w:rFonts w:ascii="Arial" w:hAnsi="Arial" w:cs="Arial"/>
          <w:bCs/>
          <w:i/>
          <w:iCs/>
          <w:szCs w:val="24"/>
        </w:rPr>
        <w:t>Crimes Act 1900</w:t>
      </w:r>
      <w:r w:rsidR="002C247E">
        <w:rPr>
          <w:rFonts w:ascii="Arial" w:hAnsi="Arial" w:cs="Arial"/>
          <w:bCs/>
          <w:szCs w:val="24"/>
        </w:rPr>
        <w:t>. This will</w:t>
      </w:r>
      <w:r w:rsidR="002C247E" w:rsidRPr="009966D6">
        <w:rPr>
          <w:rFonts w:ascii="Arial" w:hAnsi="Arial" w:cs="Arial"/>
          <w:bCs/>
          <w:szCs w:val="24"/>
        </w:rPr>
        <w:t xml:space="preserve"> </w:t>
      </w:r>
      <w:r w:rsidR="00B57F14" w:rsidRPr="009966D6">
        <w:rPr>
          <w:rFonts w:ascii="Arial" w:hAnsi="Arial" w:cs="Arial"/>
          <w:bCs/>
          <w:szCs w:val="24"/>
        </w:rPr>
        <w:t>improve criminal justice outcomes for</w:t>
      </w:r>
      <w:r w:rsidR="00FC3E03" w:rsidRPr="009966D6">
        <w:rPr>
          <w:rFonts w:ascii="Arial" w:hAnsi="Arial" w:cs="Arial"/>
          <w:bCs/>
          <w:szCs w:val="24"/>
        </w:rPr>
        <w:t xml:space="preserve"> victim</w:t>
      </w:r>
      <w:r w:rsidR="00B57F14" w:rsidRPr="009966D6">
        <w:rPr>
          <w:rFonts w:ascii="Arial" w:hAnsi="Arial" w:cs="Arial"/>
          <w:bCs/>
          <w:szCs w:val="24"/>
        </w:rPr>
        <w:t>-survivors</w:t>
      </w:r>
      <w:r w:rsidR="00FC3E03" w:rsidRPr="009966D6">
        <w:rPr>
          <w:rFonts w:ascii="Arial" w:hAnsi="Arial" w:cs="Arial"/>
          <w:bCs/>
          <w:szCs w:val="24"/>
        </w:rPr>
        <w:t xml:space="preserve"> and the community</w:t>
      </w:r>
      <w:r w:rsidR="005D4F62" w:rsidRPr="009966D6">
        <w:rPr>
          <w:rFonts w:ascii="Arial" w:hAnsi="Arial" w:cs="Arial"/>
          <w:bCs/>
          <w:szCs w:val="24"/>
        </w:rPr>
        <w:t xml:space="preserve">, and to reflect that these three </w:t>
      </w:r>
      <w:r w:rsidR="005D4F62" w:rsidRPr="009966D6">
        <w:rPr>
          <w:rFonts w:ascii="Arial" w:hAnsi="Arial" w:cs="Arial"/>
          <w:bCs/>
          <w:szCs w:val="24"/>
        </w:rPr>
        <w:lastRenderedPageBreak/>
        <w:t>offences are on par with other serious sexual offences to change community attitudes.</w:t>
      </w:r>
      <w:r w:rsidR="005D4F62">
        <w:rPr>
          <w:rFonts w:ascii="Arial" w:hAnsi="Arial" w:cs="Arial"/>
          <w:bCs/>
          <w:szCs w:val="24"/>
        </w:rPr>
        <w:t xml:space="preserve"> </w:t>
      </w:r>
    </w:p>
    <w:p w14:paraId="56F302E1" w14:textId="21F8B3FC" w:rsidR="00430915" w:rsidRPr="00756C21" w:rsidRDefault="00430915" w:rsidP="00430915">
      <w:pPr>
        <w:rPr>
          <w:rFonts w:ascii="Arial" w:hAnsi="Arial" w:cs="Arial"/>
        </w:rPr>
      </w:pPr>
      <w:r w:rsidRPr="00301EC2">
        <w:rPr>
          <w:rFonts w:ascii="Arial" w:hAnsi="Arial" w:cs="Arial"/>
        </w:rPr>
        <w:t xml:space="preserve">The </w:t>
      </w:r>
      <w:r w:rsidRPr="00286223">
        <w:rPr>
          <w:rFonts w:ascii="Arial" w:hAnsi="Arial" w:cs="Arial"/>
          <w:i/>
          <w:iCs/>
        </w:rPr>
        <w:t>Bail Act 1992</w:t>
      </w:r>
      <w:r w:rsidRPr="00301EC2">
        <w:rPr>
          <w:rFonts w:ascii="Arial" w:hAnsi="Arial" w:cs="Arial"/>
        </w:rPr>
        <w:t xml:space="preserve"> currently provides that there is a presumption for bail for a person charged with an offence contrary to section 55 (2) (Sexual intercourse with young person under the age of 16 years), section 55A (Sexual intercourse with young person under special care) or section 56 (Persistent sexual abuse of child or young person under special care) of the </w:t>
      </w:r>
      <w:r w:rsidRPr="00286223">
        <w:rPr>
          <w:rFonts w:ascii="Arial" w:hAnsi="Arial" w:cs="Arial"/>
          <w:i/>
          <w:iCs/>
        </w:rPr>
        <w:t>Crimes Act 1900</w:t>
      </w:r>
      <w:r w:rsidR="00756C21">
        <w:rPr>
          <w:rFonts w:ascii="Arial" w:hAnsi="Arial" w:cs="Arial"/>
          <w:i/>
          <w:iCs/>
        </w:rPr>
        <w:t xml:space="preserve">. </w:t>
      </w:r>
      <w:r w:rsidR="00756C21">
        <w:rPr>
          <w:rFonts w:ascii="Arial" w:hAnsi="Arial" w:cs="Arial"/>
        </w:rPr>
        <w:t xml:space="preserve">The maximum penalties of these offences range from 10 to 25 years imprisonment. </w:t>
      </w:r>
    </w:p>
    <w:p w14:paraId="43C25E9C" w14:textId="419C51CC" w:rsidR="00430915" w:rsidRPr="00301EC2" w:rsidRDefault="00286223" w:rsidP="00430915">
      <w:pPr>
        <w:rPr>
          <w:rFonts w:ascii="Arial" w:hAnsi="Arial" w:cs="Arial"/>
        </w:rPr>
      </w:pPr>
      <w:r>
        <w:rPr>
          <w:rFonts w:ascii="Arial" w:hAnsi="Arial" w:cs="Arial"/>
        </w:rPr>
        <w:t>Offences under these sections</w:t>
      </w:r>
      <w:r w:rsidR="00430915" w:rsidRPr="00301EC2">
        <w:rPr>
          <w:rFonts w:ascii="Arial" w:hAnsi="Arial" w:cs="Arial"/>
        </w:rPr>
        <w:t xml:space="preserve"> are serious sexual offences that attract similar maximum penalties of imprisonment as th</w:t>
      </w:r>
      <w:r>
        <w:rPr>
          <w:rFonts w:ascii="Arial" w:hAnsi="Arial" w:cs="Arial"/>
        </w:rPr>
        <w:t>e other</w:t>
      </w:r>
      <w:r w:rsidR="00430915" w:rsidRPr="00301EC2">
        <w:rPr>
          <w:rFonts w:ascii="Arial" w:hAnsi="Arial" w:cs="Arial"/>
        </w:rPr>
        <w:t xml:space="preserve"> sexual offences already </w:t>
      </w:r>
      <w:r>
        <w:rPr>
          <w:rFonts w:ascii="Arial" w:hAnsi="Arial" w:cs="Arial"/>
        </w:rPr>
        <w:t xml:space="preserve">having no presumption for bail </w:t>
      </w:r>
      <w:r w:rsidR="00430915" w:rsidRPr="00301EC2">
        <w:rPr>
          <w:rFonts w:ascii="Arial" w:hAnsi="Arial" w:cs="Arial"/>
        </w:rPr>
        <w:t xml:space="preserve">in </w:t>
      </w:r>
      <w:r>
        <w:rPr>
          <w:rFonts w:ascii="Arial" w:hAnsi="Arial" w:cs="Arial"/>
        </w:rPr>
        <w:t>t</w:t>
      </w:r>
      <w:r w:rsidR="00430915" w:rsidRPr="00301EC2">
        <w:rPr>
          <w:rFonts w:ascii="Arial" w:hAnsi="Arial" w:cs="Arial"/>
        </w:rPr>
        <w:t xml:space="preserve">he </w:t>
      </w:r>
      <w:r>
        <w:rPr>
          <w:rFonts w:ascii="Arial" w:hAnsi="Arial" w:cs="Arial"/>
          <w:i/>
          <w:iCs/>
        </w:rPr>
        <w:t xml:space="preserve">Bail Act 1992. </w:t>
      </w:r>
      <w:r>
        <w:rPr>
          <w:rFonts w:ascii="Arial" w:hAnsi="Arial" w:cs="Arial"/>
        </w:rPr>
        <w:t xml:space="preserve">For </w:t>
      </w:r>
      <w:r w:rsidR="00277451">
        <w:rPr>
          <w:rFonts w:ascii="Arial" w:hAnsi="Arial" w:cs="Arial"/>
        </w:rPr>
        <w:t>e</w:t>
      </w:r>
      <w:r w:rsidR="00277451" w:rsidRPr="00756C21">
        <w:rPr>
          <w:rFonts w:ascii="Arial" w:hAnsi="Arial" w:cs="Arial"/>
        </w:rPr>
        <w:t>xample,</w:t>
      </w:r>
      <w:r w:rsidRPr="00756C21">
        <w:rPr>
          <w:rFonts w:ascii="Arial" w:hAnsi="Arial" w:cs="Arial"/>
        </w:rPr>
        <w:t xml:space="preserve"> section 51 (sexual assault in the first degree), section 52 (sexual assault in the second degree), section 54 (sexual intercourse without consent, and section 55 (1) (sexual intercourse with young person under 10 years old) all do not have a presumption for bail and attract maximum sentences ranging from </w:t>
      </w:r>
      <w:r w:rsidR="00756C21" w:rsidRPr="00756C21">
        <w:rPr>
          <w:rFonts w:ascii="Arial" w:hAnsi="Arial" w:cs="Arial"/>
        </w:rPr>
        <w:t>12 to 20 years imprisonment.</w:t>
      </w:r>
      <w:r w:rsidR="00FB08AF">
        <w:rPr>
          <w:rFonts w:ascii="Arial" w:hAnsi="Arial" w:cs="Arial"/>
        </w:rPr>
        <w:t xml:space="preserve"> </w:t>
      </w:r>
    </w:p>
    <w:p w14:paraId="51BD468B" w14:textId="014A3C8C" w:rsidR="00EF3037" w:rsidRPr="00050F68" w:rsidRDefault="00EF3037" w:rsidP="00EF3037">
      <w:pPr>
        <w:rPr>
          <w:rFonts w:ascii="Arial" w:hAnsi="Arial" w:cs="Arial"/>
          <w:szCs w:val="24"/>
        </w:rPr>
      </w:pPr>
      <w:r>
        <w:rPr>
          <w:rFonts w:ascii="Arial" w:hAnsi="Arial" w:cs="Arial"/>
          <w:b/>
          <w:i/>
          <w:szCs w:val="24"/>
        </w:rPr>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7F129FC1" w14:textId="069BBE34" w:rsidR="005D4F62" w:rsidRDefault="005D4F62" w:rsidP="00C85687">
      <w:pPr>
        <w:rPr>
          <w:rFonts w:ascii="Arial" w:hAnsi="Arial" w:cs="Arial"/>
        </w:rPr>
      </w:pPr>
      <w:r>
        <w:rPr>
          <w:rFonts w:ascii="Arial" w:hAnsi="Arial" w:cs="Arial"/>
        </w:rPr>
        <w:t xml:space="preserve">There is a rational connection between the limitation on the right to freedom of movement (section 13 of the HRA) and right to </w:t>
      </w:r>
      <w:r w:rsidRPr="00286223">
        <w:rPr>
          <w:rFonts w:ascii="Arial" w:hAnsi="Arial" w:cs="Arial"/>
        </w:rPr>
        <w:t>liberty (section 18</w:t>
      </w:r>
      <w:r>
        <w:rPr>
          <w:rFonts w:ascii="Arial" w:hAnsi="Arial" w:cs="Arial"/>
        </w:rPr>
        <w:t xml:space="preserve"> of the HRA</w:t>
      </w:r>
      <w:r w:rsidRPr="00286223">
        <w:rPr>
          <w:rFonts w:ascii="Arial" w:hAnsi="Arial" w:cs="Arial"/>
        </w:rPr>
        <w:t>)</w:t>
      </w:r>
      <w:r>
        <w:rPr>
          <w:rFonts w:ascii="Arial" w:hAnsi="Arial" w:cs="Arial"/>
        </w:rPr>
        <w:t xml:space="preserve"> and the objective of improving criminal justice outcomes for victim-survivors</w:t>
      </w:r>
      <w:r w:rsidR="00D07A28">
        <w:rPr>
          <w:rFonts w:ascii="Arial" w:hAnsi="Arial" w:cs="Arial"/>
        </w:rPr>
        <w:t xml:space="preserve"> and the community</w:t>
      </w:r>
      <w:r>
        <w:rPr>
          <w:rFonts w:ascii="Arial" w:hAnsi="Arial" w:cs="Arial"/>
        </w:rPr>
        <w:t xml:space="preserve">. </w:t>
      </w:r>
    </w:p>
    <w:p w14:paraId="0CD33E73" w14:textId="5F71D8C1" w:rsidR="00D07A28" w:rsidRDefault="00D07A28" w:rsidP="00C85687">
      <w:pPr>
        <w:rPr>
          <w:rFonts w:ascii="Arial" w:hAnsi="Arial" w:cs="Arial"/>
        </w:rPr>
      </w:pPr>
      <w:r>
        <w:rPr>
          <w:rFonts w:ascii="Arial" w:hAnsi="Arial" w:cs="Arial"/>
        </w:rPr>
        <w:t xml:space="preserve">The amendment will create a neutral presumption for bail for three offences and ensure that </w:t>
      </w:r>
      <w:r w:rsidR="0061063F">
        <w:rPr>
          <w:rFonts w:ascii="Arial" w:hAnsi="Arial" w:cs="Arial"/>
        </w:rPr>
        <w:t xml:space="preserve">the decision-maker is considering these offences </w:t>
      </w:r>
      <w:r>
        <w:rPr>
          <w:rFonts w:ascii="Arial" w:hAnsi="Arial" w:cs="Arial"/>
        </w:rPr>
        <w:t xml:space="preserve">in a similar light as other serious sexual offences which also have a neutral presumption. This ensures victim-survivors of sexual offences of a similar nature are afforded procedural justice and improved criminal justice outcomes.  </w:t>
      </w:r>
    </w:p>
    <w:p w14:paraId="3464FDE2" w14:textId="7DC6228C" w:rsidR="00C85687" w:rsidRPr="00227A1A" w:rsidRDefault="005D4F62" w:rsidP="00C85687">
      <w:pPr>
        <w:rPr>
          <w:rFonts w:ascii="Arial" w:hAnsi="Arial" w:cs="Arial"/>
        </w:rPr>
      </w:pPr>
      <w:r>
        <w:rPr>
          <w:rFonts w:ascii="Arial" w:hAnsi="Arial" w:cs="Arial"/>
        </w:rPr>
        <w:t>The amendment may act</w:t>
      </w:r>
      <w:r w:rsidR="00C85687" w:rsidRPr="00227A1A">
        <w:rPr>
          <w:rFonts w:ascii="Arial" w:hAnsi="Arial" w:cs="Arial"/>
        </w:rPr>
        <w:t xml:space="preserve"> as a general deterrence </w:t>
      </w:r>
      <w:r w:rsidR="00CE53D1">
        <w:rPr>
          <w:rFonts w:ascii="Arial" w:hAnsi="Arial" w:cs="Arial"/>
        </w:rPr>
        <w:t xml:space="preserve">by </w:t>
      </w:r>
      <w:r>
        <w:rPr>
          <w:rFonts w:ascii="Arial" w:hAnsi="Arial" w:cs="Arial"/>
        </w:rPr>
        <w:t xml:space="preserve">potential offenders or </w:t>
      </w:r>
      <w:r w:rsidR="00C85687" w:rsidRPr="00227A1A">
        <w:rPr>
          <w:rFonts w:ascii="Arial" w:hAnsi="Arial" w:cs="Arial"/>
        </w:rPr>
        <w:t xml:space="preserve">for the accused to commit further </w:t>
      </w:r>
      <w:r w:rsidR="00CE53D1">
        <w:rPr>
          <w:rFonts w:ascii="Arial" w:hAnsi="Arial" w:cs="Arial"/>
        </w:rPr>
        <w:t xml:space="preserve">sexual </w:t>
      </w:r>
      <w:r w:rsidR="00C85687" w:rsidRPr="00227A1A">
        <w:rPr>
          <w:rFonts w:ascii="Arial" w:hAnsi="Arial" w:cs="Arial"/>
        </w:rPr>
        <w:t>offences</w:t>
      </w:r>
      <w:r w:rsidR="00D07A28">
        <w:rPr>
          <w:rFonts w:ascii="Arial" w:hAnsi="Arial" w:cs="Arial"/>
        </w:rPr>
        <w:t xml:space="preserve">, thus improving overall criminal justice outcomes for the community. </w:t>
      </w:r>
    </w:p>
    <w:p w14:paraId="5C39BEB5" w14:textId="3398C2B4" w:rsidR="00FC3E03" w:rsidRPr="009966D6" w:rsidRDefault="00EF3037" w:rsidP="00FC3E03">
      <w:pPr>
        <w:rPr>
          <w:rFonts w:ascii="Arial" w:hAnsi="Arial" w:cs="Arial"/>
          <w:szCs w:val="24"/>
        </w:rPr>
      </w:pPr>
      <w:r w:rsidRPr="009966D6">
        <w:rPr>
          <w:rFonts w:ascii="Arial" w:hAnsi="Arial" w:cs="Arial"/>
          <w:b/>
          <w:i/>
          <w:szCs w:val="24"/>
        </w:rPr>
        <w:t>4. Proportionality (s 28 (2) (e))</w:t>
      </w:r>
    </w:p>
    <w:p w14:paraId="0EC9878F" w14:textId="1522A177" w:rsidR="008F49CA" w:rsidRDefault="008F49CA" w:rsidP="008F49CA">
      <w:pPr>
        <w:pStyle w:val="BodyText"/>
        <w:rPr>
          <w:rFonts w:ascii="Arial" w:hAnsi="Arial" w:cs="Arial"/>
        </w:rPr>
      </w:pPr>
      <w:r w:rsidRPr="009966D6">
        <w:rPr>
          <w:rFonts w:ascii="Arial" w:hAnsi="Arial" w:cs="Arial"/>
        </w:rPr>
        <w:t>The limitation of rights is</w:t>
      </w:r>
      <w:r w:rsidRPr="009966D6">
        <w:rPr>
          <w:rFonts w:ascii="Arial" w:hAnsi="Arial" w:cs="Arial"/>
          <w:spacing w:val="-2"/>
        </w:rPr>
        <w:t xml:space="preserve"> </w:t>
      </w:r>
      <w:r w:rsidRPr="009966D6">
        <w:rPr>
          <w:rFonts w:ascii="Arial" w:hAnsi="Arial" w:cs="Arial"/>
        </w:rPr>
        <w:t>proportionate to the aim of</w:t>
      </w:r>
      <w:r w:rsidRPr="009966D6">
        <w:rPr>
          <w:rFonts w:ascii="Arial" w:hAnsi="Arial" w:cs="Arial"/>
          <w:bCs/>
        </w:rPr>
        <w:t xml:space="preserve"> creating </w:t>
      </w:r>
      <w:r w:rsidRPr="009966D6">
        <w:rPr>
          <w:rFonts w:ascii="Arial" w:hAnsi="Arial" w:cs="Arial"/>
        </w:rPr>
        <w:t>consistent approaches to bail applications</w:t>
      </w:r>
      <w:r w:rsidRPr="009966D6">
        <w:rPr>
          <w:rFonts w:ascii="Arial" w:hAnsi="Arial" w:cs="Arial"/>
          <w:bCs/>
        </w:rPr>
        <w:t xml:space="preserve"> and improving criminal justice outcomes for victim-survivors and the community, and there is </w:t>
      </w:r>
      <w:r w:rsidRPr="00FE6F7D">
        <w:rPr>
          <w:rFonts w:ascii="Arial" w:hAnsi="Arial" w:cs="Arial"/>
        </w:rPr>
        <w:t>no less restrictive means available to achieve th</w:t>
      </w:r>
      <w:r w:rsidRPr="009966D6">
        <w:rPr>
          <w:rFonts w:ascii="Arial" w:hAnsi="Arial" w:cs="Arial"/>
        </w:rPr>
        <w:t>e amendment’s objective.</w:t>
      </w:r>
      <w:r>
        <w:rPr>
          <w:rFonts w:ascii="Arial" w:hAnsi="Arial" w:cs="Arial"/>
        </w:rPr>
        <w:t xml:space="preserve"> </w:t>
      </w:r>
    </w:p>
    <w:p w14:paraId="019BAA73" w14:textId="22442BF8" w:rsidR="00462281" w:rsidRDefault="008F49CA" w:rsidP="00FE6F7D">
      <w:pPr>
        <w:pStyle w:val="BodyText"/>
        <w:rPr>
          <w:rFonts w:ascii="Arial" w:hAnsi="Arial" w:cs="Arial"/>
        </w:rPr>
      </w:pPr>
      <w:r>
        <w:rPr>
          <w:rFonts w:ascii="Arial" w:hAnsi="Arial" w:cs="Arial"/>
        </w:rPr>
        <w:t>The amendment creates</w:t>
      </w:r>
      <w:r w:rsidR="006F3786" w:rsidRPr="009966D6">
        <w:rPr>
          <w:rFonts w:ascii="Arial" w:hAnsi="Arial" w:cs="Arial"/>
        </w:rPr>
        <w:t xml:space="preserve"> </w:t>
      </w:r>
      <w:r w:rsidR="00574FC9" w:rsidRPr="009966D6">
        <w:rPr>
          <w:rFonts w:ascii="Arial" w:hAnsi="Arial" w:cs="Arial"/>
        </w:rPr>
        <w:t xml:space="preserve">a neutral presumption of bail </w:t>
      </w:r>
      <w:r>
        <w:rPr>
          <w:rFonts w:ascii="Arial" w:hAnsi="Arial" w:cs="Arial"/>
        </w:rPr>
        <w:t xml:space="preserve">rather than a presumption against bail </w:t>
      </w:r>
      <w:r w:rsidR="00574FC9" w:rsidRPr="00FE6F7D">
        <w:rPr>
          <w:rFonts w:ascii="Arial" w:hAnsi="Arial" w:cs="Arial"/>
        </w:rPr>
        <w:t xml:space="preserve">and </w:t>
      </w:r>
      <w:r w:rsidR="00FF1170" w:rsidRPr="009966D6">
        <w:rPr>
          <w:rFonts w:ascii="Arial" w:hAnsi="Arial" w:cs="Arial"/>
        </w:rPr>
        <w:t xml:space="preserve">does not seek to curb existing discretion held by the decision-maker in their bail determinations. </w:t>
      </w:r>
      <w:r w:rsidR="00084C87" w:rsidRPr="00FE6F7D">
        <w:rPr>
          <w:rFonts w:ascii="Arial" w:hAnsi="Arial" w:cs="Arial"/>
        </w:rPr>
        <w:t xml:space="preserve">The legislative criteria in the </w:t>
      </w:r>
      <w:r w:rsidR="00084C87" w:rsidRPr="008F6C1E">
        <w:rPr>
          <w:rFonts w:ascii="Arial" w:hAnsi="Arial" w:cs="Arial"/>
          <w:i/>
          <w:iCs/>
        </w:rPr>
        <w:t>Bail Act 1992</w:t>
      </w:r>
      <w:r w:rsidR="00084C87" w:rsidRPr="00FE6F7D">
        <w:rPr>
          <w:rFonts w:ascii="Arial" w:hAnsi="Arial" w:cs="Arial"/>
        </w:rPr>
        <w:t xml:space="preserve"> relating to the granting of bail is not altered by the amendment. </w:t>
      </w:r>
      <w:r w:rsidR="00462281">
        <w:rPr>
          <w:rFonts w:ascii="Arial" w:hAnsi="Arial" w:cs="Arial"/>
          <w:color w:val="000000"/>
          <w:shd w:val="clear" w:color="auto" w:fill="FFFFFF"/>
        </w:rPr>
        <w:t xml:space="preserve">The amendment does not impose any limitations on an accused’s entitlement to bail in accordance with Division 2.2. </w:t>
      </w:r>
      <w:r w:rsidR="00462281">
        <w:rPr>
          <w:rFonts w:ascii="Arial" w:hAnsi="Arial" w:cs="Arial"/>
          <w:color w:val="000000"/>
          <w:shd w:val="clear" w:color="auto" w:fill="FFFFFF"/>
        </w:rPr>
        <w:lastRenderedPageBreak/>
        <w:t xml:space="preserve">including the need to be </w:t>
      </w:r>
      <w:r w:rsidR="00462281" w:rsidRPr="00782E89">
        <w:rPr>
          <w:rFonts w:ascii="Arial" w:hAnsi="Arial" w:cs="Arial"/>
          <w:color w:val="000000"/>
          <w:shd w:val="clear" w:color="auto" w:fill="FFFFFF"/>
        </w:rPr>
        <w:t>satisfied of the existence of special or exceptional circumstances favouring the grant of bail to a person.</w:t>
      </w:r>
    </w:p>
    <w:p w14:paraId="40138509" w14:textId="3DA51F97" w:rsidR="00EF3037" w:rsidRPr="00050F68" w:rsidRDefault="00390D74" w:rsidP="00EF3037">
      <w:pPr>
        <w:pStyle w:val="Heading4"/>
        <w:rPr>
          <w:rFonts w:ascii="Arial" w:hAnsi="Arial" w:cs="Arial"/>
        </w:rPr>
      </w:pPr>
      <w:r w:rsidRPr="00806049">
        <w:rPr>
          <w:rFonts w:ascii="Arial" w:hAnsi="Arial" w:cs="Arial"/>
          <w:b w:val="0"/>
          <w:u w:val="single"/>
        </w:rPr>
        <w:t xml:space="preserve">Self-induced intoxication is not to be considered for </w:t>
      </w:r>
      <w:r w:rsidR="00B80C62" w:rsidRPr="00806049">
        <w:rPr>
          <w:rFonts w:ascii="Arial" w:hAnsi="Arial" w:cs="Arial"/>
          <w:b w:val="0"/>
          <w:u w:val="single"/>
        </w:rPr>
        <w:t xml:space="preserve">determining </w:t>
      </w:r>
      <w:r w:rsidRPr="00806049">
        <w:rPr>
          <w:rFonts w:ascii="Arial" w:hAnsi="Arial" w:cs="Arial"/>
          <w:b w:val="0"/>
          <w:u w:val="single"/>
        </w:rPr>
        <w:t>the fault element</w:t>
      </w:r>
      <w:r w:rsidR="00B80C62" w:rsidRPr="00806049">
        <w:rPr>
          <w:rFonts w:ascii="Arial" w:hAnsi="Arial" w:cs="Arial"/>
          <w:b w:val="0"/>
          <w:u w:val="single"/>
        </w:rPr>
        <w:t xml:space="preserve"> of the sexual offence consent provision</w:t>
      </w:r>
    </w:p>
    <w:p w14:paraId="4F1741FC" w14:textId="77777777" w:rsidR="00EF3037" w:rsidRPr="00050F68" w:rsidRDefault="00EF3037" w:rsidP="00EF3037">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33896A11" w14:textId="764FD12A" w:rsidR="00B60D21" w:rsidRDefault="00B60D21" w:rsidP="00B60D21">
      <w:pPr>
        <w:rPr>
          <w:rFonts w:ascii="Arial" w:hAnsi="Arial" w:cs="Arial"/>
          <w:szCs w:val="24"/>
        </w:rPr>
      </w:pPr>
      <w:r>
        <w:rPr>
          <w:rFonts w:ascii="Arial" w:hAnsi="Arial" w:cs="Arial"/>
          <w:szCs w:val="24"/>
        </w:rPr>
        <w:t xml:space="preserve">The </w:t>
      </w:r>
      <w:r w:rsidRPr="00B60D21">
        <w:rPr>
          <w:rFonts w:ascii="Arial" w:hAnsi="Arial" w:cs="Arial"/>
          <w:szCs w:val="24"/>
        </w:rPr>
        <w:t xml:space="preserve">Bill </w:t>
      </w:r>
      <w:r>
        <w:rPr>
          <w:rFonts w:ascii="Arial" w:hAnsi="Arial" w:cs="Arial"/>
          <w:szCs w:val="24"/>
        </w:rPr>
        <w:t xml:space="preserve">clarifies </w:t>
      </w:r>
      <w:r w:rsidRPr="00B60D21">
        <w:rPr>
          <w:rFonts w:ascii="Arial" w:hAnsi="Arial" w:cs="Arial"/>
          <w:szCs w:val="24"/>
        </w:rPr>
        <w:t xml:space="preserve">that </w:t>
      </w:r>
      <w:r w:rsidR="000F757E">
        <w:rPr>
          <w:rFonts w:ascii="Arial" w:hAnsi="Arial" w:cs="Arial"/>
          <w:szCs w:val="24"/>
        </w:rPr>
        <w:t xml:space="preserve">a person who is intoxicated through self-induction is treated as if they were sober </w:t>
      </w:r>
      <w:r w:rsidRPr="00B60D21">
        <w:rPr>
          <w:rFonts w:ascii="Arial" w:hAnsi="Arial" w:cs="Arial"/>
          <w:szCs w:val="24"/>
        </w:rPr>
        <w:t xml:space="preserve">by the trier of fact in determining </w:t>
      </w:r>
      <w:r>
        <w:rPr>
          <w:rFonts w:ascii="Arial" w:hAnsi="Arial" w:cs="Arial"/>
          <w:szCs w:val="24"/>
        </w:rPr>
        <w:t>the fault element of a sexual</w:t>
      </w:r>
      <w:r w:rsidRPr="00B60D21">
        <w:rPr>
          <w:rFonts w:ascii="Arial" w:hAnsi="Arial" w:cs="Arial"/>
          <w:szCs w:val="24"/>
        </w:rPr>
        <w:t xml:space="preserve"> offence</w:t>
      </w:r>
      <w:r>
        <w:rPr>
          <w:rFonts w:ascii="Arial" w:hAnsi="Arial" w:cs="Arial"/>
          <w:szCs w:val="24"/>
        </w:rPr>
        <w:t xml:space="preserve"> </w:t>
      </w:r>
      <w:r w:rsidRPr="00B60D21">
        <w:rPr>
          <w:rFonts w:ascii="Arial" w:hAnsi="Arial" w:cs="Arial"/>
          <w:szCs w:val="24"/>
        </w:rPr>
        <w:t xml:space="preserve">consent provision </w:t>
      </w:r>
      <w:r>
        <w:rPr>
          <w:rFonts w:ascii="Arial" w:hAnsi="Arial" w:cs="Arial"/>
          <w:szCs w:val="24"/>
        </w:rPr>
        <w:t xml:space="preserve">i.e. </w:t>
      </w:r>
      <w:r w:rsidRPr="00B60D21">
        <w:rPr>
          <w:rFonts w:ascii="Arial" w:hAnsi="Arial" w:cs="Arial"/>
          <w:szCs w:val="24"/>
        </w:rPr>
        <w:t>whether the accused person had</w:t>
      </w:r>
      <w:r>
        <w:rPr>
          <w:rFonts w:ascii="Arial" w:hAnsi="Arial" w:cs="Arial"/>
          <w:szCs w:val="24"/>
        </w:rPr>
        <w:t xml:space="preserve"> </w:t>
      </w:r>
      <w:r w:rsidRPr="00B60D21">
        <w:rPr>
          <w:rFonts w:ascii="Arial" w:hAnsi="Arial" w:cs="Arial"/>
          <w:szCs w:val="24"/>
        </w:rPr>
        <w:t>knowledge, recklessness or a reasonable belief as to consent</w:t>
      </w:r>
      <w:r>
        <w:rPr>
          <w:rFonts w:ascii="Arial" w:hAnsi="Arial" w:cs="Arial"/>
          <w:szCs w:val="24"/>
        </w:rPr>
        <w:t xml:space="preserve"> to a sexual act</w:t>
      </w:r>
      <w:r w:rsidRPr="00B60D21">
        <w:rPr>
          <w:rFonts w:ascii="Arial" w:hAnsi="Arial" w:cs="Arial"/>
          <w:szCs w:val="24"/>
        </w:rPr>
        <w:t xml:space="preserve">. </w:t>
      </w:r>
      <w:r w:rsidR="000A674A">
        <w:rPr>
          <w:rFonts w:ascii="Arial" w:hAnsi="Arial" w:cs="Arial"/>
          <w:szCs w:val="24"/>
        </w:rPr>
        <w:t>All the fault elements will still need to be made out and the amendment does not create a presumption that the accused was guilty or culpable just because of self-induced intoxication.</w:t>
      </w:r>
    </w:p>
    <w:p w14:paraId="042573E2" w14:textId="23FAA72C" w:rsidR="00B60D21" w:rsidRPr="00806049" w:rsidRDefault="000A674A" w:rsidP="00B60D21">
      <w:pPr>
        <w:rPr>
          <w:rFonts w:ascii="Arial" w:hAnsi="Arial" w:cs="Arial"/>
          <w:szCs w:val="24"/>
        </w:rPr>
      </w:pPr>
      <w:r w:rsidRPr="000A674A">
        <w:rPr>
          <w:rFonts w:ascii="Arial" w:hAnsi="Arial" w:cs="Arial"/>
          <w:szCs w:val="24"/>
        </w:rPr>
        <w:t xml:space="preserve">The </w:t>
      </w:r>
      <w:r>
        <w:rPr>
          <w:rFonts w:ascii="Arial" w:hAnsi="Arial" w:cs="Arial"/>
          <w:szCs w:val="24"/>
        </w:rPr>
        <w:t xml:space="preserve">amendment does not change the evidential burden nor the type of </w:t>
      </w:r>
      <w:r w:rsidRPr="000A674A">
        <w:rPr>
          <w:rFonts w:ascii="Arial" w:hAnsi="Arial" w:cs="Arial"/>
          <w:szCs w:val="24"/>
        </w:rPr>
        <w:t xml:space="preserve">evidence </w:t>
      </w:r>
      <w:r>
        <w:rPr>
          <w:rFonts w:ascii="Arial" w:hAnsi="Arial" w:cs="Arial"/>
          <w:szCs w:val="24"/>
        </w:rPr>
        <w:t xml:space="preserve">which </w:t>
      </w:r>
      <w:r w:rsidRPr="000A674A">
        <w:rPr>
          <w:rFonts w:ascii="Arial" w:hAnsi="Arial" w:cs="Arial"/>
          <w:szCs w:val="24"/>
        </w:rPr>
        <w:t xml:space="preserve">can be adduced, but how that evidence </w:t>
      </w:r>
      <w:r>
        <w:rPr>
          <w:rFonts w:ascii="Arial" w:hAnsi="Arial" w:cs="Arial"/>
          <w:szCs w:val="24"/>
        </w:rPr>
        <w:t xml:space="preserve">of self-intoxication </w:t>
      </w:r>
      <w:r w:rsidRPr="000A674A">
        <w:rPr>
          <w:rFonts w:ascii="Arial" w:hAnsi="Arial" w:cs="Arial"/>
          <w:szCs w:val="24"/>
        </w:rPr>
        <w:t>can be taken into consideration.</w:t>
      </w:r>
      <w:r>
        <w:rPr>
          <w:rFonts w:ascii="Arial" w:hAnsi="Arial" w:cs="Arial"/>
          <w:szCs w:val="24"/>
        </w:rPr>
        <w:t xml:space="preserve"> </w:t>
      </w:r>
      <w:r w:rsidR="00B60D21">
        <w:rPr>
          <w:rFonts w:ascii="Arial" w:hAnsi="Arial" w:cs="Arial"/>
          <w:szCs w:val="24"/>
        </w:rPr>
        <w:t xml:space="preserve">The amendment provides that </w:t>
      </w:r>
      <w:r w:rsidR="000F757E">
        <w:rPr>
          <w:rFonts w:ascii="Arial" w:hAnsi="Arial" w:cs="Arial"/>
          <w:szCs w:val="24"/>
        </w:rPr>
        <w:t xml:space="preserve">where a person is intoxicated through self-induction, </w:t>
      </w:r>
      <w:r w:rsidR="00B60D21" w:rsidRPr="00B60D21">
        <w:rPr>
          <w:rFonts w:ascii="Arial" w:hAnsi="Arial" w:cs="Arial"/>
          <w:szCs w:val="24"/>
        </w:rPr>
        <w:t xml:space="preserve">intoxication is considered in a broader sense for context, and the behaviour of the accused is contrasted with what the accused’s mind would have been had they been </w:t>
      </w:r>
      <w:r w:rsidR="00B60D21" w:rsidRPr="00806049">
        <w:rPr>
          <w:rFonts w:ascii="Arial" w:hAnsi="Arial" w:cs="Arial"/>
          <w:szCs w:val="24"/>
        </w:rPr>
        <w:t xml:space="preserve">sober. </w:t>
      </w:r>
    </w:p>
    <w:p w14:paraId="74D57E32" w14:textId="26F12016" w:rsidR="00D11AC5" w:rsidRDefault="00822BF0" w:rsidP="00D11AC5">
      <w:pPr>
        <w:rPr>
          <w:rFonts w:ascii="Arial" w:hAnsi="Arial" w:cs="Arial"/>
          <w:szCs w:val="24"/>
        </w:rPr>
      </w:pPr>
      <w:r w:rsidRPr="00822BF0">
        <w:rPr>
          <w:rFonts w:ascii="Arial" w:hAnsi="Arial" w:cs="Arial"/>
          <w:szCs w:val="24"/>
        </w:rPr>
        <w:t>Section 21</w:t>
      </w:r>
      <w:r>
        <w:rPr>
          <w:rFonts w:ascii="Arial" w:hAnsi="Arial" w:cs="Arial"/>
          <w:szCs w:val="24"/>
        </w:rPr>
        <w:t xml:space="preserve"> of the HR Act</w:t>
      </w:r>
      <w:r w:rsidRPr="00822BF0">
        <w:rPr>
          <w:rFonts w:ascii="Arial" w:hAnsi="Arial" w:cs="Arial"/>
          <w:szCs w:val="24"/>
        </w:rPr>
        <w:t xml:space="preserve"> includes the right to equal access to a fair hearing. This means each party must have a reasonable opportunity to present their case</w:t>
      </w:r>
      <w:r>
        <w:rPr>
          <w:rFonts w:ascii="Arial" w:hAnsi="Arial" w:cs="Arial"/>
          <w:szCs w:val="24"/>
        </w:rPr>
        <w:t xml:space="preserve"> i.e. </w:t>
      </w:r>
      <w:r w:rsidRPr="00822BF0">
        <w:rPr>
          <w:rFonts w:ascii="Arial" w:hAnsi="Arial" w:cs="Arial"/>
          <w:szCs w:val="24"/>
        </w:rPr>
        <w:t>the parties must have access to the same procedural rights, unless distinctions are based on law and can be justified on objective and reasonable grounds, and do not entail actual disadvantage or other unfairness to the parties.</w:t>
      </w:r>
      <w:r>
        <w:rPr>
          <w:rFonts w:ascii="Arial" w:hAnsi="Arial" w:cs="Arial"/>
          <w:szCs w:val="24"/>
        </w:rPr>
        <w:t xml:space="preserve"> This right</w:t>
      </w:r>
      <w:r w:rsidR="00D11AC5" w:rsidRPr="00806049">
        <w:rPr>
          <w:rFonts w:ascii="Arial" w:hAnsi="Arial" w:cs="Arial"/>
          <w:szCs w:val="24"/>
        </w:rPr>
        <w:t xml:space="preserve"> is engaged and potentially limited as self-induced intoxication </w:t>
      </w:r>
      <w:r>
        <w:rPr>
          <w:rFonts w:ascii="Arial" w:hAnsi="Arial" w:cs="Arial"/>
          <w:szCs w:val="24"/>
        </w:rPr>
        <w:t xml:space="preserve">cannot be considered in relation to the accused to make out a fault element but can be considered in relation to the complainant when determining whether or not they consent to a sexual act. </w:t>
      </w:r>
      <w:r w:rsidR="00D11AC5" w:rsidRPr="00806049">
        <w:rPr>
          <w:rFonts w:ascii="Arial" w:hAnsi="Arial" w:cs="Arial"/>
          <w:szCs w:val="24"/>
        </w:rPr>
        <w:t xml:space="preserve">The amendment requires the trier of fact to ignore the effects of </w:t>
      </w:r>
      <w:r w:rsidR="00C52F05">
        <w:rPr>
          <w:rFonts w:ascii="Arial" w:hAnsi="Arial" w:cs="Arial"/>
          <w:szCs w:val="24"/>
        </w:rPr>
        <w:t xml:space="preserve">self-induced </w:t>
      </w:r>
      <w:r w:rsidR="00D11AC5" w:rsidRPr="00806049">
        <w:rPr>
          <w:rFonts w:ascii="Arial" w:hAnsi="Arial" w:cs="Arial"/>
          <w:szCs w:val="24"/>
        </w:rPr>
        <w:t xml:space="preserve">intoxication and ask what would have been going on in the accused’s mind had they not been intoxicated by alcohol and/or drugs </w:t>
      </w:r>
      <w:r w:rsidR="00C52F05">
        <w:rPr>
          <w:rFonts w:ascii="Arial" w:hAnsi="Arial" w:cs="Arial"/>
          <w:szCs w:val="24"/>
        </w:rPr>
        <w:t xml:space="preserve">as to their knowledge, recklessness or reasonable belief as to whether the victim consented to the sexual act. This is contrasted with the fact that the </w:t>
      </w:r>
      <w:r w:rsidR="00D11AC5" w:rsidRPr="00806049">
        <w:rPr>
          <w:rFonts w:ascii="Arial" w:hAnsi="Arial" w:cs="Arial"/>
          <w:szCs w:val="24"/>
        </w:rPr>
        <w:t>intoxication of the victim</w:t>
      </w:r>
      <w:r w:rsidR="00C52F05">
        <w:rPr>
          <w:rFonts w:ascii="Arial" w:hAnsi="Arial" w:cs="Arial"/>
          <w:szCs w:val="24"/>
        </w:rPr>
        <w:t>,</w:t>
      </w:r>
      <w:r w:rsidR="00D11AC5" w:rsidRPr="00806049">
        <w:rPr>
          <w:rFonts w:ascii="Arial" w:hAnsi="Arial" w:cs="Arial"/>
          <w:szCs w:val="24"/>
        </w:rPr>
        <w:t xml:space="preserve"> </w:t>
      </w:r>
      <w:r w:rsidR="00C52F05">
        <w:rPr>
          <w:rFonts w:ascii="Arial" w:hAnsi="Arial" w:cs="Arial"/>
          <w:szCs w:val="24"/>
        </w:rPr>
        <w:t xml:space="preserve">whether self-induced or not, </w:t>
      </w:r>
      <w:r w:rsidR="00D11AC5" w:rsidRPr="00806049">
        <w:rPr>
          <w:rFonts w:ascii="Arial" w:hAnsi="Arial" w:cs="Arial"/>
          <w:szCs w:val="24"/>
        </w:rPr>
        <w:t>can be considered</w:t>
      </w:r>
      <w:r w:rsidR="00C52F05">
        <w:rPr>
          <w:rFonts w:ascii="Arial" w:hAnsi="Arial" w:cs="Arial"/>
          <w:szCs w:val="24"/>
        </w:rPr>
        <w:t xml:space="preserve"> in relation to whether they consented to the sexual act</w:t>
      </w:r>
      <w:r w:rsidR="00D11AC5" w:rsidRPr="00806049">
        <w:rPr>
          <w:rFonts w:ascii="Arial" w:hAnsi="Arial" w:cs="Arial"/>
          <w:szCs w:val="24"/>
        </w:rPr>
        <w:t xml:space="preserve">. </w:t>
      </w:r>
    </w:p>
    <w:p w14:paraId="18825412" w14:textId="77777777" w:rsidR="00EF3037" w:rsidRPr="00050F68" w:rsidRDefault="00EF3037" w:rsidP="00EF3037">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5AE0006B" w14:textId="1F33127D" w:rsidR="00EF3037" w:rsidRDefault="00D12137" w:rsidP="001B1A8A">
      <w:pPr>
        <w:rPr>
          <w:rFonts w:ascii="Arial" w:hAnsi="Arial" w:cs="Arial"/>
          <w:szCs w:val="24"/>
        </w:rPr>
      </w:pPr>
      <w:r>
        <w:rPr>
          <w:rFonts w:ascii="Arial" w:hAnsi="Arial" w:cs="Arial"/>
          <w:szCs w:val="24"/>
        </w:rPr>
        <w:t xml:space="preserve">The amendment seeks to foster greater protection for victim-survivors of sexual violence. The amendment also seeks to </w:t>
      </w:r>
      <w:r w:rsidR="00ED55F8">
        <w:rPr>
          <w:rFonts w:ascii="Arial" w:hAnsi="Arial" w:cs="Arial"/>
          <w:szCs w:val="24"/>
        </w:rPr>
        <w:t xml:space="preserve">reflect and </w:t>
      </w:r>
      <w:r w:rsidR="00390D74" w:rsidRPr="00C261AC">
        <w:rPr>
          <w:rFonts w:ascii="Arial" w:hAnsi="Arial" w:cs="Arial"/>
          <w:szCs w:val="24"/>
        </w:rPr>
        <w:t xml:space="preserve">change </w:t>
      </w:r>
      <w:r>
        <w:rPr>
          <w:rFonts w:ascii="Arial" w:hAnsi="Arial" w:cs="Arial"/>
          <w:szCs w:val="24"/>
        </w:rPr>
        <w:t xml:space="preserve">the broader </w:t>
      </w:r>
      <w:r w:rsidR="00390D74" w:rsidRPr="00C261AC">
        <w:rPr>
          <w:rFonts w:ascii="Arial" w:hAnsi="Arial" w:cs="Arial"/>
          <w:szCs w:val="24"/>
        </w:rPr>
        <w:t>community</w:t>
      </w:r>
      <w:r>
        <w:rPr>
          <w:rFonts w:ascii="Arial" w:hAnsi="Arial" w:cs="Arial"/>
          <w:szCs w:val="24"/>
        </w:rPr>
        <w:t xml:space="preserve">’s </w:t>
      </w:r>
      <w:r w:rsidR="00390D74" w:rsidRPr="00C261AC">
        <w:rPr>
          <w:rFonts w:ascii="Arial" w:hAnsi="Arial" w:cs="Arial"/>
          <w:szCs w:val="24"/>
        </w:rPr>
        <w:t xml:space="preserve">view </w:t>
      </w:r>
      <w:r>
        <w:rPr>
          <w:rFonts w:ascii="Arial" w:hAnsi="Arial" w:cs="Arial"/>
          <w:szCs w:val="24"/>
        </w:rPr>
        <w:t xml:space="preserve">about self-induced </w:t>
      </w:r>
      <w:r w:rsidR="00390D74" w:rsidRPr="00C261AC">
        <w:rPr>
          <w:rFonts w:ascii="Arial" w:hAnsi="Arial" w:cs="Arial"/>
          <w:szCs w:val="24"/>
        </w:rPr>
        <w:t>intoxication</w:t>
      </w:r>
      <w:r>
        <w:rPr>
          <w:rFonts w:ascii="Arial" w:hAnsi="Arial" w:cs="Arial"/>
          <w:szCs w:val="24"/>
        </w:rPr>
        <w:t xml:space="preserve">, to inform the ACT community that self-induced intoxication </w:t>
      </w:r>
      <w:r w:rsidR="00390D74" w:rsidRPr="00C261AC">
        <w:rPr>
          <w:rFonts w:ascii="Arial" w:hAnsi="Arial" w:cs="Arial"/>
          <w:szCs w:val="24"/>
        </w:rPr>
        <w:t>is</w:t>
      </w:r>
      <w:r>
        <w:rPr>
          <w:rFonts w:ascii="Arial" w:hAnsi="Arial" w:cs="Arial"/>
          <w:szCs w:val="24"/>
        </w:rPr>
        <w:t xml:space="preserve"> not</w:t>
      </w:r>
      <w:r w:rsidR="00390D74" w:rsidRPr="00C261AC">
        <w:rPr>
          <w:rFonts w:ascii="Arial" w:hAnsi="Arial" w:cs="Arial"/>
          <w:szCs w:val="24"/>
        </w:rPr>
        <w:t xml:space="preserve"> an excuse for sexual assault</w:t>
      </w:r>
      <w:r w:rsidR="0086320C">
        <w:rPr>
          <w:rFonts w:ascii="Arial" w:hAnsi="Arial" w:cs="Arial"/>
          <w:szCs w:val="24"/>
        </w:rPr>
        <w:t>,</w:t>
      </w:r>
      <w:r w:rsidR="00C815C8" w:rsidRPr="00C261AC">
        <w:rPr>
          <w:rFonts w:ascii="Arial" w:hAnsi="Arial" w:cs="Arial"/>
          <w:szCs w:val="24"/>
        </w:rPr>
        <w:t xml:space="preserve"> </w:t>
      </w:r>
      <w:r w:rsidR="00C815C8" w:rsidRPr="001B1A8A">
        <w:rPr>
          <w:rFonts w:ascii="Arial" w:hAnsi="Arial" w:cs="Arial"/>
          <w:szCs w:val="24"/>
        </w:rPr>
        <w:t>and</w:t>
      </w:r>
      <w:r w:rsidR="0086320C" w:rsidRPr="001B1A8A">
        <w:rPr>
          <w:rFonts w:ascii="Arial" w:hAnsi="Arial" w:cs="Arial"/>
          <w:szCs w:val="24"/>
        </w:rPr>
        <w:t xml:space="preserve"> </w:t>
      </w:r>
      <w:r w:rsidR="00E746A2">
        <w:rPr>
          <w:rFonts w:ascii="Arial" w:hAnsi="Arial" w:cs="Arial"/>
          <w:szCs w:val="24"/>
        </w:rPr>
        <w:t>that it</w:t>
      </w:r>
      <w:r w:rsidR="00C815C8" w:rsidRPr="001B1A8A">
        <w:rPr>
          <w:rFonts w:ascii="Arial" w:hAnsi="Arial" w:cs="Arial"/>
          <w:szCs w:val="24"/>
        </w:rPr>
        <w:t xml:space="preserve"> does not permit lowered standards of acceptable conduct.</w:t>
      </w:r>
      <w:r w:rsidR="00C261AC" w:rsidRPr="001B1A8A">
        <w:rPr>
          <w:rFonts w:ascii="Arial" w:hAnsi="Arial" w:cs="Arial"/>
          <w:szCs w:val="24"/>
        </w:rPr>
        <w:t xml:space="preserve"> </w:t>
      </w:r>
    </w:p>
    <w:p w14:paraId="01A12A31" w14:textId="77777777" w:rsidR="00957C22" w:rsidRDefault="00B729CF" w:rsidP="00EF3037">
      <w:pPr>
        <w:rPr>
          <w:rFonts w:ascii="Arial" w:hAnsi="Arial" w:cs="Arial"/>
          <w:szCs w:val="24"/>
        </w:rPr>
      </w:pPr>
      <w:r>
        <w:rPr>
          <w:rFonts w:ascii="Arial" w:hAnsi="Arial" w:cs="Arial"/>
          <w:szCs w:val="24"/>
        </w:rPr>
        <w:lastRenderedPageBreak/>
        <w:t>The SAPR Report noted that l</w:t>
      </w:r>
      <w:r w:rsidR="00EA6091" w:rsidRPr="00EA6091">
        <w:rPr>
          <w:rFonts w:ascii="Arial" w:hAnsi="Arial" w:cs="Arial"/>
          <w:szCs w:val="24"/>
        </w:rPr>
        <w:t>egislative reform is required in the ACT to make clear that the</w:t>
      </w:r>
      <w:r w:rsidR="00EA6091">
        <w:rPr>
          <w:rFonts w:ascii="Arial" w:hAnsi="Arial" w:cs="Arial"/>
          <w:szCs w:val="24"/>
        </w:rPr>
        <w:t xml:space="preserve"> </w:t>
      </w:r>
      <w:r w:rsidR="00EA6091" w:rsidRPr="00EA6091">
        <w:rPr>
          <w:rFonts w:ascii="Arial" w:hAnsi="Arial" w:cs="Arial"/>
          <w:szCs w:val="24"/>
        </w:rPr>
        <w:t>defendant’s level of intoxication cannot be considered by the</w:t>
      </w:r>
      <w:r w:rsidR="00EA6091">
        <w:rPr>
          <w:rFonts w:ascii="Arial" w:hAnsi="Arial" w:cs="Arial"/>
          <w:szCs w:val="24"/>
        </w:rPr>
        <w:t xml:space="preserve"> </w:t>
      </w:r>
      <w:r w:rsidR="00EA6091" w:rsidRPr="00EA6091">
        <w:rPr>
          <w:rFonts w:ascii="Arial" w:hAnsi="Arial" w:cs="Arial"/>
          <w:szCs w:val="24"/>
        </w:rPr>
        <w:t>jury in their consideration of the defendant’s recklessness.</w:t>
      </w:r>
      <w:r>
        <w:rPr>
          <w:rFonts w:ascii="Arial" w:hAnsi="Arial" w:cs="Arial"/>
          <w:szCs w:val="24"/>
        </w:rPr>
        <w:t xml:space="preserve"> </w:t>
      </w:r>
      <w:r w:rsidR="00EA6091" w:rsidRPr="00EA6091">
        <w:rPr>
          <w:rFonts w:ascii="Arial" w:hAnsi="Arial" w:cs="Arial"/>
          <w:szCs w:val="24"/>
        </w:rPr>
        <w:t>Such amendment is also important for community education</w:t>
      </w:r>
      <w:r>
        <w:rPr>
          <w:rFonts w:ascii="Arial" w:hAnsi="Arial" w:cs="Arial"/>
          <w:szCs w:val="24"/>
        </w:rPr>
        <w:t xml:space="preserve"> </w:t>
      </w:r>
      <w:r w:rsidR="00EA6091" w:rsidRPr="00EA6091">
        <w:rPr>
          <w:rFonts w:ascii="Arial" w:hAnsi="Arial" w:cs="Arial"/>
          <w:szCs w:val="24"/>
        </w:rPr>
        <w:t>and messaging. Allowing the defendant’s intoxication to be</w:t>
      </w:r>
      <w:r>
        <w:rPr>
          <w:rFonts w:ascii="Arial" w:hAnsi="Arial" w:cs="Arial"/>
          <w:szCs w:val="24"/>
        </w:rPr>
        <w:t xml:space="preserve"> </w:t>
      </w:r>
      <w:r w:rsidR="00EA6091" w:rsidRPr="00EA6091">
        <w:rPr>
          <w:rFonts w:ascii="Arial" w:hAnsi="Arial" w:cs="Arial"/>
          <w:szCs w:val="24"/>
        </w:rPr>
        <w:t>considered when assessing their recklessness regarding</w:t>
      </w:r>
      <w:r>
        <w:rPr>
          <w:rFonts w:ascii="Arial" w:hAnsi="Arial" w:cs="Arial"/>
          <w:szCs w:val="24"/>
        </w:rPr>
        <w:t xml:space="preserve"> </w:t>
      </w:r>
      <w:r w:rsidR="00EA6091" w:rsidRPr="00EA6091">
        <w:rPr>
          <w:rFonts w:ascii="Arial" w:hAnsi="Arial" w:cs="Arial"/>
          <w:szCs w:val="24"/>
        </w:rPr>
        <w:t>consent may promote a public message that intoxication</w:t>
      </w:r>
      <w:r>
        <w:rPr>
          <w:rFonts w:ascii="Arial" w:hAnsi="Arial" w:cs="Arial"/>
          <w:szCs w:val="24"/>
        </w:rPr>
        <w:t xml:space="preserve"> </w:t>
      </w:r>
      <w:r w:rsidR="00EA6091" w:rsidRPr="00EA6091">
        <w:rPr>
          <w:rFonts w:ascii="Arial" w:hAnsi="Arial" w:cs="Arial"/>
          <w:szCs w:val="24"/>
        </w:rPr>
        <w:t>justifies such recklessness. It is important that the law be</w:t>
      </w:r>
      <w:r>
        <w:rPr>
          <w:rFonts w:ascii="Arial" w:hAnsi="Arial" w:cs="Arial"/>
          <w:szCs w:val="24"/>
        </w:rPr>
        <w:t xml:space="preserve"> </w:t>
      </w:r>
      <w:r w:rsidR="00EA6091" w:rsidRPr="00EA6091">
        <w:rPr>
          <w:rFonts w:ascii="Arial" w:hAnsi="Arial" w:cs="Arial"/>
          <w:szCs w:val="24"/>
        </w:rPr>
        <w:t>extremely clear that this is not the case.</w:t>
      </w:r>
    </w:p>
    <w:p w14:paraId="48A5835E" w14:textId="6D9ED6BE" w:rsidR="00EF3037" w:rsidRPr="00050F68" w:rsidRDefault="00EF3037" w:rsidP="00EF3037">
      <w:pPr>
        <w:rPr>
          <w:rFonts w:ascii="Arial" w:hAnsi="Arial" w:cs="Arial"/>
          <w:szCs w:val="24"/>
        </w:rPr>
      </w:pPr>
      <w:r>
        <w:rPr>
          <w:rFonts w:ascii="Arial" w:hAnsi="Arial" w:cs="Arial"/>
          <w:b/>
          <w:i/>
          <w:szCs w:val="24"/>
        </w:rPr>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17E967AD" w14:textId="14A83909" w:rsidR="00AF01A3" w:rsidRDefault="00AF01A3" w:rsidP="00AF01A3">
      <w:pPr>
        <w:rPr>
          <w:rFonts w:ascii="Arial" w:hAnsi="Arial" w:cs="Arial"/>
        </w:rPr>
      </w:pPr>
      <w:r>
        <w:rPr>
          <w:rFonts w:ascii="Arial" w:hAnsi="Arial" w:cs="Arial"/>
        </w:rPr>
        <w:t>There is a rational connection between the limitation on</w:t>
      </w:r>
      <w:r w:rsidR="00A125C6" w:rsidRPr="00A125C6">
        <w:rPr>
          <w:rFonts w:ascii="Arial" w:hAnsi="Arial" w:cs="Arial"/>
          <w:szCs w:val="24"/>
        </w:rPr>
        <w:t xml:space="preserve"> </w:t>
      </w:r>
      <w:r w:rsidR="00A125C6">
        <w:rPr>
          <w:rFonts w:ascii="Arial" w:hAnsi="Arial" w:cs="Arial"/>
          <w:szCs w:val="24"/>
        </w:rPr>
        <w:t xml:space="preserve">the right to a fair </w:t>
      </w:r>
      <w:r w:rsidR="00D11AC5">
        <w:rPr>
          <w:rFonts w:ascii="Arial" w:hAnsi="Arial" w:cs="Arial"/>
          <w:szCs w:val="24"/>
        </w:rPr>
        <w:t xml:space="preserve">hearing </w:t>
      </w:r>
      <w:r w:rsidR="00A125C6">
        <w:rPr>
          <w:rFonts w:ascii="Arial" w:hAnsi="Arial" w:cs="Arial"/>
          <w:szCs w:val="24"/>
        </w:rPr>
        <w:t xml:space="preserve">(section 21 of the HRA) </w:t>
      </w:r>
      <w:r>
        <w:rPr>
          <w:rFonts w:ascii="Arial" w:hAnsi="Arial" w:cs="Arial"/>
        </w:rPr>
        <w:t xml:space="preserve">and the objective of </w:t>
      </w:r>
      <w:r w:rsidR="00A125C6">
        <w:rPr>
          <w:rFonts w:ascii="Arial" w:hAnsi="Arial" w:cs="Arial"/>
        </w:rPr>
        <w:t xml:space="preserve">fostering </w:t>
      </w:r>
      <w:r w:rsidR="00A125C6">
        <w:rPr>
          <w:rFonts w:ascii="Arial" w:hAnsi="Arial" w:cs="Arial"/>
          <w:szCs w:val="24"/>
        </w:rPr>
        <w:t xml:space="preserve">greater protection for victim-survivors of sexual violence </w:t>
      </w:r>
      <w:r w:rsidR="00527303">
        <w:rPr>
          <w:rFonts w:ascii="Arial" w:hAnsi="Arial" w:cs="Arial"/>
          <w:szCs w:val="24"/>
        </w:rPr>
        <w:t xml:space="preserve">and the broader community </w:t>
      </w:r>
      <w:r w:rsidR="00A125C6">
        <w:rPr>
          <w:rFonts w:ascii="Arial" w:hAnsi="Arial" w:cs="Arial"/>
          <w:szCs w:val="24"/>
        </w:rPr>
        <w:t xml:space="preserve">and </w:t>
      </w:r>
      <w:r w:rsidR="00A125C6" w:rsidRPr="00C261AC">
        <w:rPr>
          <w:rFonts w:ascii="Arial" w:hAnsi="Arial" w:cs="Arial"/>
          <w:szCs w:val="24"/>
        </w:rPr>
        <w:t>chang</w:t>
      </w:r>
      <w:r w:rsidR="00A125C6">
        <w:rPr>
          <w:rFonts w:ascii="Arial" w:hAnsi="Arial" w:cs="Arial"/>
          <w:szCs w:val="24"/>
        </w:rPr>
        <w:t>ing</w:t>
      </w:r>
      <w:r w:rsidR="00A125C6" w:rsidRPr="00C261AC">
        <w:rPr>
          <w:rFonts w:ascii="Arial" w:hAnsi="Arial" w:cs="Arial"/>
          <w:szCs w:val="24"/>
        </w:rPr>
        <w:t xml:space="preserve"> </w:t>
      </w:r>
      <w:r w:rsidR="00A125C6">
        <w:rPr>
          <w:rFonts w:ascii="Arial" w:hAnsi="Arial" w:cs="Arial"/>
          <w:szCs w:val="24"/>
        </w:rPr>
        <w:t xml:space="preserve">the </w:t>
      </w:r>
      <w:r w:rsidR="00A125C6" w:rsidRPr="00C261AC">
        <w:rPr>
          <w:rFonts w:ascii="Arial" w:hAnsi="Arial" w:cs="Arial"/>
          <w:szCs w:val="24"/>
        </w:rPr>
        <w:t>community</w:t>
      </w:r>
      <w:r w:rsidR="00A125C6">
        <w:rPr>
          <w:rFonts w:ascii="Arial" w:hAnsi="Arial" w:cs="Arial"/>
          <w:szCs w:val="24"/>
        </w:rPr>
        <w:t xml:space="preserve">’s </w:t>
      </w:r>
      <w:r w:rsidR="00A125C6" w:rsidRPr="00C261AC">
        <w:rPr>
          <w:rFonts w:ascii="Arial" w:hAnsi="Arial" w:cs="Arial"/>
          <w:szCs w:val="24"/>
        </w:rPr>
        <w:t xml:space="preserve">view </w:t>
      </w:r>
      <w:r w:rsidR="00A125C6">
        <w:rPr>
          <w:rFonts w:ascii="Arial" w:hAnsi="Arial" w:cs="Arial"/>
          <w:szCs w:val="24"/>
        </w:rPr>
        <w:t xml:space="preserve">about self-induced </w:t>
      </w:r>
      <w:r w:rsidR="00A125C6" w:rsidRPr="00C261AC">
        <w:rPr>
          <w:rFonts w:ascii="Arial" w:hAnsi="Arial" w:cs="Arial"/>
          <w:szCs w:val="24"/>
        </w:rPr>
        <w:t>intoxication</w:t>
      </w:r>
      <w:r w:rsidR="00A125C6">
        <w:rPr>
          <w:rFonts w:ascii="Arial" w:hAnsi="Arial" w:cs="Arial"/>
          <w:szCs w:val="24"/>
        </w:rPr>
        <w:t>.</w:t>
      </w:r>
    </w:p>
    <w:p w14:paraId="65EF75F2" w14:textId="372FDF54" w:rsidR="001D3E8F" w:rsidRPr="0086320C" w:rsidRDefault="00173CAB" w:rsidP="00173CAB">
      <w:pPr>
        <w:rPr>
          <w:rFonts w:ascii="Arial" w:hAnsi="Arial" w:cs="Arial"/>
          <w:szCs w:val="24"/>
        </w:rPr>
      </w:pPr>
      <w:r>
        <w:rPr>
          <w:rFonts w:ascii="Arial" w:hAnsi="Arial" w:cs="Arial"/>
          <w:szCs w:val="24"/>
        </w:rPr>
        <w:t xml:space="preserve">The legislative safeguard introduced by the Bill will foster changes in </w:t>
      </w:r>
      <w:r w:rsidR="009939E8" w:rsidRPr="0086320C">
        <w:rPr>
          <w:rFonts w:ascii="Arial" w:hAnsi="Arial" w:cs="Arial"/>
          <w:szCs w:val="24"/>
        </w:rPr>
        <w:t>community</w:t>
      </w:r>
      <w:r>
        <w:rPr>
          <w:rFonts w:ascii="Arial" w:hAnsi="Arial" w:cs="Arial"/>
          <w:szCs w:val="24"/>
        </w:rPr>
        <w:t xml:space="preserve"> standards surrounding self-induced intoxication in relation to consent and</w:t>
      </w:r>
      <w:r w:rsidRPr="00173CAB">
        <w:rPr>
          <w:rFonts w:ascii="Arial" w:hAnsi="Arial" w:cs="Arial"/>
          <w:szCs w:val="24"/>
        </w:rPr>
        <w:t xml:space="preserve"> </w:t>
      </w:r>
      <w:r>
        <w:rPr>
          <w:rFonts w:ascii="Arial" w:hAnsi="Arial" w:cs="Arial"/>
          <w:szCs w:val="24"/>
        </w:rPr>
        <w:t>protect the</w:t>
      </w:r>
      <w:r w:rsidRPr="0086320C">
        <w:rPr>
          <w:rFonts w:ascii="Arial" w:hAnsi="Arial" w:cs="Arial"/>
          <w:szCs w:val="24"/>
        </w:rPr>
        <w:t xml:space="preserve"> community</w:t>
      </w:r>
      <w:r w:rsidR="009939E8" w:rsidRPr="0086320C">
        <w:rPr>
          <w:rFonts w:ascii="Arial" w:hAnsi="Arial" w:cs="Arial"/>
          <w:szCs w:val="24"/>
        </w:rPr>
        <w:t xml:space="preserve">. </w:t>
      </w:r>
      <w:r w:rsidR="001D3E8F">
        <w:rPr>
          <w:rFonts w:ascii="Arial" w:hAnsi="Arial" w:cs="Arial"/>
          <w:szCs w:val="24"/>
        </w:rPr>
        <w:t xml:space="preserve">As the SAPR Report noted, </w:t>
      </w:r>
      <w:r w:rsidR="00864276">
        <w:rPr>
          <w:rFonts w:ascii="Arial" w:hAnsi="Arial" w:cs="Arial"/>
          <w:szCs w:val="24"/>
        </w:rPr>
        <w:t xml:space="preserve">presently, </w:t>
      </w:r>
      <w:r w:rsidR="001D3E8F" w:rsidRPr="001D3E8F">
        <w:rPr>
          <w:rFonts w:ascii="Arial" w:hAnsi="Arial" w:cs="Arial"/>
          <w:szCs w:val="24"/>
        </w:rPr>
        <w:t>taking intoxication into</w:t>
      </w:r>
      <w:r w:rsidR="00C4091F">
        <w:rPr>
          <w:rFonts w:ascii="Arial" w:hAnsi="Arial" w:cs="Arial"/>
          <w:szCs w:val="24"/>
        </w:rPr>
        <w:t xml:space="preserve"> </w:t>
      </w:r>
      <w:r w:rsidR="001D3E8F" w:rsidRPr="001D3E8F">
        <w:rPr>
          <w:rFonts w:ascii="Arial" w:hAnsi="Arial" w:cs="Arial"/>
          <w:szCs w:val="24"/>
        </w:rPr>
        <w:t>account in the assessment of recklessness can be confusing</w:t>
      </w:r>
      <w:r w:rsidR="00C4091F">
        <w:rPr>
          <w:rFonts w:ascii="Arial" w:hAnsi="Arial" w:cs="Arial"/>
          <w:szCs w:val="24"/>
        </w:rPr>
        <w:t xml:space="preserve"> </w:t>
      </w:r>
      <w:r w:rsidR="001D3E8F" w:rsidRPr="001D3E8F">
        <w:rPr>
          <w:rFonts w:ascii="Arial" w:hAnsi="Arial" w:cs="Arial"/>
          <w:szCs w:val="24"/>
        </w:rPr>
        <w:t>for juries, given intoxication is not a defence and given they</w:t>
      </w:r>
      <w:r w:rsidR="00C4091F">
        <w:rPr>
          <w:rFonts w:ascii="Arial" w:hAnsi="Arial" w:cs="Arial"/>
          <w:szCs w:val="24"/>
        </w:rPr>
        <w:t xml:space="preserve"> </w:t>
      </w:r>
      <w:r w:rsidR="001D3E8F" w:rsidRPr="001D3E8F">
        <w:rPr>
          <w:rFonts w:ascii="Arial" w:hAnsi="Arial" w:cs="Arial"/>
          <w:szCs w:val="24"/>
        </w:rPr>
        <w:t>do not specifically know the effect of intoxication upon the</w:t>
      </w:r>
      <w:r w:rsidR="00C4091F">
        <w:rPr>
          <w:rFonts w:ascii="Arial" w:hAnsi="Arial" w:cs="Arial"/>
          <w:szCs w:val="24"/>
        </w:rPr>
        <w:t xml:space="preserve"> </w:t>
      </w:r>
      <w:r w:rsidR="001D3E8F" w:rsidRPr="001D3E8F">
        <w:rPr>
          <w:rFonts w:ascii="Arial" w:hAnsi="Arial" w:cs="Arial"/>
          <w:szCs w:val="24"/>
        </w:rPr>
        <w:t xml:space="preserve">defendant. </w:t>
      </w:r>
    </w:p>
    <w:p w14:paraId="2A674DD6" w14:textId="77777777" w:rsidR="00EF3037" w:rsidRPr="0086320C" w:rsidRDefault="00EF3037" w:rsidP="00EF3037">
      <w:pPr>
        <w:rPr>
          <w:rFonts w:ascii="Arial" w:hAnsi="Arial" w:cs="Arial"/>
          <w:szCs w:val="24"/>
        </w:rPr>
      </w:pPr>
      <w:r w:rsidRPr="0086320C">
        <w:rPr>
          <w:rFonts w:ascii="Arial" w:hAnsi="Arial" w:cs="Arial"/>
          <w:b/>
          <w:i/>
          <w:szCs w:val="24"/>
        </w:rPr>
        <w:t>4. Proportionality (s 28 (2) (e))</w:t>
      </w:r>
    </w:p>
    <w:p w14:paraId="1100F2C8" w14:textId="1CAFCF56" w:rsidR="00800B14" w:rsidRDefault="00015F0B" w:rsidP="0086320C">
      <w:pPr>
        <w:tabs>
          <w:tab w:val="left" w:pos="5505"/>
        </w:tabs>
        <w:rPr>
          <w:rFonts w:ascii="Arial" w:hAnsi="Arial" w:cs="Arial"/>
          <w:szCs w:val="24"/>
        </w:rPr>
      </w:pPr>
      <w:r w:rsidRPr="00015F0B">
        <w:rPr>
          <w:rFonts w:ascii="Arial" w:hAnsi="Arial" w:cs="Arial"/>
          <w:szCs w:val="24"/>
        </w:rPr>
        <w:t>T</w:t>
      </w:r>
      <w:r w:rsidR="0086320C" w:rsidRPr="00015F0B">
        <w:rPr>
          <w:rFonts w:ascii="Arial" w:hAnsi="Arial" w:cs="Arial"/>
          <w:szCs w:val="24"/>
        </w:rPr>
        <w:t>h</w:t>
      </w:r>
      <w:r w:rsidRPr="00015F0B">
        <w:rPr>
          <w:rFonts w:ascii="Arial" w:hAnsi="Arial" w:cs="Arial"/>
          <w:szCs w:val="24"/>
        </w:rPr>
        <w:t>e</w:t>
      </w:r>
      <w:r w:rsidR="00E953AD">
        <w:rPr>
          <w:rFonts w:ascii="Arial" w:hAnsi="Arial" w:cs="Arial"/>
          <w:szCs w:val="24"/>
        </w:rPr>
        <w:t xml:space="preserve"> restriction on rights </w:t>
      </w:r>
      <w:r w:rsidR="00800B14">
        <w:rPr>
          <w:rFonts w:ascii="Arial" w:hAnsi="Arial" w:cs="Arial"/>
          <w:szCs w:val="24"/>
        </w:rPr>
        <w:t xml:space="preserve">resulting from </w:t>
      </w:r>
      <w:r w:rsidR="00800B14" w:rsidRPr="00800B14">
        <w:rPr>
          <w:rFonts w:ascii="Arial" w:hAnsi="Arial" w:cs="Arial"/>
          <w:szCs w:val="24"/>
        </w:rPr>
        <w:t>treating self-intoxication differently for an accused and a victim</w:t>
      </w:r>
      <w:r w:rsidR="00800B14">
        <w:rPr>
          <w:rFonts w:ascii="Arial" w:hAnsi="Arial" w:cs="Arial"/>
          <w:szCs w:val="24"/>
        </w:rPr>
        <w:t xml:space="preserve"> for sexual assault trials is proportionate to</w:t>
      </w:r>
      <w:r w:rsidR="00E953AD">
        <w:rPr>
          <w:rFonts w:ascii="Arial" w:hAnsi="Arial" w:cs="Arial"/>
          <w:szCs w:val="24"/>
        </w:rPr>
        <w:t xml:space="preserve"> the need to foster greater protection for victim-survivors of sexual violence and to </w:t>
      </w:r>
      <w:r w:rsidR="00E953AD" w:rsidRPr="00C261AC">
        <w:rPr>
          <w:rFonts w:ascii="Arial" w:hAnsi="Arial" w:cs="Arial"/>
          <w:szCs w:val="24"/>
        </w:rPr>
        <w:t xml:space="preserve">change </w:t>
      </w:r>
      <w:r w:rsidR="00E953AD">
        <w:rPr>
          <w:rFonts w:ascii="Arial" w:hAnsi="Arial" w:cs="Arial"/>
          <w:szCs w:val="24"/>
        </w:rPr>
        <w:t xml:space="preserve">the broader </w:t>
      </w:r>
      <w:r w:rsidR="00E953AD" w:rsidRPr="00C261AC">
        <w:rPr>
          <w:rFonts w:ascii="Arial" w:hAnsi="Arial" w:cs="Arial"/>
          <w:szCs w:val="24"/>
        </w:rPr>
        <w:t>community</w:t>
      </w:r>
      <w:r w:rsidR="00E953AD">
        <w:rPr>
          <w:rFonts w:ascii="Arial" w:hAnsi="Arial" w:cs="Arial"/>
          <w:szCs w:val="24"/>
        </w:rPr>
        <w:t xml:space="preserve">’s </w:t>
      </w:r>
      <w:r w:rsidR="00E953AD" w:rsidRPr="00C261AC">
        <w:rPr>
          <w:rFonts w:ascii="Arial" w:hAnsi="Arial" w:cs="Arial"/>
          <w:szCs w:val="24"/>
        </w:rPr>
        <w:t xml:space="preserve">view </w:t>
      </w:r>
      <w:r w:rsidR="00E953AD">
        <w:rPr>
          <w:rFonts w:ascii="Arial" w:hAnsi="Arial" w:cs="Arial"/>
          <w:szCs w:val="24"/>
        </w:rPr>
        <w:t xml:space="preserve">about self-induced </w:t>
      </w:r>
      <w:r w:rsidR="00E953AD" w:rsidRPr="00C261AC">
        <w:rPr>
          <w:rFonts w:ascii="Arial" w:hAnsi="Arial" w:cs="Arial"/>
          <w:szCs w:val="24"/>
        </w:rPr>
        <w:t>intoxication</w:t>
      </w:r>
      <w:r w:rsidR="00E953AD">
        <w:rPr>
          <w:rFonts w:ascii="Arial" w:hAnsi="Arial" w:cs="Arial"/>
          <w:szCs w:val="24"/>
        </w:rPr>
        <w:t xml:space="preserve">. </w:t>
      </w:r>
    </w:p>
    <w:p w14:paraId="1FB1D14A" w14:textId="03B6BC75" w:rsidR="004C2441" w:rsidRDefault="004C2441" w:rsidP="0086320C">
      <w:pPr>
        <w:tabs>
          <w:tab w:val="left" w:pos="5505"/>
        </w:tabs>
        <w:rPr>
          <w:rFonts w:ascii="Arial" w:hAnsi="Arial" w:cs="Arial"/>
          <w:szCs w:val="24"/>
        </w:rPr>
      </w:pPr>
      <w:r w:rsidRPr="004C2441">
        <w:rPr>
          <w:rFonts w:ascii="Arial" w:hAnsi="Arial" w:cs="Arial"/>
          <w:szCs w:val="24"/>
        </w:rPr>
        <w:t>The amendment is proportionate because of the many other aspects of law and practice which safeguard the accused's right to a fair trial. Further, the amendment does not result in any unlawful discrimination, as self-intoxication is not a protected attribute. There is no limitation on the 'equality of arms' (the ability of both parties to access the same procedural rights) because the amendment does not unreasonably disadvantage the accused compared with the complainant in relation to procedural rights.</w:t>
      </w:r>
    </w:p>
    <w:p w14:paraId="06625449" w14:textId="2F3CA340" w:rsidR="0018021C" w:rsidRPr="00A775AD" w:rsidRDefault="00E953AD" w:rsidP="00B24743">
      <w:pPr>
        <w:tabs>
          <w:tab w:val="left" w:pos="5505"/>
        </w:tabs>
        <w:rPr>
          <w:rFonts w:ascii="Arial" w:hAnsi="Arial" w:cs="Arial"/>
          <w:szCs w:val="24"/>
        </w:rPr>
      </w:pPr>
      <w:r w:rsidRPr="00A775AD">
        <w:rPr>
          <w:rFonts w:ascii="Arial" w:hAnsi="Arial" w:cs="Arial"/>
          <w:szCs w:val="24"/>
        </w:rPr>
        <w:t xml:space="preserve">The amendment creates a hybrid subjective/objective test to address situations involving an intoxicated person who may believe, wrongly, that the other person was consenting due to their state of intoxication. </w:t>
      </w:r>
      <w:r w:rsidR="0018021C" w:rsidRPr="00A775AD">
        <w:rPr>
          <w:rFonts w:ascii="Arial" w:hAnsi="Arial" w:cs="Arial"/>
          <w:szCs w:val="24"/>
        </w:rPr>
        <w:t xml:space="preserve">The amendment seeks to </w:t>
      </w:r>
      <w:r w:rsidR="0018021C" w:rsidRPr="00A775AD">
        <w:rPr>
          <w:rFonts w:ascii="Arial" w:hAnsi="Arial" w:cs="Arial"/>
          <w:szCs w:val="24"/>
          <w:shd w:val="clear" w:color="auto" w:fill="FFFFFF"/>
        </w:rPr>
        <w:t>protect against circumstances where an offender has a distorted or outdated view and belief about sexual consent and appropriate sexual conduct that is inconsistent with the standards expected by the community.</w:t>
      </w:r>
      <w:r w:rsidR="0018021C" w:rsidRPr="00A775AD">
        <w:rPr>
          <w:rFonts w:ascii="Arial" w:hAnsi="Arial" w:cs="Arial"/>
          <w:szCs w:val="24"/>
          <w:u w:val="single"/>
          <w:shd w:val="clear" w:color="auto" w:fill="FFFFFF"/>
        </w:rPr>
        <w:t xml:space="preserve"> </w:t>
      </w:r>
    </w:p>
    <w:p w14:paraId="458F6B6C" w14:textId="790BB527" w:rsidR="00A1114F" w:rsidRPr="0018021C" w:rsidRDefault="00E953AD" w:rsidP="00B24743">
      <w:pPr>
        <w:tabs>
          <w:tab w:val="left" w:pos="5505"/>
        </w:tabs>
        <w:rPr>
          <w:rFonts w:ascii="Arial" w:hAnsi="Arial" w:cs="Arial"/>
          <w:szCs w:val="24"/>
        </w:rPr>
      </w:pPr>
      <w:r w:rsidRPr="00A775AD">
        <w:rPr>
          <w:rFonts w:ascii="Arial" w:hAnsi="Arial" w:cs="Arial"/>
          <w:szCs w:val="24"/>
        </w:rPr>
        <w:t xml:space="preserve">While this </w:t>
      </w:r>
      <w:r w:rsidR="00B24743" w:rsidRPr="00A775AD">
        <w:rPr>
          <w:rFonts w:ascii="Arial" w:hAnsi="Arial" w:cs="Arial"/>
          <w:szCs w:val="24"/>
        </w:rPr>
        <w:t xml:space="preserve">amendment </w:t>
      </w:r>
      <w:r w:rsidR="005D3464" w:rsidRPr="00A775AD">
        <w:rPr>
          <w:rFonts w:ascii="Arial" w:hAnsi="Arial" w:cs="Arial"/>
          <w:szCs w:val="24"/>
        </w:rPr>
        <w:t>adds nuance</w:t>
      </w:r>
      <w:r w:rsidR="00B24743" w:rsidRPr="00A775AD">
        <w:rPr>
          <w:rFonts w:ascii="Arial" w:hAnsi="Arial" w:cs="Arial"/>
          <w:szCs w:val="24"/>
        </w:rPr>
        <w:t xml:space="preserve"> in the way </w:t>
      </w:r>
      <w:r w:rsidR="005D3464" w:rsidRPr="00A775AD">
        <w:rPr>
          <w:rFonts w:ascii="Arial" w:hAnsi="Arial" w:cs="Arial"/>
          <w:szCs w:val="24"/>
        </w:rPr>
        <w:t>in which fault elements for</w:t>
      </w:r>
      <w:r w:rsidR="00B24743" w:rsidRPr="00A775AD">
        <w:rPr>
          <w:rFonts w:ascii="Arial" w:hAnsi="Arial" w:cs="Arial"/>
          <w:szCs w:val="24"/>
        </w:rPr>
        <w:t xml:space="preserve"> serious offences are to be proven, the amendment </w:t>
      </w:r>
      <w:r w:rsidR="0034034D" w:rsidRPr="00A775AD">
        <w:rPr>
          <w:rFonts w:ascii="Arial" w:hAnsi="Arial" w:cs="Arial"/>
          <w:szCs w:val="24"/>
        </w:rPr>
        <w:t>is crucial noting alcohol and/or drug use is a</w:t>
      </w:r>
      <w:r w:rsidR="005D3464" w:rsidRPr="00A775AD">
        <w:rPr>
          <w:rFonts w:ascii="Arial" w:hAnsi="Arial" w:cs="Arial"/>
          <w:szCs w:val="24"/>
        </w:rPr>
        <w:t xml:space="preserve"> well-established</w:t>
      </w:r>
      <w:r w:rsidR="0034034D" w:rsidRPr="00A775AD">
        <w:rPr>
          <w:rFonts w:ascii="Arial" w:hAnsi="Arial" w:cs="Arial"/>
          <w:szCs w:val="24"/>
        </w:rPr>
        <w:t xml:space="preserve"> risk factor for sexual assault.</w:t>
      </w:r>
      <w:r w:rsidR="0034034D">
        <w:rPr>
          <w:rFonts w:ascii="Arial" w:hAnsi="Arial" w:cs="Arial"/>
          <w:szCs w:val="24"/>
        </w:rPr>
        <w:t xml:space="preserve">  </w:t>
      </w:r>
    </w:p>
    <w:p w14:paraId="0FF8A5DD" w14:textId="23DBC71E" w:rsidR="00705677" w:rsidRPr="00B80C62" w:rsidRDefault="00705677" w:rsidP="00EF3037">
      <w:pPr>
        <w:rPr>
          <w:rFonts w:ascii="Arial" w:hAnsi="Arial" w:cs="Arial"/>
          <w:u w:val="single"/>
        </w:rPr>
      </w:pPr>
      <w:bookmarkStart w:id="17" w:name="_Hlk113546737"/>
      <w:r w:rsidRPr="00B80C62">
        <w:rPr>
          <w:rFonts w:ascii="Arial" w:hAnsi="Arial" w:cs="Arial"/>
          <w:u w:val="single"/>
        </w:rPr>
        <w:lastRenderedPageBreak/>
        <w:t xml:space="preserve">Allow special interim Personal Protection Orders which will operate for longer than 12 months where there are ongoing related criminal proceedings </w:t>
      </w:r>
    </w:p>
    <w:bookmarkEnd w:id="17"/>
    <w:p w14:paraId="34E52032" w14:textId="28B3ACCB" w:rsidR="00EF3037" w:rsidRPr="00050F68" w:rsidRDefault="00EF3037" w:rsidP="00EF3037">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235599F1" w14:textId="25FF8858" w:rsidR="008F1E6B" w:rsidRPr="000C40FC" w:rsidRDefault="008F1E6B" w:rsidP="002057E6">
      <w:pPr>
        <w:rPr>
          <w:rFonts w:ascii="Arial" w:hAnsi="Arial" w:cs="Arial"/>
          <w:szCs w:val="24"/>
        </w:rPr>
      </w:pPr>
      <w:r>
        <w:rPr>
          <w:rFonts w:ascii="Arial" w:hAnsi="Arial" w:cs="Arial"/>
          <w:szCs w:val="24"/>
        </w:rPr>
        <w:t>The Bill introduces new s</w:t>
      </w:r>
      <w:r w:rsidRPr="002057E6">
        <w:rPr>
          <w:rFonts w:ascii="Arial" w:hAnsi="Arial" w:cs="Arial"/>
          <w:szCs w:val="24"/>
        </w:rPr>
        <w:t>pecial interim order</w:t>
      </w:r>
      <w:r>
        <w:rPr>
          <w:rFonts w:ascii="Arial" w:hAnsi="Arial" w:cs="Arial"/>
          <w:szCs w:val="24"/>
        </w:rPr>
        <w:t xml:space="preserve"> schemes in the ACT </w:t>
      </w:r>
      <w:r w:rsidRPr="002057E6">
        <w:rPr>
          <w:rFonts w:ascii="Arial" w:hAnsi="Arial" w:cs="Arial"/>
          <w:szCs w:val="24"/>
        </w:rPr>
        <w:t xml:space="preserve">under the </w:t>
      </w:r>
      <w:r w:rsidRPr="002057E6">
        <w:rPr>
          <w:rFonts w:ascii="Arial" w:hAnsi="Arial" w:cs="Arial"/>
          <w:i/>
          <w:iCs/>
          <w:szCs w:val="24"/>
        </w:rPr>
        <w:t>Personal Violence Act 2016</w:t>
      </w:r>
      <w:r>
        <w:rPr>
          <w:rFonts w:ascii="Arial" w:hAnsi="Arial" w:cs="Arial"/>
          <w:i/>
          <w:iCs/>
          <w:szCs w:val="24"/>
        </w:rPr>
        <w:t xml:space="preserve"> </w:t>
      </w:r>
      <w:r>
        <w:rPr>
          <w:rFonts w:ascii="Arial" w:hAnsi="Arial" w:cs="Arial"/>
          <w:szCs w:val="24"/>
        </w:rPr>
        <w:t xml:space="preserve">which mirrors the </w:t>
      </w:r>
      <w:r>
        <w:rPr>
          <w:rFonts w:ascii="Arial" w:hAnsi="Arial" w:cs="Arial"/>
          <w:i/>
          <w:iCs/>
          <w:szCs w:val="24"/>
        </w:rPr>
        <w:t xml:space="preserve">Family Violence Act 2016 </w:t>
      </w:r>
      <w:r>
        <w:rPr>
          <w:rFonts w:ascii="Arial" w:hAnsi="Arial" w:cs="Arial"/>
          <w:szCs w:val="24"/>
        </w:rPr>
        <w:t xml:space="preserve">to ensure that interim PPOs and WPOs can remain in force as long as </w:t>
      </w:r>
      <w:r w:rsidRPr="000C40FC">
        <w:rPr>
          <w:rFonts w:ascii="Arial" w:hAnsi="Arial" w:cs="Arial"/>
          <w:szCs w:val="24"/>
        </w:rPr>
        <w:t>there is a related charge outstanding in relation to the respondent</w:t>
      </w:r>
      <w:r>
        <w:rPr>
          <w:rFonts w:ascii="Arial" w:hAnsi="Arial" w:cs="Arial"/>
          <w:szCs w:val="24"/>
        </w:rPr>
        <w:t xml:space="preserve"> and the offence is against the applicant.</w:t>
      </w:r>
    </w:p>
    <w:p w14:paraId="0E4FF4C1" w14:textId="76A5A903" w:rsidR="00732C60" w:rsidRPr="00E806B6" w:rsidRDefault="002057E6" w:rsidP="00932545">
      <w:pPr>
        <w:rPr>
          <w:rFonts w:ascii="Arial" w:hAnsi="Arial" w:cs="Arial"/>
          <w:color w:val="000000"/>
          <w:shd w:val="clear" w:color="auto" w:fill="FFFFFF"/>
        </w:rPr>
      </w:pPr>
      <w:r>
        <w:rPr>
          <w:rFonts w:ascii="Arial" w:hAnsi="Arial" w:cs="Arial"/>
          <w:szCs w:val="24"/>
        </w:rPr>
        <w:t xml:space="preserve">Currently </w:t>
      </w:r>
      <w:r w:rsidR="000C40FC">
        <w:rPr>
          <w:rFonts w:ascii="Arial" w:hAnsi="Arial" w:cs="Arial"/>
          <w:szCs w:val="24"/>
        </w:rPr>
        <w:t xml:space="preserve">the </w:t>
      </w:r>
      <w:r w:rsidR="000C40FC" w:rsidRPr="002057E6">
        <w:rPr>
          <w:rFonts w:ascii="Arial" w:hAnsi="Arial" w:cs="Arial"/>
          <w:i/>
          <w:iCs/>
          <w:szCs w:val="24"/>
        </w:rPr>
        <w:t>Personal Violence Act 2016</w:t>
      </w:r>
      <w:r w:rsidR="000C40FC">
        <w:rPr>
          <w:rFonts w:ascii="Arial" w:hAnsi="Arial" w:cs="Arial"/>
          <w:i/>
          <w:iCs/>
          <w:szCs w:val="24"/>
        </w:rPr>
        <w:t xml:space="preserve"> </w:t>
      </w:r>
      <w:r w:rsidR="000C40FC">
        <w:rPr>
          <w:rFonts w:ascii="Arial" w:hAnsi="Arial" w:cs="Arial"/>
          <w:szCs w:val="24"/>
        </w:rPr>
        <w:t xml:space="preserve">only authorises </w:t>
      </w:r>
      <w:r>
        <w:rPr>
          <w:rFonts w:ascii="Arial" w:hAnsi="Arial" w:cs="Arial"/>
          <w:szCs w:val="24"/>
        </w:rPr>
        <w:t xml:space="preserve">interim </w:t>
      </w:r>
      <w:r w:rsidR="00DB586F">
        <w:rPr>
          <w:rFonts w:ascii="Arial" w:hAnsi="Arial" w:cs="Arial"/>
          <w:szCs w:val="24"/>
        </w:rPr>
        <w:t>PPOs</w:t>
      </w:r>
      <w:r>
        <w:rPr>
          <w:rFonts w:ascii="Arial" w:hAnsi="Arial" w:cs="Arial"/>
          <w:szCs w:val="24"/>
        </w:rPr>
        <w:t xml:space="preserve"> </w:t>
      </w:r>
      <w:r w:rsidRPr="002057E6">
        <w:rPr>
          <w:rFonts w:ascii="Arial" w:hAnsi="Arial" w:cs="Arial"/>
          <w:szCs w:val="24"/>
        </w:rPr>
        <w:t xml:space="preserve">or </w:t>
      </w:r>
      <w:r w:rsidR="00DB586F">
        <w:rPr>
          <w:rFonts w:ascii="Arial" w:hAnsi="Arial" w:cs="Arial"/>
          <w:szCs w:val="24"/>
        </w:rPr>
        <w:t>WPOs</w:t>
      </w:r>
      <w:r>
        <w:rPr>
          <w:rFonts w:ascii="Arial" w:hAnsi="Arial" w:cs="Arial"/>
          <w:szCs w:val="24"/>
        </w:rPr>
        <w:t xml:space="preserve"> </w:t>
      </w:r>
      <w:r w:rsidR="00732C60">
        <w:rPr>
          <w:rFonts w:ascii="Arial" w:hAnsi="Arial" w:cs="Arial"/>
          <w:szCs w:val="24"/>
        </w:rPr>
        <w:t xml:space="preserve">that are </w:t>
      </w:r>
      <w:r w:rsidR="000C40FC" w:rsidRPr="002057E6">
        <w:rPr>
          <w:rFonts w:ascii="Arial" w:hAnsi="Arial" w:cs="Arial"/>
          <w:szCs w:val="24"/>
        </w:rPr>
        <w:t xml:space="preserve">in force for </w:t>
      </w:r>
      <w:r w:rsidR="000C40FC">
        <w:rPr>
          <w:rFonts w:ascii="Arial" w:hAnsi="Arial" w:cs="Arial"/>
          <w:szCs w:val="24"/>
        </w:rPr>
        <w:t xml:space="preserve">not </w:t>
      </w:r>
      <w:r w:rsidR="000C40FC" w:rsidRPr="002057E6">
        <w:rPr>
          <w:rFonts w:ascii="Arial" w:hAnsi="Arial" w:cs="Arial"/>
          <w:szCs w:val="24"/>
        </w:rPr>
        <w:t>more than 12 months (plus any extension for non-service on the respondent).</w:t>
      </w:r>
      <w:r w:rsidR="000C40FC">
        <w:rPr>
          <w:rFonts w:ascii="Arial" w:hAnsi="Arial" w:cs="Arial"/>
          <w:szCs w:val="24"/>
        </w:rPr>
        <w:t xml:space="preserve"> </w:t>
      </w:r>
    </w:p>
    <w:p w14:paraId="2C4DE533" w14:textId="77777777" w:rsidR="00E37E4E" w:rsidRDefault="00E37E4E" w:rsidP="00E37E4E">
      <w:pPr>
        <w:rPr>
          <w:rFonts w:ascii="Arial" w:hAnsi="Arial" w:cs="Arial"/>
          <w:szCs w:val="24"/>
        </w:rPr>
      </w:pPr>
      <w:r>
        <w:rPr>
          <w:rFonts w:ascii="Arial" w:hAnsi="Arial" w:cs="Arial"/>
          <w:szCs w:val="24"/>
        </w:rPr>
        <w:t xml:space="preserve">Section 13 of the HR Act </w:t>
      </w:r>
      <w:r w:rsidR="00A5122A">
        <w:rPr>
          <w:rFonts w:ascii="Arial" w:hAnsi="Arial" w:cs="Arial"/>
          <w:szCs w:val="24"/>
        </w:rPr>
        <w:t xml:space="preserve">states that everyone is entitled to move freely within the ACT, enter and leave the ACT, and has the freedom to choose their own residence. </w:t>
      </w:r>
      <w:r>
        <w:rPr>
          <w:rFonts w:ascii="Arial" w:hAnsi="Arial" w:cs="Arial"/>
          <w:szCs w:val="24"/>
        </w:rPr>
        <w:t xml:space="preserve">The amendment may limit the right to freedom of movement as a special interim order is permitted to operate for longer than the general order application of 12 months and may protract the timeframes a </w:t>
      </w:r>
      <w:r w:rsidR="00B54890" w:rsidRPr="00050F68">
        <w:rPr>
          <w:rFonts w:ascii="Arial" w:hAnsi="Arial" w:cs="Arial"/>
          <w:bCs/>
          <w:szCs w:val="24"/>
        </w:rPr>
        <w:t xml:space="preserve">respondent </w:t>
      </w:r>
      <w:r>
        <w:rPr>
          <w:rFonts w:ascii="Arial" w:hAnsi="Arial" w:cs="Arial"/>
          <w:bCs/>
          <w:szCs w:val="24"/>
        </w:rPr>
        <w:t xml:space="preserve">is prohibited </w:t>
      </w:r>
      <w:r w:rsidR="00B54890" w:rsidRPr="00050F68">
        <w:rPr>
          <w:rFonts w:ascii="Arial" w:hAnsi="Arial" w:cs="Arial"/>
          <w:bCs/>
          <w:szCs w:val="24"/>
        </w:rPr>
        <w:t>from going within a certain distance of a specified place</w:t>
      </w:r>
      <w:r w:rsidR="00F71EB0">
        <w:rPr>
          <w:rFonts w:ascii="Arial" w:hAnsi="Arial" w:cs="Arial"/>
          <w:bCs/>
          <w:szCs w:val="24"/>
        </w:rPr>
        <w:t>,</w:t>
      </w:r>
      <w:r w:rsidR="00B54890" w:rsidRPr="00050F68">
        <w:rPr>
          <w:rFonts w:ascii="Arial" w:hAnsi="Arial" w:cs="Arial"/>
          <w:bCs/>
          <w:szCs w:val="24"/>
        </w:rPr>
        <w:t xml:space="preserve"> or contacting or going near a specified person.</w:t>
      </w:r>
      <w:r w:rsidR="00A5122A">
        <w:rPr>
          <w:rFonts w:ascii="Arial" w:hAnsi="Arial" w:cs="Arial"/>
          <w:szCs w:val="24"/>
        </w:rPr>
        <w:t xml:space="preserve"> </w:t>
      </w:r>
    </w:p>
    <w:p w14:paraId="06D0EDFB" w14:textId="4C51D093" w:rsidR="00A5122A" w:rsidRDefault="00E37E4E" w:rsidP="00E37E4E">
      <w:pPr>
        <w:rPr>
          <w:rFonts w:ascii="Arial" w:hAnsi="Arial" w:cs="Arial"/>
          <w:szCs w:val="24"/>
        </w:rPr>
      </w:pPr>
      <w:r>
        <w:rPr>
          <w:rFonts w:ascii="Arial" w:hAnsi="Arial" w:cs="Arial"/>
          <w:szCs w:val="24"/>
        </w:rPr>
        <w:t>Section 27B of the HR Act provides that e</w:t>
      </w:r>
      <w:r w:rsidRPr="00E37E4E">
        <w:rPr>
          <w:rFonts w:ascii="Arial" w:hAnsi="Arial" w:cs="Arial"/>
          <w:szCs w:val="24"/>
        </w:rPr>
        <w:t xml:space="preserve">veryone has the right to work, including the right to choose their occupation or profession freely. </w:t>
      </w:r>
      <w:r>
        <w:rPr>
          <w:rFonts w:ascii="Arial" w:hAnsi="Arial" w:cs="Arial"/>
          <w:szCs w:val="24"/>
        </w:rPr>
        <w:t xml:space="preserve">The amendment may </w:t>
      </w:r>
      <w:r w:rsidR="00A5122A">
        <w:rPr>
          <w:rFonts w:ascii="Arial" w:hAnsi="Arial" w:cs="Arial"/>
          <w:szCs w:val="24"/>
        </w:rPr>
        <w:t>limit the right to work</w:t>
      </w:r>
      <w:r w:rsidR="00CE3F5F">
        <w:rPr>
          <w:rFonts w:ascii="Arial" w:hAnsi="Arial" w:cs="Arial"/>
          <w:szCs w:val="24"/>
        </w:rPr>
        <w:t xml:space="preserve"> for a respondent</w:t>
      </w:r>
      <w:r w:rsidR="00A5122A">
        <w:rPr>
          <w:rFonts w:ascii="Arial" w:hAnsi="Arial" w:cs="Arial"/>
          <w:szCs w:val="24"/>
        </w:rPr>
        <w:t xml:space="preserve"> if the </w:t>
      </w:r>
      <w:r w:rsidR="009572F2">
        <w:rPr>
          <w:rFonts w:ascii="Arial" w:hAnsi="Arial" w:cs="Arial"/>
          <w:szCs w:val="24"/>
        </w:rPr>
        <w:t xml:space="preserve">special </w:t>
      </w:r>
      <w:r w:rsidR="00F71EB0">
        <w:rPr>
          <w:rFonts w:ascii="Arial" w:hAnsi="Arial" w:cs="Arial"/>
          <w:szCs w:val="24"/>
        </w:rPr>
        <w:t>interim</w:t>
      </w:r>
      <w:r w:rsidR="00A5122A">
        <w:rPr>
          <w:rFonts w:ascii="Arial" w:hAnsi="Arial" w:cs="Arial"/>
          <w:szCs w:val="24"/>
        </w:rPr>
        <w:t xml:space="preserve"> order </w:t>
      </w:r>
      <w:r w:rsidR="009572F2">
        <w:rPr>
          <w:rFonts w:ascii="Arial" w:hAnsi="Arial" w:cs="Arial"/>
          <w:szCs w:val="24"/>
        </w:rPr>
        <w:t xml:space="preserve">prolongs the duration </w:t>
      </w:r>
      <w:r w:rsidR="00A5122A">
        <w:rPr>
          <w:rFonts w:ascii="Arial" w:hAnsi="Arial" w:cs="Arial"/>
          <w:szCs w:val="24"/>
        </w:rPr>
        <w:t xml:space="preserve">the respondent </w:t>
      </w:r>
      <w:r w:rsidR="009572F2">
        <w:rPr>
          <w:rFonts w:ascii="Arial" w:hAnsi="Arial" w:cs="Arial"/>
          <w:szCs w:val="24"/>
        </w:rPr>
        <w:t xml:space="preserve">is prevented </w:t>
      </w:r>
      <w:r w:rsidR="00A5122A">
        <w:rPr>
          <w:rFonts w:ascii="Arial" w:hAnsi="Arial" w:cs="Arial"/>
          <w:szCs w:val="24"/>
        </w:rPr>
        <w:t xml:space="preserve">from attending </w:t>
      </w:r>
      <w:r>
        <w:rPr>
          <w:rFonts w:ascii="Arial" w:hAnsi="Arial" w:cs="Arial"/>
          <w:szCs w:val="24"/>
        </w:rPr>
        <w:t>their</w:t>
      </w:r>
      <w:r w:rsidR="00A5122A">
        <w:rPr>
          <w:rFonts w:ascii="Arial" w:hAnsi="Arial" w:cs="Arial"/>
          <w:szCs w:val="24"/>
        </w:rPr>
        <w:t xml:space="preserve"> place of work. </w:t>
      </w:r>
    </w:p>
    <w:p w14:paraId="318C835E" w14:textId="51D9081A" w:rsidR="00E12C20" w:rsidRPr="00E12C20" w:rsidRDefault="0016447C" w:rsidP="007A29BA">
      <w:pPr>
        <w:autoSpaceDE w:val="0"/>
        <w:autoSpaceDN w:val="0"/>
        <w:adjustRightInd w:val="0"/>
        <w:spacing w:before="240" w:after="120"/>
        <w:rPr>
          <w:rFonts w:ascii="Arial" w:hAnsi="Arial" w:cs="Arial"/>
          <w:bCs/>
          <w:szCs w:val="24"/>
        </w:rPr>
      </w:pPr>
      <w:r>
        <w:rPr>
          <w:rFonts w:ascii="Arial" w:hAnsi="Arial" w:cs="Arial"/>
          <w:bCs/>
          <w:szCs w:val="24"/>
        </w:rPr>
        <w:t>Section 22(2)(c) of the HR</w:t>
      </w:r>
      <w:r w:rsidR="009F0E6C">
        <w:rPr>
          <w:rFonts w:ascii="Arial" w:hAnsi="Arial" w:cs="Arial"/>
          <w:bCs/>
          <w:szCs w:val="24"/>
        </w:rPr>
        <w:t xml:space="preserve"> </w:t>
      </w:r>
      <w:r>
        <w:rPr>
          <w:rFonts w:ascii="Arial" w:hAnsi="Arial" w:cs="Arial"/>
          <w:bCs/>
          <w:szCs w:val="24"/>
        </w:rPr>
        <w:t>A</w:t>
      </w:r>
      <w:r w:rsidR="009F0E6C">
        <w:rPr>
          <w:rFonts w:ascii="Arial" w:hAnsi="Arial" w:cs="Arial"/>
          <w:bCs/>
          <w:szCs w:val="24"/>
        </w:rPr>
        <w:t>ct</w:t>
      </w:r>
      <w:r>
        <w:rPr>
          <w:rFonts w:ascii="Arial" w:hAnsi="Arial" w:cs="Arial"/>
          <w:bCs/>
          <w:szCs w:val="24"/>
        </w:rPr>
        <w:t xml:space="preserve"> provides that </w:t>
      </w:r>
      <w:r w:rsidRPr="0016447C">
        <w:rPr>
          <w:rFonts w:ascii="Arial" w:hAnsi="Arial" w:cs="Arial"/>
          <w:bCs/>
          <w:szCs w:val="24"/>
        </w:rPr>
        <w:t>proceedings should take place without unreasonable delay</w:t>
      </w:r>
      <w:r>
        <w:rPr>
          <w:rFonts w:ascii="Arial" w:hAnsi="Arial" w:cs="Arial"/>
          <w:bCs/>
          <w:szCs w:val="24"/>
        </w:rPr>
        <w:t xml:space="preserve"> t</w:t>
      </w:r>
      <w:r w:rsidRPr="0016447C">
        <w:rPr>
          <w:rFonts w:ascii="Arial" w:hAnsi="Arial" w:cs="Arial"/>
          <w:bCs/>
          <w:szCs w:val="24"/>
        </w:rPr>
        <w:t xml:space="preserve">o preserve the expectations associated with the administration of justice. </w:t>
      </w:r>
      <w:r w:rsidR="002057E6" w:rsidRPr="007A29BA">
        <w:rPr>
          <w:rFonts w:ascii="Arial" w:hAnsi="Arial" w:cs="Arial"/>
          <w:bCs/>
          <w:szCs w:val="24"/>
        </w:rPr>
        <w:t xml:space="preserve">The amendment may limit the rights in criminal proceedings especially </w:t>
      </w:r>
      <w:r w:rsidR="007A29BA" w:rsidRPr="007A29BA">
        <w:rPr>
          <w:rFonts w:ascii="Arial" w:hAnsi="Arial" w:cs="Arial"/>
          <w:bCs/>
          <w:szCs w:val="24"/>
        </w:rPr>
        <w:t xml:space="preserve">the right to be tried </w:t>
      </w:r>
      <w:r w:rsidR="002057E6" w:rsidRPr="007A29BA">
        <w:rPr>
          <w:rFonts w:ascii="Arial" w:hAnsi="Arial" w:cs="Arial"/>
          <w:bCs/>
          <w:szCs w:val="24"/>
        </w:rPr>
        <w:t>without unreasonable delay.</w:t>
      </w:r>
      <w:r w:rsidR="007A29BA" w:rsidRPr="007A29BA">
        <w:rPr>
          <w:rFonts w:ascii="Arial" w:hAnsi="Arial" w:cs="Arial"/>
          <w:bCs/>
          <w:szCs w:val="24"/>
        </w:rPr>
        <w:t xml:space="preserve"> It does so by </w:t>
      </w:r>
      <w:r w:rsidR="007A29BA">
        <w:rPr>
          <w:rFonts w:ascii="Arial" w:hAnsi="Arial" w:cs="Arial"/>
          <w:bCs/>
          <w:szCs w:val="24"/>
        </w:rPr>
        <w:t>potentially protracting</w:t>
      </w:r>
      <w:r w:rsidR="007A29BA" w:rsidRPr="007A29BA">
        <w:rPr>
          <w:rFonts w:ascii="Arial" w:hAnsi="Arial" w:cs="Arial"/>
          <w:bCs/>
          <w:szCs w:val="24"/>
        </w:rPr>
        <w:t xml:space="preserve"> the time a respondent </w:t>
      </w:r>
      <w:r w:rsidR="007A29BA">
        <w:rPr>
          <w:rFonts w:ascii="Arial" w:hAnsi="Arial" w:cs="Arial"/>
          <w:bCs/>
          <w:szCs w:val="24"/>
        </w:rPr>
        <w:t>can be</w:t>
      </w:r>
      <w:r w:rsidR="007A29BA" w:rsidRPr="007A29BA">
        <w:rPr>
          <w:rFonts w:ascii="Arial" w:hAnsi="Arial" w:cs="Arial"/>
          <w:bCs/>
          <w:szCs w:val="24"/>
        </w:rPr>
        <w:t xml:space="preserve"> heard in relation to the application for a final </w:t>
      </w:r>
      <w:r w:rsidR="007A29BA">
        <w:rPr>
          <w:rFonts w:ascii="Arial" w:hAnsi="Arial" w:cs="Arial"/>
          <w:bCs/>
          <w:szCs w:val="24"/>
        </w:rPr>
        <w:t xml:space="preserve">protection </w:t>
      </w:r>
      <w:r w:rsidR="007A29BA" w:rsidRPr="007A29BA">
        <w:rPr>
          <w:rFonts w:ascii="Arial" w:hAnsi="Arial" w:cs="Arial"/>
          <w:bCs/>
          <w:szCs w:val="24"/>
        </w:rPr>
        <w:t>order.</w:t>
      </w:r>
      <w:r w:rsidR="007A29BA">
        <w:rPr>
          <w:rFonts w:ascii="Arial" w:hAnsi="Arial" w:cs="Arial"/>
          <w:bCs/>
          <w:szCs w:val="24"/>
        </w:rPr>
        <w:t xml:space="preserve">  </w:t>
      </w:r>
    </w:p>
    <w:p w14:paraId="059BA250" w14:textId="77777777" w:rsidR="00957C22" w:rsidRDefault="00957C22" w:rsidP="00EF3037">
      <w:pPr>
        <w:rPr>
          <w:rFonts w:ascii="Arial" w:hAnsi="Arial" w:cs="Arial"/>
          <w:b/>
          <w:i/>
          <w:szCs w:val="24"/>
        </w:rPr>
      </w:pPr>
    </w:p>
    <w:p w14:paraId="4A1DE532" w14:textId="77777777" w:rsidR="00957C22" w:rsidRDefault="00957C22" w:rsidP="00EF3037">
      <w:pPr>
        <w:rPr>
          <w:rFonts w:ascii="Arial" w:hAnsi="Arial" w:cs="Arial"/>
          <w:b/>
          <w:i/>
          <w:szCs w:val="24"/>
        </w:rPr>
      </w:pPr>
    </w:p>
    <w:p w14:paraId="7E0A795F" w14:textId="3EAE91D8" w:rsidR="00EF3037" w:rsidRPr="00050F68" w:rsidRDefault="00EF3037" w:rsidP="00EF3037">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658DE4BA" w14:textId="695B29A9" w:rsidR="00B54890" w:rsidRDefault="003E797F" w:rsidP="00A544A4">
      <w:pPr>
        <w:rPr>
          <w:rFonts w:ascii="Arial" w:hAnsi="Arial" w:cs="Arial"/>
          <w:color w:val="000000"/>
          <w:shd w:val="clear" w:color="auto" w:fill="FFFFFF"/>
        </w:rPr>
      </w:pPr>
      <w:r w:rsidRPr="00900276">
        <w:rPr>
          <w:rFonts w:ascii="Arial" w:hAnsi="Arial" w:cs="Arial"/>
          <w:szCs w:val="24"/>
        </w:rPr>
        <w:t>Special interim orders allow the police investigation into related charges to take its course</w:t>
      </w:r>
      <w:r w:rsidR="00E93FD8" w:rsidRPr="00900276">
        <w:rPr>
          <w:rFonts w:ascii="Arial" w:hAnsi="Arial" w:cs="Arial"/>
          <w:szCs w:val="24"/>
        </w:rPr>
        <w:t xml:space="preserve"> and avoid unnecessary traumatisation for the applicant should a hearing for a final WPO or PPO occur prior to the finalisation of proceedings for related charges</w:t>
      </w:r>
      <w:r w:rsidRPr="00900276">
        <w:rPr>
          <w:rFonts w:ascii="Arial" w:hAnsi="Arial" w:cs="Arial"/>
          <w:szCs w:val="24"/>
        </w:rPr>
        <w:t xml:space="preserve">. </w:t>
      </w:r>
      <w:r w:rsidR="00A544A4">
        <w:rPr>
          <w:rFonts w:ascii="Arial" w:hAnsi="Arial" w:cs="Arial"/>
          <w:bCs/>
          <w:szCs w:val="24"/>
        </w:rPr>
        <w:t xml:space="preserve">The amendment seeks to </w:t>
      </w:r>
      <w:r w:rsidR="00B54890" w:rsidRPr="00B54890">
        <w:rPr>
          <w:rFonts w:ascii="Arial" w:hAnsi="Arial" w:cs="Arial"/>
          <w:szCs w:val="24"/>
        </w:rPr>
        <w:t xml:space="preserve">protect the </w:t>
      </w:r>
      <w:r w:rsidR="00891532">
        <w:rPr>
          <w:rFonts w:ascii="Arial" w:hAnsi="Arial" w:cs="Arial"/>
          <w:szCs w:val="24"/>
        </w:rPr>
        <w:t>applicant of personal and workplace protection orders</w:t>
      </w:r>
      <w:r w:rsidR="00B54890" w:rsidRPr="00B54890">
        <w:rPr>
          <w:rFonts w:ascii="Arial" w:hAnsi="Arial" w:cs="Arial"/>
          <w:szCs w:val="24"/>
        </w:rPr>
        <w:t xml:space="preserve"> </w:t>
      </w:r>
      <w:r w:rsidR="00891532">
        <w:rPr>
          <w:rFonts w:ascii="Arial" w:hAnsi="Arial" w:cs="Arial"/>
          <w:szCs w:val="24"/>
        </w:rPr>
        <w:t>and</w:t>
      </w:r>
      <w:r w:rsidR="00B54890">
        <w:rPr>
          <w:rFonts w:ascii="Arial" w:hAnsi="Arial" w:cs="Arial"/>
          <w:szCs w:val="24"/>
        </w:rPr>
        <w:t xml:space="preserve"> vulnerable members of the community from further violence, threats, intimidation, and abuse. </w:t>
      </w:r>
    </w:p>
    <w:p w14:paraId="2F9905A1" w14:textId="3283BD13" w:rsidR="009572F2" w:rsidRPr="003F70DC" w:rsidRDefault="009572F2" w:rsidP="009572F2">
      <w:pPr>
        <w:rPr>
          <w:rFonts w:ascii="Arial" w:hAnsi="Arial" w:cs="Arial"/>
          <w:szCs w:val="24"/>
        </w:rPr>
      </w:pPr>
      <w:r w:rsidRPr="009572F2">
        <w:rPr>
          <w:rFonts w:ascii="Arial" w:hAnsi="Arial" w:cs="Arial"/>
          <w:szCs w:val="24"/>
        </w:rPr>
        <w:lastRenderedPageBreak/>
        <w:t xml:space="preserve">Interim orders for WPO and PPO matters are </w:t>
      </w:r>
      <w:r>
        <w:rPr>
          <w:rFonts w:ascii="Arial" w:hAnsi="Arial" w:cs="Arial"/>
          <w:szCs w:val="24"/>
        </w:rPr>
        <w:t xml:space="preserve">currently </w:t>
      </w:r>
      <w:r w:rsidRPr="009572F2">
        <w:rPr>
          <w:rFonts w:ascii="Arial" w:hAnsi="Arial" w:cs="Arial"/>
          <w:szCs w:val="24"/>
        </w:rPr>
        <w:t>only 12 month</w:t>
      </w:r>
      <w:r>
        <w:rPr>
          <w:rFonts w:ascii="Arial" w:hAnsi="Arial" w:cs="Arial"/>
          <w:szCs w:val="24"/>
        </w:rPr>
        <w:t xml:space="preserve">s </w:t>
      </w:r>
      <w:r w:rsidRPr="009572F2">
        <w:rPr>
          <w:rFonts w:ascii="Arial" w:hAnsi="Arial" w:cs="Arial"/>
          <w:szCs w:val="24"/>
        </w:rPr>
        <w:t>in duration.</w:t>
      </w:r>
      <w:r>
        <w:rPr>
          <w:rFonts w:ascii="Arial" w:hAnsi="Arial" w:cs="Arial"/>
          <w:szCs w:val="24"/>
        </w:rPr>
        <w:t xml:space="preserve"> </w:t>
      </w:r>
      <w:r w:rsidRPr="00732C60">
        <w:rPr>
          <w:rFonts w:ascii="Arial" w:hAnsi="Arial" w:cs="Arial"/>
          <w:szCs w:val="24"/>
        </w:rPr>
        <w:t xml:space="preserve">Frequently, it will take more than 12 months for related criminal charges to be finalised. </w:t>
      </w:r>
      <w:r w:rsidRPr="00732C60">
        <w:rPr>
          <w:rFonts w:ascii="Arial" w:hAnsi="Arial" w:cs="Arial"/>
          <w:color w:val="000000"/>
          <w:shd w:val="clear" w:color="auto" w:fill="FFFFFF"/>
        </w:rPr>
        <w:t>This presents challenges when there are related</w:t>
      </w:r>
      <w:r>
        <w:rPr>
          <w:rFonts w:ascii="Arial" w:hAnsi="Arial" w:cs="Arial"/>
          <w:color w:val="000000"/>
          <w:shd w:val="clear" w:color="auto" w:fill="FFFFFF"/>
        </w:rPr>
        <w:t xml:space="preserve"> </w:t>
      </w:r>
      <w:r w:rsidRPr="00732C60">
        <w:rPr>
          <w:rFonts w:ascii="Arial" w:hAnsi="Arial" w:cs="Arial"/>
          <w:color w:val="000000"/>
          <w:shd w:val="clear" w:color="auto" w:fill="FFFFFF"/>
        </w:rPr>
        <w:t>criminal matters which are unlikely to be finalised before</w:t>
      </w:r>
      <w:r>
        <w:rPr>
          <w:rFonts w:ascii="Arial" w:hAnsi="Arial" w:cs="Arial"/>
          <w:color w:val="000000"/>
          <w:shd w:val="clear" w:color="auto" w:fill="FFFFFF"/>
        </w:rPr>
        <w:t xml:space="preserve"> </w:t>
      </w:r>
      <w:r w:rsidRPr="00732C60">
        <w:rPr>
          <w:rFonts w:ascii="Arial" w:hAnsi="Arial" w:cs="Arial"/>
          <w:color w:val="000000"/>
          <w:shd w:val="clear" w:color="auto" w:fill="FFFFFF"/>
        </w:rPr>
        <w:t>the expiration of the order. For example, applicants or</w:t>
      </w:r>
      <w:r>
        <w:rPr>
          <w:rFonts w:ascii="Arial" w:hAnsi="Arial" w:cs="Arial"/>
          <w:color w:val="000000"/>
          <w:shd w:val="clear" w:color="auto" w:fill="FFFFFF"/>
        </w:rPr>
        <w:t xml:space="preserve"> </w:t>
      </w:r>
      <w:r w:rsidRPr="00732C60">
        <w:rPr>
          <w:rFonts w:ascii="Arial" w:hAnsi="Arial" w:cs="Arial"/>
          <w:color w:val="000000"/>
          <w:shd w:val="clear" w:color="auto" w:fill="FFFFFF"/>
        </w:rPr>
        <w:t>respondents may be required to give evidence under a civil</w:t>
      </w:r>
      <w:r>
        <w:rPr>
          <w:rFonts w:ascii="Arial" w:hAnsi="Arial" w:cs="Arial"/>
          <w:color w:val="000000"/>
          <w:shd w:val="clear" w:color="auto" w:fill="FFFFFF"/>
        </w:rPr>
        <w:t xml:space="preserve"> </w:t>
      </w:r>
      <w:r w:rsidRPr="00732C60">
        <w:rPr>
          <w:rFonts w:ascii="Arial" w:hAnsi="Arial" w:cs="Arial"/>
          <w:color w:val="000000"/>
          <w:shd w:val="clear" w:color="auto" w:fill="FFFFFF"/>
        </w:rPr>
        <w:t>rather than criminal standard. Further, civil matters may be</w:t>
      </w:r>
      <w:r>
        <w:rPr>
          <w:rFonts w:ascii="Arial" w:hAnsi="Arial" w:cs="Arial"/>
          <w:color w:val="000000"/>
          <w:shd w:val="clear" w:color="auto" w:fill="FFFFFF"/>
        </w:rPr>
        <w:t xml:space="preserve"> </w:t>
      </w:r>
      <w:r w:rsidRPr="00732C60">
        <w:rPr>
          <w:rFonts w:ascii="Arial" w:hAnsi="Arial" w:cs="Arial"/>
          <w:color w:val="000000"/>
          <w:shd w:val="clear" w:color="auto" w:fill="FFFFFF"/>
        </w:rPr>
        <w:t>adjourned rather than set for hearing pending the finalisation</w:t>
      </w:r>
      <w:r>
        <w:rPr>
          <w:rFonts w:ascii="Arial" w:hAnsi="Arial" w:cs="Arial"/>
          <w:color w:val="000000"/>
          <w:shd w:val="clear" w:color="auto" w:fill="FFFFFF"/>
        </w:rPr>
        <w:t xml:space="preserve"> </w:t>
      </w:r>
      <w:r w:rsidRPr="00732C60">
        <w:rPr>
          <w:rFonts w:ascii="Arial" w:hAnsi="Arial" w:cs="Arial"/>
          <w:color w:val="000000"/>
          <w:shd w:val="clear" w:color="auto" w:fill="FFFFFF"/>
        </w:rPr>
        <w:t>of the criminal matter, which may lead to the expiry of the</w:t>
      </w:r>
      <w:r>
        <w:rPr>
          <w:rFonts w:ascii="Arial" w:hAnsi="Arial" w:cs="Arial"/>
          <w:color w:val="000000"/>
          <w:shd w:val="clear" w:color="auto" w:fill="FFFFFF"/>
        </w:rPr>
        <w:t xml:space="preserve"> </w:t>
      </w:r>
      <w:r w:rsidRPr="00732C60">
        <w:rPr>
          <w:rFonts w:ascii="Arial" w:hAnsi="Arial" w:cs="Arial"/>
          <w:color w:val="000000"/>
          <w:shd w:val="clear" w:color="auto" w:fill="FFFFFF"/>
        </w:rPr>
        <w:t>order if the criminal matter is not resolved within 12 months.</w:t>
      </w:r>
      <w:r>
        <w:rPr>
          <w:rFonts w:ascii="Arial" w:hAnsi="Arial" w:cs="Arial"/>
          <w:color w:val="000000"/>
          <w:shd w:val="clear" w:color="auto" w:fill="FFFFFF"/>
        </w:rPr>
        <w:t xml:space="preserve"> </w:t>
      </w:r>
    </w:p>
    <w:p w14:paraId="1C79BAEC" w14:textId="2A3B96F8" w:rsidR="009572F2" w:rsidRPr="00932545" w:rsidRDefault="009572F2" w:rsidP="009572F2">
      <w:pPr>
        <w:rPr>
          <w:rFonts w:ascii="Arial" w:hAnsi="Arial" w:cs="Arial"/>
          <w:color w:val="000000"/>
          <w:shd w:val="clear" w:color="auto" w:fill="FFFFFF"/>
        </w:rPr>
      </w:pPr>
      <w:r>
        <w:rPr>
          <w:rFonts w:ascii="Arial" w:hAnsi="Arial" w:cs="Arial"/>
          <w:color w:val="000000"/>
          <w:shd w:val="clear" w:color="auto" w:fill="FFFFFF"/>
        </w:rPr>
        <w:t xml:space="preserve">The amendment </w:t>
      </w:r>
      <w:r w:rsidRPr="00732C60">
        <w:rPr>
          <w:rFonts w:ascii="Arial" w:hAnsi="Arial" w:cs="Arial"/>
          <w:color w:val="000000"/>
          <w:shd w:val="clear" w:color="auto" w:fill="FFFFFF"/>
        </w:rPr>
        <w:t>avoid</w:t>
      </w:r>
      <w:r>
        <w:rPr>
          <w:rFonts w:ascii="Arial" w:hAnsi="Arial" w:cs="Arial"/>
          <w:color w:val="000000"/>
          <w:shd w:val="clear" w:color="auto" w:fill="FFFFFF"/>
        </w:rPr>
        <w:t>s</w:t>
      </w:r>
      <w:r w:rsidRPr="00732C60">
        <w:rPr>
          <w:rFonts w:ascii="Arial" w:hAnsi="Arial" w:cs="Arial"/>
          <w:color w:val="000000"/>
          <w:shd w:val="clear" w:color="auto" w:fill="FFFFFF"/>
        </w:rPr>
        <w:t xml:space="preserve"> these challenges</w:t>
      </w:r>
      <w:r>
        <w:rPr>
          <w:rFonts w:ascii="Arial" w:hAnsi="Arial" w:cs="Arial"/>
          <w:color w:val="000000"/>
          <w:shd w:val="clear" w:color="auto" w:fill="FFFFFF"/>
        </w:rPr>
        <w:t xml:space="preserve"> by replicating </w:t>
      </w:r>
      <w:r w:rsidRPr="00732C60">
        <w:rPr>
          <w:rFonts w:ascii="Arial" w:hAnsi="Arial" w:cs="Arial"/>
          <w:color w:val="000000"/>
          <w:shd w:val="clear" w:color="auto" w:fill="FFFFFF"/>
        </w:rPr>
        <w:t>the scheme for special interim</w:t>
      </w:r>
      <w:r>
        <w:rPr>
          <w:rFonts w:ascii="Arial" w:hAnsi="Arial" w:cs="Arial"/>
          <w:color w:val="000000"/>
          <w:shd w:val="clear" w:color="auto" w:fill="FFFFFF"/>
        </w:rPr>
        <w:t xml:space="preserve"> </w:t>
      </w:r>
      <w:r w:rsidRPr="00732C60">
        <w:rPr>
          <w:rFonts w:ascii="Arial" w:hAnsi="Arial" w:cs="Arial"/>
          <w:color w:val="000000"/>
          <w:shd w:val="clear" w:color="auto" w:fill="FFFFFF"/>
        </w:rPr>
        <w:t xml:space="preserve">orders for </w:t>
      </w:r>
      <w:r>
        <w:rPr>
          <w:rFonts w:ascii="Arial" w:hAnsi="Arial" w:cs="Arial"/>
          <w:color w:val="000000"/>
          <w:shd w:val="clear" w:color="auto" w:fill="FFFFFF"/>
        </w:rPr>
        <w:t>FVOs</w:t>
      </w:r>
      <w:r w:rsidRPr="00732C60">
        <w:rPr>
          <w:rFonts w:ascii="Arial" w:hAnsi="Arial" w:cs="Arial"/>
          <w:color w:val="000000"/>
          <w:shd w:val="clear" w:color="auto" w:fill="FFFFFF"/>
        </w:rPr>
        <w:t xml:space="preserve"> </w:t>
      </w:r>
      <w:r>
        <w:rPr>
          <w:rFonts w:ascii="Arial" w:hAnsi="Arial" w:cs="Arial"/>
          <w:color w:val="000000"/>
          <w:shd w:val="clear" w:color="auto" w:fill="FFFFFF"/>
        </w:rPr>
        <w:t>in relation to</w:t>
      </w:r>
      <w:r w:rsidRPr="00732C60">
        <w:rPr>
          <w:rFonts w:ascii="Arial" w:hAnsi="Arial" w:cs="Arial"/>
          <w:color w:val="000000"/>
          <w:shd w:val="clear" w:color="auto" w:fill="FFFFFF"/>
        </w:rPr>
        <w:t xml:space="preserve"> WPOs and PPOs. </w:t>
      </w:r>
      <w:r w:rsidR="007B35D0">
        <w:rPr>
          <w:rFonts w:ascii="Arial" w:hAnsi="Arial" w:cs="Arial"/>
          <w:color w:val="000000"/>
          <w:shd w:val="clear" w:color="auto" w:fill="FFFFFF"/>
        </w:rPr>
        <w:t>The amendment provides w</w:t>
      </w:r>
      <w:r w:rsidRPr="00732C60">
        <w:rPr>
          <w:rFonts w:ascii="Arial" w:hAnsi="Arial" w:cs="Arial"/>
          <w:color w:val="000000"/>
          <w:shd w:val="clear" w:color="auto" w:fill="FFFFFF"/>
        </w:rPr>
        <w:t>here there are related criminal</w:t>
      </w:r>
      <w:r>
        <w:rPr>
          <w:rFonts w:ascii="Arial" w:hAnsi="Arial" w:cs="Arial"/>
          <w:color w:val="000000"/>
          <w:shd w:val="clear" w:color="auto" w:fill="FFFFFF"/>
        </w:rPr>
        <w:t xml:space="preserve"> </w:t>
      </w:r>
      <w:r w:rsidRPr="00732C60">
        <w:rPr>
          <w:rFonts w:ascii="Arial" w:hAnsi="Arial" w:cs="Arial"/>
          <w:color w:val="000000"/>
          <w:shd w:val="clear" w:color="auto" w:fill="FFFFFF"/>
        </w:rPr>
        <w:t>charges in an application for an</w:t>
      </w:r>
      <w:r w:rsidR="007B35D0">
        <w:rPr>
          <w:rFonts w:ascii="Arial" w:hAnsi="Arial" w:cs="Arial"/>
          <w:color w:val="000000"/>
          <w:shd w:val="clear" w:color="auto" w:fill="FFFFFF"/>
        </w:rPr>
        <w:t xml:space="preserve"> WPO and PPO</w:t>
      </w:r>
      <w:r w:rsidRPr="00732C60">
        <w:rPr>
          <w:rFonts w:ascii="Arial" w:hAnsi="Arial" w:cs="Arial"/>
          <w:color w:val="000000"/>
          <w:shd w:val="clear" w:color="auto" w:fill="FFFFFF"/>
        </w:rPr>
        <w:t>, special interim orders</w:t>
      </w:r>
      <w:r>
        <w:rPr>
          <w:rFonts w:ascii="Arial" w:hAnsi="Arial" w:cs="Arial"/>
          <w:color w:val="000000"/>
          <w:shd w:val="clear" w:color="auto" w:fill="FFFFFF"/>
        </w:rPr>
        <w:t xml:space="preserve"> </w:t>
      </w:r>
      <w:r w:rsidRPr="00732C60">
        <w:rPr>
          <w:rFonts w:ascii="Arial" w:hAnsi="Arial" w:cs="Arial"/>
          <w:color w:val="000000"/>
          <w:shd w:val="clear" w:color="auto" w:fill="FFFFFF"/>
        </w:rPr>
        <w:t>can be made to adjourn the finalisation of the civil matter</w:t>
      </w:r>
      <w:r>
        <w:rPr>
          <w:rFonts w:ascii="Arial" w:hAnsi="Arial" w:cs="Arial"/>
          <w:color w:val="000000"/>
          <w:shd w:val="clear" w:color="auto" w:fill="FFFFFF"/>
        </w:rPr>
        <w:t xml:space="preserve"> </w:t>
      </w:r>
      <w:r w:rsidRPr="00732C60">
        <w:rPr>
          <w:rFonts w:ascii="Arial" w:hAnsi="Arial" w:cs="Arial"/>
          <w:color w:val="000000"/>
          <w:shd w:val="clear" w:color="auto" w:fill="FFFFFF"/>
        </w:rPr>
        <w:t>until after criminal matter is finalised. Except under specific</w:t>
      </w:r>
      <w:r>
        <w:rPr>
          <w:rFonts w:ascii="Arial" w:hAnsi="Arial" w:cs="Arial"/>
          <w:color w:val="000000"/>
          <w:shd w:val="clear" w:color="auto" w:fill="FFFFFF"/>
        </w:rPr>
        <w:t xml:space="preserve"> </w:t>
      </w:r>
      <w:r w:rsidRPr="00732C60">
        <w:rPr>
          <w:rFonts w:ascii="Arial" w:hAnsi="Arial" w:cs="Arial"/>
          <w:color w:val="000000"/>
          <w:shd w:val="clear" w:color="auto" w:fill="FFFFFF"/>
        </w:rPr>
        <w:t>circumstances the court must not decide the application for</w:t>
      </w:r>
      <w:r>
        <w:rPr>
          <w:rFonts w:ascii="Arial" w:hAnsi="Arial" w:cs="Arial"/>
          <w:color w:val="000000"/>
          <w:shd w:val="clear" w:color="auto" w:fill="FFFFFF"/>
        </w:rPr>
        <w:t xml:space="preserve"> </w:t>
      </w:r>
      <w:r w:rsidRPr="00732C60">
        <w:rPr>
          <w:rFonts w:ascii="Arial" w:hAnsi="Arial" w:cs="Arial"/>
          <w:color w:val="000000"/>
          <w:shd w:val="clear" w:color="auto" w:fill="FFFFFF"/>
        </w:rPr>
        <w:t>the final order until all related charges are finalised.</w:t>
      </w:r>
    </w:p>
    <w:p w14:paraId="733E8C30" w14:textId="77777777" w:rsidR="00EF3037" w:rsidRPr="00050F68" w:rsidRDefault="00EF3037" w:rsidP="00EF3037">
      <w:pPr>
        <w:rPr>
          <w:rFonts w:ascii="Arial" w:hAnsi="Arial" w:cs="Arial"/>
          <w:szCs w:val="24"/>
        </w:rPr>
      </w:pPr>
      <w:r>
        <w:rPr>
          <w:rFonts w:ascii="Arial" w:hAnsi="Arial" w:cs="Arial"/>
          <w:b/>
          <w:i/>
          <w:szCs w:val="24"/>
        </w:rPr>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039735B0" w14:textId="75F0757F" w:rsidR="0017079E" w:rsidRDefault="0017079E" w:rsidP="00EF3037">
      <w:pPr>
        <w:rPr>
          <w:rFonts w:ascii="Arial" w:hAnsi="Arial" w:cs="Arial"/>
        </w:rPr>
      </w:pPr>
      <w:r>
        <w:rPr>
          <w:rFonts w:ascii="Arial" w:hAnsi="Arial" w:cs="Arial"/>
        </w:rPr>
        <w:t xml:space="preserve">There is a rational connection between the limitation of rights and the objective of protecting applicants of PPO and WPO from further harm. </w:t>
      </w:r>
    </w:p>
    <w:p w14:paraId="3026C87E" w14:textId="77777777" w:rsidR="0017079E" w:rsidRPr="00E20F47" w:rsidRDefault="0017079E" w:rsidP="0017079E">
      <w:pPr>
        <w:pStyle w:val="BodyText"/>
        <w:rPr>
          <w:rFonts w:ascii="Arial" w:hAnsi="Arial" w:cs="Arial"/>
        </w:rPr>
      </w:pPr>
      <w:r>
        <w:rPr>
          <w:rFonts w:ascii="Arial" w:hAnsi="Arial" w:cs="Arial"/>
        </w:rPr>
        <w:t>The amendment facilitates the physical protection and wellbeing of an applicant by allowing a PPO and WPO to be in force until the finalisation of related charges. Conducting a</w:t>
      </w:r>
      <w:r w:rsidR="00144634" w:rsidRPr="00E20F47">
        <w:rPr>
          <w:rFonts w:ascii="Arial" w:hAnsi="Arial" w:cs="Arial"/>
        </w:rPr>
        <w:t xml:space="preserve"> hearing for a final order prior to </w:t>
      </w:r>
      <w:r>
        <w:rPr>
          <w:rFonts w:ascii="Arial" w:hAnsi="Arial" w:cs="Arial"/>
        </w:rPr>
        <w:t xml:space="preserve">the conclusion of </w:t>
      </w:r>
      <w:r w:rsidR="00144634" w:rsidRPr="00E20F47">
        <w:rPr>
          <w:rFonts w:ascii="Arial" w:hAnsi="Arial" w:cs="Arial"/>
        </w:rPr>
        <w:t xml:space="preserve">proceedings for related charges may </w:t>
      </w:r>
      <w:r>
        <w:rPr>
          <w:rFonts w:ascii="Arial" w:hAnsi="Arial" w:cs="Arial"/>
        </w:rPr>
        <w:t xml:space="preserve">also </w:t>
      </w:r>
      <w:r w:rsidR="00144634" w:rsidRPr="00E20F47">
        <w:rPr>
          <w:rFonts w:ascii="Arial" w:hAnsi="Arial" w:cs="Arial"/>
        </w:rPr>
        <w:t>lead to unnecessary traumatisation for the applicant.</w:t>
      </w:r>
      <w:r>
        <w:rPr>
          <w:rFonts w:ascii="Arial" w:hAnsi="Arial" w:cs="Arial"/>
        </w:rPr>
        <w:t xml:space="preserve"> </w:t>
      </w:r>
      <w:r w:rsidRPr="00115F17">
        <w:rPr>
          <w:rFonts w:ascii="Arial" w:hAnsi="Arial" w:cs="Arial"/>
        </w:rPr>
        <w:t xml:space="preserve">It also helps stop </w:t>
      </w:r>
      <w:r>
        <w:rPr>
          <w:rFonts w:ascii="Arial" w:hAnsi="Arial" w:cs="Arial"/>
        </w:rPr>
        <w:t xml:space="preserve">the </w:t>
      </w:r>
      <w:r w:rsidRPr="00115F17">
        <w:rPr>
          <w:rFonts w:ascii="Arial" w:hAnsi="Arial" w:cs="Arial"/>
        </w:rPr>
        <w:t xml:space="preserve">accused </w:t>
      </w:r>
      <w:r>
        <w:rPr>
          <w:rFonts w:ascii="Arial" w:hAnsi="Arial" w:cs="Arial"/>
        </w:rPr>
        <w:t xml:space="preserve">from </w:t>
      </w:r>
      <w:r w:rsidRPr="00115F17">
        <w:rPr>
          <w:rFonts w:ascii="Arial" w:hAnsi="Arial" w:cs="Arial"/>
        </w:rPr>
        <w:t xml:space="preserve">contacting or interfering with the </w:t>
      </w:r>
      <w:r>
        <w:rPr>
          <w:rFonts w:ascii="Arial" w:hAnsi="Arial" w:cs="Arial"/>
        </w:rPr>
        <w:t xml:space="preserve">victim </w:t>
      </w:r>
      <w:r w:rsidRPr="00115F17">
        <w:rPr>
          <w:rFonts w:ascii="Arial" w:hAnsi="Arial" w:cs="Arial"/>
        </w:rPr>
        <w:t>in the related sexual assault proceeding.</w:t>
      </w:r>
      <w:r>
        <w:rPr>
          <w:rFonts w:ascii="Arial" w:hAnsi="Arial" w:cs="Arial"/>
        </w:rPr>
        <w:t xml:space="preserve"> </w:t>
      </w:r>
    </w:p>
    <w:p w14:paraId="17255E1A" w14:textId="77777777" w:rsidR="00EF3037" w:rsidRPr="00050F68" w:rsidRDefault="00EF3037" w:rsidP="00EF3037">
      <w:pPr>
        <w:rPr>
          <w:rFonts w:ascii="Arial" w:hAnsi="Arial" w:cs="Arial"/>
          <w:szCs w:val="24"/>
        </w:rPr>
      </w:pPr>
      <w:r>
        <w:rPr>
          <w:rFonts w:ascii="Arial" w:hAnsi="Arial" w:cs="Arial"/>
          <w:b/>
          <w:i/>
          <w:szCs w:val="24"/>
        </w:rPr>
        <w:t xml:space="preserve">4. </w:t>
      </w:r>
      <w:r w:rsidRPr="00050F68">
        <w:rPr>
          <w:rFonts w:ascii="Arial" w:hAnsi="Arial" w:cs="Arial"/>
          <w:b/>
          <w:i/>
          <w:szCs w:val="24"/>
        </w:rPr>
        <w:t>Proportionality (s 28 (2) (e))</w:t>
      </w:r>
    </w:p>
    <w:p w14:paraId="350E363F" w14:textId="411140F1" w:rsidR="0017079E" w:rsidRPr="00E20F47" w:rsidRDefault="003D3420" w:rsidP="0017079E">
      <w:pPr>
        <w:pStyle w:val="BodyText"/>
        <w:rPr>
          <w:rFonts w:ascii="Arial" w:hAnsi="Arial" w:cs="Arial"/>
        </w:rPr>
      </w:pPr>
      <w:r>
        <w:rPr>
          <w:rFonts w:ascii="Arial" w:hAnsi="Arial" w:cs="Arial"/>
        </w:rPr>
        <w:t>The</w:t>
      </w:r>
      <w:r w:rsidR="0017079E" w:rsidRPr="00115F17">
        <w:rPr>
          <w:rFonts w:ascii="Arial" w:hAnsi="Arial" w:cs="Arial"/>
        </w:rPr>
        <w:t xml:space="preserve"> limitation on rights is proportionate to the aim of protecting vulnerable people including children </w:t>
      </w:r>
      <w:r w:rsidR="0017079E">
        <w:rPr>
          <w:rFonts w:ascii="Arial" w:hAnsi="Arial" w:cs="Arial"/>
        </w:rPr>
        <w:t>who are often applicants of PPOs</w:t>
      </w:r>
      <w:r w:rsidR="0017079E" w:rsidRPr="00115F17">
        <w:rPr>
          <w:rFonts w:ascii="Arial" w:hAnsi="Arial" w:cs="Arial"/>
        </w:rPr>
        <w:t xml:space="preserve">. </w:t>
      </w:r>
    </w:p>
    <w:p w14:paraId="5F6D02EC" w14:textId="3CA40C8E" w:rsidR="00B54890" w:rsidRPr="00115F17" w:rsidRDefault="003D3420" w:rsidP="00115F17">
      <w:pPr>
        <w:pStyle w:val="BodyText"/>
        <w:rPr>
          <w:rFonts w:ascii="Arial" w:hAnsi="Arial" w:cs="Arial"/>
        </w:rPr>
      </w:pPr>
      <w:r>
        <w:rPr>
          <w:rFonts w:ascii="Arial" w:hAnsi="Arial" w:cs="Arial"/>
        </w:rPr>
        <w:t>Currently, g</w:t>
      </w:r>
      <w:r w:rsidR="006F556C" w:rsidRPr="00115F17">
        <w:rPr>
          <w:rFonts w:ascii="Arial" w:hAnsi="Arial" w:cs="Arial"/>
        </w:rPr>
        <w:t xml:space="preserve">eneral </w:t>
      </w:r>
      <w:r>
        <w:rPr>
          <w:rFonts w:ascii="Arial" w:hAnsi="Arial" w:cs="Arial"/>
        </w:rPr>
        <w:t xml:space="preserve">interim </w:t>
      </w:r>
      <w:r w:rsidR="00CB48E7" w:rsidRPr="00115F17">
        <w:rPr>
          <w:rFonts w:ascii="Arial" w:hAnsi="Arial" w:cs="Arial"/>
        </w:rPr>
        <w:t xml:space="preserve">protection orders </w:t>
      </w:r>
      <w:r w:rsidR="00B54890" w:rsidRPr="00115F17">
        <w:rPr>
          <w:rFonts w:ascii="Arial" w:hAnsi="Arial" w:cs="Arial"/>
        </w:rPr>
        <w:t>can be granted to be in</w:t>
      </w:r>
      <w:r w:rsidR="00CC6ADF" w:rsidRPr="00115F17">
        <w:rPr>
          <w:rFonts w:ascii="Arial" w:hAnsi="Arial" w:cs="Arial"/>
        </w:rPr>
        <w:t xml:space="preserve"> place for a maximum of 12 months</w:t>
      </w:r>
      <w:r>
        <w:rPr>
          <w:rFonts w:ascii="Arial" w:hAnsi="Arial" w:cs="Arial"/>
        </w:rPr>
        <w:t xml:space="preserve"> to</w:t>
      </w:r>
      <w:r w:rsidRPr="00115F17">
        <w:rPr>
          <w:rFonts w:ascii="Arial" w:hAnsi="Arial" w:cs="Arial"/>
        </w:rPr>
        <w:t xml:space="preserve"> stop orders operating for longer than necessary</w:t>
      </w:r>
      <w:r>
        <w:rPr>
          <w:rFonts w:ascii="Arial" w:hAnsi="Arial" w:cs="Arial"/>
        </w:rPr>
        <w:t>. In practice, related charges and c</w:t>
      </w:r>
      <w:r w:rsidR="00144634">
        <w:rPr>
          <w:rFonts w:ascii="Arial" w:hAnsi="Arial" w:cs="Arial"/>
        </w:rPr>
        <w:t>riminal</w:t>
      </w:r>
      <w:r w:rsidR="00B54890" w:rsidRPr="00115F17">
        <w:rPr>
          <w:rFonts w:ascii="Arial" w:hAnsi="Arial" w:cs="Arial"/>
        </w:rPr>
        <w:t xml:space="preserve"> proceedings can often take longer than </w:t>
      </w:r>
      <w:r w:rsidR="00E12C20">
        <w:rPr>
          <w:rFonts w:ascii="Arial" w:hAnsi="Arial" w:cs="Arial"/>
        </w:rPr>
        <w:t>12 months</w:t>
      </w:r>
      <w:r w:rsidR="00B54890" w:rsidRPr="00115F17">
        <w:rPr>
          <w:rFonts w:ascii="Arial" w:hAnsi="Arial" w:cs="Arial"/>
        </w:rPr>
        <w:t xml:space="preserve"> to finalise. </w:t>
      </w:r>
      <w:r w:rsidR="00DA2004" w:rsidRPr="00115F17">
        <w:rPr>
          <w:rFonts w:ascii="Arial" w:hAnsi="Arial" w:cs="Arial"/>
        </w:rPr>
        <w:t>Should an interim protection order lapse</w:t>
      </w:r>
      <w:r w:rsidR="00144634">
        <w:rPr>
          <w:rFonts w:ascii="Arial" w:hAnsi="Arial" w:cs="Arial"/>
        </w:rPr>
        <w:t xml:space="preserve"> before the criminal proceedings are finalised</w:t>
      </w:r>
      <w:r w:rsidR="00DA2004" w:rsidRPr="00115F17">
        <w:rPr>
          <w:rFonts w:ascii="Arial" w:hAnsi="Arial" w:cs="Arial"/>
        </w:rPr>
        <w:t>, the victim may not</w:t>
      </w:r>
      <w:r w:rsidR="00144634">
        <w:rPr>
          <w:rFonts w:ascii="Arial" w:hAnsi="Arial" w:cs="Arial"/>
        </w:rPr>
        <w:t xml:space="preserve"> be adequately</w:t>
      </w:r>
      <w:r w:rsidR="00DA2004" w:rsidRPr="00115F17">
        <w:rPr>
          <w:rFonts w:ascii="Arial" w:hAnsi="Arial" w:cs="Arial"/>
        </w:rPr>
        <w:t xml:space="preserve"> protected</w:t>
      </w:r>
      <w:r w:rsidR="00E12711">
        <w:rPr>
          <w:rFonts w:ascii="Arial" w:hAnsi="Arial" w:cs="Arial"/>
        </w:rPr>
        <w:t>, even if the</w:t>
      </w:r>
      <w:r w:rsidR="00144634">
        <w:rPr>
          <w:rFonts w:ascii="Arial" w:hAnsi="Arial" w:cs="Arial"/>
        </w:rPr>
        <w:t xml:space="preserve">re are bail conditions in place. </w:t>
      </w:r>
    </w:p>
    <w:p w14:paraId="3D8297BD" w14:textId="77777777" w:rsidR="001508AD" w:rsidRDefault="003D3420" w:rsidP="00115F17">
      <w:pPr>
        <w:pStyle w:val="BodyText"/>
        <w:rPr>
          <w:rFonts w:ascii="Arial" w:hAnsi="Arial" w:cs="Arial"/>
        </w:rPr>
      </w:pPr>
      <w:r>
        <w:rPr>
          <w:rFonts w:ascii="Arial" w:hAnsi="Arial" w:cs="Arial"/>
        </w:rPr>
        <w:t xml:space="preserve">The Bill does not attempt to change the grounds for granting interim protection orders and all applications will be dealt </w:t>
      </w:r>
      <w:r w:rsidR="00CC6ADF" w:rsidRPr="00115F17">
        <w:rPr>
          <w:rFonts w:ascii="Arial" w:hAnsi="Arial" w:cs="Arial"/>
        </w:rPr>
        <w:t xml:space="preserve">with on its merits by application to the court. </w:t>
      </w:r>
      <w:r w:rsidR="00E12C20" w:rsidRPr="00E12C20">
        <w:rPr>
          <w:rFonts w:ascii="Arial" w:hAnsi="Arial" w:cs="Arial"/>
        </w:rPr>
        <w:t xml:space="preserve">The </w:t>
      </w:r>
      <w:r w:rsidR="00B54890" w:rsidRPr="00E12C20">
        <w:rPr>
          <w:rFonts w:ascii="Arial" w:hAnsi="Arial" w:cs="Arial"/>
        </w:rPr>
        <w:t>respondent</w:t>
      </w:r>
      <w:r w:rsidR="00E12C20" w:rsidRPr="00E12C20">
        <w:rPr>
          <w:rFonts w:ascii="Arial" w:hAnsi="Arial" w:cs="Arial"/>
        </w:rPr>
        <w:t>’s rights are also unchanged, and the respondent</w:t>
      </w:r>
      <w:r w:rsidR="00CB48E7" w:rsidRPr="00E12C20">
        <w:rPr>
          <w:rFonts w:ascii="Arial" w:hAnsi="Arial" w:cs="Arial"/>
        </w:rPr>
        <w:t xml:space="preserve"> can apply for the review of a protection order</w:t>
      </w:r>
      <w:r w:rsidR="00B54890" w:rsidRPr="00E12C20">
        <w:rPr>
          <w:rFonts w:ascii="Arial" w:hAnsi="Arial" w:cs="Arial"/>
        </w:rPr>
        <w:t xml:space="preserve"> or to amend its conditions</w:t>
      </w:r>
      <w:r w:rsidR="00CB48E7" w:rsidRPr="00E12C20">
        <w:rPr>
          <w:rFonts w:ascii="Arial" w:hAnsi="Arial" w:cs="Arial"/>
        </w:rPr>
        <w:t>.</w:t>
      </w:r>
      <w:r w:rsidR="00B54890" w:rsidRPr="00E12C20">
        <w:rPr>
          <w:rFonts w:ascii="Arial" w:hAnsi="Arial" w:cs="Arial"/>
        </w:rPr>
        <w:t xml:space="preserve"> The court would look at this application to amend or review on a case-by-case basis with any new evidence </w:t>
      </w:r>
      <w:r w:rsidR="00B54890" w:rsidRPr="00E12C20">
        <w:rPr>
          <w:rFonts w:ascii="Arial" w:hAnsi="Arial" w:cs="Arial"/>
        </w:rPr>
        <w:lastRenderedPageBreak/>
        <w:t>being put to the court for consideration.</w:t>
      </w:r>
      <w:r w:rsidR="00CB48E7" w:rsidRPr="00E12C20">
        <w:rPr>
          <w:rFonts w:ascii="Arial" w:hAnsi="Arial" w:cs="Arial"/>
        </w:rPr>
        <w:t xml:space="preserve"> This </w:t>
      </w:r>
      <w:r w:rsidR="00144634" w:rsidRPr="00E12C20">
        <w:rPr>
          <w:rFonts w:ascii="Arial" w:hAnsi="Arial" w:cs="Arial"/>
        </w:rPr>
        <w:t>prevents</w:t>
      </w:r>
      <w:r w:rsidR="00CB48E7" w:rsidRPr="00E12C20">
        <w:rPr>
          <w:rFonts w:ascii="Arial" w:hAnsi="Arial" w:cs="Arial"/>
        </w:rPr>
        <w:t xml:space="preserve"> arbitrar</w:t>
      </w:r>
      <w:r w:rsidR="00144634" w:rsidRPr="00E12C20">
        <w:rPr>
          <w:rFonts w:ascii="Arial" w:hAnsi="Arial" w:cs="Arial"/>
        </w:rPr>
        <w:t>y</w:t>
      </w:r>
      <w:r w:rsidR="00CB48E7" w:rsidRPr="00E12C20">
        <w:rPr>
          <w:rFonts w:ascii="Arial" w:hAnsi="Arial" w:cs="Arial"/>
        </w:rPr>
        <w:t xml:space="preserve"> extensions of interim orders. </w:t>
      </w:r>
    </w:p>
    <w:p w14:paraId="6BCF5888" w14:textId="395D5379" w:rsidR="0005332D" w:rsidRPr="00115F17" w:rsidRDefault="0005332D" w:rsidP="001508AD">
      <w:pPr>
        <w:rPr>
          <w:rFonts w:ascii="Arial" w:hAnsi="Arial" w:cs="Arial"/>
        </w:rPr>
      </w:pPr>
      <w:r>
        <w:rPr>
          <w:rFonts w:ascii="Arial" w:hAnsi="Arial" w:cs="Arial"/>
        </w:rPr>
        <w:t>The amendment also provides</w:t>
      </w:r>
      <w:r w:rsidRPr="0005332D">
        <w:rPr>
          <w:rFonts w:ascii="Arial" w:hAnsi="Arial" w:cs="Arial"/>
        </w:rPr>
        <w:t xml:space="preserve"> </w:t>
      </w:r>
      <w:r>
        <w:rPr>
          <w:rFonts w:ascii="Arial" w:hAnsi="Arial" w:cs="Arial"/>
        </w:rPr>
        <w:t>an</w:t>
      </w:r>
      <w:r w:rsidRPr="0005332D">
        <w:rPr>
          <w:rFonts w:ascii="Arial" w:hAnsi="Arial" w:cs="Arial"/>
        </w:rPr>
        <w:t xml:space="preserve"> allowance </w:t>
      </w:r>
      <w:r w:rsidR="001508AD">
        <w:rPr>
          <w:rFonts w:ascii="Arial" w:hAnsi="Arial" w:cs="Arial"/>
        </w:rPr>
        <w:t>for when</w:t>
      </w:r>
      <w:r w:rsidRPr="0005332D">
        <w:rPr>
          <w:rFonts w:ascii="Arial" w:hAnsi="Arial" w:cs="Arial"/>
        </w:rPr>
        <w:t xml:space="preserve"> </w:t>
      </w:r>
      <w:r>
        <w:rPr>
          <w:rFonts w:ascii="Arial" w:hAnsi="Arial" w:cs="Arial"/>
        </w:rPr>
        <w:t>a</w:t>
      </w:r>
      <w:r w:rsidRPr="0005332D">
        <w:rPr>
          <w:rFonts w:ascii="Arial" w:hAnsi="Arial" w:cs="Arial"/>
        </w:rPr>
        <w:t xml:space="preserve"> final </w:t>
      </w:r>
      <w:r>
        <w:rPr>
          <w:rFonts w:ascii="Arial" w:hAnsi="Arial" w:cs="Arial"/>
        </w:rPr>
        <w:t xml:space="preserve">protection </w:t>
      </w:r>
      <w:r w:rsidRPr="0005332D">
        <w:rPr>
          <w:rFonts w:ascii="Arial" w:hAnsi="Arial" w:cs="Arial"/>
        </w:rPr>
        <w:t>order</w:t>
      </w:r>
      <w:r>
        <w:rPr>
          <w:rFonts w:ascii="Arial" w:hAnsi="Arial" w:cs="Arial"/>
        </w:rPr>
        <w:t xml:space="preserve"> </w:t>
      </w:r>
      <w:r w:rsidR="001508AD">
        <w:rPr>
          <w:rFonts w:ascii="Arial" w:hAnsi="Arial" w:cs="Arial"/>
        </w:rPr>
        <w:t>can be made</w:t>
      </w:r>
      <w:r w:rsidRPr="0005332D">
        <w:rPr>
          <w:rFonts w:ascii="Arial" w:hAnsi="Arial" w:cs="Arial"/>
        </w:rPr>
        <w:t xml:space="preserve"> </w:t>
      </w:r>
      <w:r>
        <w:rPr>
          <w:rFonts w:ascii="Arial" w:hAnsi="Arial" w:cs="Arial"/>
        </w:rPr>
        <w:t xml:space="preserve">before all related charges are finalised, this </w:t>
      </w:r>
      <w:r w:rsidRPr="0005332D">
        <w:rPr>
          <w:rFonts w:ascii="Arial" w:hAnsi="Arial" w:cs="Arial"/>
        </w:rPr>
        <w:t>include</w:t>
      </w:r>
      <w:r>
        <w:rPr>
          <w:rFonts w:ascii="Arial" w:hAnsi="Arial" w:cs="Arial"/>
        </w:rPr>
        <w:t>s</w:t>
      </w:r>
      <w:r w:rsidRPr="0005332D">
        <w:rPr>
          <w:rFonts w:ascii="Arial" w:hAnsi="Arial" w:cs="Arial"/>
        </w:rPr>
        <w:t xml:space="preserve"> </w:t>
      </w:r>
      <w:r w:rsidR="001508AD">
        <w:rPr>
          <w:rFonts w:ascii="Arial" w:hAnsi="Arial" w:cs="Arial"/>
        </w:rPr>
        <w:t xml:space="preserve">the circumstances where </w:t>
      </w:r>
      <w:r>
        <w:rPr>
          <w:rFonts w:ascii="Arial" w:hAnsi="Arial" w:cs="Arial"/>
        </w:rPr>
        <w:t>either</w:t>
      </w:r>
      <w:r w:rsidRPr="0005332D">
        <w:rPr>
          <w:rFonts w:ascii="Arial" w:hAnsi="Arial" w:cs="Arial"/>
        </w:rPr>
        <w:t xml:space="preserve"> party is not present at a return of application, or by consent</w:t>
      </w:r>
      <w:r w:rsidR="001508AD">
        <w:rPr>
          <w:rFonts w:ascii="Arial" w:hAnsi="Arial" w:cs="Arial"/>
        </w:rPr>
        <w:t xml:space="preserve"> of the parties</w:t>
      </w:r>
      <w:r w:rsidRPr="0005332D">
        <w:rPr>
          <w:rFonts w:ascii="Arial" w:hAnsi="Arial" w:cs="Arial"/>
        </w:rPr>
        <w:t>.</w:t>
      </w:r>
    </w:p>
    <w:p w14:paraId="392332FB" w14:textId="28CEA9F8" w:rsidR="0017079E" w:rsidRPr="00115F17" w:rsidRDefault="0017079E" w:rsidP="004F117D">
      <w:pPr>
        <w:rPr>
          <w:rFonts w:ascii="Arial" w:hAnsi="Arial" w:cs="Arial"/>
        </w:rPr>
      </w:pPr>
      <w:r w:rsidRPr="002959C6">
        <w:rPr>
          <w:rFonts w:ascii="Arial" w:hAnsi="Arial" w:cs="Arial"/>
          <w:szCs w:val="24"/>
        </w:rPr>
        <w:t>There</w:t>
      </w:r>
      <w:r>
        <w:rPr>
          <w:rFonts w:ascii="Arial" w:hAnsi="Arial" w:cs="Arial"/>
          <w:szCs w:val="24"/>
        </w:rPr>
        <w:t xml:space="preserve"> </w:t>
      </w:r>
      <w:r w:rsidRPr="002959C6">
        <w:rPr>
          <w:rFonts w:ascii="Arial" w:hAnsi="Arial" w:cs="Arial"/>
          <w:szCs w:val="24"/>
        </w:rPr>
        <w:t xml:space="preserve">are </w:t>
      </w:r>
      <w:r>
        <w:rPr>
          <w:rFonts w:ascii="Arial" w:hAnsi="Arial" w:cs="Arial"/>
          <w:szCs w:val="24"/>
        </w:rPr>
        <w:t xml:space="preserve">further </w:t>
      </w:r>
      <w:r w:rsidRPr="002959C6">
        <w:rPr>
          <w:rFonts w:ascii="Arial" w:hAnsi="Arial" w:cs="Arial"/>
          <w:szCs w:val="24"/>
        </w:rPr>
        <w:t>advantages for both the respondent and applicant in having a special interim order where</w:t>
      </w:r>
      <w:r>
        <w:rPr>
          <w:rFonts w:ascii="Arial" w:hAnsi="Arial" w:cs="Arial"/>
          <w:szCs w:val="24"/>
        </w:rPr>
        <w:t xml:space="preserve"> </w:t>
      </w:r>
      <w:r w:rsidRPr="002959C6">
        <w:rPr>
          <w:rFonts w:ascii="Arial" w:hAnsi="Arial" w:cs="Arial"/>
          <w:szCs w:val="24"/>
        </w:rPr>
        <w:t xml:space="preserve">there are related charges. </w:t>
      </w:r>
      <w:r>
        <w:rPr>
          <w:rFonts w:ascii="Arial" w:hAnsi="Arial" w:cs="Arial"/>
          <w:szCs w:val="24"/>
        </w:rPr>
        <w:t>The amendment will</w:t>
      </w:r>
      <w:r w:rsidRPr="002959C6">
        <w:rPr>
          <w:rFonts w:ascii="Arial" w:hAnsi="Arial" w:cs="Arial"/>
          <w:szCs w:val="24"/>
        </w:rPr>
        <w:t xml:space="preserve"> allow </w:t>
      </w:r>
      <w:r w:rsidR="00E12C20">
        <w:rPr>
          <w:rFonts w:ascii="Arial" w:hAnsi="Arial" w:cs="Arial"/>
          <w:szCs w:val="24"/>
        </w:rPr>
        <w:t xml:space="preserve">any </w:t>
      </w:r>
      <w:r w:rsidRPr="002959C6">
        <w:rPr>
          <w:rFonts w:ascii="Arial" w:hAnsi="Arial" w:cs="Arial"/>
          <w:szCs w:val="24"/>
        </w:rPr>
        <w:t>police investigation into related</w:t>
      </w:r>
      <w:r>
        <w:rPr>
          <w:rFonts w:ascii="Arial" w:hAnsi="Arial" w:cs="Arial"/>
          <w:szCs w:val="24"/>
        </w:rPr>
        <w:t xml:space="preserve"> </w:t>
      </w:r>
      <w:r w:rsidRPr="002959C6">
        <w:rPr>
          <w:rFonts w:ascii="Arial" w:hAnsi="Arial" w:cs="Arial"/>
          <w:szCs w:val="24"/>
        </w:rPr>
        <w:t xml:space="preserve">charges to take its course. In addition, a hearing for a final </w:t>
      </w:r>
      <w:r>
        <w:rPr>
          <w:rFonts w:ascii="Arial" w:hAnsi="Arial" w:cs="Arial"/>
          <w:szCs w:val="24"/>
        </w:rPr>
        <w:t xml:space="preserve">PPO or WPO </w:t>
      </w:r>
      <w:r w:rsidRPr="002959C6">
        <w:rPr>
          <w:rFonts w:ascii="Arial" w:hAnsi="Arial" w:cs="Arial"/>
          <w:szCs w:val="24"/>
        </w:rPr>
        <w:t>prior to proceedings for related</w:t>
      </w:r>
      <w:r>
        <w:rPr>
          <w:rFonts w:ascii="Arial" w:hAnsi="Arial" w:cs="Arial"/>
          <w:szCs w:val="24"/>
        </w:rPr>
        <w:t xml:space="preserve"> </w:t>
      </w:r>
      <w:r w:rsidRPr="002959C6">
        <w:rPr>
          <w:rFonts w:ascii="Arial" w:hAnsi="Arial" w:cs="Arial"/>
          <w:szCs w:val="24"/>
        </w:rPr>
        <w:t xml:space="preserve">charges may lead to self-incrimination of the respondent </w:t>
      </w:r>
      <w:r>
        <w:rPr>
          <w:rFonts w:ascii="Arial" w:hAnsi="Arial" w:cs="Arial"/>
          <w:szCs w:val="24"/>
        </w:rPr>
        <w:t>and</w:t>
      </w:r>
      <w:r w:rsidRPr="002959C6">
        <w:rPr>
          <w:rFonts w:ascii="Arial" w:hAnsi="Arial" w:cs="Arial"/>
          <w:szCs w:val="24"/>
        </w:rPr>
        <w:t xml:space="preserve"> unnecessary traumatisation for the</w:t>
      </w:r>
      <w:r>
        <w:rPr>
          <w:rFonts w:ascii="Arial" w:hAnsi="Arial" w:cs="Arial"/>
          <w:szCs w:val="24"/>
        </w:rPr>
        <w:t xml:space="preserve"> </w:t>
      </w:r>
      <w:r w:rsidRPr="002959C6">
        <w:rPr>
          <w:rFonts w:ascii="Arial" w:hAnsi="Arial" w:cs="Arial"/>
          <w:szCs w:val="24"/>
        </w:rPr>
        <w:t xml:space="preserve">applicant. </w:t>
      </w:r>
      <w:r>
        <w:rPr>
          <w:rFonts w:ascii="Arial" w:hAnsi="Arial" w:cs="Arial"/>
          <w:szCs w:val="24"/>
        </w:rPr>
        <w:t>The amendment will</w:t>
      </w:r>
      <w:r w:rsidRPr="002959C6">
        <w:rPr>
          <w:rFonts w:ascii="Arial" w:hAnsi="Arial" w:cs="Arial"/>
          <w:szCs w:val="24"/>
        </w:rPr>
        <w:t xml:space="preserve"> also increase efficiency for the court and parties as the court</w:t>
      </w:r>
      <w:r>
        <w:rPr>
          <w:rFonts w:ascii="Arial" w:hAnsi="Arial" w:cs="Arial"/>
          <w:szCs w:val="24"/>
        </w:rPr>
        <w:t xml:space="preserve"> </w:t>
      </w:r>
      <w:r w:rsidRPr="002959C6">
        <w:rPr>
          <w:rFonts w:ascii="Arial" w:hAnsi="Arial" w:cs="Arial"/>
          <w:szCs w:val="24"/>
        </w:rPr>
        <w:t>finalising the related charges may also decide the application for the final</w:t>
      </w:r>
      <w:r>
        <w:rPr>
          <w:rFonts w:ascii="Arial" w:hAnsi="Arial" w:cs="Arial"/>
          <w:szCs w:val="24"/>
        </w:rPr>
        <w:t xml:space="preserve"> protection orders</w:t>
      </w:r>
      <w:r w:rsidRPr="002959C6">
        <w:rPr>
          <w:rFonts w:ascii="Arial" w:hAnsi="Arial" w:cs="Arial"/>
          <w:szCs w:val="24"/>
        </w:rPr>
        <w:t>.</w:t>
      </w:r>
      <w:r w:rsidR="00E12C20" w:rsidRPr="00115F17">
        <w:rPr>
          <w:rFonts w:ascii="Arial" w:hAnsi="Arial" w:cs="Arial"/>
        </w:rPr>
        <w:t xml:space="preserve"> </w:t>
      </w:r>
    </w:p>
    <w:p w14:paraId="52984284" w14:textId="66A885F0" w:rsidR="00B55BED" w:rsidRPr="00050F68" w:rsidRDefault="00B55BED" w:rsidP="00050F68">
      <w:pPr>
        <w:rPr>
          <w:rFonts w:ascii="Arial" w:hAnsi="Arial" w:cs="Arial"/>
          <w:szCs w:val="24"/>
          <w:lang w:eastAsia="en-AU"/>
        </w:rPr>
      </w:pPr>
      <w:r w:rsidRPr="00050F68">
        <w:rPr>
          <w:rFonts w:ascii="Arial" w:hAnsi="Arial" w:cs="Arial"/>
          <w:szCs w:val="24"/>
          <w:lang w:eastAsia="en-AU"/>
        </w:rPr>
        <w:br w:type="page"/>
      </w:r>
    </w:p>
    <w:p w14:paraId="5BA082E0" w14:textId="4CAE648E" w:rsidR="00B55BED" w:rsidRPr="00050F68" w:rsidRDefault="00F25649" w:rsidP="00B55BED">
      <w:pPr>
        <w:jc w:val="center"/>
        <w:rPr>
          <w:rFonts w:ascii="Arial" w:hAnsi="Arial" w:cs="Arial"/>
          <w:i/>
          <w:iCs/>
          <w:szCs w:val="24"/>
        </w:rPr>
      </w:pPr>
      <w:r>
        <w:rPr>
          <w:rFonts w:ascii="Arial" w:hAnsi="Arial" w:cs="Arial"/>
          <w:szCs w:val="24"/>
          <w:shd w:val="clear" w:color="auto" w:fill="FFFFFF" w:themeFill="background1"/>
        </w:rPr>
        <w:lastRenderedPageBreak/>
        <w:t xml:space="preserve">Sexual Assault Reform Legislation Amendment Bill 2022 </w:t>
      </w:r>
    </w:p>
    <w:p w14:paraId="37C9AECE" w14:textId="77777777" w:rsidR="00B55BED" w:rsidRPr="00050F68" w:rsidRDefault="00B55BED" w:rsidP="00B55BED">
      <w:pPr>
        <w:pStyle w:val="Heading4"/>
        <w:ind w:left="-108"/>
        <w:jc w:val="center"/>
        <w:rPr>
          <w:rFonts w:ascii="Arial" w:hAnsi="Arial" w:cs="Arial"/>
        </w:rPr>
      </w:pPr>
      <w:r w:rsidRPr="00050F68">
        <w:rPr>
          <w:rFonts w:ascii="Arial" w:hAnsi="Arial" w:cs="Arial"/>
          <w:i/>
          <w:iCs/>
        </w:rPr>
        <w:t>Human Rights Act 2004</w:t>
      </w:r>
      <w:r w:rsidRPr="00050F68">
        <w:rPr>
          <w:rFonts w:ascii="Arial" w:hAnsi="Arial" w:cs="Arial"/>
        </w:rPr>
        <w:t xml:space="preserve"> </w:t>
      </w:r>
      <w:r w:rsidRPr="00050F68">
        <w:rPr>
          <w:rFonts w:ascii="Arial" w:hAnsi="Arial" w:cs="Arial"/>
          <w:i/>
          <w:iCs/>
        </w:rPr>
        <w:t>- Compatibility Statement</w:t>
      </w:r>
    </w:p>
    <w:p w14:paraId="4F43F019" w14:textId="77777777" w:rsidR="00B55BED" w:rsidRPr="00050F68" w:rsidRDefault="00B55BED" w:rsidP="00B55BED">
      <w:pPr>
        <w:rPr>
          <w:rFonts w:ascii="Arial" w:hAnsi="Arial" w:cs="Arial"/>
          <w:szCs w:val="24"/>
        </w:rPr>
      </w:pPr>
    </w:p>
    <w:p w14:paraId="7C5ED20F" w14:textId="77777777" w:rsidR="00B55BED" w:rsidRPr="00050F68" w:rsidRDefault="00B55BED" w:rsidP="00B55BED">
      <w:pPr>
        <w:rPr>
          <w:rFonts w:ascii="Arial" w:hAnsi="Arial" w:cs="Arial"/>
          <w:szCs w:val="24"/>
        </w:rPr>
      </w:pPr>
    </w:p>
    <w:p w14:paraId="5CAD87A1" w14:textId="33A64B8B" w:rsidR="00B55BED" w:rsidRPr="00050F68" w:rsidRDefault="00B55BED" w:rsidP="00B55BED">
      <w:pPr>
        <w:jc w:val="both"/>
        <w:rPr>
          <w:rFonts w:ascii="Arial" w:hAnsi="Arial" w:cs="Arial"/>
          <w:szCs w:val="24"/>
        </w:rPr>
      </w:pPr>
      <w:r w:rsidRPr="00050F68">
        <w:rPr>
          <w:rFonts w:ascii="Arial" w:hAnsi="Arial" w:cs="Arial"/>
          <w:szCs w:val="24"/>
        </w:rPr>
        <w:t xml:space="preserve">In accordance with section 37 of the </w:t>
      </w:r>
      <w:r w:rsidRPr="00050F68">
        <w:rPr>
          <w:rFonts w:ascii="Arial" w:hAnsi="Arial" w:cs="Arial"/>
          <w:i/>
          <w:iCs/>
          <w:szCs w:val="24"/>
        </w:rPr>
        <w:t>Human Rights Act 2004</w:t>
      </w:r>
      <w:r w:rsidRPr="00050F68">
        <w:rPr>
          <w:rFonts w:ascii="Arial" w:hAnsi="Arial" w:cs="Arial"/>
          <w:szCs w:val="24"/>
        </w:rPr>
        <w:t xml:space="preserve"> I have examined the</w:t>
      </w:r>
      <w:r w:rsidR="00F25649">
        <w:rPr>
          <w:rFonts w:ascii="Arial" w:hAnsi="Arial" w:cs="Arial"/>
          <w:b/>
          <w:bCs/>
          <w:caps/>
          <w:szCs w:val="24"/>
        </w:rPr>
        <w:t xml:space="preserve"> </w:t>
      </w:r>
      <w:r w:rsidR="00F25649">
        <w:rPr>
          <w:rFonts w:ascii="Arial" w:hAnsi="Arial" w:cs="Arial"/>
          <w:b/>
          <w:bCs/>
          <w:szCs w:val="24"/>
        </w:rPr>
        <w:t>Sexual Assault Reform Legislation Amendment Bill 2022</w:t>
      </w:r>
      <w:r w:rsidRPr="00050F68">
        <w:rPr>
          <w:rFonts w:ascii="Arial" w:hAnsi="Arial" w:cs="Arial"/>
          <w:szCs w:val="24"/>
        </w:rPr>
        <w:t>. In my opinion, having regard to the outline of the policy considerations and justification of any limitations on rights outlined in this explanatory statement, the Bill as presented to the Legislative Asse</w:t>
      </w:r>
      <w:r w:rsidRPr="00D0597F">
        <w:rPr>
          <w:rFonts w:ascii="Arial" w:hAnsi="Arial" w:cs="Arial"/>
          <w:szCs w:val="24"/>
        </w:rPr>
        <w:t>mbly</w:t>
      </w:r>
      <w:r w:rsidRPr="00D0597F">
        <w:rPr>
          <w:rFonts w:ascii="Arial" w:hAnsi="Arial" w:cs="Arial"/>
          <w:b/>
          <w:szCs w:val="24"/>
        </w:rPr>
        <w:t xml:space="preserve"> is</w:t>
      </w:r>
      <w:r w:rsidRPr="00D0597F">
        <w:rPr>
          <w:rFonts w:ascii="Arial" w:hAnsi="Arial" w:cs="Arial"/>
          <w:szCs w:val="24"/>
        </w:rPr>
        <w:t xml:space="preserve"> consistent</w:t>
      </w:r>
      <w:r w:rsidRPr="00050F68">
        <w:rPr>
          <w:rFonts w:ascii="Arial" w:hAnsi="Arial" w:cs="Arial"/>
          <w:szCs w:val="24"/>
        </w:rPr>
        <w:t xml:space="preserve"> with the </w:t>
      </w:r>
      <w:r w:rsidRPr="00050F68">
        <w:rPr>
          <w:rFonts w:ascii="Arial" w:hAnsi="Arial" w:cs="Arial"/>
          <w:i/>
          <w:iCs/>
          <w:szCs w:val="24"/>
        </w:rPr>
        <w:t>Human Rights Act 2004.</w:t>
      </w:r>
    </w:p>
    <w:p w14:paraId="083900D6" w14:textId="77777777" w:rsidR="00B55BED" w:rsidRPr="00050F68" w:rsidRDefault="00B55BED" w:rsidP="00B55BED">
      <w:pPr>
        <w:rPr>
          <w:rFonts w:ascii="Arial" w:hAnsi="Arial" w:cs="Arial"/>
          <w:szCs w:val="24"/>
        </w:rPr>
      </w:pPr>
    </w:p>
    <w:p w14:paraId="0DE1C0F3" w14:textId="77777777" w:rsidR="00B55BED" w:rsidRPr="00050F68" w:rsidRDefault="00B55BED" w:rsidP="00B55BED">
      <w:pPr>
        <w:rPr>
          <w:rFonts w:ascii="Arial" w:hAnsi="Arial" w:cs="Arial"/>
          <w:szCs w:val="24"/>
        </w:rPr>
      </w:pPr>
    </w:p>
    <w:p w14:paraId="28B3EE64" w14:textId="77777777" w:rsidR="00B55BED" w:rsidRPr="00050F68" w:rsidRDefault="00B55BED" w:rsidP="00B55BED">
      <w:pPr>
        <w:rPr>
          <w:rFonts w:ascii="Arial" w:hAnsi="Arial" w:cs="Arial"/>
          <w:szCs w:val="24"/>
        </w:rPr>
      </w:pPr>
      <w:r w:rsidRPr="00050F68">
        <w:rPr>
          <w:rFonts w:ascii="Arial" w:hAnsi="Arial" w:cs="Arial"/>
          <w:szCs w:val="24"/>
        </w:rPr>
        <w:t>………………………………………………….</w:t>
      </w:r>
    </w:p>
    <w:p w14:paraId="19CD2A14" w14:textId="3FC86C74" w:rsidR="00B55BED" w:rsidRPr="00050F68" w:rsidRDefault="009A2EE1" w:rsidP="00B55BED">
      <w:pPr>
        <w:rPr>
          <w:rFonts w:ascii="Arial" w:hAnsi="Arial" w:cs="Arial"/>
          <w:szCs w:val="24"/>
        </w:rPr>
      </w:pPr>
      <w:r>
        <w:rPr>
          <w:rFonts w:ascii="Arial" w:hAnsi="Arial" w:cs="Arial"/>
          <w:szCs w:val="24"/>
        </w:rPr>
        <w:t xml:space="preserve">Shane Rattenbury </w:t>
      </w:r>
      <w:r w:rsidR="00B55BED" w:rsidRPr="00050F68">
        <w:rPr>
          <w:rFonts w:ascii="Arial" w:hAnsi="Arial" w:cs="Arial"/>
          <w:szCs w:val="24"/>
        </w:rPr>
        <w:t>MLA</w:t>
      </w:r>
      <w:r w:rsidR="00B55BED" w:rsidRPr="00050F68">
        <w:rPr>
          <w:rFonts w:ascii="Arial" w:hAnsi="Arial" w:cs="Arial"/>
          <w:szCs w:val="24"/>
        </w:rPr>
        <w:br/>
        <w:t>Attorney-General</w:t>
      </w:r>
    </w:p>
    <w:p w14:paraId="6ED3FA22" w14:textId="77777777" w:rsidR="00B55BED" w:rsidRPr="00050F68" w:rsidRDefault="00B55BED" w:rsidP="00B55BED">
      <w:pPr>
        <w:spacing w:before="200"/>
        <w:rPr>
          <w:rFonts w:ascii="Arial" w:hAnsi="Arial" w:cs="Arial"/>
          <w:szCs w:val="24"/>
        </w:rPr>
      </w:pPr>
    </w:p>
    <w:p w14:paraId="4FFA97DB" w14:textId="77777777" w:rsidR="00B55BED" w:rsidRPr="00050F68" w:rsidRDefault="00B55BED" w:rsidP="00D21B72">
      <w:pPr>
        <w:rPr>
          <w:rFonts w:ascii="Arial" w:hAnsi="Arial" w:cs="Arial"/>
          <w:szCs w:val="24"/>
        </w:rPr>
      </w:pPr>
    </w:p>
    <w:p w14:paraId="75C30062" w14:textId="77777777" w:rsidR="00D21B72" w:rsidRPr="00050F68" w:rsidRDefault="00D21B72" w:rsidP="00D21B72">
      <w:pPr>
        <w:keepNext/>
        <w:autoSpaceDE w:val="0"/>
        <w:autoSpaceDN w:val="0"/>
        <w:adjustRightInd w:val="0"/>
        <w:spacing w:before="240" w:after="120"/>
        <w:jc w:val="center"/>
        <w:rPr>
          <w:rFonts w:ascii="Arial" w:hAnsi="Arial" w:cs="Arial"/>
          <w:bCs/>
          <w:szCs w:val="24"/>
        </w:rPr>
      </w:pPr>
    </w:p>
    <w:p w14:paraId="17FDD1FD" w14:textId="77777777" w:rsidR="00B55BED" w:rsidRPr="00050F68" w:rsidRDefault="00B55BED">
      <w:pPr>
        <w:spacing w:after="0" w:line="240" w:lineRule="auto"/>
        <w:rPr>
          <w:rFonts w:ascii="Arial" w:hAnsi="Arial" w:cs="Arial"/>
          <w:b/>
          <w:bCs/>
          <w:szCs w:val="24"/>
          <w:lang w:eastAsia="en-AU"/>
        </w:rPr>
      </w:pPr>
      <w:r w:rsidRPr="00050F68">
        <w:rPr>
          <w:rFonts w:ascii="Arial" w:hAnsi="Arial" w:cs="Arial"/>
          <w:b/>
          <w:bCs/>
          <w:szCs w:val="24"/>
          <w:lang w:eastAsia="en-AU"/>
        </w:rPr>
        <w:br w:type="page"/>
      </w:r>
    </w:p>
    <w:p w14:paraId="54F2A35E" w14:textId="11628A1F" w:rsidR="00702566" w:rsidRPr="00050F68" w:rsidRDefault="00F25649" w:rsidP="00D21B72">
      <w:pPr>
        <w:keepNext/>
        <w:autoSpaceDE w:val="0"/>
        <w:autoSpaceDN w:val="0"/>
        <w:adjustRightInd w:val="0"/>
        <w:spacing w:before="240" w:after="120"/>
        <w:jc w:val="center"/>
        <w:rPr>
          <w:rFonts w:ascii="Arial" w:hAnsi="Arial" w:cs="Arial"/>
          <w:b/>
          <w:bCs/>
          <w:szCs w:val="24"/>
          <w:lang w:eastAsia="en-AU"/>
        </w:rPr>
      </w:pPr>
      <w:r>
        <w:rPr>
          <w:rFonts w:ascii="Arial" w:hAnsi="Arial" w:cs="Arial"/>
          <w:b/>
          <w:bCs/>
          <w:szCs w:val="24"/>
          <w:lang w:eastAsia="en-AU"/>
        </w:rPr>
        <w:lastRenderedPageBreak/>
        <w:t>Sexual Assault Reform Legislation Amendment Bill 2022</w:t>
      </w:r>
    </w:p>
    <w:p w14:paraId="7B72276F" w14:textId="77777777" w:rsidR="00702566" w:rsidRPr="00050F68" w:rsidRDefault="00702566" w:rsidP="00A363CB">
      <w:pPr>
        <w:pStyle w:val="Title"/>
        <w:spacing w:before="240" w:after="120"/>
        <w:rPr>
          <w:rFonts w:ascii="Arial" w:hAnsi="Arial" w:cs="Arial"/>
          <w:sz w:val="24"/>
          <w:szCs w:val="24"/>
          <w:lang w:eastAsia="en-AU"/>
        </w:rPr>
      </w:pPr>
      <w:bookmarkStart w:id="18" w:name="_Toc426711261"/>
      <w:bookmarkStart w:id="19" w:name="_Toc429052824"/>
      <w:bookmarkStart w:id="20" w:name="_Toc114051957"/>
      <w:r w:rsidRPr="00050F68">
        <w:rPr>
          <w:rFonts w:ascii="Arial" w:hAnsi="Arial" w:cs="Arial"/>
          <w:sz w:val="24"/>
          <w:szCs w:val="24"/>
          <w:lang w:eastAsia="en-AU"/>
        </w:rPr>
        <w:t>Detail</w:t>
      </w:r>
      <w:bookmarkEnd w:id="18"/>
      <w:bookmarkEnd w:id="19"/>
      <w:bookmarkEnd w:id="20"/>
    </w:p>
    <w:p w14:paraId="655FC8CE" w14:textId="75A23DB3" w:rsidR="00AC5B87" w:rsidRPr="00050F68" w:rsidRDefault="00AC5B87" w:rsidP="00AC5B87">
      <w:pPr>
        <w:pStyle w:val="Heading1"/>
        <w:rPr>
          <w:rFonts w:ascii="Arial" w:hAnsi="Arial" w:cs="Arial"/>
          <w:sz w:val="24"/>
          <w:szCs w:val="24"/>
          <w:lang w:eastAsia="en-AU"/>
        </w:rPr>
      </w:pPr>
      <w:bookmarkStart w:id="21" w:name="_Preamble"/>
      <w:bookmarkStart w:id="22" w:name="_Toc114051958"/>
      <w:bookmarkEnd w:id="21"/>
      <w:r w:rsidRPr="00050F68">
        <w:rPr>
          <w:rFonts w:ascii="Arial" w:hAnsi="Arial" w:cs="Arial"/>
          <w:sz w:val="24"/>
          <w:szCs w:val="24"/>
          <w:lang w:eastAsia="en-AU"/>
        </w:rPr>
        <w:t xml:space="preserve">Part </w:t>
      </w:r>
      <w:r w:rsidR="00326167"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00326167" w:rsidRPr="00050F68">
        <w:rPr>
          <w:rFonts w:ascii="Arial" w:hAnsi="Arial" w:cs="Arial"/>
          <w:sz w:val="24"/>
          <w:szCs w:val="24"/>
          <w:lang w:eastAsia="en-AU"/>
        </w:rPr>
        <w:fldChar w:fldCharType="separate"/>
      </w:r>
      <w:r w:rsidR="00705348">
        <w:rPr>
          <w:rFonts w:ascii="Arial" w:hAnsi="Arial" w:cs="Arial"/>
          <w:noProof/>
          <w:sz w:val="24"/>
          <w:szCs w:val="24"/>
          <w:lang w:eastAsia="en-AU"/>
        </w:rPr>
        <w:t>1</w:t>
      </w:r>
      <w:r w:rsidR="00326167" w:rsidRPr="00050F68">
        <w:rPr>
          <w:rFonts w:ascii="Arial" w:hAnsi="Arial" w:cs="Arial"/>
          <w:sz w:val="24"/>
          <w:szCs w:val="24"/>
          <w:lang w:eastAsia="en-AU"/>
        </w:rPr>
        <w:fldChar w:fldCharType="end"/>
      </w:r>
      <w:r w:rsidRPr="00050F68">
        <w:rPr>
          <w:rFonts w:ascii="Arial" w:hAnsi="Arial" w:cs="Arial"/>
          <w:sz w:val="24"/>
          <w:szCs w:val="24"/>
          <w:lang w:eastAsia="en-AU"/>
        </w:rPr>
        <w:t xml:space="preserve"> – Preliminary</w:t>
      </w:r>
      <w:bookmarkEnd w:id="22"/>
    </w:p>
    <w:p w14:paraId="26A76DDD" w14:textId="109037E6"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705348">
        <w:rPr>
          <w:rFonts w:ascii="Arial" w:hAnsi="Arial" w:cs="Arial"/>
          <w:noProof/>
        </w:rPr>
        <w:t>1</w:t>
      </w:r>
      <w:r w:rsidR="00326167" w:rsidRPr="00050F68">
        <w:rPr>
          <w:rFonts w:ascii="Arial" w:hAnsi="Arial" w:cs="Arial"/>
        </w:rPr>
        <w:fldChar w:fldCharType="end"/>
      </w:r>
      <w:r w:rsidR="00702566" w:rsidRPr="00050F68">
        <w:rPr>
          <w:rFonts w:ascii="Arial" w:hAnsi="Arial" w:cs="Arial"/>
          <w:bCs/>
          <w:lang w:eastAsia="en-AU"/>
        </w:rPr>
        <w:t xml:space="preserve"> — Name of Act</w:t>
      </w:r>
    </w:p>
    <w:p w14:paraId="002E87C3" w14:textId="36EF1A4B" w:rsidR="00702566" w:rsidRPr="00050F68" w:rsidRDefault="00702566" w:rsidP="00A363CB">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 xml:space="preserve">This is a technical clause that names the short title of the Act. The name of the Act </w:t>
      </w:r>
      <w:r w:rsidR="00807087" w:rsidRPr="00050F68">
        <w:rPr>
          <w:rFonts w:ascii="Arial" w:hAnsi="Arial" w:cs="Arial"/>
          <w:szCs w:val="24"/>
          <w:lang w:eastAsia="en-AU"/>
        </w:rPr>
        <w:t>will</w:t>
      </w:r>
      <w:r w:rsidRPr="00050F68">
        <w:rPr>
          <w:rFonts w:ascii="Arial" w:hAnsi="Arial" w:cs="Arial"/>
          <w:szCs w:val="24"/>
          <w:lang w:eastAsia="en-AU"/>
        </w:rPr>
        <w:t xml:space="preserve"> be</w:t>
      </w:r>
      <w:r w:rsidR="001B7E69" w:rsidRPr="00050F68">
        <w:rPr>
          <w:rFonts w:ascii="Arial" w:hAnsi="Arial" w:cs="Arial"/>
          <w:szCs w:val="24"/>
          <w:lang w:eastAsia="en-AU"/>
        </w:rPr>
        <w:t xml:space="preserve"> </w:t>
      </w:r>
      <w:r w:rsidRPr="00050F68">
        <w:rPr>
          <w:rFonts w:ascii="Arial" w:hAnsi="Arial" w:cs="Arial"/>
          <w:szCs w:val="24"/>
          <w:lang w:eastAsia="en-AU"/>
        </w:rPr>
        <w:t>the</w:t>
      </w:r>
      <w:r w:rsidR="00945F79">
        <w:rPr>
          <w:rFonts w:ascii="Arial" w:hAnsi="Arial" w:cs="Arial"/>
          <w:szCs w:val="24"/>
          <w:lang w:eastAsia="en-AU"/>
        </w:rPr>
        <w:t xml:space="preserve"> </w:t>
      </w:r>
      <w:r w:rsidR="00945F79" w:rsidRPr="00945F79">
        <w:rPr>
          <w:rFonts w:ascii="Arial" w:hAnsi="Arial" w:cs="Arial"/>
          <w:i/>
          <w:iCs/>
          <w:szCs w:val="24"/>
          <w:lang w:eastAsia="en-AU"/>
        </w:rPr>
        <w:t>Sexual Assault Reform Legislation Amendment Act 2022</w:t>
      </w:r>
      <w:r w:rsidR="00945F79">
        <w:rPr>
          <w:rFonts w:ascii="Arial" w:hAnsi="Arial" w:cs="Arial"/>
          <w:szCs w:val="24"/>
          <w:lang w:eastAsia="en-AU"/>
        </w:rPr>
        <w:t>.</w:t>
      </w:r>
    </w:p>
    <w:p w14:paraId="141AFA77" w14:textId="54070BBB"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705348">
        <w:rPr>
          <w:rFonts w:ascii="Arial" w:hAnsi="Arial" w:cs="Arial"/>
          <w:noProof/>
        </w:rPr>
        <w:t>2</w:t>
      </w:r>
      <w:r w:rsidR="00326167" w:rsidRPr="00050F68">
        <w:rPr>
          <w:rFonts w:ascii="Arial" w:hAnsi="Arial" w:cs="Arial"/>
        </w:rPr>
        <w:fldChar w:fldCharType="end"/>
      </w:r>
      <w:r w:rsidRPr="00050F68">
        <w:rPr>
          <w:rFonts w:ascii="Arial" w:hAnsi="Arial" w:cs="Arial"/>
          <w:bCs/>
          <w:lang w:eastAsia="en-AU"/>
        </w:rPr>
        <w:t xml:space="preserve"> </w:t>
      </w:r>
      <w:r w:rsidR="00702566" w:rsidRPr="00050F68">
        <w:rPr>
          <w:rFonts w:ascii="Arial" w:hAnsi="Arial" w:cs="Arial"/>
          <w:bCs/>
          <w:lang w:eastAsia="en-AU"/>
        </w:rPr>
        <w:t>— Commencement</w:t>
      </w:r>
    </w:p>
    <w:p w14:paraId="6A076AAA" w14:textId="62FEB526" w:rsidR="00A11978" w:rsidRPr="00050F68" w:rsidRDefault="001F7F5F" w:rsidP="00DF7319">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This clause provid</w:t>
      </w:r>
      <w:r w:rsidR="00393C03" w:rsidRPr="00050F68">
        <w:rPr>
          <w:rFonts w:ascii="Arial" w:hAnsi="Arial" w:cs="Arial"/>
          <w:szCs w:val="24"/>
          <w:lang w:eastAsia="en-AU"/>
        </w:rPr>
        <w:t>es that the Act</w:t>
      </w:r>
      <w:r w:rsidR="00DF7319" w:rsidRPr="00050F68">
        <w:rPr>
          <w:rFonts w:ascii="Arial" w:hAnsi="Arial" w:cs="Arial"/>
          <w:szCs w:val="24"/>
          <w:lang w:eastAsia="en-AU"/>
        </w:rPr>
        <w:t xml:space="preserve"> </w:t>
      </w:r>
      <w:r w:rsidR="00393C03" w:rsidRPr="00050F68">
        <w:rPr>
          <w:rFonts w:ascii="Arial" w:hAnsi="Arial" w:cs="Arial"/>
          <w:szCs w:val="24"/>
          <w:lang w:eastAsia="en-AU"/>
        </w:rPr>
        <w:t>will commence</w:t>
      </w:r>
      <w:r w:rsidR="005D0412" w:rsidRPr="00050F68">
        <w:rPr>
          <w:rFonts w:ascii="Arial" w:hAnsi="Arial" w:cs="Arial"/>
          <w:szCs w:val="24"/>
          <w:lang w:eastAsia="en-AU"/>
        </w:rPr>
        <w:t xml:space="preserve"> </w:t>
      </w:r>
      <w:r w:rsidR="005D3464">
        <w:rPr>
          <w:rFonts w:ascii="Arial" w:hAnsi="Arial" w:cs="Arial"/>
          <w:szCs w:val="24"/>
          <w:lang w:eastAsia="en-AU"/>
        </w:rPr>
        <w:t>on the 7</w:t>
      </w:r>
      <w:r w:rsidR="005D3464" w:rsidRPr="005D3464">
        <w:rPr>
          <w:rFonts w:ascii="Arial" w:hAnsi="Arial" w:cs="Arial"/>
          <w:szCs w:val="24"/>
          <w:vertAlign w:val="superscript"/>
          <w:lang w:eastAsia="en-AU"/>
        </w:rPr>
        <w:t>th</w:t>
      </w:r>
      <w:r w:rsidR="005D3464">
        <w:rPr>
          <w:rFonts w:ascii="Arial" w:hAnsi="Arial" w:cs="Arial"/>
          <w:szCs w:val="24"/>
          <w:lang w:eastAsia="en-AU"/>
        </w:rPr>
        <w:t xml:space="preserve"> day after its notification day.</w:t>
      </w:r>
    </w:p>
    <w:p w14:paraId="3E1BACD4" w14:textId="099080A0" w:rsidR="00C87B10" w:rsidRPr="00050F68" w:rsidRDefault="00C87B10" w:rsidP="00C87B10">
      <w:pPr>
        <w:pStyle w:val="Heading4"/>
        <w:rPr>
          <w:rFonts w:ascii="Arial" w:hAnsi="Arial" w:cs="Arial"/>
          <w:bCs/>
          <w:lang w:eastAsia="en-AU"/>
        </w:rPr>
      </w:pPr>
      <w:r w:rsidRPr="00050F68">
        <w:rPr>
          <w:rFonts w:ascii="Arial" w:hAnsi="Arial" w:cs="Arial"/>
        </w:rPr>
        <w:t>Clause</w:t>
      </w:r>
      <w:r w:rsidR="00462296">
        <w:rPr>
          <w:rFonts w:ascii="Arial" w:hAnsi="Arial" w:cs="Arial"/>
        </w:rPr>
        <w:t xml:space="preserve"> </w:t>
      </w:r>
      <w:r w:rsidR="00462296">
        <w:rPr>
          <w:rFonts w:ascii="Arial" w:hAnsi="Arial" w:cs="Arial"/>
        </w:rPr>
        <w:fldChar w:fldCharType="begin"/>
      </w:r>
      <w:r w:rsidR="00462296">
        <w:rPr>
          <w:rFonts w:ascii="Arial" w:hAnsi="Arial" w:cs="Arial"/>
        </w:rPr>
        <w:instrText xml:space="preserve"> SEQ Clause \* ARABIC  \* MERGEFORMAT </w:instrText>
      </w:r>
      <w:r w:rsidR="00462296">
        <w:rPr>
          <w:rFonts w:ascii="Arial" w:hAnsi="Arial" w:cs="Arial"/>
        </w:rPr>
        <w:fldChar w:fldCharType="separate"/>
      </w:r>
      <w:r w:rsidR="00705348">
        <w:rPr>
          <w:rFonts w:ascii="Arial" w:hAnsi="Arial" w:cs="Arial"/>
          <w:noProof/>
        </w:rPr>
        <w:t>3</w:t>
      </w:r>
      <w:r w:rsidR="00462296">
        <w:rPr>
          <w:rFonts w:ascii="Arial" w:hAnsi="Arial" w:cs="Arial"/>
        </w:rPr>
        <w:fldChar w:fldCharType="end"/>
      </w:r>
      <w:r w:rsidRPr="00050F68">
        <w:rPr>
          <w:rFonts w:ascii="Arial" w:hAnsi="Arial" w:cs="Arial"/>
          <w:bCs/>
          <w:lang w:eastAsia="en-AU"/>
        </w:rPr>
        <w:t>— Legislation Amended</w:t>
      </w:r>
    </w:p>
    <w:p w14:paraId="46C20E91" w14:textId="12548ABA" w:rsidR="00C87B10" w:rsidRDefault="00C87B10" w:rsidP="00C87B10">
      <w:pPr>
        <w:spacing w:before="240" w:after="120"/>
        <w:rPr>
          <w:rFonts w:ascii="Arial" w:hAnsi="Arial" w:cs="Arial"/>
          <w:szCs w:val="24"/>
          <w:lang w:eastAsia="en-AU"/>
        </w:rPr>
      </w:pPr>
      <w:r w:rsidRPr="00050F68">
        <w:rPr>
          <w:rFonts w:ascii="Arial" w:hAnsi="Arial" w:cs="Arial"/>
          <w:szCs w:val="24"/>
          <w:lang w:eastAsia="en-AU"/>
        </w:rPr>
        <w:t xml:space="preserve">This clause </w:t>
      </w:r>
      <w:r w:rsidR="00442BD2" w:rsidRPr="00050F68">
        <w:rPr>
          <w:rFonts w:ascii="Arial" w:hAnsi="Arial" w:cs="Arial"/>
          <w:szCs w:val="24"/>
          <w:lang w:eastAsia="en-AU"/>
        </w:rPr>
        <w:t xml:space="preserve">lists the legislation amended by this Bill. This Bill will amend the </w:t>
      </w:r>
      <w:r w:rsidR="00945F79">
        <w:rPr>
          <w:rFonts w:ascii="Arial" w:hAnsi="Arial" w:cs="Arial"/>
          <w:i/>
          <w:szCs w:val="24"/>
          <w:lang w:eastAsia="en-AU"/>
        </w:rPr>
        <w:t>following legislation:</w:t>
      </w:r>
    </w:p>
    <w:p w14:paraId="0571B499" w14:textId="77777777" w:rsidR="009A2EE1" w:rsidRPr="009A2EE1" w:rsidRDefault="009A2EE1" w:rsidP="009A2EE1">
      <w:pPr>
        <w:pStyle w:val="ListParagraph"/>
        <w:numPr>
          <w:ilvl w:val="0"/>
          <w:numId w:val="37"/>
        </w:numPr>
        <w:spacing w:after="120"/>
        <w:rPr>
          <w:rFonts w:ascii="Arial" w:hAnsi="Arial" w:cs="Arial"/>
          <w:i/>
          <w:iCs/>
          <w:sz w:val="22"/>
          <w:szCs w:val="22"/>
        </w:rPr>
      </w:pPr>
      <w:r w:rsidRPr="009A2EE1">
        <w:rPr>
          <w:rFonts w:ascii="Arial" w:hAnsi="Arial" w:cs="Arial"/>
          <w:i/>
          <w:iCs/>
          <w:sz w:val="22"/>
          <w:szCs w:val="22"/>
        </w:rPr>
        <w:t xml:space="preserve">Bail Act 1992 </w:t>
      </w:r>
    </w:p>
    <w:p w14:paraId="108F78E1" w14:textId="77777777" w:rsidR="009A2EE1" w:rsidRPr="009A2EE1" w:rsidRDefault="009A2EE1" w:rsidP="009A2EE1">
      <w:pPr>
        <w:pStyle w:val="ListParagraph"/>
        <w:numPr>
          <w:ilvl w:val="0"/>
          <w:numId w:val="37"/>
        </w:numPr>
        <w:spacing w:after="120"/>
        <w:rPr>
          <w:rFonts w:ascii="Arial" w:hAnsi="Arial" w:cs="Arial"/>
          <w:i/>
          <w:iCs/>
          <w:sz w:val="22"/>
          <w:szCs w:val="22"/>
        </w:rPr>
      </w:pPr>
      <w:r w:rsidRPr="009A2EE1">
        <w:rPr>
          <w:rFonts w:ascii="Arial" w:hAnsi="Arial" w:cs="Arial"/>
          <w:i/>
          <w:iCs/>
          <w:sz w:val="22"/>
          <w:szCs w:val="22"/>
        </w:rPr>
        <w:t xml:space="preserve">Crimes Act 1900 </w:t>
      </w:r>
    </w:p>
    <w:p w14:paraId="5407ABE5" w14:textId="77777777" w:rsidR="009A2EE1" w:rsidRPr="009A2EE1" w:rsidRDefault="009A2EE1" w:rsidP="009A2EE1">
      <w:pPr>
        <w:pStyle w:val="ListParagraph"/>
        <w:numPr>
          <w:ilvl w:val="0"/>
          <w:numId w:val="37"/>
        </w:numPr>
        <w:spacing w:after="120"/>
        <w:rPr>
          <w:rFonts w:ascii="Arial" w:hAnsi="Arial" w:cs="Arial"/>
          <w:i/>
          <w:iCs/>
          <w:sz w:val="22"/>
          <w:szCs w:val="22"/>
        </w:rPr>
      </w:pPr>
      <w:r w:rsidRPr="009A2EE1">
        <w:rPr>
          <w:rFonts w:ascii="Arial" w:hAnsi="Arial" w:cs="Arial"/>
          <w:i/>
          <w:iCs/>
          <w:sz w:val="22"/>
          <w:szCs w:val="22"/>
        </w:rPr>
        <w:t xml:space="preserve">Evidence (Miscellaneous Provisions) Act 1991 </w:t>
      </w:r>
    </w:p>
    <w:p w14:paraId="0F8194A7" w14:textId="7BCFAC7F" w:rsidR="009A2EE1" w:rsidRPr="009A2EE1" w:rsidRDefault="009A2EE1" w:rsidP="009A2EE1">
      <w:pPr>
        <w:pStyle w:val="ListParagraph"/>
        <w:numPr>
          <w:ilvl w:val="0"/>
          <w:numId w:val="37"/>
        </w:numPr>
        <w:spacing w:after="120"/>
        <w:rPr>
          <w:rFonts w:ascii="Arial" w:hAnsi="Arial" w:cs="Arial"/>
          <w:i/>
          <w:iCs/>
          <w:sz w:val="22"/>
          <w:szCs w:val="22"/>
        </w:rPr>
      </w:pPr>
      <w:r w:rsidRPr="009A2EE1">
        <w:rPr>
          <w:rFonts w:ascii="Arial" w:hAnsi="Arial" w:cs="Arial"/>
          <w:i/>
          <w:iCs/>
          <w:sz w:val="22"/>
          <w:szCs w:val="22"/>
        </w:rPr>
        <w:t>Family Violence Act 2016</w:t>
      </w:r>
    </w:p>
    <w:p w14:paraId="23DD107F" w14:textId="6AB6360E" w:rsidR="009A2EE1" w:rsidRPr="00286710" w:rsidRDefault="009A2EE1" w:rsidP="009A2EE1">
      <w:pPr>
        <w:pStyle w:val="ListParagraph"/>
        <w:numPr>
          <w:ilvl w:val="0"/>
          <w:numId w:val="37"/>
        </w:numPr>
        <w:spacing w:after="120"/>
        <w:rPr>
          <w:rFonts w:ascii="Arial" w:hAnsi="Arial" w:cs="Arial"/>
          <w:i/>
          <w:iCs/>
          <w:sz w:val="22"/>
          <w:szCs w:val="28"/>
        </w:rPr>
      </w:pPr>
      <w:r w:rsidRPr="009A2EE1">
        <w:rPr>
          <w:rFonts w:ascii="Arial" w:hAnsi="Arial" w:cs="Arial"/>
          <w:i/>
          <w:iCs/>
          <w:sz w:val="22"/>
          <w:szCs w:val="22"/>
        </w:rPr>
        <w:t>Personal Violence Act 2016.</w:t>
      </w:r>
    </w:p>
    <w:p w14:paraId="43FD1B39" w14:textId="7A27DC6F" w:rsidR="00462296" w:rsidRDefault="00286710" w:rsidP="004C1C3B">
      <w:pPr>
        <w:pStyle w:val="Heading1"/>
      </w:pPr>
      <w:bookmarkStart w:id="23" w:name="_Toc426711263"/>
      <w:bookmarkStart w:id="24" w:name="_Toc429052826"/>
      <w:bookmarkStart w:id="25" w:name="_Toc114051959"/>
      <w:r w:rsidRPr="00050F68">
        <w:rPr>
          <w:rFonts w:ascii="Arial" w:hAnsi="Arial" w:cs="Arial"/>
          <w:sz w:val="24"/>
          <w:szCs w:val="24"/>
          <w:lang w:eastAsia="en-AU"/>
        </w:rPr>
        <w:t xml:space="preserve">Part </w:t>
      </w:r>
      <w:r w:rsidRPr="00050F68">
        <w:rPr>
          <w:rFonts w:ascii="Arial" w:hAnsi="Arial" w:cs="Arial"/>
          <w:b w:val="0"/>
          <w:bCs w:val="0"/>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b w:val="0"/>
          <w:bCs w:val="0"/>
          <w:szCs w:val="24"/>
          <w:lang w:eastAsia="en-AU"/>
        </w:rPr>
        <w:fldChar w:fldCharType="separate"/>
      </w:r>
      <w:r w:rsidR="00705348">
        <w:rPr>
          <w:rFonts w:ascii="Arial" w:hAnsi="Arial" w:cs="Arial"/>
          <w:noProof/>
          <w:sz w:val="24"/>
          <w:szCs w:val="24"/>
          <w:lang w:eastAsia="en-AU"/>
        </w:rPr>
        <w:t>2</w:t>
      </w:r>
      <w:r w:rsidRPr="00050F68">
        <w:rPr>
          <w:rFonts w:ascii="Arial" w:hAnsi="Arial" w:cs="Arial"/>
          <w:b w:val="0"/>
          <w:bCs w:val="0"/>
          <w:szCs w:val="24"/>
          <w:lang w:eastAsia="en-AU"/>
        </w:rPr>
        <w:fldChar w:fldCharType="end"/>
      </w:r>
      <w:r w:rsidRPr="00050F68">
        <w:rPr>
          <w:rFonts w:ascii="Arial" w:hAnsi="Arial" w:cs="Arial"/>
          <w:sz w:val="24"/>
          <w:szCs w:val="24"/>
          <w:lang w:eastAsia="en-AU"/>
        </w:rPr>
        <w:t xml:space="preserve"> – </w:t>
      </w:r>
      <w:bookmarkEnd w:id="23"/>
      <w:bookmarkEnd w:id="24"/>
      <w:bookmarkEnd w:id="25"/>
      <w:r w:rsidR="00945F79">
        <w:rPr>
          <w:rFonts w:ascii="Arial" w:hAnsi="Arial" w:cs="Arial"/>
          <w:sz w:val="24"/>
          <w:szCs w:val="24"/>
          <w:lang w:eastAsia="en-AU"/>
        </w:rPr>
        <w:t>Bail Act 1992</w:t>
      </w:r>
    </w:p>
    <w:p w14:paraId="1DB5AA71" w14:textId="6A630431" w:rsidR="00AC5B87" w:rsidRDefault="00AC5B87" w:rsidP="00C07F8C">
      <w:pPr>
        <w:pStyle w:val="Heading4"/>
        <w:rPr>
          <w:rFonts w:ascii="Arial" w:hAnsi="Arial" w:cs="Arial"/>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705348">
        <w:rPr>
          <w:rFonts w:ascii="Arial" w:hAnsi="Arial" w:cs="Arial"/>
          <w:noProof/>
        </w:rPr>
        <w:t>4</w:t>
      </w:r>
      <w:r w:rsidR="00326167" w:rsidRPr="00050F68">
        <w:rPr>
          <w:rFonts w:ascii="Arial" w:hAnsi="Arial" w:cs="Arial"/>
        </w:rPr>
        <w:fldChar w:fldCharType="end"/>
      </w:r>
      <w:r w:rsidRPr="00050F68">
        <w:rPr>
          <w:rFonts w:ascii="Arial" w:hAnsi="Arial" w:cs="Arial"/>
          <w:lang w:eastAsia="en-AU"/>
        </w:rPr>
        <w:t xml:space="preserve"> — </w:t>
      </w:r>
      <w:r w:rsidR="00945F79">
        <w:rPr>
          <w:rFonts w:ascii="Arial" w:hAnsi="Arial" w:cs="Arial"/>
          <w:lang w:eastAsia="en-AU"/>
        </w:rPr>
        <w:t>Offences against the Crimes Act 1990, Schedule 1, part 1.1, new items 7 to 9</w:t>
      </w:r>
    </w:p>
    <w:p w14:paraId="33827B4A" w14:textId="7D127B18" w:rsidR="00B93767" w:rsidRDefault="00B93767" w:rsidP="00B93767">
      <w:pPr>
        <w:rPr>
          <w:rFonts w:ascii="Arial" w:hAnsi="Arial" w:cs="Arial"/>
          <w:sz w:val="22"/>
        </w:rPr>
      </w:pPr>
      <w:bookmarkStart w:id="26" w:name="_Hlk113869938"/>
      <w:bookmarkStart w:id="27" w:name="_Hlk113870015"/>
      <w:r>
        <w:rPr>
          <w:rFonts w:ascii="Arial" w:hAnsi="Arial" w:cs="Arial"/>
        </w:rPr>
        <w:t xml:space="preserve">This clause inserts three offences in Schedule 1 of the </w:t>
      </w:r>
      <w:r>
        <w:rPr>
          <w:rFonts w:ascii="Arial" w:hAnsi="Arial" w:cs="Arial"/>
          <w:i/>
          <w:iCs/>
        </w:rPr>
        <w:t>Bail Act 1992</w:t>
      </w:r>
      <w:r>
        <w:rPr>
          <w:rFonts w:ascii="Arial" w:hAnsi="Arial" w:cs="Arial"/>
        </w:rPr>
        <w:t xml:space="preserve">: sections 55 (2), 55A (1) and 56 (1) of the </w:t>
      </w:r>
      <w:r>
        <w:rPr>
          <w:rFonts w:ascii="Arial" w:hAnsi="Arial" w:cs="Arial"/>
          <w:i/>
          <w:iCs/>
        </w:rPr>
        <w:t>Crimes Act 1900</w:t>
      </w:r>
      <w:r>
        <w:rPr>
          <w:rFonts w:ascii="Arial" w:hAnsi="Arial" w:cs="Arial"/>
        </w:rPr>
        <w:t>.</w:t>
      </w:r>
    </w:p>
    <w:p w14:paraId="07CB5B47" w14:textId="77777777" w:rsidR="00B93767" w:rsidRDefault="00B93767" w:rsidP="00B93767">
      <w:pPr>
        <w:rPr>
          <w:rFonts w:ascii="Arial" w:hAnsi="Arial" w:cs="Arial"/>
        </w:rPr>
      </w:pPr>
      <w:r>
        <w:rPr>
          <w:rFonts w:ascii="Arial" w:hAnsi="Arial" w:cs="Arial"/>
        </w:rPr>
        <w:t xml:space="preserve">Schedule 1 of the </w:t>
      </w:r>
      <w:r>
        <w:rPr>
          <w:rFonts w:ascii="Arial" w:hAnsi="Arial" w:cs="Arial"/>
          <w:i/>
          <w:iCs/>
        </w:rPr>
        <w:t>Bail Act 1992</w:t>
      </w:r>
      <w:r>
        <w:rPr>
          <w:rFonts w:ascii="Arial" w:hAnsi="Arial" w:cs="Arial"/>
        </w:rPr>
        <w:t xml:space="preserve"> sets out a list of offences to which the presumption for bail does not apply (that is, there is a neutral presumption). The Bill amends the </w:t>
      </w:r>
      <w:r>
        <w:rPr>
          <w:rFonts w:ascii="Arial" w:hAnsi="Arial" w:cs="Arial"/>
          <w:i/>
          <w:iCs/>
        </w:rPr>
        <w:t>Bail Act 1992</w:t>
      </w:r>
      <w:r>
        <w:rPr>
          <w:rFonts w:ascii="Arial" w:hAnsi="Arial" w:cs="Arial"/>
        </w:rPr>
        <w:t xml:space="preserve"> to provide that there is no presumption for bail in respect of offences against sections 55 (2), 55A (1) and 56 (1) of the </w:t>
      </w:r>
      <w:r>
        <w:rPr>
          <w:rFonts w:ascii="Arial" w:hAnsi="Arial" w:cs="Arial"/>
          <w:i/>
          <w:iCs/>
        </w:rPr>
        <w:t>Crimes Act 1900</w:t>
      </w:r>
      <w:r>
        <w:rPr>
          <w:rFonts w:ascii="Arial" w:hAnsi="Arial" w:cs="Arial"/>
        </w:rPr>
        <w:t xml:space="preserve">. This reflects the seriousness of the offences and promotes consistency with the approach to bail for other serious sexual offences such as sexual intercourse without consent and sexual intercourse with a child under 10 (sections 54 and 55(1) of the </w:t>
      </w:r>
      <w:r w:rsidRPr="004C1C3B">
        <w:rPr>
          <w:rFonts w:ascii="Arial" w:hAnsi="Arial" w:cs="Arial"/>
          <w:i/>
          <w:iCs/>
        </w:rPr>
        <w:t>Crimes Act 1900</w:t>
      </w:r>
      <w:r>
        <w:rPr>
          <w:rFonts w:ascii="Arial" w:hAnsi="Arial" w:cs="Arial"/>
        </w:rPr>
        <w:t xml:space="preserve"> respectively). </w:t>
      </w:r>
    </w:p>
    <w:p w14:paraId="1F795A82" w14:textId="77777777" w:rsidR="00B93767" w:rsidRDefault="00B93767" w:rsidP="00B93767">
      <w:pPr>
        <w:rPr>
          <w:rFonts w:ascii="Arial" w:hAnsi="Arial" w:cs="Arial"/>
        </w:rPr>
      </w:pPr>
      <w:r>
        <w:rPr>
          <w:rFonts w:ascii="Arial" w:hAnsi="Arial" w:cs="Arial"/>
        </w:rPr>
        <w:t>While the offences will attract a neutral presumption regarding bail, the decision-maker will continue to retain discretion in assessing a person’s suitability for bail.</w:t>
      </w:r>
    </w:p>
    <w:p w14:paraId="6EC85853" w14:textId="3BA44201" w:rsidR="00016A4D" w:rsidRPr="00050F68" w:rsidRDefault="00016A4D" w:rsidP="00016A4D">
      <w:pPr>
        <w:pStyle w:val="Heading1"/>
        <w:rPr>
          <w:rFonts w:ascii="Arial" w:hAnsi="Arial" w:cs="Arial"/>
          <w:sz w:val="24"/>
          <w:szCs w:val="24"/>
          <w:lang w:eastAsia="en-AU"/>
        </w:rPr>
      </w:pPr>
      <w:bookmarkStart w:id="28" w:name="_Part_2_–"/>
      <w:bookmarkStart w:id="29" w:name="_Clause_6_–"/>
      <w:bookmarkStart w:id="30" w:name="_Toc114051960"/>
      <w:bookmarkEnd w:id="26"/>
      <w:bookmarkEnd w:id="27"/>
      <w:bookmarkEnd w:id="28"/>
      <w:bookmarkEnd w:id="29"/>
      <w:r w:rsidRPr="00050F68">
        <w:rPr>
          <w:rFonts w:ascii="Arial" w:hAnsi="Arial" w:cs="Arial"/>
          <w:sz w:val="24"/>
          <w:szCs w:val="24"/>
          <w:lang w:eastAsia="en-AU"/>
        </w:rPr>
        <w:lastRenderedPageBreak/>
        <w:t xml:space="preserve">Part </w:t>
      </w:r>
      <w:r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sz w:val="24"/>
          <w:szCs w:val="24"/>
          <w:lang w:eastAsia="en-AU"/>
        </w:rPr>
        <w:fldChar w:fldCharType="separate"/>
      </w:r>
      <w:r w:rsidR="00705348">
        <w:rPr>
          <w:rFonts w:ascii="Arial" w:hAnsi="Arial" w:cs="Arial"/>
          <w:noProof/>
          <w:sz w:val="24"/>
          <w:szCs w:val="24"/>
          <w:lang w:eastAsia="en-AU"/>
        </w:rPr>
        <w:t>3</w:t>
      </w:r>
      <w:r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bookmarkEnd w:id="30"/>
      <w:r w:rsidR="00945F79">
        <w:rPr>
          <w:rFonts w:ascii="Arial" w:hAnsi="Arial" w:cs="Arial"/>
          <w:sz w:val="24"/>
          <w:szCs w:val="24"/>
          <w:lang w:eastAsia="en-AU"/>
        </w:rPr>
        <w:t>Crimes Act 1990</w:t>
      </w:r>
    </w:p>
    <w:p w14:paraId="69157E4D" w14:textId="39DDFAB3" w:rsidR="00AC5B87" w:rsidRDefault="00AC5B87" w:rsidP="00DF7319">
      <w:pPr>
        <w:pStyle w:val="Heading4"/>
        <w:keepNext w:val="0"/>
        <w:rPr>
          <w:rFonts w:ascii="Arial" w:hAnsi="Arial" w:cs="Arial"/>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705348">
        <w:rPr>
          <w:rFonts w:ascii="Arial" w:hAnsi="Arial" w:cs="Arial"/>
          <w:noProof/>
        </w:rPr>
        <w:t>5</w:t>
      </w:r>
      <w:r w:rsidR="00326167" w:rsidRPr="00050F68">
        <w:rPr>
          <w:rFonts w:ascii="Arial" w:hAnsi="Arial" w:cs="Arial"/>
        </w:rPr>
        <w:fldChar w:fldCharType="end"/>
      </w:r>
      <w:r w:rsidRPr="00050F68">
        <w:rPr>
          <w:rFonts w:ascii="Arial" w:hAnsi="Arial" w:cs="Arial"/>
          <w:bCs/>
          <w:lang w:eastAsia="en-AU"/>
        </w:rPr>
        <w:t xml:space="preserve"> </w:t>
      </w:r>
      <w:r w:rsidRPr="00050F68">
        <w:rPr>
          <w:rFonts w:ascii="Arial" w:hAnsi="Arial" w:cs="Arial"/>
          <w:lang w:eastAsia="en-AU"/>
        </w:rPr>
        <w:t>–</w:t>
      </w:r>
      <w:r w:rsidR="00945F79">
        <w:rPr>
          <w:rFonts w:ascii="Arial" w:hAnsi="Arial" w:cs="Arial"/>
          <w:lang w:eastAsia="en-AU"/>
        </w:rPr>
        <w:t xml:space="preserve"> Meaning of sexual act – pt 3, Section 50C (1)</w:t>
      </w:r>
      <w:r w:rsidRPr="00050F68">
        <w:rPr>
          <w:rFonts w:ascii="Arial" w:hAnsi="Arial" w:cs="Arial"/>
          <w:lang w:eastAsia="en-AU"/>
        </w:rPr>
        <w:t xml:space="preserve"> </w:t>
      </w:r>
    </w:p>
    <w:p w14:paraId="18358A50" w14:textId="3E18F496" w:rsidR="00AF2648" w:rsidRDefault="00C737C3" w:rsidP="00AF2648">
      <w:pPr>
        <w:rPr>
          <w:rFonts w:ascii="Arial" w:hAnsi="Arial" w:cs="Arial"/>
        </w:rPr>
      </w:pPr>
      <w:bookmarkStart w:id="31" w:name="_Clause_7_–"/>
      <w:bookmarkEnd w:id="31"/>
      <w:r>
        <w:rPr>
          <w:rFonts w:ascii="Arial" w:hAnsi="Arial" w:cs="Arial"/>
        </w:rPr>
        <w:t xml:space="preserve">The clause substitutes the definition of ‘sexual act’ </w:t>
      </w:r>
      <w:r w:rsidR="00AF2648">
        <w:rPr>
          <w:rFonts w:ascii="Arial" w:hAnsi="Arial" w:cs="Arial"/>
        </w:rPr>
        <w:t>so that a ‘sexual act’ means, (</w:t>
      </w:r>
      <w:r w:rsidR="00AF2648" w:rsidRPr="00144634">
        <w:rPr>
          <w:rFonts w:ascii="Arial" w:hAnsi="Arial" w:cs="Arial"/>
        </w:rPr>
        <w:t xml:space="preserve">i) sexual intercourse; </w:t>
      </w:r>
      <w:r w:rsidR="00AF2648">
        <w:rPr>
          <w:rFonts w:ascii="Arial" w:hAnsi="Arial" w:cs="Arial"/>
        </w:rPr>
        <w:t xml:space="preserve">(ii) an act of indecency or </w:t>
      </w:r>
      <w:r w:rsidR="00CD64EE">
        <w:rPr>
          <w:rFonts w:ascii="Arial" w:hAnsi="Arial" w:cs="Arial"/>
        </w:rPr>
        <w:t xml:space="preserve">(iii) </w:t>
      </w:r>
      <w:r w:rsidR="00AF2648" w:rsidRPr="00144634">
        <w:rPr>
          <w:rFonts w:ascii="Arial" w:hAnsi="Arial" w:cs="Arial"/>
        </w:rPr>
        <w:t xml:space="preserve">any other act in circumstances where a reasonable person would consider the act to be sexual; but (b) does not include </w:t>
      </w:r>
      <w:r w:rsidR="00AF2648">
        <w:rPr>
          <w:rFonts w:ascii="Arial" w:hAnsi="Arial" w:cs="Arial"/>
        </w:rPr>
        <w:t xml:space="preserve">(i) </w:t>
      </w:r>
      <w:r w:rsidR="00AF2648" w:rsidRPr="00144634">
        <w:rPr>
          <w:rFonts w:ascii="Arial" w:hAnsi="Arial" w:cs="Arial"/>
        </w:rPr>
        <w:t>an act carried out for a proper medical purpose</w:t>
      </w:r>
      <w:r w:rsidR="00AF2648">
        <w:rPr>
          <w:rFonts w:ascii="Arial" w:hAnsi="Arial" w:cs="Arial"/>
        </w:rPr>
        <w:t>; o</w:t>
      </w:r>
      <w:r w:rsidR="00AF2648" w:rsidRPr="00144634">
        <w:rPr>
          <w:rFonts w:ascii="Arial" w:hAnsi="Arial" w:cs="Arial"/>
        </w:rPr>
        <w:t xml:space="preserve">r </w:t>
      </w:r>
      <w:r w:rsidR="00AF2648">
        <w:rPr>
          <w:rFonts w:ascii="Arial" w:hAnsi="Arial" w:cs="Arial"/>
        </w:rPr>
        <w:t xml:space="preserve">(ii) </w:t>
      </w:r>
      <w:r w:rsidR="00AF2648" w:rsidRPr="00144634">
        <w:rPr>
          <w:rFonts w:ascii="Arial" w:hAnsi="Arial" w:cs="Arial"/>
        </w:rPr>
        <w:t>otherwise authorised by law.</w:t>
      </w:r>
    </w:p>
    <w:p w14:paraId="0CBD0881" w14:textId="45B2F711" w:rsidR="00AF2648" w:rsidRPr="004C1C3B" w:rsidRDefault="00AF2648" w:rsidP="004C1C3B">
      <w:pPr>
        <w:rPr>
          <w:rFonts w:ascii="Arial" w:hAnsi="Arial" w:cs="Arial"/>
          <w:szCs w:val="24"/>
        </w:rPr>
      </w:pPr>
      <w:r>
        <w:rPr>
          <w:rFonts w:ascii="Arial" w:hAnsi="Arial" w:cs="Arial"/>
        </w:rPr>
        <w:t xml:space="preserve">The amendment omits ‘sexual touching’ and substitutes it with ‘an act of indecency’. </w:t>
      </w:r>
      <w:r w:rsidRPr="004C1C3B">
        <w:rPr>
          <w:rFonts w:ascii="Arial" w:hAnsi="Arial" w:cs="Arial"/>
        </w:rPr>
        <w:t xml:space="preserve">Prescribing ‘an act of indecency’ as an example of a ‘sexual act’ would clarify that relevant sexual offence consent provisions including those relating to an act of indecency in sections 60 and 61 (5) (b) of the </w:t>
      </w:r>
      <w:r w:rsidRPr="004C1C3B">
        <w:rPr>
          <w:rFonts w:ascii="Arial" w:hAnsi="Arial" w:cs="Arial"/>
          <w:i/>
          <w:iCs/>
        </w:rPr>
        <w:t>Crimes Act 1900</w:t>
      </w:r>
      <w:r w:rsidRPr="004C1C3B">
        <w:rPr>
          <w:rFonts w:ascii="Arial" w:hAnsi="Arial" w:cs="Arial"/>
        </w:rPr>
        <w:t xml:space="preserve"> must be considered in accordance with section 67 which prescribes the additional fault element of consent: reasonable belief as to consent. This gives effect to the intent of the recent amendments made by the </w:t>
      </w:r>
      <w:r w:rsidRPr="004C1C3B">
        <w:rPr>
          <w:rFonts w:ascii="Arial" w:hAnsi="Arial" w:cs="Arial"/>
          <w:i/>
          <w:iCs/>
        </w:rPr>
        <w:t>Crimes (Consent) Amendment Act 2022</w:t>
      </w:r>
      <w:r w:rsidRPr="004C1C3B">
        <w:rPr>
          <w:rFonts w:ascii="Arial" w:hAnsi="Arial" w:cs="Arial"/>
        </w:rPr>
        <w:t xml:space="preserve"> which introduce the principle that consent to a sexual act is informed agreement that must be (a) freely and voluntarily given; and (b) communicated by saying or doing something.</w:t>
      </w:r>
    </w:p>
    <w:p w14:paraId="5B7BE2FF" w14:textId="11BB00CD" w:rsidR="00AF2648" w:rsidRDefault="00AF2648" w:rsidP="00462296">
      <w:pPr>
        <w:rPr>
          <w:rFonts w:ascii="Arial" w:hAnsi="Arial" w:cs="Arial"/>
        </w:rPr>
      </w:pPr>
      <w:r>
        <w:rPr>
          <w:rFonts w:ascii="Arial" w:hAnsi="Arial" w:cs="Arial"/>
        </w:rPr>
        <w:t xml:space="preserve">The clause also includes a note to clarify that pursuant to section 155 of the </w:t>
      </w:r>
      <w:r>
        <w:rPr>
          <w:rFonts w:ascii="Arial" w:hAnsi="Arial" w:cs="Arial"/>
          <w:i/>
          <w:iCs/>
        </w:rPr>
        <w:t>Legislation Act 2001</w:t>
      </w:r>
      <w:r>
        <w:rPr>
          <w:rFonts w:ascii="Arial" w:hAnsi="Arial" w:cs="Arial"/>
        </w:rPr>
        <w:t>,</w:t>
      </w:r>
      <w:r>
        <w:rPr>
          <w:rFonts w:ascii="Arial" w:hAnsi="Arial" w:cs="Arial"/>
          <w:i/>
          <w:iCs/>
        </w:rPr>
        <w:t xml:space="preserve"> </w:t>
      </w:r>
      <w:r>
        <w:rPr>
          <w:rFonts w:ascii="Arial" w:hAnsi="Arial" w:cs="Arial"/>
        </w:rPr>
        <w:t xml:space="preserve">the definition of ‘sexual act’ under section 50C (1) applies to all of part 3 of the </w:t>
      </w:r>
      <w:r>
        <w:rPr>
          <w:rFonts w:ascii="Arial" w:hAnsi="Arial" w:cs="Arial"/>
          <w:i/>
          <w:iCs/>
        </w:rPr>
        <w:t xml:space="preserve">Crimes Act 1900 </w:t>
      </w:r>
      <w:r>
        <w:rPr>
          <w:rFonts w:ascii="Arial" w:hAnsi="Arial" w:cs="Arial"/>
        </w:rPr>
        <w:t>unless</w:t>
      </w:r>
      <w:r w:rsidRPr="004C1C3B">
        <w:rPr>
          <w:rFonts w:ascii="Arial" w:hAnsi="Arial" w:cs="Arial"/>
        </w:rPr>
        <w:t xml:space="preserve"> another provision of p</w:t>
      </w:r>
      <w:r>
        <w:rPr>
          <w:rFonts w:ascii="Arial" w:hAnsi="Arial" w:cs="Arial"/>
        </w:rPr>
        <w:t>ar</w:t>
      </w:r>
      <w:r w:rsidRPr="004C1C3B">
        <w:rPr>
          <w:rFonts w:ascii="Arial" w:hAnsi="Arial" w:cs="Arial"/>
        </w:rPr>
        <w:t>t 3 provides otherwise or the contrary intention otherwise appears</w:t>
      </w:r>
      <w:r>
        <w:rPr>
          <w:rFonts w:ascii="Arial" w:hAnsi="Arial" w:cs="Arial"/>
        </w:rPr>
        <w:t xml:space="preserve">. This clarifies that the definition of ‘sexual act’ in section 56 of the </w:t>
      </w:r>
      <w:r>
        <w:rPr>
          <w:rFonts w:ascii="Arial" w:hAnsi="Arial" w:cs="Arial"/>
          <w:i/>
          <w:iCs/>
        </w:rPr>
        <w:t xml:space="preserve">Crimes Act 1900 </w:t>
      </w:r>
      <w:r>
        <w:rPr>
          <w:rFonts w:ascii="Arial" w:hAnsi="Arial" w:cs="Arial"/>
        </w:rPr>
        <w:t xml:space="preserve">is unaffected by the definition in section 50C. </w:t>
      </w:r>
    </w:p>
    <w:p w14:paraId="7466394F" w14:textId="681C06E8" w:rsidR="00DF7319" w:rsidRPr="00827B47" w:rsidRDefault="00DF7319" w:rsidP="00DF7319">
      <w:pPr>
        <w:pStyle w:val="Heading4"/>
        <w:keepNext w:val="0"/>
        <w:rPr>
          <w:rFonts w:ascii="Arial" w:hAnsi="Arial" w:cs="Arial"/>
          <w:i/>
          <w:iCs/>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705348">
        <w:rPr>
          <w:rFonts w:ascii="Arial" w:hAnsi="Arial" w:cs="Arial"/>
          <w:noProof/>
        </w:rPr>
        <w:t>6</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827B47">
        <w:rPr>
          <w:rFonts w:ascii="Arial" w:hAnsi="Arial" w:cs="Arial"/>
          <w:lang w:eastAsia="en-AU"/>
        </w:rPr>
        <w:t xml:space="preserve">Section 50C (3), definition of </w:t>
      </w:r>
      <w:r w:rsidR="00827B47">
        <w:rPr>
          <w:rFonts w:ascii="Arial" w:hAnsi="Arial" w:cs="Arial"/>
          <w:i/>
          <w:iCs/>
          <w:lang w:eastAsia="en-AU"/>
        </w:rPr>
        <w:t>sexual touching</w:t>
      </w:r>
    </w:p>
    <w:p w14:paraId="09B9680F" w14:textId="77777777" w:rsidR="00CD64EE" w:rsidRDefault="00CD64EE" w:rsidP="0028524B">
      <w:pPr>
        <w:rPr>
          <w:rFonts w:ascii="Arial" w:hAnsi="Arial" w:cs="Arial"/>
        </w:rPr>
      </w:pPr>
      <w:r>
        <w:rPr>
          <w:rFonts w:ascii="Arial" w:hAnsi="Arial" w:cs="Arial"/>
        </w:rPr>
        <w:t xml:space="preserve">This clause omits the definition of ‘sexual touching’ and is consequential to the amendments in clause 5. </w:t>
      </w:r>
    </w:p>
    <w:p w14:paraId="71B88B38" w14:textId="565DDADF" w:rsidR="00CD64EE" w:rsidRPr="004C1C3B" w:rsidRDefault="0028524B" w:rsidP="004C1C3B">
      <w:pPr>
        <w:rPr>
          <w:rFonts w:ascii="Arial" w:hAnsi="Arial" w:cs="Arial"/>
        </w:rPr>
      </w:pPr>
      <w:r w:rsidRPr="00BE761D">
        <w:rPr>
          <w:rFonts w:ascii="Arial" w:hAnsi="Arial" w:cs="Arial"/>
        </w:rPr>
        <w:t>Th</w:t>
      </w:r>
      <w:r w:rsidR="00FD1807">
        <w:rPr>
          <w:rFonts w:ascii="Arial" w:hAnsi="Arial" w:cs="Arial"/>
        </w:rPr>
        <w:t>is</w:t>
      </w:r>
      <w:r w:rsidRPr="00BE761D">
        <w:rPr>
          <w:rFonts w:ascii="Arial" w:hAnsi="Arial" w:cs="Arial"/>
        </w:rPr>
        <w:t xml:space="preserve"> amendment</w:t>
      </w:r>
      <w:r w:rsidR="00FD1807">
        <w:rPr>
          <w:rFonts w:ascii="Arial" w:hAnsi="Arial" w:cs="Arial"/>
        </w:rPr>
        <w:t xml:space="preserve"> </w:t>
      </w:r>
      <w:r w:rsidRPr="00BE761D">
        <w:rPr>
          <w:rFonts w:ascii="Arial" w:hAnsi="Arial" w:cs="Arial"/>
        </w:rPr>
        <w:t>address</w:t>
      </w:r>
      <w:r w:rsidR="00CD64EE">
        <w:rPr>
          <w:rFonts w:ascii="Arial" w:hAnsi="Arial" w:cs="Arial"/>
        </w:rPr>
        <w:t>es</w:t>
      </w:r>
      <w:r w:rsidRPr="00BE761D">
        <w:rPr>
          <w:rFonts w:ascii="Arial" w:hAnsi="Arial" w:cs="Arial"/>
        </w:rPr>
        <w:t xml:space="preserve"> significant stakeholder concerns that were not previously considered by the </w:t>
      </w:r>
      <w:r w:rsidRPr="00BE761D">
        <w:rPr>
          <w:rFonts w:ascii="Arial" w:hAnsi="Arial" w:cs="Arial"/>
          <w:i/>
          <w:iCs/>
        </w:rPr>
        <w:t>Crimes (Consent) Amendment Act 2022.</w:t>
      </w:r>
      <w:r w:rsidRPr="00BE761D">
        <w:rPr>
          <w:rFonts w:ascii="Arial" w:hAnsi="Arial" w:cs="Arial"/>
        </w:rPr>
        <w:t xml:space="preserve"> </w:t>
      </w:r>
      <w:r w:rsidR="00371675">
        <w:rPr>
          <w:rFonts w:ascii="Arial" w:hAnsi="Arial" w:cs="Arial"/>
        </w:rPr>
        <w:t xml:space="preserve">The </w:t>
      </w:r>
      <w:r w:rsidR="00462296">
        <w:rPr>
          <w:rFonts w:ascii="Arial" w:hAnsi="Arial" w:cs="Arial"/>
        </w:rPr>
        <w:t>definition</w:t>
      </w:r>
      <w:r w:rsidR="00371675">
        <w:rPr>
          <w:rFonts w:ascii="Arial" w:hAnsi="Arial" w:cs="Arial"/>
        </w:rPr>
        <w:t xml:space="preserve"> created</w:t>
      </w:r>
      <w:r w:rsidR="00CD64EE" w:rsidRPr="004C1C3B">
        <w:rPr>
          <w:rFonts w:ascii="Arial" w:hAnsi="Arial" w:cs="Arial"/>
        </w:rPr>
        <w:t xml:space="preserve"> doubt as to whether ‘sexual touching’ </w:t>
      </w:r>
      <w:r w:rsidR="00371675">
        <w:rPr>
          <w:rFonts w:ascii="Arial" w:hAnsi="Arial" w:cs="Arial"/>
        </w:rPr>
        <w:t xml:space="preserve">previously captured </w:t>
      </w:r>
      <w:r w:rsidR="00371675" w:rsidRPr="008C0476">
        <w:rPr>
          <w:rFonts w:ascii="Arial" w:hAnsi="Arial" w:cs="Arial"/>
        </w:rPr>
        <w:t xml:space="preserve">in section 50C (3) </w:t>
      </w:r>
      <w:r w:rsidR="00371675">
        <w:rPr>
          <w:rFonts w:ascii="Arial" w:hAnsi="Arial" w:cs="Arial"/>
        </w:rPr>
        <w:t>was</w:t>
      </w:r>
      <w:r w:rsidR="00CD64EE" w:rsidRPr="004C1C3B">
        <w:rPr>
          <w:rFonts w:ascii="Arial" w:hAnsi="Arial" w:cs="Arial"/>
        </w:rPr>
        <w:t xml:space="preserve"> intended to include an ‘act of indecency’ (which relies on a common law definition). </w:t>
      </w:r>
    </w:p>
    <w:p w14:paraId="21406119" w14:textId="5950F571" w:rsidR="00705348" w:rsidRPr="00365F7D" w:rsidRDefault="00705348" w:rsidP="00705348">
      <w:pPr>
        <w:pStyle w:val="Heading4"/>
        <w:keepNext w:val="0"/>
        <w:rPr>
          <w:rFonts w:ascii="Arial" w:hAnsi="Arial" w:cs="Arial"/>
          <w:i/>
          <w:iCs/>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Pr>
          <w:rFonts w:ascii="Arial" w:hAnsi="Arial" w:cs="Arial"/>
          <w:noProof/>
        </w:rPr>
        <w:t>7</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When a person does not consent to an act, Section 67 (6), definition of </w:t>
      </w:r>
      <w:r w:rsidRPr="00365F7D">
        <w:rPr>
          <w:rFonts w:ascii="Arial" w:hAnsi="Arial" w:cs="Arial"/>
          <w:i/>
          <w:iCs/>
          <w:lang w:eastAsia="en-AU"/>
        </w:rPr>
        <w:t>intoxication</w:t>
      </w:r>
    </w:p>
    <w:p w14:paraId="11E4E278" w14:textId="11E51B4F" w:rsidR="00705348" w:rsidRPr="00705348" w:rsidRDefault="00705348" w:rsidP="00705348">
      <w:pPr>
        <w:rPr>
          <w:rFonts w:ascii="Arial" w:hAnsi="Arial" w:cs="Arial"/>
          <w:i/>
          <w:iCs/>
        </w:rPr>
      </w:pPr>
      <w:r w:rsidRPr="00705348">
        <w:rPr>
          <w:rFonts w:ascii="Arial" w:hAnsi="Arial" w:cs="Arial"/>
        </w:rPr>
        <w:t xml:space="preserve">This clause </w:t>
      </w:r>
      <w:r>
        <w:rPr>
          <w:rFonts w:ascii="Arial" w:hAnsi="Arial" w:cs="Arial"/>
        </w:rPr>
        <w:t xml:space="preserve">substitutes the definition of ‘intoxication’ with a cross-reference to the definition of intoxication in the </w:t>
      </w:r>
      <w:r>
        <w:rPr>
          <w:rFonts w:ascii="Arial" w:hAnsi="Arial" w:cs="Arial"/>
          <w:i/>
          <w:iCs/>
        </w:rPr>
        <w:t xml:space="preserve">Criminal Code 2002. </w:t>
      </w:r>
    </w:p>
    <w:p w14:paraId="0264F581" w14:textId="756606D3" w:rsidR="00705348" w:rsidRPr="00705348" w:rsidRDefault="00705348" w:rsidP="00705348">
      <w:pPr>
        <w:rPr>
          <w:rFonts w:ascii="Arial" w:hAnsi="Arial" w:cs="Arial"/>
        </w:rPr>
      </w:pPr>
      <w:r>
        <w:rPr>
          <w:rFonts w:ascii="Arial" w:hAnsi="Arial" w:cs="Arial"/>
        </w:rPr>
        <w:t xml:space="preserve">The existing definition the </w:t>
      </w:r>
      <w:r>
        <w:rPr>
          <w:rFonts w:ascii="Arial" w:hAnsi="Arial" w:cs="Arial"/>
          <w:i/>
          <w:iCs/>
        </w:rPr>
        <w:t xml:space="preserve">Crimes Act 1900 </w:t>
      </w:r>
      <w:r>
        <w:rPr>
          <w:rFonts w:ascii="Arial" w:hAnsi="Arial" w:cs="Arial"/>
        </w:rPr>
        <w:t>notes that ‘i</w:t>
      </w:r>
      <w:r w:rsidRPr="00705348">
        <w:rPr>
          <w:rFonts w:ascii="Arial" w:hAnsi="Arial" w:cs="Arial"/>
        </w:rPr>
        <w:t>ntoxication</w:t>
      </w:r>
      <w:r>
        <w:rPr>
          <w:rFonts w:ascii="Arial" w:hAnsi="Arial" w:cs="Arial"/>
        </w:rPr>
        <w:t>’</w:t>
      </w:r>
      <w:r w:rsidRPr="00705348">
        <w:rPr>
          <w:rFonts w:ascii="Arial" w:hAnsi="Arial" w:cs="Arial"/>
        </w:rPr>
        <w:t xml:space="preserve"> means intoxication because of the </w:t>
      </w:r>
      <w:r w:rsidRPr="00FB3562">
        <w:rPr>
          <w:rFonts w:ascii="Arial" w:hAnsi="Arial" w:cs="Arial"/>
          <w:u w:val="single"/>
        </w:rPr>
        <w:t>consumption</w:t>
      </w:r>
      <w:r w:rsidRPr="00705348">
        <w:rPr>
          <w:rFonts w:ascii="Arial" w:hAnsi="Arial" w:cs="Arial"/>
        </w:rPr>
        <w:t xml:space="preserve"> of alcohol, a drug or any other substance.</w:t>
      </w:r>
    </w:p>
    <w:p w14:paraId="3FAC1EF7" w14:textId="2BAEFFC7" w:rsidR="00705348" w:rsidRDefault="00705348" w:rsidP="00705348">
      <w:pPr>
        <w:rPr>
          <w:rFonts w:ascii="Arial" w:hAnsi="Arial" w:cs="Arial"/>
        </w:rPr>
      </w:pPr>
      <w:r>
        <w:rPr>
          <w:rFonts w:ascii="Arial" w:hAnsi="Arial" w:cs="Arial"/>
        </w:rPr>
        <w:lastRenderedPageBreak/>
        <w:t xml:space="preserve">This has a similar meaning to the definition in the </w:t>
      </w:r>
      <w:r>
        <w:rPr>
          <w:rFonts w:ascii="Arial" w:hAnsi="Arial" w:cs="Arial"/>
          <w:i/>
          <w:iCs/>
        </w:rPr>
        <w:t>Criminal Code 2002</w:t>
      </w:r>
      <w:r>
        <w:rPr>
          <w:rFonts w:ascii="Arial" w:hAnsi="Arial" w:cs="Arial"/>
        </w:rPr>
        <w:t xml:space="preserve"> and will not change the substance of the amendment. In the </w:t>
      </w:r>
      <w:r>
        <w:rPr>
          <w:rFonts w:ascii="Arial" w:hAnsi="Arial" w:cs="Arial"/>
          <w:i/>
          <w:iCs/>
        </w:rPr>
        <w:t xml:space="preserve">Criminal Code 2002, </w:t>
      </w:r>
      <w:r>
        <w:rPr>
          <w:rFonts w:ascii="Arial" w:hAnsi="Arial" w:cs="Arial"/>
        </w:rPr>
        <w:t>‘i</w:t>
      </w:r>
      <w:r w:rsidRPr="00705348">
        <w:rPr>
          <w:rFonts w:ascii="Arial" w:hAnsi="Arial" w:cs="Arial"/>
        </w:rPr>
        <w:t>ntoxication</w:t>
      </w:r>
      <w:r>
        <w:rPr>
          <w:rFonts w:ascii="Arial" w:hAnsi="Arial" w:cs="Arial"/>
        </w:rPr>
        <w:t>’</w:t>
      </w:r>
      <w:r w:rsidRPr="00705348">
        <w:rPr>
          <w:rFonts w:ascii="Arial" w:hAnsi="Arial" w:cs="Arial"/>
        </w:rPr>
        <w:t xml:space="preserve"> means intoxication because of the </w:t>
      </w:r>
      <w:r w:rsidRPr="00FB3562">
        <w:rPr>
          <w:rFonts w:ascii="Arial" w:hAnsi="Arial" w:cs="Arial"/>
          <w:u w:val="single"/>
        </w:rPr>
        <w:t>influence</w:t>
      </w:r>
      <w:r w:rsidRPr="00705348">
        <w:rPr>
          <w:rFonts w:ascii="Arial" w:hAnsi="Arial" w:cs="Arial"/>
        </w:rPr>
        <w:t xml:space="preserve"> of alcohol, a drug or any other substance.</w:t>
      </w:r>
    </w:p>
    <w:p w14:paraId="307B3E9B" w14:textId="63023384" w:rsidR="009F163A" w:rsidRPr="00050F68" w:rsidRDefault="009F163A" w:rsidP="009F163A">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8</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945F79">
        <w:rPr>
          <w:rFonts w:ascii="Arial" w:hAnsi="Arial" w:cs="Arial"/>
          <w:lang w:eastAsia="en-AU"/>
        </w:rPr>
        <w:t>New section 67A</w:t>
      </w:r>
    </w:p>
    <w:p w14:paraId="747449FF" w14:textId="2F5CC421" w:rsidR="000D25C3" w:rsidRDefault="000D25C3" w:rsidP="004C1C3B">
      <w:pPr>
        <w:autoSpaceDE w:val="0"/>
        <w:autoSpaceDN w:val="0"/>
        <w:adjustRightInd w:val="0"/>
        <w:spacing w:before="240" w:after="120"/>
        <w:rPr>
          <w:rFonts w:ascii="Arial" w:eastAsia="Times New Roman" w:hAnsi="Arial" w:cs="Arial"/>
          <w:color w:val="000000"/>
          <w:szCs w:val="24"/>
          <w:lang w:eastAsia="en-AU"/>
        </w:rPr>
      </w:pPr>
      <w:r>
        <w:rPr>
          <w:rFonts w:ascii="Arial" w:hAnsi="Arial" w:cs="Arial"/>
          <w:szCs w:val="24"/>
        </w:rPr>
        <w:t xml:space="preserve">The clause inserts new section 67A which applies to a proceeding for an offence against a sexual offence consent provision. </w:t>
      </w:r>
      <w:r w:rsidRPr="004C1C3B">
        <w:rPr>
          <w:rFonts w:ascii="Arial" w:eastAsia="Times New Roman" w:hAnsi="Arial" w:cs="Arial"/>
          <w:color w:val="000000"/>
          <w:szCs w:val="24"/>
          <w:lang w:eastAsia="en-AU"/>
        </w:rPr>
        <w:t>Section 67 provides that a sexual offence consent provision means any of the following: (a) section 54;</w:t>
      </w:r>
      <w:r>
        <w:rPr>
          <w:rFonts w:ascii="Arial" w:eastAsia="Times New Roman" w:hAnsi="Arial" w:cs="Arial"/>
          <w:color w:val="000000"/>
          <w:szCs w:val="24"/>
          <w:lang w:eastAsia="en-AU"/>
        </w:rPr>
        <w:t xml:space="preserve"> </w:t>
      </w:r>
      <w:r w:rsidRPr="004C1C3B">
        <w:rPr>
          <w:rFonts w:ascii="Arial" w:eastAsia="Times New Roman" w:hAnsi="Arial" w:cs="Arial"/>
          <w:color w:val="000000"/>
          <w:szCs w:val="24"/>
          <w:lang w:eastAsia="en-AU"/>
        </w:rPr>
        <w:t>(b) section 55 (5) (b); (c) section 60;</w:t>
      </w:r>
      <w:r>
        <w:rPr>
          <w:rFonts w:ascii="Arial" w:eastAsia="Times New Roman" w:hAnsi="Arial" w:cs="Arial"/>
          <w:color w:val="000000"/>
          <w:szCs w:val="24"/>
          <w:lang w:eastAsia="en-AU"/>
        </w:rPr>
        <w:t xml:space="preserve"> and</w:t>
      </w:r>
      <w:r w:rsidRPr="004C1C3B">
        <w:rPr>
          <w:rFonts w:ascii="Arial" w:eastAsia="Times New Roman" w:hAnsi="Arial" w:cs="Arial"/>
          <w:color w:val="000000"/>
          <w:szCs w:val="24"/>
          <w:lang w:eastAsia="en-AU"/>
        </w:rPr>
        <w:t> (d) section 61 (5) (b).</w:t>
      </w:r>
    </w:p>
    <w:p w14:paraId="21AAEA27" w14:textId="78DDB7A3" w:rsidR="000D25C3" w:rsidRDefault="000D25C3" w:rsidP="000D25C3">
      <w:pPr>
        <w:autoSpaceDE w:val="0"/>
        <w:autoSpaceDN w:val="0"/>
        <w:adjustRightInd w:val="0"/>
        <w:spacing w:before="240" w:after="120"/>
        <w:rPr>
          <w:rFonts w:ascii="Arial" w:hAnsi="Arial" w:cs="Arial"/>
          <w:szCs w:val="24"/>
        </w:rPr>
      </w:pPr>
      <w:r w:rsidRPr="000D25C3">
        <w:rPr>
          <w:rFonts w:ascii="Arial" w:hAnsi="Arial" w:cs="Arial"/>
          <w:szCs w:val="24"/>
        </w:rPr>
        <w:t xml:space="preserve">The </w:t>
      </w:r>
      <w:r>
        <w:rPr>
          <w:rFonts w:ascii="Arial" w:hAnsi="Arial" w:cs="Arial"/>
          <w:szCs w:val="24"/>
        </w:rPr>
        <w:t>amendment</w:t>
      </w:r>
      <w:r w:rsidRPr="000D25C3">
        <w:rPr>
          <w:rFonts w:ascii="Arial" w:hAnsi="Arial" w:cs="Arial"/>
          <w:szCs w:val="24"/>
        </w:rPr>
        <w:t xml:space="preserve"> clarifies that a person who is intoxicated through self-induced intoxication is treated as if they were sober by the trier of fact in determining the fault element of a sexual offence consent provision i.e. whether the accused person had knowledge, was reckless or had a reasonable belief as to consent to a sexual act.</w:t>
      </w:r>
      <w:r w:rsidRPr="000D25C3">
        <w:t xml:space="preserve"> </w:t>
      </w:r>
      <w:r w:rsidRPr="000D25C3">
        <w:rPr>
          <w:rFonts w:ascii="Arial" w:hAnsi="Arial" w:cs="Arial"/>
          <w:szCs w:val="24"/>
        </w:rPr>
        <w:t>Although self-induced intoxication of the accused is not considered in making a finding as to the fault element, the fact-finder must consider all circumstances of the case in establishing the context for the offending, including what the accused said or did.</w:t>
      </w:r>
      <w:r w:rsidRPr="000D25C3">
        <w:t xml:space="preserve"> </w:t>
      </w:r>
      <w:r w:rsidRPr="000D25C3">
        <w:rPr>
          <w:rFonts w:ascii="Arial" w:hAnsi="Arial" w:cs="Arial"/>
          <w:szCs w:val="24"/>
        </w:rPr>
        <w:t>This amendment does not prevent the intoxication of the victim being considered under section 67 Crimes Act 1900 (ACT) in relation to whether they are capable of consenting to a sexual act.</w:t>
      </w:r>
    </w:p>
    <w:p w14:paraId="0A71927B" w14:textId="51681542" w:rsidR="000D25C3" w:rsidRDefault="000D25C3" w:rsidP="000D25C3">
      <w:pPr>
        <w:tabs>
          <w:tab w:val="left" w:pos="425"/>
        </w:tabs>
        <w:spacing w:before="240" w:after="0"/>
        <w:rPr>
          <w:rFonts w:ascii="Arial" w:hAnsi="Arial" w:cs="Arial"/>
          <w:shd w:val="clear" w:color="auto" w:fill="FFFFFF"/>
        </w:rPr>
      </w:pPr>
      <w:r w:rsidRPr="004C1C3B">
        <w:rPr>
          <w:rFonts w:ascii="Arial" w:hAnsi="Arial" w:cs="Arial"/>
          <w:shd w:val="clear" w:color="auto" w:fill="FFFFFF"/>
        </w:rPr>
        <w:t xml:space="preserve">The amendment is consistent with the position in NSW (section 61HK (5) (b) of the </w:t>
      </w:r>
      <w:r w:rsidRPr="004C1C3B">
        <w:rPr>
          <w:rFonts w:ascii="Arial" w:hAnsi="Arial" w:cs="Arial"/>
          <w:i/>
          <w:iCs/>
          <w:shd w:val="clear" w:color="auto" w:fill="FFFFFF"/>
        </w:rPr>
        <w:t>Crimes Act 1900</w:t>
      </w:r>
      <w:r w:rsidRPr="004C1C3B">
        <w:rPr>
          <w:rFonts w:ascii="Arial" w:hAnsi="Arial" w:cs="Arial"/>
          <w:shd w:val="clear" w:color="auto" w:fill="FFFFFF"/>
        </w:rPr>
        <w:t xml:space="preserve"> (NSW)). Current rules for consideration of involuntary intoxication in establishing an element of a sexual offence are not affected by the amendment. The amendment does not impact on the availability of mental impairment as a defence.</w:t>
      </w:r>
      <w:r>
        <w:rPr>
          <w:rFonts w:ascii="Arial" w:hAnsi="Arial" w:cs="Arial"/>
          <w:shd w:val="clear" w:color="auto" w:fill="FFFFFF"/>
        </w:rPr>
        <w:t xml:space="preserve"> </w:t>
      </w:r>
    </w:p>
    <w:p w14:paraId="5ED0BDE1" w14:textId="11A8DEC1" w:rsidR="00FC75F4" w:rsidRPr="004135A1" w:rsidRDefault="000D25C3" w:rsidP="0028524B">
      <w:pPr>
        <w:rPr>
          <w:rFonts w:ascii="Arial" w:hAnsi="Arial" w:cs="Arial"/>
          <w:szCs w:val="24"/>
        </w:rPr>
      </w:pPr>
      <w:r>
        <w:rPr>
          <w:rFonts w:ascii="Arial" w:hAnsi="Arial" w:cs="Arial"/>
          <w:szCs w:val="24"/>
        </w:rPr>
        <w:br/>
      </w:r>
      <w:r w:rsidR="0028524B" w:rsidRPr="004135A1">
        <w:rPr>
          <w:rFonts w:ascii="Arial" w:hAnsi="Arial" w:cs="Arial"/>
          <w:szCs w:val="24"/>
        </w:rPr>
        <w:t xml:space="preserve">The drafting of this section has been adopted from New South Wales. </w:t>
      </w:r>
      <w:r w:rsidR="00337183" w:rsidRPr="004135A1">
        <w:rPr>
          <w:rFonts w:ascii="Arial" w:hAnsi="Arial" w:cs="Arial"/>
          <w:szCs w:val="24"/>
        </w:rPr>
        <w:t xml:space="preserve">The </w:t>
      </w:r>
      <w:r w:rsidR="0028524B" w:rsidRPr="004135A1">
        <w:rPr>
          <w:rFonts w:ascii="Arial" w:hAnsi="Arial" w:cs="Arial"/>
          <w:i/>
          <w:iCs/>
          <w:szCs w:val="24"/>
        </w:rPr>
        <w:t>Crimes Act 1900</w:t>
      </w:r>
      <w:r w:rsidR="0028524B" w:rsidRPr="004135A1">
        <w:rPr>
          <w:rFonts w:ascii="Arial" w:hAnsi="Arial" w:cs="Arial"/>
          <w:szCs w:val="24"/>
        </w:rPr>
        <w:t xml:space="preserve"> (NSW) s 61HK (5) (b) states that the trier of fact must not consider any self-induced intoxication of the accused person in making a finding as to whether the person had knowledge, recklessness or reasonable belief as to consent. </w:t>
      </w:r>
    </w:p>
    <w:p w14:paraId="0ECDD374" w14:textId="51019BCE" w:rsidR="00C758C4" w:rsidRPr="00134A00" w:rsidRDefault="000D25C3">
      <w:pPr>
        <w:rPr>
          <w:rFonts w:ascii="Arial" w:hAnsi="Arial" w:cs="Arial"/>
          <w:lang w:eastAsia="en-AU"/>
        </w:rPr>
      </w:pPr>
      <w:r w:rsidRPr="004135A1">
        <w:rPr>
          <w:rFonts w:ascii="Arial" w:hAnsi="Arial" w:cs="Arial"/>
          <w:szCs w:val="24"/>
        </w:rPr>
        <w:t>The intention of the amendment in ACT is that it would operate in similar fashion to the provision in NSW so that the amendment creates a hybrid subjective/objective test to address situations involving an intoxicated person who may believe, wrongly, that the other person was consenting due to their state of intoxication.</w:t>
      </w:r>
    </w:p>
    <w:p w14:paraId="1430DB9D" w14:textId="4C8DBA05" w:rsidR="00131C7A" w:rsidRDefault="00C758C4" w:rsidP="00C758C4">
      <w:pPr>
        <w:pStyle w:val="Heading1"/>
        <w:rPr>
          <w:rFonts w:ascii="Arial" w:hAnsi="Arial" w:cs="Arial"/>
          <w:sz w:val="24"/>
          <w:szCs w:val="24"/>
          <w:lang w:eastAsia="en-AU"/>
        </w:rPr>
      </w:pPr>
      <w:bookmarkStart w:id="32" w:name="_Toc114051961"/>
      <w:r w:rsidRPr="00050F68">
        <w:rPr>
          <w:rFonts w:ascii="Arial" w:hAnsi="Arial" w:cs="Arial"/>
          <w:sz w:val="24"/>
          <w:szCs w:val="24"/>
          <w:lang w:eastAsia="en-AU"/>
        </w:rPr>
        <w:t xml:space="preserve">Part </w:t>
      </w:r>
      <w:r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sz w:val="24"/>
          <w:szCs w:val="24"/>
          <w:lang w:eastAsia="en-AU"/>
        </w:rPr>
        <w:fldChar w:fldCharType="separate"/>
      </w:r>
      <w:r w:rsidR="00705348">
        <w:rPr>
          <w:rFonts w:ascii="Arial" w:hAnsi="Arial" w:cs="Arial"/>
          <w:noProof/>
          <w:sz w:val="24"/>
          <w:szCs w:val="24"/>
          <w:lang w:eastAsia="en-AU"/>
        </w:rPr>
        <w:t>4</w:t>
      </w:r>
      <w:r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r w:rsidR="00806770">
        <w:rPr>
          <w:rFonts w:ascii="Arial" w:hAnsi="Arial" w:cs="Arial"/>
          <w:sz w:val="24"/>
          <w:szCs w:val="24"/>
          <w:lang w:eastAsia="en-AU"/>
        </w:rPr>
        <w:t>Evidence (Miscellaneous Provisions) Act 1991</w:t>
      </w:r>
      <w:bookmarkEnd w:id="32"/>
    </w:p>
    <w:p w14:paraId="32C7D7C5" w14:textId="7184809B" w:rsidR="0063609D" w:rsidRDefault="0063609D" w:rsidP="0063609D">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9</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Pr>
          <w:rFonts w:ascii="Arial" w:hAnsi="Arial" w:cs="Arial"/>
          <w:lang w:eastAsia="en-AU"/>
        </w:rPr>
        <w:t xml:space="preserve"> New section 74A</w:t>
      </w:r>
    </w:p>
    <w:p w14:paraId="1FB21C64" w14:textId="55538345" w:rsidR="0063609D" w:rsidRDefault="0063609D" w:rsidP="0063609D">
      <w:pPr>
        <w:rPr>
          <w:rFonts w:ascii="Arial" w:hAnsi="Arial" w:cs="Arial"/>
          <w:szCs w:val="24"/>
        </w:rPr>
      </w:pPr>
      <w:r w:rsidRPr="004C1C3B">
        <w:rPr>
          <w:rFonts w:ascii="Arial" w:hAnsi="Arial" w:cs="Arial"/>
          <w:szCs w:val="24"/>
        </w:rPr>
        <w:t>This clause inserts</w:t>
      </w:r>
      <w:r>
        <w:rPr>
          <w:rFonts w:ascii="Arial" w:hAnsi="Arial" w:cs="Arial"/>
          <w:szCs w:val="24"/>
        </w:rPr>
        <w:t xml:space="preserve"> </w:t>
      </w:r>
      <w:r w:rsidR="0078629E">
        <w:rPr>
          <w:rFonts w:ascii="Arial" w:hAnsi="Arial" w:cs="Arial"/>
          <w:szCs w:val="24"/>
        </w:rPr>
        <w:t xml:space="preserve">new section 74A which provides that evidence of family violence may be relevant evidence in a proceeding if it provides context for a fact in issue in the proceeding. </w:t>
      </w:r>
    </w:p>
    <w:p w14:paraId="56EEC290" w14:textId="21B394AE" w:rsidR="00D64FC2" w:rsidRDefault="00D64FC2" w:rsidP="00D64FC2">
      <w:pPr>
        <w:rPr>
          <w:rFonts w:ascii="Arial" w:hAnsi="Arial" w:cs="Arial"/>
          <w:szCs w:val="24"/>
        </w:rPr>
      </w:pPr>
      <w:r w:rsidRPr="004C1C3B">
        <w:rPr>
          <w:rFonts w:ascii="Arial" w:hAnsi="Arial" w:cs="Arial"/>
          <w:szCs w:val="24"/>
        </w:rPr>
        <w:lastRenderedPageBreak/>
        <w:t xml:space="preserve">The amendment </w:t>
      </w:r>
      <w:r>
        <w:rPr>
          <w:rFonts w:ascii="Arial" w:hAnsi="Arial" w:cs="Arial"/>
          <w:szCs w:val="24"/>
        </w:rPr>
        <w:t xml:space="preserve">is modelled on </w:t>
      </w:r>
      <w:r w:rsidRPr="00D64FC2">
        <w:rPr>
          <w:rFonts w:ascii="Arial" w:hAnsi="Arial" w:cs="Arial"/>
          <w:szCs w:val="24"/>
        </w:rPr>
        <w:t xml:space="preserve">section 322J of the </w:t>
      </w:r>
      <w:r w:rsidRPr="004C1C3B">
        <w:rPr>
          <w:rFonts w:ascii="Arial" w:hAnsi="Arial" w:cs="Arial"/>
          <w:i/>
          <w:iCs/>
          <w:szCs w:val="24"/>
        </w:rPr>
        <w:t>Crimes Act 1958</w:t>
      </w:r>
      <w:r w:rsidRPr="00D64FC2">
        <w:rPr>
          <w:rFonts w:ascii="Arial" w:hAnsi="Arial" w:cs="Arial"/>
          <w:szCs w:val="24"/>
        </w:rPr>
        <w:t xml:space="preserve"> (V</w:t>
      </w:r>
      <w:r>
        <w:rPr>
          <w:rFonts w:ascii="Arial" w:hAnsi="Arial" w:cs="Arial"/>
          <w:szCs w:val="24"/>
        </w:rPr>
        <w:t>IC</w:t>
      </w:r>
      <w:r w:rsidRPr="00D64FC2">
        <w:rPr>
          <w:rFonts w:ascii="Arial" w:hAnsi="Arial" w:cs="Arial"/>
          <w:szCs w:val="24"/>
        </w:rPr>
        <w:t>)</w:t>
      </w:r>
      <w:r>
        <w:rPr>
          <w:rFonts w:ascii="Arial" w:hAnsi="Arial" w:cs="Arial"/>
          <w:szCs w:val="24"/>
        </w:rPr>
        <w:t xml:space="preserve"> and</w:t>
      </w:r>
      <w:r w:rsidRPr="00D64FC2">
        <w:rPr>
          <w:rFonts w:ascii="Arial" w:hAnsi="Arial" w:cs="Arial"/>
          <w:szCs w:val="24"/>
        </w:rPr>
        <w:t xml:space="preserve"> </w:t>
      </w:r>
      <w:r>
        <w:rPr>
          <w:rFonts w:ascii="Arial" w:hAnsi="Arial" w:cs="Arial"/>
          <w:szCs w:val="24"/>
        </w:rPr>
        <w:t>clarifies</w:t>
      </w:r>
      <w:r w:rsidRPr="004C1C3B">
        <w:rPr>
          <w:rFonts w:ascii="Arial" w:hAnsi="Arial" w:cs="Arial"/>
          <w:szCs w:val="24"/>
        </w:rPr>
        <w:t xml:space="preserve"> that evidence of prior family violence between parties is relevant and admissible in sexual assault cases, provided</w:t>
      </w:r>
      <w:r>
        <w:rPr>
          <w:rFonts w:ascii="Arial" w:hAnsi="Arial" w:cs="Arial"/>
          <w:szCs w:val="24"/>
        </w:rPr>
        <w:t xml:space="preserve"> </w:t>
      </w:r>
      <w:r w:rsidRPr="004C1C3B">
        <w:rPr>
          <w:rFonts w:ascii="Arial" w:hAnsi="Arial" w:cs="Arial"/>
          <w:szCs w:val="24"/>
        </w:rPr>
        <w:t>this evidence is not unfairly prejudicial to the defendant.</w:t>
      </w:r>
      <w:bookmarkStart w:id="33" w:name="_Hlk113352825"/>
      <w:r>
        <w:rPr>
          <w:rFonts w:ascii="Arial" w:hAnsi="Arial" w:cs="Arial"/>
          <w:szCs w:val="24"/>
        </w:rPr>
        <w:t xml:space="preserve"> </w:t>
      </w:r>
    </w:p>
    <w:p w14:paraId="505A4698" w14:textId="7BB40574" w:rsidR="004C2CD9" w:rsidRPr="004C2CD9" w:rsidRDefault="004C2CD9" w:rsidP="004C2CD9">
      <w:pPr>
        <w:rPr>
          <w:rFonts w:ascii="Arial" w:hAnsi="Arial" w:cs="Arial"/>
          <w:szCs w:val="24"/>
        </w:rPr>
      </w:pPr>
      <w:r w:rsidRPr="00E6382A">
        <w:rPr>
          <w:rFonts w:ascii="Arial" w:hAnsi="Arial" w:cs="Arial"/>
          <w:szCs w:val="24"/>
        </w:rPr>
        <w:t xml:space="preserve">The clause provides that </w:t>
      </w:r>
      <w:r w:rsidR="00D64FC2" w:rsidRPr="00E6382A">
        <w:rPr>
          <w:rFonts w:ascii="Arial" w:hAnsi="Arial" w:cs="Arial"/>
          <w:szCs w:val="24"/>
        </w:rPr>
        <w:t xml:space="preserve">evidence of family violence would encompass historical family violence involving a prior intimate/domestic relationship and </w:t>
      </w:r>
      <w:bookmarkEnd w:id="33"/>
      <w:r w:rsidR="00D64FC2" w:rsidRPr="00E6382A">
        <w:rPr>
          <w:rFonts w:ascii="Arial" w:hAnsi="Arial" w:cs="Arial"/>
          <w:szCs w:val="24"/>
        </w:rPr>
        <w:t>children who are exposed to domestic and family violence as a ‘family member’</w:t>
      </w:r>
      <w:r w:rsidRPr="00E6382A">
        <w:rPr>
          <w:rFonts w:ascii="Arial" w:hAnsi="Arial" w:cs="Arial"/>
          <w:szCs w:val="24"/>
        </w:rPr>
        <w:t xml:space="preserve"> based on the definition of family member in section 9 of the </w:t>
      </w:r>
      <w:r w:rsidRPr="00E6382A">
        <w:rPr>
          <w:rFonts w:ascii="Arial" w:hAnsi="Arial" w:cs="Arial"/>
          <w:i/>
          <w:iCs/>
          <w:szCs w:val="24"/>
        </w:rPr>
        <w:t>Family Violence Act 2016</w:t>
      </w:r>
      <w:r w:rsidRPr="00E6382A">
        <w:rPr>
          <w:rFonts w:ascii="Arial" w:hAnsi="Arial" w:cs="Arial"/>
          <w:szCs w:val="24"/>
        </w:rPr>
        <w:t>.</w:t>
      </w:r>
      <w:r>
        <w:rPr>
          <w:rFonts w:ascii="Arial" w:hAnsi="Arial" w:cs="Arial"/>
          <w:szCs w:val="24"/>
        </w:rPr>
        <w:t xml:space="preserve"> </w:t>
      </w:r>
    </w:p>
    <w:p w14:paraId="7FDFDFE1" w14:textId="02E733F8" w:rsidR="0078629E" w:rsidRPr="004C1C3B" w:rsidRDefault="004C2CD9" w:rsidP="004C1C3B">
      <w:pPr>
        <w:rPr>
          <w:rFonts w:ascii="Arial" w:hAnsi="Arial" w:cs="Arial"/>
        </w:rPr>
      </w:pPr>
      <w:r>
        <w:rPr>
          <w:rFonts w:ascii="Arial" w:hAnsi="Arial" w:cs="Arial"/>
          <w:szCs w:val="24"/>
        </w:rPr>
        <w:t>Section 74A (3)</w:t>
      </w:r>
      <w:r w:rsidRPr="004C2CD9">
        <w:rPr>
          <w:rFonts w:ascii="Arial" w:hAnsi="Arial" w:cs="Arial"/>
          <w:szCs w:val="24"/>
        </w:rPr>
        <w:t xml:space="preserve"> (a)</w:t>
      </w:r>
      <w:r>
        <w:rPr>
          <w:rFonts w:ascii="Arial" w:hAnsi="Arial" w:cs="Arial"/>
          <w:szCs w:val="24"/>
        </w:rPr>
        <w:t xml:space="preserve"> </w:t>
      </w:r>
      <w:r w:rsidRPr="004C2CD9">
        <w:rPr>
          <w:rFonts w:ascii="Arial" w:hAnsi="Arial" w:cs="Arial"/>
          <w:szCs w:val="24"/>
        </w:rPr>
        <w:t xml:space="preserve">relates to evidence adduced relating to a particular person while </w:t>
      </w:r>
      <w:r>
        <w:rPr>
          <w:rFonts w:ascii="Arial" w:hAnsi="Arial" w:cs="Arial"/>
          <w:szCs w:val="24"/>
        </w:rPr>
        <w:t xml:space="preserve">section 74A (3) (b) </w:t>
      </w:r>
      <w:r w:rsidRPr="004C2CD9">
        <w:rPr>
          <w:rFonts w:ascii="Arial" w:hAnsi="Arial" w:cs="Arial"/>
          <w:szCs w:val="24"/>
        </w:rPr>
        <w:t>relates to evidence adduced relating to the general nature and dynamics of family violence, and factors that impact on victims of family violence</w:t>
      </w:r>
      <w:r>
        <w:rPr>
          <w:rFonts w:ascii="Arial" w:hAnsi="Arial" w:cs="Arial"/>
          <w:szCs w:val="24"/>
        </w:rPr>
        <w:t>.</w:t>
      </w:r>
    </w:p>
    <w:p w14:paraId="37AD632E" w14:textId="5A26A226" w:rsidR="0063609D" w:rsidRPr="008343A8" w:rsidRDefault="0063609D" w:rsidP="0063609D">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10</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sidR="005A03C0">
        <w:rPr>
          <w:rFonts w:ascii="Arial" w:hAnsi="Arial" w:cs="Arial"/>
          <w:lang w:eastAsia="en-AU"/>
        </w:rPr>
        <w:t xml:space="preserve"> Directions about mistaken belief about consent</w:t>
      </w:r>
      <w:r w:rsidR="00C47F8C">
        <w:rPr>
          <w:rFonts w:ascii="Arial" w:hAnsi="Arial" w:cs="Arial"/>
          <w:lang w:eastAsia="en-AU"/>
        </w:rPr>
        <w:t xml:space="preserve">, </w:t>
      </w:r>
      <w:r w:rsidR="005A03C0">
        <w:rPr>
          <w:rFonts w:ascii="Arial" w:hAnsi="Arial" w:cs="Arial"/>
          <w:lang w:eastAsia="en-AU"/>
        </w:rPr>
        <w:t>Section 80D</w:t>
      </w:r>
    </w:p>
    <w:p w14:paraId="5E0E7FB1" w14:textId="3A7406F0" w:rsidR="0063609D" w:rsidRPr="004C1C3B" w:rsidRDefault="005B6D40" w:rsidP="004C1C3B">
      <w:pPr>
        <w:rPr>
          <w:rFonts w:ascii="Arial" w:hAnsi="Arial" w:cs="Arial"/>
        </w:rPr>
      </w:pPr>
      <w:r w:rsidRPr="004C1C3B">
        <w:rPr>
          <w:rFonts w:ascii="Arial" w:hAnsi="Arial" w:cs="Arial"/>
          <w:szCs w:val="24"/>
        </w:rPr>
        <w:t>This clause omits section 80D</w:t>
      </w:r>
      <w:r w:rsidR="006A49CA">
        <w:rPr>
          <w:rFonts w:ascii="Arial" w:hAnsi="Arial" w:cs="Arial"/>
          <w:szCs w:val="24"/>
        </w:rPr>
        <w:t xml:space="preserve"> </w:t>
      </w:r>
      <w:r w:rsidR="006A49CA" w:rsidRPr="006A49CA">
        <w:rPr>
          <w:rFonts w:ascii="Arial" w:hAnsi="Arial" w:cs="Arial"/>
          <w:szCs w:val="24"/>
        </w:rPr>
        <w:t xml:space="preserve">noting it is at odds with the recent amendment to section 67 (4) of the </w:t>
      </w:r>
      <w:r w:rsidR="006A49CA" w:rsidRPr="004C1C3B">
        <w:rPr>
          <w:rFonts w:ascii="Arial" w:hAnsi="Arial" w:cs="Arial"/>
          <w:i/>
          <w:iCs/>
          <w:szCs w:val="24"/>
        </w:rPr>
        <w:t>Crimes Act 1900</w:t>
      </w:r>
      <w:r w:rsidR="006A49CA" w:rsidRPr="006A49CA">
        <w:rPr>
          <w:rFonts w:ascii="Arial" w:hAnsi="Arial" w:cs="Arial"/>
          <w:szCs w:val="24"/>
        </w:rPr>
        <w:t xml:space="preserve">, made by the </w:t>
      </w:r>
      <w:r w:rsidR="006A49CA" w:rsidRPr="004C1C3B">
        <w:rPr>
          <w:rFonts w:ascii="Arial" w:hAnsi="Arial" w:cs="Arial"/>
          <w:i/>
          <w:iCs/>
          <w:szCs w:val="24"/>
        </w:rPr>
        <w:t>Crimes (Consent) Amendment Act 2022</w:t>
      </w:r>
      <w:r w:rsidR="006A49CA" w:rsidRPr="006A49CA">
        <w:rPr>
          <w:rFonts w:ascii="Arial" w:hAnsi="Arial" w:cs="Arial"/>
          <w:szCs w:val="24"/>
        </w:rPr>
        <w:t>.</w:t>
      </w:r>
    </w:p>
    <w:p w14:paraId="0CA6A07F" w14:textId="07B9A032" w:rsidR="00C758C4" w:rsidRPr="00050F68" w:rsidRDefault="00E36748" w:rsidP="00C758C4">
      <w:pPr>
        <w:pStyle w:val="Heading1"/>
        <w:rPr>
          <w:rFonts w:ascii="Arial" w:hAnsi="Arial" w:cs="Arial"/>
          <w:sz w:val="24"/>
          <w:szCs w:val="24"/>
          <w:lang w:eastAsia="en-AU"/>
        </w:rPr>
      </w:pPr>
      <w:bookmarkStart w:id="34" w:name="_Toc114051962"/>
      <w:r w:rsidRPr="00050F68">
        <w:rPr>
          <w:rFonts w:ascii="Arial" w:hAnsi="Arial" w:cs="Arial"/>
          <w:sz w:val="24"/>
          <w:szCs w:val="24"/>
          <w:lang w:eastAsia="en-AU"/>
        </w:rPr>
        <w:t xml:space="preserve">Part </w:t>
      </w:r>
      <w:r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sz w:val="24"/>
          <w:szCs w:val="24"/>
          <w:lang w:eastAsia="en-AU"/>
        </w:rPr>
        <w:fldChar w:fldCharType="separate"/>
      </w:r>
      <w:r w:rsidR="00705348">
        <w:rPr>
          <w:rFonts w:ascii="Arial" w:hAnsi="Arial" w:cs="Arial"/>
          <w:noProof/>
          <w:sz w:val="24"/>
          <w:szCs w:val="24"/>
          <w:lang w:eastAsia="en-AU"/>
        </w:rPr>
        <w:t>5</w:t>
      </w:r>
      <w:r w:rsidRPr="00050F68">
        <w:rPr>
          <w:rFonts w:ascii="Arial" w:hAnsi="Arial" w:cs="Arial"/>
          <w:sz w:val="24"/>
          <w:szCs w:val="24"/>
          <w:lang w:eastAsia="en-AU"/>
        </w:rPr>
        <w:fldChar w:fldCharType="end"/>
      </w:r>
      <w:r w:rsidRPr="00050F68">
        <w:rPr>
          <w:rFonts w:ascii="Arial" w:hAnsi="Arial" w:cs="Arial"/>
          <w:sz w:val="24"/>
          <w:szCs w:val="24"/>
          <w:lang w:eastAsia="en-AU"/>
        </w:rPr>
        <w:t xml:space="preserve"> –</w:t>
      </w:r>
      <w:r>
        <w:rPr>
          <w:rFonts w:ascii="Arial" w:hAnsi="Arial" w:cs="Arial"/>
          <w:sz w:val="24"/>
          <w:szCs w:val="24"/>
          <w:lang w:eastAsia="en-AU"/>
        </w:rPr>
        <w:t xml:space="preserve"> </w:t>
      </w:r>
      <w:bookmarkEnd w:id="34"/>
      <w:r w:rsidR="00945F79">
        <w:rPr>
          <w:rFonts w:ascii="Arial" w:hAnsi="Arial" w:cs="Arial"/>
          <w:sz w:val="24"/>
          <w:szCs w:val="24"/>
          <w:lang w:eastAsia="en-AU"/>
        </w:rPr>
        <w:t>Personal Violence Act 1996</w:t>
      </w:r>
    </w:p>
    <w:p w14:paraId="33537E33" w14:textId="54B30CB5" w:rsidR="008343A8" w:rsidRPr="008343A8" w:rsidRDefault="00DF7319" w:rsidP="008343A8">
      <w:pPr>
        <w:pStyle w:val="Heading4"/>
        <w:keepNext w:val="0"/>
        <w:rPr>
          <w:rFonts w:ascii="Arial" w:hAnsi="Arial" w:cs="Arial"/>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705348">
        <w:rPr>
          <w:rFonts w:ascii="Arial" w:hAnsi="Arial" w:cs="Arial"/>
          <w:noProof/>
        </w:rPr>
        <w:t>11</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945F79">
        <w:rPr>
          <w:rFonts w:ascii="Arial" w:hAnsi="Arial" w:cs="Arial"/>
          <w:lang w:eastAsia="en-AU"/>
        </w:rPr>
        <w:t>Division 3.3</w:t>
      </w:r>
    </w:p>
    <w:p w14:paraId="44962CE8" w14:textId="77777777" w:rsidR="00AF3D16" w:rsidRDefault="004123EC" w:rsidP="000963F9">
      <w:pPr>
        <w:rPr>
          <w:rFonts w:ascii="Arial" w:hAnsi="Arial" w:cs="Arial"/>
        </w:rPr>
      </w:pPr>
      <w:r w:rsidRPr="004C1C3B">
        <w:rPr>
          <w:rFonts w:ascii="Arial" w:hAnsi="Arial" w:cs="Arial"/>
          <w:szCs w:val="24"/>
        </w:rPr>
        <w:t>This clause</w:t>
      </w:r>
      <w:r>
        <w:rPr>
          <w:rFonts w:ascii="Arial" w:hAnsi="Arial" w:cs="Arial"/>
          <w:szCs w:val="24"/>
        </w:rPr>
        <w:t xml:space="preserve"> substitutes existing Division 3.</w:t>
      </w:r>
      <w:r w:rsidRPr="004123EC">
        <w:rPr>
          <w:rFonts w:ascii="Arial" w:hAnsi="Arial" w:cs="Arial"/>
          <w:szCs w:val="24"/>
        </w:rPr>
        <w:t>3 of the</w:t>
      </w:r>
      <w:r w:rsidRPr="004C1C3B">
        <w:rPr>
          <w:rFonts w:ascii="Arial" w:hAnsi="Arial" w:cs="Arial"/>
          <w:i/>
          <w:iCs/>
        </w:rPr>
        <w:t xml:space="preserve"> Personal Violence Act 2016</w:t>
      </w:r>
      <w:r>
        <w:rPr>
          <w:rFonts w:ascii="Arial" w:hAnsi="Arial" w:cs="Arial"/>
          <w:i/>
          <w:iCs/>
        </w:rPr>
        <w:t xml:space="preserve"> </w:t>
      </w:r>
      <w:r>
        <w:rPr>
          <w:rFonts w:ascii="Arial" w:hAnsi="Arial" w:cs="Arial"/>
        </w:rPr>
        <w:t xml:space="preserve">to incorporate a new special interim order scheme for </w:t>
      </w:r>
      <w:r w:rsidRPr="00C121B2">
        <w:rPr>
          <w:rFonts w:ascii="Arial" w:hAnsi="Arial" w:cs="Arial"/>
        </w:rPr>
        <w:t xml:space="preserve">Personal Protection Orders (PPOs) and Workplace Protection Orders (WPOs) </w:t>
      </w:r>
      <w:r>
        <w:rPr>
          <w:rFonts w:ascii="Arial" w:hAnsi="Arial" w:cs="Arial"/>
        </w:rPr>
        <w:t>which models</w:t>
      </w:r>
      <w:r w:rsidRPr="00C121B2">
        <w:rPr>
          <w:rFonts w:ascii="Arial" w:hAnsi="Arial" w:cs="Arial"/>
        </w:rPr>
        <w:t xml:space="preserve"> the provisions in the </w:t>
      </w:r>
      <w:r w:rsidRPr="00C121B2">
        <w:rPr>
          <w:rFonts w:ascii="Arial" w:hAnsi="Arial" w:cs="Arial"/>
          <w:i/>
          <w:iCs/>
        </w:rPr>
        <w:t>Family Violence Act 2016</w:t>
      </w:r>
      <w:r w:rsidRPr="001F478A">
        <w:rPr>
          <w:rFonts w:ascii="Arial" w:hAnsi="Arial" w:cs="Arial"/>
        </w:rPr>
        <w:t xml:space="preserve"> for F</w:t>
      </w:r>
      <w:r>
        <w:rPr>
          <w:rFonts w:ascii="Arial" w:hAnsi="Arial" w:cs="Arial"/>
        </w:rPr>
        <w:t>amily Violence Orders (F</w:t>
      </w:r>
      <w:r w:rsidRPr="001F478A">
        <w:rPr>
          <w:rFonts w:ascii="Arial" w:hAnsi="Arial" w:cs="Arial"/>
        </w:rPr>
        <w:t>VOs</w:t>
      </w:r>
      <w:r>
        <w:rPr>
          <w:rFonts w:ascii="Arial" w:hAnsi="Arial" w:cs="Arial"/>
        </w:rPr>
        <w:t>)</w:t>
      </w:r>
      <w:r w:rsidRPr="001F478A">
        <w:rPr>
          <w:rFonts w:ascii="Arial" w:hAnsi="Arial" w:cs="Arial"/>
        </w:rPr>
        <w:t xml:space="preserve">. </w:t>
      </w:r>
    </w:p>
    <w:p w14:paraId="0248C900" w14:textId="1F4ED891" w:rsidR="00B213A7" w:rsidRPr="001F478A" w:rsidRDefault="000963F9" w:rsidP="004C1C3B">
      <w:pPr>
        <w:rPr>
          <w:rFonts w:ascii="Arial" w:hAnsi="Arial" w:cs="Arial"/>
        </w:rPr>
      </w:pPr>
      <w:r>
        <w:rPr>
          <w:rFonts w:ascii="Arial" w:hAnsi="Arial" w:cs="Arial"/>
        </w:rPr>
        <w:t xml:space="preserve">The clause also models the provisions in the </w:t>
      </w:r>
      <w:r w:rsidRPr="00C121B2">
        <w:rPr>
          <w:rFonts w:ascii="Arial" w:hAnsi="Arial" w:cs="Arial"/>
          <w:i/>
          <w:iCs/>
        </w:rPr>
        <w:t>Family Violence Act 2016</w:t>
      </w:r>
      <w:r w:rsidRPr="001F478A">
        <w:rPr>
          <w:rFonts w:ascii="Arial" w:hAnsi="Arial" w:cs="Arial"/>
        </w:rPr>
        <w:t xml:space="preserve"> for </w:t>
      </w:r>
      <w:r w:rsidR="00AF3D16">
        <w:rPr>
          <w:rFonts w:ascii="Arial" w:hAnsi="Arial" w:cs="Arial"/>
        </w:rPr>
        <w:t xml:space="preserve">general interim orders </w:t>
      </w:r>
      <w:r>
        <w:rPr>
          <w:rFonts w:ascii="Arial" w:hAnsi="Arial" w:cs="Arial"/>
        </w:rPr>
        <w:t>and clarifies that a special interim order can be made if there is a related charge outstanding in relation to the respondent</w:t>
      </w:r>
      <w:r w:rsidR="00B55D72">
        <w:rPr>
          <w:rFonts w:ascii="Arial" w:hAnsi="Arial" w:cs="Arial"/>
        </w:rPr>
        <w:t xml:space="preserve"> </w:t>
      </w:r>
      <w:r w:rsidR="00B55D72" w:rsidRPr="00B55D72">
        <w:rPr>
          <w:rFonts w:ascii="Arial" w:hAnsi="Arial" w:cs="Arial"/>
        </w:rPr>
        <w:t>and the offence is against the applicant</w:t>
      </w:r>
      <w:r>
        <w:rPr>
          <w:rFonts w:ascii="Arial" w:hAnsi="Arial" w:cs="Arial"/>
        </w:rPr>
        <w:t xml:space="preserve">. </w:t>
      </w:r>
      <w:r w:rsidR="00A72D3F">
        <w:rPr>
          <w:rFonts w:ascii="Arial" w:hAnsi="Arial" w:cs="Arial"/>
        </w:rPr>
        <w:t>I</w:t>
      </w:r>
      <w:r>
        <w:rPr>
          <w:rFonts w:ascii="Arial" w:hAnsi="Arial" w:cs="Arial"/>
        </w:rPr>
        <w:t xml:space="preserve">n all other instances, the relevant interim order is a general interim order. </w:t>
      </w:r>
    </w:p>
    <w:p w14:paraId="005D46A6" w14:textId="788A5785" w:rsidR="00AF3D16" w:rsidRDefault="00AF3D16" w:rsidP="00B213A7">
      <w:pPr>
        <w:autoSpaceDE w:val="0"/>
        <w:autoSpaceDN w:val="0"/>
        <w:adjustRightInd w:val="0"/>
        <w:spacing w:before="240" w:after="120"/>
        <w:rPr>
          <w:rFonts w:ascii="Arial" w:hAnsi="Arial" w:cs="Arial"/>
        </w:rPr>
      </w:pPr>
      <w:r w:rsidRPr="004C1C3B">
        <w:rPr>
          <w:rFonts w:ascii="Arial" w:hAnsi="Arial" w:cs="Arial"/>
        </w:rPr>
        <w:t>The amendment provides that</w:t>
      </w:r>
      <w:r w:rsidR="003B3E72" w:rsidRPr="00AF3D16">
        <w:rPr>
          <w:rFonts w:ascii="Arial" w:hAnsi="Arial" w:cs="Arial"/>
        </w:rPr>
        <w:t xml:space="preserve"> </w:t>
      </w:r>
      <w:r w:rsidRPr="00AF3D16">
        <w:rPr>
          <w:rFonts w:ascii="Arial" w:hAnsi="Arial" w:cs="Arial"/>
        </w:rPr>
        <w:t>upon</w:t>
      </w:r>
      <w:r w:rsidRPr="001F478A">
        <w:rPr>
          <w:rFonts w:ascii="Arial" w:hAnsi="Arial" w:cs="Arial"/>
        </w:rPr>
        <w:t xml:space="preserve"> </w:t>
      </w:r>
      <w:r w:rsidR="00B213A7" w:rsidRPr="001F478A">
        <w:rPr>
          <w:rFonts w:ascii="Arial" w:hAnsi="Arial" w:cs="Arial"/>
        </w:rPr>
        <w:t xml:space="preserve">application, the court may make an interim PPO or WPO if satisfied that the order is necessary to ensure the safety of an affected person from violence and/or </w:t>
      </w:r>
      <w:r w:rsidR="003B3E72">
        <w:rPr>
          <w:rFonts w:ascii="Arial" w:hAnsi="Arial" w:cs="Arial"/>
        </w:rPr>
        <w:t xml:space="preserve">to </w:t>
      </w:r>
      <w:r w:rsidR="00B213A7" w:rsidRPr="001F478A">
        <w:rPr>
          <w:rFonts w:ascii="Arial" w:hAnsi="Arial" w:cs="Arial"/>
        </w:rPr>
        <w:t xml:space="preserve">prevent substantial damage to an affected person’s property (for a PPO) or to property at a workplace (for a WPO). </w:t>
      </w:r>
    </w:p>
    <w:p w14:paraId="6D53AE18" w14:textId="2F4BF45F" w:rsidR="00B20D81" w:rsidRDefault="009E19C0" w:rsidP="00B213A7">
      <w:pPr>
        <w:autoSpaceDE w:val="0"/>
        <w:autoSpaceDN w:val="0"/>
        <w:adjustRightInd w:val="0"/>
        <w:spacing w:before="240" w:after="120"/>
        <w:rPr>
          <w:rFonts w:ascii="Arial" w:hAnsi="Arial" w:cs="Arial"/>
        </w:rPr>
      </w:pPr>
      <w:r>
        <w:rPr>
          <w:rFonts w:ascii="Arial" w:hAnsi="Arial" w:cs="Arial"/>
        </w:rPr>
        <w:t xml:space="preserve">In deciding </w:t>
      </w:r>
      <w:r w:rsidR="00AF3D16">
        <w:rPr>
          <w:rFonts w:ascii="Arial" w:hAnsi="Arial" w:cs="Arial"/>
        </w:rPr>
        <w:t xml:space="preserve">whether an </w:t>
      </w:r>
      <w:r>
        <w:rPr>
          <w:rFonts w:ascii="Arial" w:hAnsi="Arial" w:cs="Arial"/>
        </w:rPr>
        <w:t>interim order</w:t>
      </w:r>
      <w:r w:rsidR="00AF3D16">
        <w:rPr>
          <w:rFonts w:ascii="Arial" w:hAnsi="Arial" w:cs="Arial"/>
        </w:rPr>
        <w:t xml:space="preserve"> is to be made</w:t>
      </w:r>
      <w:r>
        <w:rPr>
          <w:rFonts w:ascii="Arial" w:hAnsi="Arial" w:cs="Arial"/>
        </w:rPr>
        <w:t>, the court is still bound to consider the “matters to be considered” outlined in section 11</w:t>
      </w:r>
      <w:r w:rsidR="00AF3D16">
        <w:rPr>
          <w:rFonts w:ascii="Arial" w:hAnsi="Arial" w:cs="Arial"/>
        </w:rPr>
        <w:t xml:space="preserve"> which is unaffected by the amendment. </w:t>
      </w:r>
    </w:p>
    <w:p w14:paraId="715B1EDD" w14:textId="04E5A4BC" w:rsidR="00134A00" w:rsidRDefault="00DD4E44" w:rsidP="00B213A7">
      <w:pPr>
        <w:autoSpaceDE w:val="0"/>
        <w:autoSpaceDN w:val="0"/>
        <w:adjustRightInd w:val="0"/>
        <w:spacing w:before="240" w:after="120"/>
        <w:rPr>
          <w:rFonts w:ascii="Arial" w:hAnsi="Arial" w:cs="Arial"/>
        </w:rPr>
      </w:pPr>
      <w:r>
        <w:rPr>
          <w:rFonts w:ascii="Arial" w:hAnsi="Arial" w:cs="Arial"/>
        </w:rPr>
        <w:t>There may be situations where the court makes a special interim order when a general interim order could have been made, or the court make</w:t>
      </w:r>
      <w:r w:rsidR="00A72D3F">
        <w:rPr>
          <w:rFonts w:ascii="Arial" w:hAnsi="Arial" w:cs="Arial"/>
        </w:rPr>
        <w:t>s</w:t>
      </w:r>
      <w:r>
        <w:rPr>
          <w:rFonts w:ascii="Arial" w:hAnsi="Arial" w:cs="Arial"/>
        </w:rPr>
        <w:t xml:space="preserve"> a general interim order when a special interim order could have been made. The amendment </w:t>
      </w:r>
      <w:r w:rsidR="00A72D3F">
        <w:rPr>
          <w:rFonts w:ascii="Arial" w:hAnsi="Arial" w:cs="Arial"/>
        </w:rPr>
        <w:t xml:space="preserve">clarifies </w:t>
      </w:r>
      <w:r w:rsidR="00A72D3F">
        <w:rPr>
          <w:rFonts w:ascii="Arial" w:hAnsi="Arial" w:cs="Arial"/>
        </w:rPr>
        <w:lastRenderedPageBreak/>
        <w:t xml:space="preserve">that </w:t>
      </w:r>
      <w:r>
        <w:rPr>
          <w:rFonts w:ascii="Arial" w:hAnsi="Arial" w:cs="Arial"/>
        </w:rPr>
        <w:t>when either of these situations occur, the operation of the order</w:t>
      </w:r>
      <w:r w:rsidR="00A72D3F">
        <w:rPr>
          <w:rFonts w:ascii="Arial" w:hAnsi="Arial" w:cs="Arial"/>
        </w:rPr>
        <w:t xml:space="preserve"> is not </w:t>
      </w:r>
      <w:r w:rsidR="00D23AC4">
        <w:rPr>
          <w:rFonts w:ascii="Arial" w:hAnsi="Arial" w:cs="Arial"/>
        </w:rPr>
        <w:t>affected,</w:t>
      </w:r>
      <w:r w:rsidR="00A72D3F">
        <w:rPr>
          <w:rFonts w:ascii="Arial" w:hAnsi="Arial" w:cs="Arial"/>
        </w:rPr>
        <w:t xml:space="preserve"> and the</w:t>
      </w:r>
      <w:r>
        <w:rPr>
          <w:rFonts w:ascii="Arial" w:hAnsi="Arial" w:cs="Arial"/>
        </w:rPr>
        <w:t xml:space="preserve"> court has the power to set aside </w:t>
      </w:r>
      <w:r w:rsidR="00A72D3F">
        <w:rPr>
          <w:rFonts w:ascii="Arial" w:hAnsi="Arial" w:cs="Arial"/>
        </w:rPr>
        <w:t xml:space="preserve">an </w:t>
      </w:r>
      <w:r>
        <w:rPr>
          <w:rFonts w:ascii="Arial" w:hAnsi="Arial" w:cs="Arial"/>
        </w:rPr>
        <w:t xml:space="preserve">order and make </w:t>
      </w:r>
      <w:r w:rsidR="00A72D3F">
        <w:rPr>
          <w:rFonts w:ascii="Arial" w:hAnsi="Arial" w:cs="Arial"/>
        </w:rPr>
        <w:t>another</w:t>
      </w:r>
      <w:r>
        <w:rPr>
          <w:rFonts w:ascii="Arial" w:hAnsi="Arial" w:cs="Arial"/>
        </w:rPr>
        <w:t xml:space="preserve">. </w:t>
      </w:r>
    </w:p>
    <w:p w14:paraId="62D28170" w14:textId="4DFD8C89" w:rsidR="00DF7319" w:rsidRDefault="00DF7319" w:rsidP="00DF7319">
      <w:pPr>
        <w:pStyle w:val="Heading4"/>
        <w:keepNext w:val="0"/>
        <w:rPr>
          <w:rFonts w:ascii="Arial" w:hAnsi="Arial" w:cs="Arial"/>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705348">
        <w:rPr>
          <w:rFonts w:ascii="Arial" w:hAnsi="Arial" w:cs="Arial"/>
          <w:noProof/>
        </w:rPr>
        <w:t>12</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sidR="00945F79">
        <w:rPr>
          <w:rFonts w:ascii="Arial" w:hAnsi="Arial" w:cs="Arial"/>
          <w:lang w:eastAsia="en-AU"/>
        </w:rPr>
        <w:t xml:space="preserve"> Interim order sought, New section 41 (2)</w:t>
      </w:r>
      <w:r w:rsidRPr="00050F68">
        <w:rPr>
          <w:rFonts w:ascii="Arial" w:hAnsi="Arial" w:cs="Arial"/>
          <w:lang w:eastAsia="en-AU"/>
        </w:rPr>
        <w:t xml:space="preserve"> </w:t>
      </w:r>
    </w:p>
    <w:p w14:paraId="7B85E6FD" w14:textId="1677B52D" w:rsidR="00D23AC4" w:rsidRDefault="00F93216" w:rsidP="00C758C4">
      <w:pPr>
        <w:rPr>
          <w:rFonts w:ascii="Arial" w:hAnsi="Arial" w:cs="Arial"/>
          <w:lang w:eastAsia="en-AU"/>
        </w:rPr>
      </w:pPr>
      <w:r>
        <w:rPr>
          <w:rFonts w:ascii="Arial" w:hAnsi="Arial" w:cs="Arial"/>
          <w:lang w:eastAsia="en-AU"/>
        </w:rPr>
        <w:t>Th</w:t>
      </w:r>
      <w:r w:rsidR="008F7E90">
        <w:rPr>
          <w:rFonts w:ascii="Arial" w:hAnsi="Arial" w:cs="Arial"/>
          <w:lang w:eastAsia="en-AU"/>
        </w:rPr>
        <w:t>is</w:t>
      </w:r>
      <w:r>
        <w:rPr>
          <w:rFonts w:ascii="Arial" w:hAnsi="Arial" w:cs="Arial"/>
          <w:lang w:eastAsia="en-AU"/>
        </w:rPr>
        <w:t xml:space="preserve"> clause inserts new subsection (2) </w:t>
      </w:r>
      <w:r w:rsidR="00CD5EC5">
        <w:rPr>
          <w:rFonts w:ascii="Arial" w:hAnsi="Arial" w:cs="Arial"/>
          <w:lang w:eastAsia="en-AU"/>
        </w:rPr>
        <w:t xml:space="preserve">in section 41 </w:t>
      </w:r>
      <w:r>
        <w:rPr>
          <w:rFonts w:ascii="Arial" w:hAnsi="Arial" w:cs="Arial"/>
          <w:lang w:eastAsia="en-AU"/>
        </w:rPr>
        <w:t xml:space="preserve">which </w:t>
      </w:r>
      <w:r w:rsidR="00D23AC4">
        <w:rPr>
          <w:rFonts w:ascii="Arial" w:hAnsi="Arial" w:cs="Arial"/>
          <w:lang w:eastAsia="en-AU"/>
        </w:rPr>
        <w:t xml:space="preserve">mirrors section 47 of the </w:t>
      </w:r>
      <w:r w:rsidR="00D23AC4" w:rsidRPr="00D23AC4">
        <w:rPr>
          <w:rFonts w:ascii="Arial" w:hAnsi="Arial" w:cs="Arial"/>
          <w:i/>
          <w:iCs/>
          <w:lang w:eastAsia="en-AU"/>
        </w:rPr>
        <w:t>Family Violence Act 2016</w:t>
      </w:r>
      <w:r w:rsidR="00D23AC4">
        <w:rPr>
          <w:rFonts w:ascii="Arial" w:hAnsi="Arial" w:cs="Arial"/>
          <w:lang w:eastAsia="en-AU"/>
        </w:rPr>
        <w:t>.</w:t>
      </w:r>
    </w:p>
    <w:p w14:paraId="0E6AE339" w14:textId="524D72AF" w:rsidR="00E62F50" w:rsidRDefault="00D23AC4" w:rsidP="00C758C4">
      <w:pPr>
        <w:rPr>
          <w:rFonts w:ascii="Arial" w:hAnsi="Arial" w:cs="Arial"/>
          <w:lang w:eastAsia="en-AU"/>
        </w:rPr>
      </w:pPr>
      <w:r>
        <w:rPr>
          <w:rFonts w:ascii="Arial" w:hAnsi="Arial" w:cs="Arial"/>
          <w:lang w:eastAsia="en-AU"/>
        </w:rPr>
        <w:t xml:space="preserve">The amendment </w:t>
      </w:r>
      <w:r w:rsidR="00F93216">
        <w:rPr>
          <w:rFonts w:ascii="Arial" w:hAnsi="Arial" w:cs="Arial"/>
          <w:lang w:eastAsia="en-AU"/>
        </w:rPr>
        <w:t>provides</w:t>
      </w:r>
      <w:r w:rsidR="001D5A00" w:rsidRPr="004C1C3B">
        <w:rPr>
          <w:rFonts w:ascii="Arial" w:hAnsi="Arial" w:cs="Arial"/>
          <w:lang w:eastAsia="en-AU"/>
        </w:rPr>
        <w:t xml:space="preserve"> that </w:t>
      </w:r>
      <w:r w:rsidR="00D210AB">
        <w:rPr>
          <w:rFonts w:ascii="Arial" w:hAnsi="Arial" w:cs="Arial"/>
          <w:lang w:eastAsia="en-AU"/>
        </w:rPr>
        <w:t xml:space="preserve">section 41 </w:t>
      </w:r>
      <w:r w:rsidR="00B12164">
        <w:rPr>
          <w:rFonts w:ascii="Arial" w:hAnsi="Arial" w:cs="Arial"/>
          <w:lang w:eastAsia="en-AU"/>
        </w:rPr>
        <w:t>(1)</w:t>
      </w:r>
      <w:r w:rsidR="00D210AB">
        <w:rPr>
          <w:rFonts w:ascii="Arial" w:hAnsi="Arial" w:cs="Arial"/>
          <w:lang w:eastAsia="en-AU"/>
        </w:rPr>
        <w:t xml:space="preserve"> </w:t>
      </w:r>
      <w:r w:rsidR="00B12164">
        <w:rPr>
          <w:rFonts w:ascii="Arial" w:hAnsi="Arial" w:cs="Arial"/>
          <w:lang w:eastAsia="en-AU"/>
        </w:rPr>
        <w:t>(b) continues to apply so that after the hearing for a</w:t>
      </w:r>
      <w:r w:rsidR="004D5AFF">
        <w:rPr>
          <w:rFonts w:ascii="Arial" w:hAnsi="Arial" w:cs="Arial"/>
          <w:lang w:eastAsia="en-AU"/>
        </w:rPr>
        <w:t xml:space="preserve"> special</w:t>
      </w:r>
      <w:r w:rsidR="00B12164">
        <w:rPr>
          <w:rFonts w:ascii="Arial" w:hAnsi="Arial" w:cs="Arial"/>
          <w:lang w:eastAsia="en-AU"/>
        </w:rPr>
        <w:t xml:space="preserve"> interim order, </w:t>
      </w:r>
      <w:r w:rsidR="001D5A00" w:rsidRPr="004C1C3B">
        <w:rPr>
          <w:rFonts w:ascii="Arial" w:hAnsi="Arial" w:cs="Arial"/>
          <w:lang w:eastAsia="en-AU"/>
        </w:rPr>
        <w:t>the Magistrat</w:t>
      </w:r>
      <w:r w:rsidR="00EB4CCF">
        <w:rPr>
          <w:rFonts w:ascii="Arial" w:hAnsi="Arial" w:cs="Arial"/>
          <w:lang w:eastAsia="en-AU"/>
        </w:rPr>
        <w:t>es</w:t>
      </w:r>
      <w:r w:rsidR="001D5A00" w:rsidRPr="004C1C3B">
        <w:rPr>
          <w:rFonts w:ascii="Arial" w:hAnsi="Arial" w:cs="Arial"/>
          <w:lang w:eastAsia="en-AU"/>
        </w:rPr>
        <w:t xml:space="preserve"> Court must set a </w:t>
      </w:r>
      <w:r w:rsidR="00B12164">
        <w:rPr>
          <w:rFonts w:ascii="Arial" w:hAnsi="Arial" w:cs="Arial"/>
          <w:lang w:eastAsia="en-AU"/>
        </w:rPr>
        <w:t xml:space="preserve">return </w:t>
      </w:r>
      <w:r w:rsidR="001D5A00" w:rsidRPr="004C1C3B">
        <w:rPr>
          <w:rFonts w:ascii="Arial" w:hAnsi="Arial" w:cs="Arial"/>
          <w:lang w:eastAsia="en-AU"/>
        </w:rPr>
        <w:t xml:space="preserve">date </w:t>
      </w:r>
      <w:r w:rsidR="00B12164">
        <w:rPr>
          <w:rFonts w:ascii="Arial" w:hAnsi="Arial" w:cs="Arial"/>
          <w:lang w:eastAsia="en-AU"/>
        </w:rPr>
        <w:t xml:space="preserve">for a </w:t>
      </w:r>
      <w:r w:rsidR="001D5A00" w:rsidRPr="004C1C3B">
        <w:rPr>
          <w:rFonts w:ascii="Arial" w:hAnsi="Arial" w:cs="Arial"/>
          <w:lang w:eastAsia="en-AU"/>
        </w:rPr>
        <w:t>preliminary conference</w:t>
      </w:r>
      <w:r w:rsidR="00B12164">
        <w:rPr>
          <w:rFonts w:ascii="Arial" w:hAnsi="Arial" w:cs="Arial"/>
          <w:lang w:eastAsia="en-AU"/>
        </w:rPr>
        <w:t xml:space="preserve"> which is as soon as practicable after the hearing and that the court must, as soon as practicable, serve </w:t>
      </w:r>
      <w:r w:rsidR="001D5A00" w:rsidRPr="004C1C3B">
        <w:rPr>
          <w:rFonts w:ascii="Arial" w:hAnsi="Arial" w:cs="Arial"/>
          <w:lang w:eastAsia="en-AU"/>
        </w:rPr>
        <w:t>relevant documents</w:t>
      </w:r>
      <w:r w:rsidR="00B12164" w:rsidRPr="00B12164">
        <w:rPr>
          <w:rFonts w:ascii="Arial" w:hAnsi="Arial" w:cs="Arial"/>
          <w:lang w:eastAsia="en-AU"/>
        </w:rPr>
        <w:t xml:space="preserve"> </w:t>
      </w:r>
      <w:r w:rsidR="00B12164">
        <w:rPr>
          <w:rFonts w:ascii="Arial" w:hAnsi="Arial" w:cs="Arial"/>
          <w:lang w:eastAsia="en-AU"/>
        </w:rPr>
        <w:t xml:space="preserve">on the </w:t>
      </w:r>
      <w:r w:rsidR="00B12164" w:rsidRPr="004C1C3B">
        <w:rPr>
          <w:rFonts w:ascii="Arial" w:hAnsi="Arial" w:cs="Arial"/>
          <w:lang w:eastAsia="en-AU"/>
        </w:rPr>
        <w:t>respondent</w:t>
      </w:r>
      <w:r w:rsidR="001D5A00" w:rsidRPr="004C1C3B">
        <w:rPr>
          <w:rFonts w:ascii="Arial" w:hAnsi="Arial" w:cs="Arial"/>
          <w:lang w:eastAsia="en-AU"/>
        </w:rPr>
        <w:t xml:space="preserve">. </w:t>
      </w:r>
    </w:p>
    <w:p w14:paraId="085C9000" w14:textId="02E9D99C" w:rsidR="00C758C4" w:rsidRDefault="00C758C4" w:rsidP="00C758C4">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13</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sidR="00945F79">
        <w:rPr>
          <w:rFonts w:ascii="Arial" w:hAnsi="Arial" w:cs="Arial"/>
          <w:lang w:eastAsia="en-AU"/>
        </w:rPr>
        <w:t xml:space="preserve"> If no consent order at preliminary conference, New section 45 (c)</w:t>
      </w:r>
    </w:p>
    <w:p w14:paraId="53B5B48A" w14:textId="139122B6" w:rsidR="00D23AC4" w:rsidRDefault="004D5AFF" w:rsidP="00D23AC4">
      <w:pPr>
        <w:rPr>
          <w:rFonts w:ascii="Arial" w:hAnsi="Arial" w:cs="Arial"/>
          <w:lang w:eastAsia="en-AU"/>
        </w:rPr>
      </w:pPr>
      <w:r w:rsidRPr="004D5AFF">
        <w:rPr>
          <w:rFonts w:ascii="Arial" w:hAnsi="Arial" w:cs="Arial"/>
          <w:lang w:eastAsia="en-AU"/>
        </w:rPr>
        <w:t>Th</w:t>
      </w:r>
      <w:r w:rsidR="008F7E90">
        <w:rPr>
          <w:rFonts w:ascii="Arial" w:hAnsi="Arial" w:cs="Arial"/>
          <w:lang w:eastAsia="en-AU"/>
        </w:rPr>
        <w:t>is</w:t>
      </w:r>
      <w:r w:rsidRPr="004D5AFF">
        <w:rPr>
          <w:rFonts w:ascii="Arial" w:hAnsi="Arial" w:cs="Arial"/>
          <w:lang w:eastAsia="en-AU"/>
        </w:rPr>
        <w:t xml:space="preserve"> clause inserts </w:t>
      </w:r>
      <w:r w:rsidR="00D23AC4">
        <w:rPr>
          <w:rFonts w:ascii="Arial" w:hAnsi="Arial" w:cs="Arial"/>
          <w:lang w:eastAsia="en-AU"/>
        </w:rPr>
        <w:t xml:space="preserve">new subsection (c) </w:t>
      </w:r>
      <w:r w:rsidR="00CD5EC5">
        <w:rPr>
          <w:rFonts w:ascii="Arial" w:hAnsi="Arial" w:cs="Arial"/>
          <w:lang w:eastAsia="en-AU"/>
        </w:rPr>
        <w:t xml:space="preserve">in section 45 </w:t>
      </w:r>
      <w:r w:rsidR="00D23AC4">
        <w:rPr>
          <w:rFonts w:ascii="Arial" w:hAnsi="Arial" w:cs="Arial"/>
          <w:lang w:eastAsia="en-AU"/>
        </w:rPr>
        <w:t xml:space="preserve">which mirrors section 51 of the </w:t>
      </w:r>
      <w:r w:rsidR="00D23AC4" w:rsidRPr="00D23AC4">
        <w:rPr>
          <w:rFonts w:ascii="Arial" w:hAnsi="Arial" w:cs="Arial"/>
          <w:i/>
          <w:iCs/>
          <w:lang w:eastAsia="en-AU"/>
        </w:rPr>
        <w:t>Family Violence Act 2016</w:t>
      </w:r>
      <w:r w:rsidR="00D23AC4">
        <w:rPr>
          <w:rFonts w:ascii="Arial" w:hAnsi="Arial" w:cs="Arial"/>
          <w:lang w:eastAsia="en-AU"/>
        </w:rPr>
        <w:t>.</w:t>
      </w:r>
    </w:p>
    <w:p w14:paraId="32725AE3" w14:textId="648E5CE8" w:rsidR="004D5AFF" w:rsidRPr="004D5AFF" w:rsidRDefault="00D23AC4" w:rsidP="00C758C4">
      <w:pPr>
        <w:rPr>
          <w:rFonts w:ascii="Arial" w:hAnsi="Arial" w:cs="Arial"/>
          <w:lang w:eastAsia="en-AU"/>
        </w:rPr>
      </w:pPr>
      <w:r>
        <w:rPr>
          <w:rFonts w:ascii="Arial" w:hAnsi="Arial" w:cs="Arial"/>
          <w:lang w:eastAsia="en-AU"/>
        </w:rPr>
        <w:t>The amendment provides that if a consent order is not made at a preliminary conference in relation to an application for a protection order and a special interim order has been made, the registrar must adjourn the proceeding until all related charges are finalised.</w:t>
      </w:r>
    </w:p>
    <w:p w14:paraId="2147B224" w14:textId="63CF3164" w:rsidR="00C758C4" w:rsidRDefault="00C758C4" w:rsidP="00C758C4">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B07290">
        <w:rPr>
          <w:rFonts w:ascii="Arial" w:hAnsi="Arial" w:cs="Arial"/>
          <w:lang w:eastAsia="en-AU"/>
        </w:rPr>
        <w:t>Service of protection orders, New section 64C (1A)</w:t>
      </w:r>
    </w:p>
    <w:p w14:paraId="4DCB10FD" w14:textId="1DB31625" w:rsidR="00C758C4" w:rsidRDefault="00D23AC4" w:rsidP="00C758C4">
      <w:pPr>
        <w:rPr>
          <w:rFonts w:ascii="Arial" w:hAnsi="Arial" w:cs="Arial"/>
          <w:lang w:eastAsia="en-AU"/>
        </w:rPr>
      </w:pPr>
      <w:r w:rsidRPr="00D23AC4">
        <w:rPr>
          <w:rFonts w:ascii="Arial" w:hAnsi="Arial" w:cs="Arial"/>
          <w:lang w:eastAsia="en-AU"/>
        </w:rPr>
        <w:t>Th</w:t>
      </w:r>
      <w:r w:rsidR="008F7E90">
        <w:rPr>
          <w:rFonts w:ascii="Arial" w:hAnsi="Arial" w:cs="Arial"/>
          <w:lang w:eastAsia="en-AU"/>
        </w:rPr>
        <w:t>is</w:t>
      </w:r>
      <w:r w:rsidRPr="00D23AC4">
        <w:rPr>
          <w:rFonts w:ascii="Arial" w:hAnsi="Arial" w:cs="Arial"/>
          <w:lang w:eastAsia="en-AU"/>
        </w:rPr>
        <w:t xml:space="preserve"> clause inserts new subsection 1A </w:t>
      </w:r>
      <w:r w:rsidR="00CD5EC5">
        <w:rPr>
          <w:rFonts w:ascii="Arial" w:hAnsi="Arial" w:cs="Arial"/>
          <w:lang w:eastAsia="en-AU"/>
        </w:rPr>
        <w:t xml:space="preserve">in section 64C </w:t>
      </w:r>
      <w:r w:rsidRPr="00D23AC4">
        <w:rPr>
          <w:rFonts w:ascii="Arial" w:hAnsi="Arial" w:cs="Arial"/>
          <w:lang w:eastAsia="en-AU"/>
        </w:rPr>
        <w:t xml:space="preserve">which mirrors section 70C of the </w:t>
      </w:r>
      <w:r w:rsidRPr="00D23AC4">
        <w:rPr>
          <w:rFonts w:ascii="Arial" w:hAnsi="Arial" w:cs="Arial"/>
          <w:i/>
          <w:iCs/>
          <w:lang w:eastAsia="en-AU"/>
        </w:rPr>
        <w:t>Family Violence Act 2016</w:t>
      </w:r>
      <w:r w:rsidRPr="00D23AC4">
        <w:rPr>
          <w:rFonts w:ascii="Arial" w:hAnsi="Arial" w:cs="Arial"/>
          <w:lang w:eastAsia="en-AU"/>
        </w:rPr>
        <w:t>.</w:t>
      </w:r>
    </w:p>
    <w:p w14:paraId="30F6E9BA" w14:textId="0AEA9180" w:rsidR="00CD5EC5" w:rsidRPr="00CD5EC5" w:rsidRDefault="00CD5EC5" w:rsidP="008F7E90">
      <w:pPr>
        <w:rPr>
          <w:rFonts w:eastAsia="Times New Roman"/>
          <w:color w:val="000000"/>
          <w:szCs w:val="24"/>
          <w:lang w:eastAsia="en-AU"/>
        </w:rPr>
      </w:pPr>
      <w:r>
        <w:rPr>
          <w:rFonts w:ascii="Arial" w:hAnsi="Arial" w:cs="Arial"/>
          <w:lang w:eastAsia="en-AU"/>
        </w:rPr>
        <w:t xml:space="preserve">The amendment provides that if a special interim order is served on a person, the registrar must also give the person </w:t>
      </w:r>
      <w:r w:rsidR="008F7E90">
        <w:rPr>
          <w:rFonts w:ascii="Arial" w:hAnsi="Arial" w:cs="Arial"/>
          <w:lang w:eastAsia="en-AU"/>
        </w:rPr>
        <w:t xml:space="preserve">a notice advising that (1A)(a) the respondent may apply to the court for a review of the order and that (1A)(b) a return date for a hearing to decide the application for final order will be held after all related charges are finalised. Subsection (1A)(b) will only apply if </w:t>
      </w:r>
      <w:r w:rsidRPr="00CD5EC5">
        <w:rPr>
          <w:rFonts w:ascii="Arial" w:hAnsi="Arial" w:cs="Arial"/>
          <w:lang w:eastAsia="en-AU"/>
        </w:rPr>
        <w:t>a preliminary conference in relation to the application for the protection order is held and a consent order is not mad</w:t>
      </w:r>
      <w:r w:rsidR="008F7E90" w:rsidRPr="008F7E90">
        <w:rPr>
          <w:rFonts w:ascii="Arial" w:hAnsi="Arial" w:cs="Arial"/>
          <w:lang w:eastAsia="en-AU"/>
        </w:rPr>
        <w:t>e.</w:t>
      </w:r>
      <w:r w:rsidR="008F7E90">
        <w:rPr>
          <w:rFonts w:eastAsia="Times New Roman"/>
          <w:color w:val="000000"/>
          <w:szCs w:val="24"/>
          <w:lang w:eastAsia="en-AU"/>
        </w:rPr>
        <w:t xml:space="preserve"> </w:t>
      </w:r>
    </w:p>
    <w:p w14:paraId="704EB2CA" w14:textId="560B51CE" w:rsidR="00EC72C7" w:rsidRDefault="00EC72C7" w:rsidP="00EC72C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sidR="00945F79">
        <w:rPr>
          <w:rFonts w:ascii="Arial" w:hAnsi="Arial" w:cs="Arial"/>
          <w:lang w:eastAsia="en-AU"/>
        </w:rPr>
        <w:t xml:space="preserve"> New sections 80A and 80B</w:t>
      </w:r>
      <w:r w:rsidRPr="00050F68">
        <w:rPr>
          <w:rFonts w:ascii="Arial" w:hAnsi="Arial" w:cs="Arial"/>
          <w:lang w:eastAsia="en-AU"/>
        </w:rPr>
        <w:t xml:space="preserve"> </w:t>
      </w:r>
    </w:p>
    <w:p w14:paraId="7CBE7A64" w14:textId="054C730C" w:rsidR="00EC72C7" w:rsidRDefault="008F7E90" w:rsidP="00EC72C7">
      <w:pPr>
        <w:rPr>
          <w:rFonts w:ascii="Arial" w:hAnsi="Arial" w:cs="Arial"/>
          <w:lang w:eastAsia="en-AU"/>
        </w:rPr>
      </w:pPr>
      <w:r w:rsidRPr="008F7E90">
        <w:rPr>
          <w:rFonts w:ascii="Arial" w:hAnsi="Arial" w:cs="Arial"/>
          <w:lang w:eastAsia="en-AU"/>
        </w:rPr>
        <w:t xml:space="preserve">This clause inserts new sections 80A and 80B in Part 6 which mirrors </w:t>
      </w:r>
      <w:r>
        <w:rPr>
          <w:rFonts w:ascii="Arial" w:hAnsi="Arial" w:cs="Arial"/>
          <w:lang w:eastAsia="en-AU"/>
        </w:rPr>
        <w:t xml:space="preserve">sections 87 and 88 of the </w:t>
      </w:r>
      <w:r w:rsidRPr="00D23AC4">
        <w:rPr>
          <w:rFonts w:ascii="Arial" w:hAnsi="Arial" w:cs="Arial"/>
          <w:i/>
          <w:iCs/>
          <w:lang w:eastAsia="en-AU"/>
        </w:rPr>
        <w:t>Family Violence Act 2016</w:t>
      </w:r>
      <w:r w:rsidRPr="00D23AC4">
        <w:rPr>
          <w:rFonts w:ascii="Arial" w:hAnsi="Arial" w:cs="Arial"/>
          <w:lang w:eastAsia="en-AU"/>
        </w:rPr>
        <w:t>.</w:t>
      </w:r>
    </w:p>
    <w:p w14:paraId="2E8C98B3" w14:textId="14F5A655" w:rsidR="008F7E90" w:rsidRDefault="00366457" w:rsidP="00EC72C7">
      <w:pPr>
        <w:rPr>
          <w:rFonts w:ascii="Arial" w:hAnsi="Arial" w:cs="Arial"/>
          <w:lang w:eastAsia="en-AU"/>
        </w:rPr>
      </w:pPr>
      <w:r>
        <w:rPr>
          <w:rFonts w:ascii="Arial" w:hAnsi="Arial" w:cs="Arial"/>
          <w:lang w:eastAsia="en-AU"/>
        </w:rPr>
        <w:t>New section 80A provides that t</w:t>
      </w:r>
      <w:r w:rsidRPr="00366457">
        <w:rPr>
          <w:rFonts w:ascii="Arial" w:hAnsi="Arial" w:cs="Arial"/>
          <w:lang w:eastAsia="en-AU"/>
        </w:rPr>
        <w:t xml:space="preserve">he Magistrates Court may, on application by the respondent to a special interim order, give leave to the respondent to apply to the court for review of the order in relation to three </w:t>
      </w:r>
      <w:r>
        <w:rPr>
          <w:rFonts w:ascii="Arial" w:hAnsi="Arial" w:cs="Arial"/>
          <w:lang w:eastAsia="en-AU"/>
        </w:rPr>
        <w:t xml:space="preserve">matters i.e. </w:t>
      </w:r>
      <w:r w:rsidRPr="00366457">
        <w:rPr>
          <w:rFonts w:ascii="Arial" w:hAnsi="Arial" w:cs="Arial"/>
          <w:lang w:eastAsia="en-AU"/>
        </w:rPr>
        <w:t>(a) the identity of the respondent;</w:t>
      </w:r>
      <w:r>
        <w:rPr>
          <w:rFonts w:ascii="Arial" w:hAnsi="Arial" w:cs="Arial"/>
          <w:lang w:eastAsia="en-AU"/>
        </w:rPr>
        <w:t xml:space="preserve"> </w:t>
      </w:r>
      <w:r w:rsidRPr="00366457">
        <w:rPr>
          <w:rFonts w:ascii="Arial" w:hAnsi="Arial" w:cs="Arial"/>
          <w:lang w:eastAsia="en-AU"/>
        </w:rPr>
        <w:t>(b) an administrative defect or error in the special interim order;</w:t>
      </w:r>
      <w:r>
        <w:rPr>
          <w:rFonts w:ascii="Arial" w:hAnsi="Arial" w:cs="Arial"/>
          <w:lang w:eastAsia="en-AU"/>
        </w:rPr>
        <w:t xml:space="preserve"> and</w:t>
      </w:r>
      <w:r w:rsidRPr="00366457">
        <w:rPr>
          <w:rFonts w:ascii="Arial" w:hAnsi="Arial" w:cs="Arial"/>
          <w:lang w:eastAsia="en-AU"/>
        </w:rPr>
        <w:t xml:space="preserve"> (c) whether or not there are outstanding related charges in relation to the respondent.</w:t>
      </w:r>
    </w:p>
    <w:p w14:paraId="13D1BA25" w14:textId="0D2A69F8" w:rsidR="00366457" w:rsidRPr="00145EE8" w:rsidRDefault="00366457" w:rsidP="00EC72C7">
      <w:pPr>
        <w:rPr>
          <w:color w:val="000000"/>
          <w:shd w:val="clear" w:color="auto" w:fill="FFFFFF"/>
        </w:rPr>
      </w:pPr>
      <w:r>
        <w:rPr>
          <w:rFonts w:ascii="Arial" w:hAnsi="Arial" w:cs="Arial"/>
          <w:lang w:eastAsia="en-AU"/>
        </w:rPr>
        <w:t xml:space="preserve">New section 80B provides that the Magistrates Court must take any of four actions in relation to the </w:t>
      </w:r>
      <w:r w:rsidRPr="00366457">
        <w:rPr>
          <w:rFonts w:ascii="Arial" w:hAnsi="Arial" w:cs="Arial"/>
          <w:lang w:eastAsia="en-AU"/>
        </w:rPr>
        <w:t>hearing of an application for review under new section 80A</w:t>
      </w:r>
      <w:r w:rsidR="00677C1F">
        <w:rPr>
          <w:rFonts w:ascii="Arial" w:hAnsi="Arial" w:cs="Arial"/>
          <w:lang w:eastAsia="en-AU"/>
        </w:rPr>
        <w:t xml:space="preserve"> including to dismiss the application, confirm the special interim order, revoke the special </w:t>
      </w:r>
      <w:r w:rsidR="00677C1F">
        <w:rPr>
          <w:rFonts w:ascii="Arial" w:hAnsi="Arial" w:cs="Arial"/>
          <w:lang w:eastAsia="en-AU"/>
        </w:rPr>
        <w:lastRenderedPageBreak/>
        <w:t xml:space="preserve">interim order and set aside the special interim order and make a new interim order. Subsections (2) and (3) provide further requirements that </w:t>
      </w:r>
      <w:r w:rsidR="00145EE8">
        <w:rPr>
          <w:rFonts w:ascii="Arial" w:hAnsi="Arial" w:cs="Arial"/>
          <w:lang w:eastAsia="en-AU"/>
        </w:rPr>
        <w:t xml:space="preserve">the </w:t>
      </w:r>
      <w:r w:rsidR="00677C1F">
        <w:rPr>
          <w:rFonts w:ascii="Arial" w:hAnsi="Arial" w:cs="Arial"/>
          <w:lang w:eastAsia="en-AU"/>
        </w:rPr>
        <w:t xml:space="preserve">Magistrates Court must adhere to should it decide to revoke the special interim order. </w:t>
      </w:r>
    </w:p>
    <w:p w14:paraId="6386F03D" w14:textId="6BF0B164" w:rsidR="00EC72C7" w:rsidRPr="008343A8" w:rsidRDefault="00EC72C7" w:rsidP="00EC72C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16</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365F7D" w:rsidRPr="00365F7D">
        <w:rPr>
          <w:rFonts w:ascii="Arial" w:hAnsi="Arial" w:cs="Arial"/>
          <w:lang w:eastAsia="en-AU"/>
        </w:rPr>
        <w:t xml:space="preserve">Dictionary, new definition of </w:t>
      </w:r>
      <w:r w:rsidR="00365F7D" w:rsidRPr="00365F7D">
        <w:rPr>
          <w:rFonts w:ascii="Arial" w:hAnsi="Arial" w:cs="Arial"/>
          <w:i/>
          <w:iCs/>
          <w:lang w:eastAsia="en-AU"/>
        </w:rPr>
        <w:t>general interim order</w:t>
      </w:r>
      <w:r w:rsidR="00365F7D">
        <w:rPr>
          <w:rFonts w:ascii="Arial" w:hAnsi="Arial" w:cs="Arial"/>
          <w:lang w:eastAsia="en-AU"/>
        </w:rPr>
        <w:br/>
      </w:r>
    </w:p>
    <w:p w14:paraId="34E8D6D8" w14:textId="51D29B24" w:rsidR="00EC72C7" w:rsidRDefault="00145EE8" w:rsidP="00EC72C7">
      <w:pPr>
        <w:rPr>
          <w:rFonts w:ascii="Arial" w:hAnsi="Arial" w:cs="Arial"/>
          <w:lang w:eastAsia="en-AU"/>
        </w:rPr>
      </w:pPr>
      <w:r w:rsidRPr="00145EE8">
        <w:rPr>
          <w:rFonts w:ascii="Arial" w:hAnsi="Arial" w:cs="Arial"/>
          <w:lang w:eastAsia="en-AU"/>
        </w:rPr>
        <w:t>This clause inserts a new definition of general interim order which mirrors that in the</w:t>
      </w:r>
      <w:r>
        <w:rPr>
          <w:lang w:eastAsia="en-AU"/>
        </w:rPr>
        <w:t xml:space="preserve"> </w:t>
      </w:r>
      <w:r w:rsidRPr="00D23AC4">
        <w:rPr>
          <w:rFonts w:ascii="Arial" w:hAnsi="Arial" w:cs="Arial"/>
          <w:i/>
          <w:iCs/>
          <w:lang w:eastAsia="en-AU"/>
        </w:rPr>
        <w:t>Family Violence Act 2016</w:t>
      </w:r>
      <w:r w:rsidRPr="00D23AC4">
        <w:rPr>
          <w:rFonts w:ascii="Arial" w:hAnsi="Arial" w:cs="Arial"/>
          <w:lang w:eastAsia="en-AU"/>
        </w:rPr>
        <w:t>.</w:t>
      </w:r>
    </w:p>
    <w:p w14:paraId="179694E3" w14:textId="41B3E9C9" w:rsidR="00145EE8" w:rsidRDefault="00145EE8" w:rsidP="00EC72C7">
      <w:pPr>
        <w:rPr>
          <w:lang w:eastAsia="en-AU"/>
        </w:rPr>
      </w:pPr>
      <w:r>
        <w:rPr>
          <w:rFonts w:ascii="Arial" w:hAnsi="Arial" w:cs="Arial"/>
          <w:lang w:eastAsia="en-AU"/>
        </w:rPr>
        <w:t xml:space="preserve">The amendment is a consequential amendment to the introduction of the special interim order scheme in the </w:t>
      </w:r>
      <w:r>
        <w:rPr>
          <w:rFonts w:ascii="Arial" w:hAnsi="Arial" w:cs="Arial"/>
          <w:i/>
          <w:iCs/>
          <w:lang w:eastAsia="en-AU"/>
        </w:rPr>
        <w:t xml:space="preserve">Personal Violence Act 2016. </w:t>
      </w:r>
    </w:p>
    <w:p w14:paraId="643562B8" w14:textId="25832F05" w:rsidR="00EC72C7" w:rsidRPr="008343A8" w:rsidRDefault="00EC72C7" w:rsidP="00EC72C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17</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365F7D" w:rsidRPr="00365F7D">
        <w:rPr>
          <w:rFonts w:ascii="Arial" w:hAnsi="Arial" w:cs="Arial"/>
          <w:lang w:eastAsia="en-AU"/>
        </w:rPr>
        <w:t xml:space="preserve">Dictionary, definition of </w:t>
      </w:r>
      <w:r w:rsidR="00365F7D" w:rsidRPr="00365F7D">
        <w:rPr>
          <w:rFonts w:ascii="Arial" w:hAnsi="Arial" w:cs="Arial"/>
          <w:i/>
          <w:iCs/>
          <w:lang w:eastAsia="en-AU"/>
        </w:rPr>
        <w:t>interim order</w:t>
      </w:r>
    </w:p>
    <w:p w14:paraId="18594AC8" w14:textId="7F230A66" w:rsidR="00145EE8" w:rsidRDefault="00145EE8" w:rsidP="00145EE8">
      <w:pPr>
        <w:rPr>
          <w:rFonts w:ascii="Arial" w:hAnsi="Arial" w:cs="Arial"/>
          <w:lang w:eastAsia="en-AU"/>
        </w:rPr>
      </w:pPr>
      <w:r w:rsidRPr="00145EE8">
        <w:rPr>
          <w:rFonts w:ascii="Arial" w:hAnsi="Arial" w:cs="Arial"/>
          <w:lang w:eastAsia="en-AU"/>
        </w:rPr>
        <w:t xml:space="preserve">This clause </w:t>
      </w:r>
      <w:r>
        <w:rPr>
          <w:rFonts w:ascii="Arial" w:hAnsi="Arial" w:cs="Arial"/>
          <w:lang w:eastAsia="en-AU"/>
        </w:rPr>
        <w:t>substitutes</w:t>
      </w:r>
      <w:r w:rsidRPr="00145EE8">
        <w:rPr>
          <w:rFonts w:ascii="Arial" w:hAnsi="Arial" w:cs="Arial"/>
          <w:lang w:eastAsia="en-AU"/>
        </w:rPr>
        <w:t xml:space="preserve"> a new definition of interim order which mirrors that in the</w:t>
      </w:r>
      <w:r>
        <w:rPr>
          <w:lang w:eastAsia="en-AU"/>
        </w:rPr>
        <w:t xml:space="preserve"> </w:t>
      </w:r>
      <w:r w:rsidRPr="00D23AC4">
        <w:rPr>
          <w:rFonts w:ascii="Arial" w:hAnsi="Arial" w:cs="Arial"/>
          <w:i/>
          <w:iCs/>
          <w:lang w:eastAsia="en-AU"/>
        </w:rPr>
        <w:t>Family Violence Act 2016</w:t>
      </w:r>
      <w:r w:rsidRPr="00D23AC4">
        <w:rPr>
          <w:rFonts w:ascii="Arial" w:hAnsi="Arial" w:cs="Arial"/>
          <w:lang w:eastAsia="en-AU"/>
        </w:rPr>
        <w:t>.</w:t>
      </w:r>
    </w:p>
    <w:p w14:paraId="0A4DC2C3" w14:textId="2E1C8FC6" w:rsidR="00EC72C7" w:rsidRPr="00EC72C7" w:rsidRDefault="00145EE8" w:rsidP="00EC72C7">
      <w:pPr>
        <w:rPr>
          <w:lang w:eastAsia="en-AU"/>
        </w:rPr>
      </w:pPr>
      <w:r>
        <w:rPr>
          <w:rFonts w:ascii="Arial" w:hAnsi="Arial" w:cs="Arial"/>
          <w:lang w:eastAsia="en-AU"/>
        </w:rPr>
        <w:t>An interim order is now differentiated between a general interim order and a special interim order.</w:t>
      </w:r>
    </w:p>
    <w:p w14:paraId="66113260" w14:textId="53029895" w:rsidR="00EC72C7" w:rsidRPr="008343A8" w:rsidRDefault="00EC72C7" w:rsidP="00EC72C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705348">
        <w:rPr>
          <w:rFonts w:ascii="Arial" w:hAnsi="Arial" w:cs="Arial"/>
          <w:noProof/>
        </w:rPr>
        <w:t>18</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sidR="00945F79">
        <w:rPr>
          <w:rFonts w:ascii="Arial" w:hAnsi="Arial" w:cs="Arial"/>
          <w:lang w:eastAsia="en-AU"/>
        </w:rPr>
        <w:t xml:space="preserve"> Dictionary, new definitions</w:t>
      </w:r>
      <w:r w:rsidRPr="00050F68">
        <w:rPr>
          <w:rFonts w:ascii="Arial" w:hAnsi="Arial" w:cs="Arial"/>
          <w:lang w:eastAsia="en-AU"/>
        </w:rPr>
        <w:t xml:space="preserve"> </w:t>
      </w:r>
    </w:p>
    <w:p w14:paraId="51F19F65" w14:textId="74E9804B" w:rsidR="00223F93" w:rsidRDefault="00145EE8" w:rsidP="00223F93">
      <w:pPr>
        <w:rPr>
          <w:rFonts w:ascii="Arial" w:hAnsi="Arial" w:cs="Arial"/>
          <w:lang w:eastAsia="en-AU"/>
        </w:rPr>
      </w:pPr>
      <w:r w:rsidRPr="00145EE8">
        <w:rPr>
          <w:rFonts w:ascii="Arial" w:hAnsi="Arial" w:cs="Arial"/>
          <w:lang w:eastAsia="en-AU"/>
        </w:rPr>
        <w:t>This clause inserts a new definition of</w:t>
      </w:r>
      <w:r>
        <w:rPr>
          <w:rFonts w:ascii="Arial" w:hAnsi="Arial" w:cs="Arial"/>
          <w:lang w:eastAsia="en-AU"/>
        </w:rPr>
        <w:t xml:space="preserve"> ‘related’ in relation to a related charge. This mirrors that in </w:t>
      </w:r>
      <w:r w:rsidRPr="00145EE8">
        <w:rPr>
          <w:rFonts w:ascii="Arial" w:hAnsi="Arial" w:cs="Arial"/>
          <w:lang w:eastAsia="en-AU"/>
        </w:rPr>
        <w:t>the</w:t>
      </w:r>
      <w:r>
        <w:rPr>
          <w:lang w:eastAsia="en-AU"/>
        </w:rPr>
        <w:t xml:space="preserve"> </w:t>
      </w:r>
      <w:r w:rsidRPr="00D23AC4">
        <w:rPr>
          <w:rFonts w:ascii="Arial" w:hAnsi="Arial" w:cs="Arial"/>
          <w:i/>
          <w:iCs/>
          <w:lang w:eastAsia="en-AU"/>
        </w:rPr>
        <w:t>Family Violence Act 2016</w:t>
      </w:r>
      <w:r w:rsidRPr="00D23AC4">
        <w:rPr>
          <w:rFonts w:ascii="Arial" w:hAnsi="Arial" w:cs="Arial"/>
          <w:lang w:eastAsia="en-AU"/>
        </w:rPr>
        <w:t>.</w:t>
      </w:r>
      <w:r w:rsidR="00223F93" w:rsidRPr="00223F93">
        <w:rPr>
          <w:rFonts w:ascii="Arial" w:hAnsi="Arial" w:cs="Arial"/>
          <w:lang w:eastAsia="en-AU"/>
        </w:rPr>
        <w:t xml:space="preserve"> </w:t>
      </w:r>
      <w:r w:rsidR="00223F93">
        <w:rPr>
          <w:rFonts w:ascii="Arial" w:hAnsi="Arial" w:cs="Arial"/>
          <w:lang w:eastAsia="en-AU"/>
        </w:rPr>
        <w:t xml:space="preserve">The clause also inserts a new definition of ‘special interim order’ which </w:t>
      </w:r>
      <w:r w:rsidR="00223F93" w:rsidRPr="00145EE8">
        <w:rPr>
          <w:rFonts w:ascii="Arial" w:hAnsi="Arial" w:cs="Arial"/>
          <w:lang w:eastAsia="en-AU"/>
        </w:rPr>
        <w:t>mirrors that in the</w:t>
      </w:r>
      <w:r w:rsidR="00223F93">
        <w:rPr>
          <w:lang w:eastAsia="en-AU"/>
        </w:rPr>
        <w:t xml:space="preserve"> </w:t>
      </w:r>
      <w:r w:rsidR="00223F93" w:rsidRPr="00D23AC4">
        <w:rPr>
          <w:rFonts w:ascii="Arial" w:hAnsi="Arial" w:cs="Arial"/>
          <w:i/>
          <w:iCs/>
          <w:lang w:eastAsia="en-AU"/>
        </w:rPr>
        <w:t>Family Violence Act 2016</w:t>
      </w:r>
      <w:r w:rsidR="00223F93" w:rsidRPr="00D23AC4">
        <w:rPr>
          <w:rFonts w:ascii="Arial" w:hAnsi="Arial" w:cs="Arial"/>
          <w:lang w:eastAsia="en-AU"/>
        </w:rPr>
        <w:t>.</w:t>
      </w:r>
      <w:r w:rsidR="00223F93">
        <w:rPr>
          <w:rFonts w:ascii="Arial" w:hAnsi="Arial" w:cs="Arial"/>
          <w:lang w:eastAsia="en-AU"/>
        </w:rPr>
        <w:t xml:space="preserve"> </w:t>
      </w:r>
    </w:p>
    <w:p w14:paraId="761069B3" w14:textId="31B18D05" w:rsidR="00C758C4" w:rsidRDefault="00145EE8" w:rsidP="00C758C4">
      <w:pPr>
        <w:rPr>
          <w:rFonts w:ascii="Arial" w:hAnsi="Arial" w:cs="Arial"/>
          <w:lang w:eastAsia="en-AU"/>
        </w:rPr>
      </w:pPr>
      <w:r w:rsidRPr="00145EE8">
        <w:rPr>
          <w:rFonts w:ascii="Arial" w:hAnsi="Arial" w:cs="Arial"/>
          <w:lang w:eastAsia="en-AU"/>
        </w:rPr>
        <w:t xml:space="preserve">The amendment </w:t>
      </w:r>
      <w:r>
        <w:rPr>
          <w:rFonts w:ascii="Arial" w:hAnsi="Arial" w:cs="Arial"/>
          <w:lang w:eastAsia="en-AU"/>
        </w:rPr>
        <w:t xml:space="preserve">clarifies that a </w:t>
      </w:r>
      <w:r w:rsidR="000B7BDD">
        <w:rPr>
          <w:rFonts w:ascii="Arial" w:hAnsi="Arial" w:cs="Arial"/>
          <w:lang w:eastAsia="en-AU"/>
        </w:rPr>
        <w:t xml:space="preserve">charge is </w:t>
      </w:r>
      <w:r>
        <w:rPr>
          <w:rFonts w:ascii="Arial" w:hAnsi="Arial" w:cs="Arial"/>
          <w:lang w:eastAsia="en-AU"/>
        </w:rPr>
        <w:t xml:space="preserve">related to an application for a final order and/or an interim order if the person charged is the respondent to an application; and the offence is against the affected person (other than an offence </w:t>
      </w:r>
      <w:r w:rsidR="00BD5527">
        <w:rPr>
          <w:rFonts w:ascii="Arial" w:hAnsi="Arial" w:cs="Arial"/>
          <w:lang w:eastAsia="en-AU"/>
        </w:rPr>
        <w:t>relating to</w:t>
      </w:r>
      <w:r>
        <w:rPr>
          <w:rFonts w:ascii="Arial" w:hAnsi="Arial" w:cs="Arial"/>
          <w:lang w:eastAsia="en-AU"/>
        </w:rPr>
        <w:t xml:space="preserve"> the contravention of a protection order</w:t>
      </w:r>
      <w:r w:rsidR="00BD5527">
        <w:rPr>
          <w:rFonts w:ascii="Arial" w:hAnsi="Arial" w:cs="Arial"/>
          <w:lang w:eastAsia="en-AU"/>
        </w:rPr>
        <w:t xml:space="preserve"> – section 35</w:t>
      </w:r>
      <w:r>
        <w:rPr>
          <w:rFonts w:ascii="Arial" w:hAnsi="Arial" w:cs="Arial"/>
          <w:lang w:eastAsia="en-AU"/>
        </w:rPr>
        <w:t xml:space="preserve">). </w:t>
      </w:r>
    </w:p>
    <w:p w14:paraId="169F9B4B" w14:textId="60559A05" w:rsidR="008B40CE" w:rsidRPr="00050F68" w:rsidRDefault="008B40CE" w:rsidP="008B40CE">
      <w:pPr>
        <w:pStyle w:val="Heading1"/>
        <w:rPr>
          <w:rFonts w:ascii="Arial" w:hAnsi="Arial" w:cs="Arial"/>
          <w:sz w:val="24"/>
          <w:szCs w:val="24"/>
          <w:lang w:eastAsia="en-AU"/>
        </w:rPr>
      </w:pPr>
      <w:bookmarkStart w:id="35" w:name="_Toc447714847"/>
      <w:bookmarkStart w:id="36" w:name="_Toc114051963"/>
      <w:r w:rsidRPr="00050F68">
        <w:rPr>
          <w:rFonts w:ascii="Arial" w:hAnsi="Arial" w:cs="Arial"/>
          <w:sz w:val="24"/>
          <w:szCs w:val="24"/>
          <w:lang w:eastAsia="en-AU"/>
        </w:rPr>
        <w:t xml:space="preserve">Schedule </w:t>
      </w:r>
      <w:r w:rsidR="00326167"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Schedule \* ARABIC </w:instrText>
      </w:r>
      <w:r w:rsidR="00326167" w:rsidRPr="00050F68">
        <w:rPr>
          <w:rFonts w:ascii="Arial" w:hAnsi="Arial" w:cs="Arial"/>
          <w:sz w:val="24"/>
          <w:szCs w:val="24"/>
          <w:lang w:eastAsia="en-AU"/>
        </w:rPr>
        <w:fldChar w:fldCharType="separate"/>
      </w:r>
      <w:r w:rsidR="00705348">
        <w:rPr>
          <w:rFonts w:ascii="Arial" w:hAnsi="Arial" w:cs="Arial"/>
          <w:noProof/>
          <w:sz w:val="24"/>
          <w:szCs w:val="24"/>
          <w:lang w:eastAsia="en-AU"/>
        </w:rPr>
        <w:t>1</w:t>
      </w:r>
      <w:r w:rsidR="00326167"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bookmarkEnd w:id="35"/>
      <w:r w:rsidR="004A273C">
        <w:rPr>
          <w:rFonts w:ascii="Arial" w:hAnsi="Arial" w:cs="Arial"/>
          <w:sz w:val="24"/>
          <w:szCs w:val="24"/>
          <w:lang w:eastAsia="en-AU"/>
        </w:rPr>
        <w:t xml:space="preserve">Personal Violence Act 2016 </w:t>
      </w:r>
      <w:r w:rsidR="004A273C" w:rsidRPr="00050F68">
        <w:rPr>
          <w:rFonts w:ascii="Arial" w:hAnsi="Arial" w:cs="Arial"/>
          <w:sz w:val="24"/>
          <w:szCs w:val="24"/>
          <w:lang w:eastAsia="en-AU"/>
        </w:rPr>
        <w:t>–</w:t>
      </w:r>
      <w:r w:rsidR="004A273C">
        <w:rPr>
          <w:rFonts w:ascii="Arial" w:hAnsi="Arial" w:cs="Arial"/>
          <w:sz w:val="24"/>
          <w:szCs w:val="24"/>
          <w:lang w:eastAsia="en-AU"/>
        </w:rPr>
        <w:t xml:space="preserve"> </w:t>
      </w:r>
      <w:r w:rsidR="00D45237">
        <w:rPr>
          <w:rFonts w:ascii="Arial" w:hAnsi="Arial" w:cs="Arial"/>
          <w:sz w:val="24"/>
          <w:szCs w:val="24"/>
          <w:lang w:eastAsia="en-AU"/>
        </w:rPr>
        <w:t>Consequential amendments</w:t>
      </w:r>
      <w:bookmarkEnd w:id="36"/>
    </w:p>
    <w:p w14:paraId="2618A82D" w14:textId="16BDE5C9" w:rsidR="00F11F81" w:rsidRDefault="005E55C5" w:rsidP="008B40CE">
      <w:pPr>
        <w:rPr>
          <w:rFonts w:ascii="Arial" w:hAnsi="Arial" w:cs="Arial"/>
          <w:szCs w:val="24"/>
          <w:lang w:eastAsia="en-AU"/>
        </w:rPr>
      </w:pPr>
      <w:r>
        <w:rPr>
          <w:rFonts w:ascii="Arial" w:hAnsi="Arial" w:cs="Arial"/>
          <w:szCs w:val="24"/>
          <w:lang w:eastAsia="en-AU"/>
        </w:rPr>
        <w:t xml:space="preserve">Schedule 1 provides for consequential amendments which are technical and necessitated by the amendments detailed above. </w:t>
      </w:r>
    </w:p>
    <w:p w14:paraId="3FCFAF3E" w14:textId="56441B55" w:rsidR="005E55C5" w:rsidRDefault="005E55C5" w:rsidP="008B40CE">
      <w:pPr>
        <w:rPr>
          <w:rFonts w:ascii="Arial" w:hAnsi="Arial" w:cs="Arial"/>
          <w:szCs w:val="24"/>
          <w:lang w:eastAsia="en-AU"/>
        </w:rPr>
      </w:pPr>
      <w:r>
        <w:rPr>
          <w:rFonts w:ascii="Arial" w:hAnsi="Arial" w:cs="Arial"/>
          <w:color w:val="000000"/>
          <w:shd w:val="clear" w:color="auto" w:fill="FFFFFF"/>
        </w:rPr>
        <w:t xml:space="preserve">The amendments include updates relating to cross-references, notes, paragraphs, headings and other minor changes. </w:t>
      </w:r>
    </w:p>
    <w:p w14:paraId="0D54D29B" w14:textId="57247DBA" w:rsidR="00E75CEA" w:rsidRPr="00813310" w:rsidRDefault="00E75CEA" w:rsidP="008B40CE">
      <w:pPr>
        <w:rPr>
          <w:rFonts w:ascii="Arial" w:hAnsi="Arial" w:cs="Arial"/>
          <w:b/>
          <w:bCs/>
          <w:szCs w:val="24"/>
          <w:lang w:eastAsia="en-AU"/>
        </w:rPr>
      </w:pPr>
      <w:r w:rsidRPr="00813310">
        <w:rPr>
          <w:rFonts w:ascii="Arial" w:hAnsi="Arial" w:cs="Arial"/>
          <w:b/>
          <w:bCs/>
          <w:szCs w:val="24"/>
          <w:lang w:eastAsia="en-AU"/>
        </w:rPr>
        <w:t>Clause 1.1 Section 25 (5) (b), note</w:t>
      </w:r>
    </w:p>
    <w:p w14:paraId="2DF81B38" w14:textId="7287B824" w:rsidR="00E75CEA" w:rsidRPr="00813310" w:rsidRDefault="00E75CEA" w:rsidP="008B40CE">
      <w:pPr>
        <w:rPr>
          <w:rFonts w:ascii="Arial" w:hAnsi="Arial" w:cs="Arial"/>
          <w:szCs w:val="24"/>
          <w:lang w:eastAsia="en-AU"/>
        </w:rPr>
      </w:pPr>
      <w:r w:rsidRPr="00813310">
        <w:rPr>
          <w:rFonts w:ascii="Arial" w:hAnsi="Arial" w:cs="Arial"/>
          <w:szCs w:val="24"/>
          <w:lang w:eastAsia="en-AU"/>
        </w:rPr>
        <w:t xml:space="preserve">This clause substitutes the note under section 25 (5) (b) and is consequential to the updated numbering of the provision in relation to the length of a general interim order in clause </w:t>
      </w:r>
      <w:r w:rsidR="00297B5D" w:rsidRPr="00813310">
        <w:rPr>
          <w:rFonts w:ascii="Arial" w:hAnsi="Arial" w:cs="Arial"/>
          <w:szCs w:val="24"/>
          <w:lang w:eastAsia="en-AU"/>
        </w:rPr>
        <w:t>1</w:t>
      </w:r>
      <w:r w:rsidR="00577907" w:rsidRPr="00813310">
        <w:rPr>
          <w:rFonts w:ascii="Arial" w:hAnsi="Arial" w:cs="Arial"/>
          <w:szCs w:val="24"/>
          <w:lang w:eastAsia="en-AU"/>
        </w:rPr>
        <w:t>1</w:t>
      </w:r>
      <w:r w:rsidRPr="00813310">
        <w:rPr>
          <w:rFonts w:ascii="Arial" w:hAnsi="Arial" w:cs="Arial"/>
          <w:szCs w:val="24"/>
          <w:lang w:eastAsia="en-AU"/>
        </w:rPr>
        <w:t xml:space="preserve">. </w:t>
      </w:r>
    </w:p>
    <w:p w14:paraId="5FB83B2A"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1.2 Section 44, note 2</w:t>
      </w:r>
    </w:p>
    <w:p w14:paraId="39C293F3" w14:textId="12AA6ACD" w:rsidR="004E42B2" w:rsidRPr="00813310" w:rsidRDefault="004E42B2" w:rsidP="004E42B2">
      <w:pPr>
        <w:rPr>
          <w:rFonts w:ascii="Arial" w:hAnsi="Arial" w:cs="Arial"/>
          <w:szCs w:val="24"/>
          <w:lang w:eastAsia="en-AU"/>
        </w:rPr>
      </w:pPr>
      <w:r w:rsidRPr="00813310">
        <w:rPr>
          <w:rFonts w:ascii="Arial" w:hAnsi="Arial" w:cs="Arial"/>
          <w:szCs w:val="24"/>
          <w:lang w:eastAsia="en-AU"/>
        </w:rPr>
        <w:lastRenderedPageBreak/>
        <w:t xml:space="preserve">This clause substitutes the second note under section 44 and is consequential to the updated numbering of the provision in relation to the </w:t>
      </w:r>
      <w:r w:rsidR="00F70AD0" w:rsidRPr="00813310">
        <w:rPr>
          <w:rFonts w:ascii="Arial" w:hAnsi="Arial" w:cs="Arial"/>
          <w:szCs w:val="24"/>
          <w:lang w:eastAsia="en-AU"/>
        </w:rPr>
        <w:t xml:space="preserve">extension of an interim order by a </w:t>
      </w:r>
      <w:r w:rsidRPr="00813310">
        <w:rPr>
          <w:rFonts w:ascii="Arial" w:hAnsi="Arial" w:cs="Arial"/>
          <w:szCs w:val="24"/>
          <w:lang w:eastAsia="en-AU"/>
        </w:rPr>
        <w:t>registrar in clause 1</w:t>
      </w:r>
      <w:r w:rsidR="00577907" w:rsidRPr="00813310">
        <w:rPr>
          <w:rFonts w:ascii="Arial" w:hAnsi="Arial" w:cs="Arial"/>
          <w:szCs w:val="24"/>
          <w:lang w:eastAsia="en-AU"/>
        </w:rPr>
        <w:t>1</w:t>
      </w:r>
      <w:r w:rsidRPr="00813310">
        <w:rPr>
          <w:rFonts w:ascii="Arial" w:hAnsi="Arial" w:cs="Arial"/>
          <w:szCs w:val="24"/>
          <w:lang w:eastAsia="en-AU"/>
        </w:rPr>
        <w:t xml:space="preserve">. </w:t>
      </w:r>
    </w:p>
    <w:p w14:paraId="78B29502"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1.3 Section 48, note</w:t>
      </w:r>
    </w:p>
    <w:p w14:paraId="760B75B8" w14:textId="7AF968A9" w:rsidR="004E42B2" w:rsidRPr="00813310" w:rsidRDefault="004E42B2" w:rsidP="004E42B2">
      <w:pPr>
        <w:rPr>
          <w:rFonts w:ascii="Arial" w:hAnsi="Arial" w:cs="Arial"/>
          <w:szCs w:val="24"/>
          <w:lang w:eastAsia="en-AU"/>
        </w:rPr>
      </w:pPr>
      <w:r w:rsidRPr="00813310">
        <w:rPr>
          <w:rFonts w:ascii="Arial" w:hAnsi="Arial" w:cs="Arial"/>
          <w:szCs w:val="24"/>
          <w:lang w:eastAsia="en-AU"/>
        </w:rPr>
        <w:t xml:space="preserve">This clause substitutes the note under section 48 and is consequential to the updated numbering of the provision in relation to the ending of an interim order </w:t>
      </w:r>
      <w:r w:rsidR="00F70AD0" w:rsidRPr="00813310">
        <w:rPr>
          <w:rFonts w:ascii="Arial" w:hAnsi="Arial" w:cs="Arial"/>
          <w:szCs w:val="24"/>
          <w:lang w:eastAsia="en-AU"/>
        </w:rPr>
        <w:t xml:space="preserve">as a result of a discontinued or dismissed application for a final order, </w:t>
      </w:r>
      <w:r w:rsidRPr="00813310">
        <w:rPr>
          <w:rFonts w:ascii="Arial" w:hAnsi="Arial" w:cs="Arial"/>
          <w:szCs w:val="24"/>
          <w:lang w:eastAsia="en-AU"/>
        </w:rPr>
        <w:t>particularised in clause 1</w:t>
      </w:r>
      <w:r w:rsidR="00577907" w:rsidRPr="00813310">
        <w:rPr>
          <w:rFonts w:ascii="Arial" w:hAnsi="Arial" w:cs="Arial"/>
          <w:szCs w:val="24"/>
          <w:lang w:eastAsia="en-AU"/>
        </w:rPr>
        <w:t>1</w:t>
      </w:r>
      <w:r w:rsidRPr="00813310">
        <w:rPr>
          <w:rFonts w:ascii="Arial" w:hAnsi="Arial" w:cs="Arial"/>
          <w:szCs w:val="24"/>
          <w:lang w:eastAsia="en-AU"/>
        </w:rPr>
        <w:t xml:space="preserve">. </w:t>
      </w:r>
    </w:p>
    <w:p w14:paraId="30B007C2"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1.4 Section 70 (3)</w:t>
      </w:r>
    </w:p>
    <w:p w14:paraId="6C267750" w14:textId="6EBD7C9B" w:rsidR="004E42B2" w:rsidRPr="00813310" w:rsidRDefault="004E42B2" w:rsidP="004E42B2">
      <w:pPr>
        <w:rPr>
          <w:rFonts w:ascii="Arial" w:hAnsi="Arial" w:cs="Arial"/>
          <w:szCs w:val="24"/>
          <w:lang w:eastAsia="en-AU"/>
        </w:rPr>
      </w:pPr>
      <w:r w:rsidRPr="00813310">
        <w:rPr>
          <w:rFonts w:ascii="Arial" w:hAnsi="Arial" w:cs="Arial"/>
          <w:szCs w:val="24"/>
          <w:lang w:eastAsia="en-AU"/>
        </w:rPr>
        <w:t>This clause omits section 19</w:t>
      </w:r>
      <w:r w:rsidR="00F70AD0" w:rsidRPr="00813310">
        <w:rPr>
          <w:rFonts w:ascii="Arial" w:hAnsi="Arial" w:cs="Arial"/>
          <w:szCs w:val="24"/>
          <w:lang w:eastAsia="en-AU"/>
        </w:rPr>
        <w:t xml:space="preserve"> and </w:t>
      </w:r>
      <w:r w:rsidRPr="00813310">
        <w:rPr>
          <w:rFonts w:ascii="Arial" w:hAnsi="Arial" w:cs="Arial"/>
          <w:szCs w:val="24"/>
          <w:lang w:eastAsia="en-AU"/>
        </w:rPr>
        <w:t xml:space="preserve">substitutes it with section 18, and is consequential to the updated number of the provisions in relation to </w:t>
      </w:r>
      <w:r w:rsidR="00F70AD0" w:rsidRPr="00813310">
        <w:rPr>
          <w:rFonts w:ascii="Arial" w:hAnsi="Arial" w:cs="Arial"/>
          <w:szCs w:val="24"/>
          <w:lang w:eastAsia="en-AU"/>
        </w:rPr>
        <w:t xml:space="preserve">the </w:t>
      </w:r>
      <w:r w:rsidRPr="00813310">
        <w:rPr>
          <w:rFonts w:ascii="Arial" w:hAnsi="Arial" w:cs="Arial"/>
          <w:szCs w:val="24"/>
          <w:lang w:eastAsia="en-AU"/>
        </w:rPr>
        <w:t>grounds for making interim orders in clause 1</w:t>
      </w:r>
      <w:r w:rsidR="00577907" w:rsidRPr="00813310">
        <w:rPr>
          <w:rFonts w:ascii="Arial" w:hAnsi="Arial" w:cs="Arial"/>
          <w:szCs w:val="24"/>
          <w:lang w:eastAsia="en-AU"/>
        </w:rPr>
        <w:t>1</w:t>
      </w:r>
      <w:r w:rsidRPr="00813310">
        <w:rPr>
          <w:rFonts w:ascii="Arial" w:hAnsi="Arial" w:cs="Arial"/>
          <w:szCs w:val="24"/>
          <w:lang w:eastAsia="en-AU"/>
        </w:rPr>
        <w:t>.</w:t>
      </w:r>
    </w:p>
    <w:p w14:paraId="1ABC301A"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1.5 Section 101, new note</w:t>
      </w:r>
    </w:p>
    <w:p w14:paraId="408E089F" w14:textId="32B6873B" w:rsidR="004E42B2" w:rsidRPr="00813310" w:rsidRDefault="004E42B2" w:rsidP="004E42B2">
      <w:pPr>
        <w:rPr>
          <w:rFonts w:ascii="Arial" w:hAnsi="Arial" w:cs="Arial"/>
          <w:szCs w:val="24"/>
          <w:lang w:eastAsia="en-AU"/>
        </w:rPr>
      </w:pPr>
      <w:r w:rsidRPr="00813310">
        <w:rPr>
          <w:rFonts w:ascii="Arial" w:hAnsi="Arial" w:cs="Arial"/>
          <w:szCs w:val="24"/>
          <w:lang w:eastAsia="en-AU"/>
        </w:rPr>
        <w:t>This clause inserts a new note under section 101 and is consequential to the updated numbering of the provision in relation a special interim order being made when there is a related charge in relation to the respondent, particularised in clause 1</w:t>
      </w:r>
      <w:r w:rsidR="00577907" w:rsidRPr="00813310">
        <w:rPr>
          <w:rFonts w:ascii="Arial" w:hAnsi="Arial" w:cs="Arial"/>
          <w:szCs w:val="24"/>
          <w:lang w:eastAsia="en-AU"/>
        </w:rPr>
        <w:t>1</w:t>
      </w:r>
      <w:r w:rsidRPr="00813310">
        <w:rPr>
          <w:rFonts w:ascii="Arial" w:hAnsi="Arial" w:cs="Arial"/>
          <w:szCs w:val="24"/>
          <w:lang w:eastAsia="en-AU"/>
        </w:rPr>
        <w:t xml:space="preserve">. </w:t>
      </w:r>
    </w:p>
    <w:p w14:paraId="23ED97ED"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1.6 Section 205 heading</w:t>
      </w:r>
    </w:p>
    <w:p w14:paraId="6CEA229B" w14:textId="774D8EAF" w:rsidR="004E42B2" w:rsidRPr="00813310" w:rsidRDefault="004E42B2" w:rsidP="004E42B2">
      <w:pPr>
        <w:rPr>
          <w:rFonts w:ascii="Arial" w:hAnsi="Arial" w:cs="Arial"/>
          <w:szCs w:val="24"/>
          <w:lang w:eastAsia="en-AU"/>
        </w:rPr>
      </w:pPr>
      <w:r w:rsidRPr="00813310">
        <w:rPr>
          <w:rFonts w:ascii="Arial" w:hAnsi="Arial" w:cs="Arial"/>
          <w:szCs w:val="24"/>
          <w:lang w:eastAsia="en-AU"/>
        </w:rPr>
        <w:t>This clause substitutes the heading “Extending interim orders” with the heading “Extending general interim orders” and is consequential to the amendments relating to general interim orders in clause 1</w:t>
      </w:r>
      <w:r w:rsidR="00577907" w:rsidRPr="00813310">
        <w:rPr>
          <w:rFonts w:ascii="Arial" w:hAnsi="Arial" w:cs="Arial"/>
          <w:szCs w:val="24"/>
          <w:lang w:eastAsia="en-AU"/>
        </w:rPr>
        <w:t>1</w:t>
      </w:r>
      <w:r w:rsidRPr="00813310">
        <w:rPr>
          <w:rFonts w:ascii="Arial" w:hAnsi="Arial" w:cs="Arial"/>
          <w:szCs w:val="24"/>
          <w:lang w:eastAsia="en-AU"/>
        </w:rPr>
        <w:t xml:space="preserve">.  </w:t>
      </w:r>
    </w:p>
    <w:p w14:paraId="6D3E8765"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1.7 Section 205 (1)</w:t>
      </w:r>
    </w:p>
    <w:p w14:paraId="12DD2DE6" w14:textId="28BDAC82" w:rsidR="004E42B2" w:rsidRPr="00813310" w:rsidRDefault="004E42B2" w:rsidP="004E42B2">
      <w:pPr>
        <w:rPr>
          <w:rFonts w:ascii="Arial" w:hAnsi="Arial" w:cs="Arial"/>
          <w:szCs w:val="24"/>
          <w:lang w:eastAsia="en-AU"/>
        </w:rPr>
      </w:pPr>
      <w:r w:rsidRPr="00813310">
        <w:rPr>
          <w:rFonts w:ascii="Arial" w:hAnsi="Arial" w:cs="Arial"/>
          <w:szCs w:val="24"/>
          <w:lang w:eastAsia="en-AU"/>
        </w:rPr>
        <w:t>This clause omits “an interim order” and substitutes with “a general interim order” and is consequential to the amendments relating to general interim orders in clause 1</w:t>
      </w:r>
      <w:r w:rsidR="00577907" w:rsidRPr="00813310">
        <w:rPr>
          <w:rFonts w:ascii="Arial" w:hAnsi="Arial" w:cs="Arial"/>
          <w:szCs w:val="24"/>
          <w:lang w:eastAsia="en-AU"/>
        </w:rPr>
        <w:t>1</w:t>
      </w:r>
      <w:r w:rsidRPr="00813310">
        <w:rPr>
          <w:rFonts w:ascii="Arial" w:hAnsi="Arial" w:cs="Arial"/>
          <w:szCs w:val="24"/>
          <w:lang w:eastAsia="en-AU"/>
        </w:rPr>
        <w:t>.</w:t>
      </w:r>
    </w:p>
    <w:p w14:paraId="4A367BF0" w14:textId="77777777" w:rsidR="004E42B2" w:rsidRPr="00813310" w:rsidRDefault="004E42B2" w:rsidP="004E42B2">
      <w:pPr>
        <w:rPr>
          <w:rFonts w:ascii="Arial" w:hAnsi="Arial" w:cs="Arial"/>
          <w:b/>
          <w:bCs/>
          <w:szCs w:val="24"/>
          <w:lang w:eastAsia="en-AU"/>
        </w:rPr>
      </w:pPr>
      <w:r w:rsidRPr="00813310">
        <w:rPr>
          <w:rFonts w:ascii="Arial" w:hAnsi="Arial" w:cs="Arial"/>
          <w:b/>
          <w:bCs/>
          <w:szCs w:val="24"/>
          <w:lang w:eastAsia="en-AU"/>
        </w:rPr>
        <w:t>Clause 1.8 Section 205 (2)</w:t>
      </w:r>
    </w:p>
    <w:p w14:paraId="273D868C" w14:textId="1B5A0A97" w:rsidR="004E42B2" w:rsidRDefault="004E42B2" w:rsidP="004E42B2">
      <w:pPr>
        <w:rPr>
          <w:rFonts w:ascii="Arial" w:hAnsi="Arial" w:cs="Arial"/>
          <w:szCs w:val="24"/>
          <w:lang w:eastAsia="en-AU"/>
        </w:rPr>
      </w:pPr>
      <w:r w:rsidRPr="00813310">
        <w:rPr>
          <w:rFonts w:ascii="Arial" w:hAnsi="Arial" w:cs="Arial"/>
          <w:szCs w:val="24"/>
          <w:lang w:eastAsia="en-AU"/>
        </w:rPr>
        <w:t>This clause inserts the word “general” before the word “interim” to create the phrase “general interim order”. This is consequential to the amendments relating to general interim orders in clause 1</w:t>
      </w:r>
      <w:r w:rsidR="00577907" w:rsidRPr="00813310">
        <w:rPr>
          <w:rFonts w:ascii="Arial" w:hAnsi="Arial" w:cs="Arial"/>
          <w:szCs w:val="24"/>
          <w:lang w:eastAsia="en-AU"/>
        </w:rPr>
        <w:t>1</w:t>
      </w:r>
      <w:r w:rsidRPr="00813310">
        <w:rPr>
          <w:rFonts w:ascii="Arial" w:hAnsi="Arial" w:cs="Arial"/>
          <w:szCs w:val="24"/>
          <w:lang w:eastAsia="en-AU"/>
        </w:rPr>
        <w:t>.</w:t>
      </w:r>
    </w:p>
    <w:p w14:paraId="4DC1B325" w14:textId="6EF97DF2" w:rsidR="00F11F81" w:rsidRDefault="00F11F81" w:rsidP="005E55C5">
      <w:pPr>
        <w:pStyle w:val="Heading1"/>
        <w:rPr>
          <w:rFonts w:ascii="Arial" w:hAnsi="Arial" w:cs="Arial"/>
          <w:sz w:val="24"/>
          <w:szCs w:val="24"/>
          <w:lang w:eastAsia="en-AU"/>
        </w:rPr>
      </w:pPr>
      <w:bookmarkStart w:id="37" w:name="_Toc114051964"/>
      <w:r w:rsidRPr="005E55C5">
        <w:rPr>
          <w:rFonts w:ascii="Arial" w:hAnsi="Arial" w:cs="Arial"/>
          <w:sz w:val="24"/>
          <w:szCs w:val="24"/>
          <w:lang w:eastAsia="en-AU"/>
        </w:rPr>
        <w:t xml:space="preserve">Schedule 2 – </w:t>
      </w:r>
      <w:r w:rsidR="005E55C5">
        <w:rPr>
          <w:rFonts w:ascii="Arial" w:hAnsi="Arial" w:cs="Arial"/>
          <w:sz w:val="24"/>
          <w:szCs w:val="24"/>
          <w:lang w:eastAsia="en-AU"/>
        </w:rPr>
        <w:t>Technical amendments</w:t>
      </w:r>
      <w:bookmarkEnd w:id="37"/>
      <w:r w:rsidR="005E55C5">
        <w:rPr>
          <w:rFonts w:ascii="Arial" w:hAnsi="Arial" w:cs="Arial"/>
          <w:sz w:val="24"/>
          <w:szCs w:val="24"/>
          <w:lang w:eastAsia="en-AU"/>
        </w:rPr>
        <w:t xml:space="preserve"> </w:t>
      </w:r>
    </w:p>
    <w:p w14:paraId="3E98AEC9" w14:textId="77777777" w:rsidR="005E55C5" w:rsidRDefault="005E55C5" w:rsidP="005E55C5">
      <w:pPr>
        <w:rPr>
          <w:rFonts w:ascii="Arial" w:hAnsi="Arial" w:cs="Arial"/>
          <w:color w:val="000000"/>
          <w:shd w:val="clear" w:color="auto" w:fill="FFFFFF"/>
        </w:rPr>
      </w:pPr>
      <w:r>
        <w:rPr>
          <w:rFonts w:ascii="Arial" w:hAnsi="Arial" w:cs="Arial"/>
          <w:color w:val="000000"/>
          <w:shd w:val="clear" w:color="auto" w:fill="FFFFFF"/>
        </w:rPr>
        <w:t xml:space="preserve">Schedule 2 contains technical amendments of legislation initiated by the Parliamentary Counsel’s Office. </w:t>
      </w:r>
    </w:p>
    <w:p w14:paraId="78DB99FC" w14:textId="19FB8B9E" w:rsidR="005E55C5" w:rsidRPr="005E55C5" w:rsidRDefault="005E55C5" w:rsidP="005E55C5">
      <w:pPr>
        <w:rPr>
          <w:lang w:eastAsia="en-AU"/>
        </w:rPr>
      </w:pPr>
      <w:r>
        <w:rPr>
          <w:rFonts w:ascii="Arial" w:hAnsi="Arial" w:cs="Arial"/>
          <w:color w:val="000000"/>
          <w:shd w:val="clear" w:color="auto" w:fill="FFFFFF"/>
        </w:rPr>
        <w:t>Each amendment is explained in an explanatory note in the schedule.</w:t>
      </w:r>
      <w:r w:rsidR="00B54615">
        <w:rPr>
          <w:rFonts w:ascii="Arial" w:hAnsi="Arial" w:cs="Arial"/>
          <w:color w:val="000000"/>
          <w:shd w:val="clear" w:color="auto" w:fill="FFFFFF"/>
        </w:rPr>
        <w:t xml:space="preserve"> </w:t>
      </w:r>
      <w:r>
        <w:rPr>
          <w:rFonts w:ascii="Arial" w:hAnsi="Arial" w:cs="Arial"/>
          <w:color w:val="000000"/>
          <w:shd w:val="clear" w:color="auto" w:fill="FFFFFF"/>
        </w:rPr>
        <w:t xml:space="preserve">The amendments include the correction of minor errors, such as typographical errors and </w:t>
      </w:r>
      <w:r>
        <w:rPr>
          <w:rFonts w:ascii="Arial" w:hAnsi="Arial" w:cs="Arial"/>
          <w:color w:val="000000"/>
          <w:shd w:val="clear" w:color="auto" w:fill="FFFFFF"/>
        </w:rPr>
        <w:lastRenderedPageBreak/>
        <w:t>outdated cross-references, updating language, updating and omitting notes, omitting redundant provisions, renumbering paragraphs and other minor changes to update or improve the form of legislation.</w:t>
      </w:r>
    </w:p>
    <w:p w14:paraId="0A1E4BCF" w14:textId="1674BEF1" w:rsidR="00F11F81" w:rsidRPr="00050F68" w:rsidRDefault="00F11F81" w:rsidP="008B40CE">
      <w:pPr>
        <w:rPr>
          <w:rFonts w:ascii="Arial" w:hAnsi="Arial" w:cs="Arial"/>
          <w:szCs w:val="24"/>
          <w:lang w:eastAsia="en-AU"/>
        </w:rPr>
      </w:pPr>
    </w:p>
    <w:p w14:paraId="28F8DCE2" w14:textId="77777777" w:rsidR="00E75CEA" w:rsidRPr="00050F68" w:rsidRDefault="00E75CEA">
      <w:pPr>
        <w:rPr>
          <w:rFonts w:ascii="Arial" w:hAnsi="Arial" w:cs="Arial"/>
          <w:szCs w:val="24"/>
          <w:lang w:eastAsia="en-AU"/>
        </w:rPr>
      </w:pPr>
    </w:p>
    <w:sectPr w:rsidR="00E75CEA" w:rsidRPr="00050F6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0FC7" w14:textId="77777777" w:rsidR="009C463F" w:rsidRDefault="009C463F" w:rsidP="00EB113E">
      <w:pPr>
        <w:spacing w:after="0" w:line="240" w:lineRule="auto"/>
      </w:pPr>
      <w:r>
        <w:separator/>
      </w:r>
    </w:p>
  </w:endnote>
  <w:endnote w:type="continuationSeparator" w:id="0">
    <w:p w14:paraId="27A209D9" w14:textId="77777777" w:rsidR="009C463F" w:rsidRDefault="009C463F"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EFE0" w14:textId="77777777" w:rsidR="001D44C5" w:rsidRDefault="001D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E03057" w:rsidRPr="00C31AB2" w:rsidRDefault="00E03057" w:rsidP="00C31AB2">
    <w:pPr>
      <w:pStyle w:val="Header"/>
      <w:jc w:val="center"/>
      <w:rPr>
        <w:rFonts w:ascii="Arial" w:hAnsi="Arial" w:cs="Arial"/>
        <w:b/>
        <w:color w:val="FF0000"/>
      </w:rPr>
    </w:pPr>
    <w:r>
      <w:rPr>
        <w:rFonts w:ascii="Arial" w:hAnsi="Arial" w:cs="Arial"/>
        <w:b/>
        <w:color w:val="FF0000"/>
      </w:rPr>
      <w:t>CABINET</w:t>
    </w:r>
  </w:p>
  <w:p w14:paraId="233B9F1E" w14:textId="42D4BD7B" w:rsidR="00E03057" w:rsidRPr="00AA57F8" w:rsidRDefault="00AA57F8" w:rsidP="00AA57F8">
    <w:pPr>
      <w:pStyle w:val="Header"/>
      <w:jc w:val="center"/>
      <w:rPr>
        <w:rFonts w:ascii="Arial" w:hAnsi="Arial" w:cs="Arial"/>
        <w:b/>
        <w:color w:val="FF0000"/>
        <w:sz w:val="14"/>
      </w:rPr>
    </w:pPr>
    <w:r w:rsidRPr="00AA57F8">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9708" w14:textId="74F8136D" w:rsidR="00AA57F8" w:rsidRPr="001D44C5" w:rsidRDefault="001D44C5" w:rsidP="001D44C5">
    <w:pPr>
      <w:pStyle w:val="Footer"/>
      <w:jc w:val="center"/>
      <w:rPr>
        <w:rFonts w:ascii="Arial" w:hAnsi="Arial" w:cs="Arial"/>
        <w:sz w:val="14"/>
      </w:rPr>
    </w:pPr>
    <w:r w:rsidRPr="001D44C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438FC4BB" w:rsidR="00E03057" w:rsidRDefault="00E03057" w:rsidP="007852E5">
    <w:pPr>
      <w:pStyle w:val="Footer"/>
      <w:spacing w:after="0" w:line="240" w:lineRule="auto"/>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10</w:t>
    </w:r>
    <w:r w:rsidRPr="00050F68">
      <w:rPr>
        <w:rFonts w:ascii="Arial" w:hAnsi="Arial" w:cs="Arial"/>
        <w:noProof/>
      </w:rPr>
      <w:fldChar w:fldCharType="end"/>
    </w:r>
  </w:p>
  <w:p w14:paraId="7D7B0216" w14:textId="79A6D18F" w:rsidR="00AA57F8" w:rsidRPr="001D44C5" w:rsidRDefault="001D44C5" w:rsidP="001D44C5">
    <w:pPr>
      <w:pStyle w:val="Footer"/>
      <w:spacing w:after="0"/>
      <w:jc w:val="center"/>
      <w:rPr>
        <w:rFonts w:ascii="Arial" w:hAnsi="Arial" w:cs="Arial"/>
        <w:sz w:val="14"/>
      </w:rPr>
    </w:pPr>
    <w:r w:rsidRPr="001D44C5">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7675F80A" w:rsidR="00E03057" w:rsidRDefault="00E03057" w:rsidP="007852E5">
    <w:pPr>
      <w:pStyle w:val="Footer"/>
      <w:spacing w:after="0" w:line="240" w:lineRule="auto"/>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w:t>
    </w:r>
    <w:r w:rsidRPr="00050F68">
      <w:rPr>
        <w:rFonts w:ascii="Arial" w:hAnsi="Arial" w:cs="Arial"/>
        <w:noProof/>
      </w:rPr>
      <w:fldChar w:fldCharType="end"/>
    </w:r>
  </w:p>
  <w:p w14:paraId="26B9881A" w14:textId="6C0E3F7F" w:rsidR="00AA57F8" w:rsidRPr="001D44C5" w:rsidRDefault="001D44C5" w:rsidP="001D44C5">
    <w:pPr>
      <w:pStyle w:val="Footer"/>
      <w:jc w:val="center"/>
      <w:rPr>
        <w:rFonts w:ascii="Arial" w:hAnsi="Arial" w:cs="Arial"/>
        <w:sz w:val="14"/>
      </w:rPr>
    </w:pPr>
    <w:r w:rsidRPr="001D44C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1C42" w14:textId="77777777" w:rsidR="009C463F" w:rsidRDefault="009C463F" w:rsidP="00EB113E">
      <w:pPr>
        <w:spacing w:after="0" w:line="240" w:lineRule="auto"/>
      </w:pPr>
      <w:r>
        <w:separator/>
      </w:r>
    </w:p>
  </w:footnote>
  <w:footnote w:type="continuationSeparator" w:id="0">
    <w:p w14:paraId="7F9E4900" w14:textId="77777777" w:rsidR="009C463F" w:rsidRDefault="009C463F"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F71F" w14:textId="77777777" w:rsidR="001D44C5" w:rsidRDefault="001D4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F9EE" w14:textId="77777777" w:rsidR="001D44C5" w:rsidRDefault="001D4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FAE" w14:textId="77777777" w:rsidR="00E03057" w:rsidRPr="007852E5" w:rsidRDefault="00E03057"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26590"/>
    <w:multiLevelType w:val="hybridMultilevel"/>
    <w:tmpl w:val="35B6D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487290"/>
    <w:multiLevelType w:val="hybridMultilevel"/>
    <w:tmpl w:val="B590F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74EDE"/>
    <w:multiLevelType w:val="hybridMultilevel"/>
    <w:tmpl w:val="AAE8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C2A06"/>
    <w:multiLevelType w:val="hybridMultilevel"/>
    <w:tmpl w:val="C66E1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B75D76"/>
    <w:multiLevelType w:val="hybridMultilevel"/>
    <w:tmpl w:val="6A7CA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D4B43"/>
    <w:multiLevelType w:val="hybridMultilevel"/>
    <w:tmpl w:val="1ABE604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5872B8"/>
    <w:multiLevelType w:val="hybridMultilevel"/>
    <w:tmpl w:val="B2C0E988"/>
    <w:lvl w:ilvl="0" w:tplc="6DBAF65E">
      <w:start w:val="1"/>
      <w:numFmt w:val="decimal"/>
      <w:pStyle w:val="CS-Paragraphnumbering"/>
      <w:lvlText w:val="%1."/>
      <w:lvlJc w:val="left"/>
      <w:pPr>
        <w:ind w:left="720" w:hanging="360"/>
      </w:pPr>
      <w:rPr>
        <w:sz w:val="24"/>
        <w:szCs w:val="24"/>
      </w:rPr>
    </w:lvl>
    <w:lvl w:ilvl="1" w:tplc="2624AF1E">
      <w:start w:val="1"/>
      <w:numFmt w:val="lowerLetter"/>
      <w:lvlText w:val="%2."/>
      <w:lvlJc w:val="left"/>
      <w:pPr>
        <w:ind w:left="1440" w:hanging="360"/>
      </w:pPr>
      <w:rPr>
        <w:rFonts w:asciiTheme="minorHAnsi" w:eastAsiaTheme="minorHAnsi" w:hAnsiTheme="minorHAnsi" w:cstheme="minorBidi"/>
      </w:rPr>
    </w:lvl>
    <w:lvl w:ilvl="2" w:tplc="94C60276">
      <w:start w:val="8"/>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C700A0"/>
    <w:multiLevelType w:val="hybridMultilevel"/>
    <w:tmpl w:val="5C4A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FD61CE"/>
    <w:multiLevelType w:val="hybridMultilevel"/>
    <w:tmpl w:val="A4003072"/>
    <w:lvl w:ilvl="0" w:tplc="08449550">
      <w:start w:val="1"/>
      <w:numFmt w:val="lowerLetter"/>
      <w:lvlText w:val="(%1)"/>
      <w:lvlJc w:val="left"/>
      <w:pPr>
        <w:ind w:left="720" w:hanging="360"/>
      </w:pPr>
      <w:rPr>
        <w:rFonts w:hint="default"/>
      </w:rPr>
    </w:lvl>
    <w:lvl w:ilvl="1" w:tplc="B562E612">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9" w15:restartNumberingAfterBreak="0">
    <w:nsid w:val="3D7B54AA"/>
    <w:multiLevelType w:val="hybridMultilevel"/>
    <w:tmpl w:val="B142CE40"/>
    <w:lvl w:ilvl="0" w:tplc="1DBC15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22093E"/>
    <w:multiLevelType w:val="hybridMultilevel"/>
    <w:tmpl w:val="A288BBE8"/>
    <w:lvl w:ilvl="0" w:tplc="BE8A543A">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3A3FDE"/>
    <w:multiLevelType w:val="hybridMultilevel"/>
    <w:tmpl w:val="C7385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972F74"/>
    <w:multiLevelType w:val="hybridMultilevel"/>
    <w:tmpl w:val="7F8821E4"/>
    <w:lvl w:ilvl="0" w:tplc="BE8A543A">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293F0B"/>
    <w:multiLevelType w:val="hybridMultilevel"/>
    <w:tmpl w:val="78AA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DA5BBD"/>
    <w:multiLevelType w:val="hybridMultilevel"/>
    <w:tmpl w:val="32F426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2808130">
    <w:abstractNumId w:val="18"/>
  </w:num>
  <w:num w:numId="2" w16cid:durableId="2090075116">
    <w:abstractNumId w:val="35"/>
  </w:num>
  <w:num w:numId="3" w16cid:durableId="30806655">
    <w:abstractNumId w:val="4"/>
  </w:num>
  <w:num w:numId="4" w16cid:durableId="1249928098">
    <w:abstractNumId w:val="22"/>
  </w:num>
  <w:num w:numId="5" w16cid:durableId="31536699">
    <w:abstractNumId w:val="0"/>
  </w:num>
  <w:num w:numId="6" w16cid:durableId="52506607">
    <w:abstractNumId w:val="36"/>
  </w:num>
  <w:num w:numId="7" w16cid:durableId="1709377673">
    <w:abstractNumId w:val="10"/>
  </w:num>
  <w:num w:numId="8" w16cid:durableId="442265857">
    <w:abstractNumId w:val="32"/>
  </w:num>
  <w:num w:numId="9" w16cid:durableId="1748963750">
    <w:abstractNumId w:val="33"/>
  </w:num>
  <w:num w:numId="10" w16cid:durableId="1206522558">
    <w:abstractNumId w:val="23"/>
  </w:num>
  <w:num w:numId="11" w16cid:durableId="787971277">
    <w:abstractNumId w:val="1"/>
  </w:num>
  <w:num w:numId="12" w16cid:durableId="1444959746">
    <w:abstractNumId w:val="37"/>
  </w:num>
  <w:num w:numId="13" w16cid:durableId="396363249">
    <w:abstractNumId w:val="8"/>
  </w:num>
  <w:num w:numId="14" w16cid:durableId="2103531044">
    <w:abstractNumId w:val="14"/>
  </w:num>
  <w:num w:numId="15" w16cid:durableId="792288190">
    <w:abstractNumId w:val="20"/>
  </w:num>
  <w:num w:numId="16" w16cid:durableId="1409110882">
    <w:abstractNumId w:val="25"/>
  </w:num>
  <w:num w:numId="17" w16cid:durableId="1248999576">
    <w:abstractNumId w:val="12"/>
  </w:num>
  <w:num w:numId="18" w16cid:durableId="124281588">
    <w:abstractNumId w:val="30"/>
  </w:num>
  <w:num w:numId="19" w16cid:durableId="1334407923">
    <w:abstractNumId w:val="29"/>
  </w:num>
  <w:num w:numId="20" w16cid:durableId="1672218036">
    <w:abstractNumId w:val="27"/>
  </w:num>
  <w:num w:numId="21" w16cid:durableId="1515534915">
    <w:abstractNumId w:val="21"/>
  </w:num>
  <w:num w:numId="22" w16cid:durableId="19597002">
    <w:abstractNumId w:val="26"/>
  </w:num>
  <w:num w:numId="23" w16cid:durableId="1617715620">
    <w:abstractNumId w:val="9"/>
  </w:num>
  <w:num w:numId="24" w16cid:durableId="1267426436">
    <w:abstractNumId w:val="13"/>
  </w:num>
  <w:num w:numId="25" w16cid:durableId="698749436">
    <w:abstractNumId w:val="6"/>
  </w:num>
  <w:num w:numId="26" w16cid:durableId="1258563226">
    <w:abstractNumId w:val="19"/>
  </w:num>
  <w:num w:numId="27" w16cid:durableId="428895925">
    <w:abstractNumId w:val="24"/>
  </w:num>
  <w:num w:numId="28" w16cid:durableId="1259175616">
    <w:abstractNumId w:val="2"/>
  </w:num>
  <w:num w:numId="29" w16cid:durableId="96213536">
    <w:abstractNumId w:val="2"/>
  </w:num>
  <w:num w:numId="30" w16cid:durableId="1631783384">
    <w:abstractNumId w:val="7"/>
  </w:num>
  <w:num w:numId="31" w16cid:durableId="1317103154">
    <w:abstractNumId w:val="3"/>
  </w:num>
  <w:num w:numId="32" w16cid:durableId="592249313">
    <w:abstractNumId w:val="38"/>
  </w:num>
  <w:num w:numId="33" w16cid:durableId="1658418346">
    <w:abstractNumId w:val="16"/>
  </w:num>
  <w:num w:numId="34" w16cid:durableId="567033064">
    <w:abstractNumId w:val="28"/>
  </w:num>
  <w:num w:numId="35" w16cid:durableId="7564072">
    <w:abstractNumId w:val="31"/>
  </w:num>
  <w:num w:numId="36" w16cid:durableId="970549650">
    <w:abstractNumId w:val="2"/>
  </w:num>
  <w:num w:numId="37" w16cid:durableId="1259216756">
    <w:abstractNumId w:val="34"/>
  </w:num>
  <w:num w:numId="38" w16cid:durableId="1081366673">
    <w:abstractNumId w:val="5"/>
  </w:num>
  <w:num w:numId="39" w16cid:durableId="601449225">
    <w:abstractNumId w:val="17"/>
  </w:num>
  <w:num w:numId="40" w16cid:durableId="1286503765">
    <w:abstractNumId w:val="15"/>
  </w:num>
  <w:num w:numId="41" w16cid:durableId="1727221839">
    <w:abstractNumId w:val="39"/>
  </w:num>
  <w:num w:numId="42" w16cid:durableId="7345496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887"/>
    <w:rsid w:val="00003A60"/>
    <w:rsid w:val="00004C31"/>
    <w:rsid w:val="00004C8C"/>
    <w:rsid w:val="00006786"/>
    <w:rsid w:val="00006A10"/>
    <w:rsid w:val="00006C49"/>
    <w:rsid w:val="000071C7"/>
    <w:rsid w:val="00007206"/>
    <w:rsid w:val="000101D9"/>
    <w:rsid w:val="0001130F"/>
    <w:rsid w:val="000115BF"/>
    <w:rsid w:val="0001228A"/>
    <w:rsid w:val="00012BB3"/>
    <w:rsid w:val="00012D1B"/>
    <w:rsid w:val="00013807"/>
    <w:rsid w:val="00013E9B"/>
    <w:rsid w:val="00014D20"/>
    <w:rsid w:val="00015C96"/>
    <w:rsid w:val="00015F0B"/>
    <w:rsid w:val="000169D0"/>
    <w:rsid w:val="00016A4D"/>
    <w:rsid w:val="00016D42"/>
    <w:rsid w:val="00020105"/>
    <w:rsid w:val="00020890"/>
    <w:rsid w:val="00020FDB"/>
    <w:rsid w:val="0002114C"/>
    <w:rsid w:val="000215C2"/>
    <w:rsid w:val="00023F7F"/>
    <w:rsid w:val="000263D1"/>
    <w:rsid w:val="00026A03"/>
    <w:rsid w:val="00031D9F"/>
    <w:rsid w:val="000348B1"/>
    <w:rsid w:val="00037F43"/>
    <w:rsid w:val="000402AF"/>
    <w:rsid w:val="000428AD"/>
    <w:rsid w:val="00042B0B"/>
    <w:rsid w:val="00043790"/>
    <w:rsid w:val="00043A0C"/>
    <w:rsid w:val="00044FFD"/>
    <w:rsid w:val="00046749"/>
    <w:rsid w:val="00046A4A"/>
    <w:rsid w:val="00046F4A"/>
    <w:rsid w:val="00047523"/>
    <w:rsid w:val="000475F2"/>
    <w:rsid w:val="000477EE"/>
    <w:rsid w:val="00047E5D"/>
    <w:rsid w:val="0005023D"/>
    <w:rsid w:val="00050818"/>
    <w:rsid w:val="00050F68"/>
    <w:rsid w:val="00052196"/>
    <w:rsid w:val="00052380"/>
    <w:rsid w:val="0005298F"/>
    <w:rsid w:val="0005332D"/>
    <w:rsid w:val="00053623"/>
    <w:rsid w:val="00053D52"/>
    <w:rsid w:val="00054020"/>
    <w:rsid w:val="000545DF"/>
    <w:rsid w:val="000559E0"/>
    <w:rsid w:val="00055EB6"/>
    <w:rsid w:val="0005733C"/>
    <w:rsid w:val="00057859"/>
    <w:rsid w:val="00060993"/>
    <w:rsid w:val="00061410"/>
    <w:rsid w:val="00061BBE"/>
    <w:rsid w:val="000625C1"/>
    <w:rsid w:val="00062721"/>
    <w:rsid w:val="00063E3F"/>
    <w:rsid w:val="00065917"/>
    <w:rsid w:val="000673A5"/>
    <w:rsid w:val="00070620"/>
    <w:rsid w:val="00070EC3"/>
    <w:rsid w:val="00072520"/>
    <w:rsid w:val="000748A0"/>
    <w:rsid w:val="00077560"/>
    <w:rsid w:val="0008299A"/>
    <w:rsid w:val="00084C87"/>
    <w:rsid w:val="00085977"/>
    <w:rsid w:val="00086CEF"/>
    <w:rsid w:val="000877A2"/>
    <w:rsid w:val="000900EC"/>
    <w:rsid w:val="00090B56"/>
    <w:rsid w:val="000911AD"/>
    <w:rsid w:val="00092EE3"/>
    <w:rsid w:val="0009319D"/>
    <w:rsid w:val="00093829"/>
    <w:rsid w:val="000939DF"/>
    <w:rsid w:val="00093EE9"/>
    <w:rsid w:val="000963F9"/>
    <w:rsid w:val="000974D5"/>
    <w:rsid w:val="000A284A"/>
    <w:rsid w:val="000A29DE"/>
    <w:rsid w:val="000A2E19"/>
    <w:rsid w:val="000A41D2"/>
    <w:rsid w:val="000A4CC0"/>
    <w:rsid w:val="000A5387"/>
    <w:rsid w:val="000A5481"/>
    <w:rsid w:val="000A5922"/>
    <w:rsid w:val="000A674A"/>
    <w:rsid w:val="000A71E5"/>
    <w:rsid w:val="000A7A6D"/>
    <w:rsid w:val="000B086A"/>
    <w:rsid w:val="000B0E83"/>
    <w:rsid w:val="000B119B"/>
    <w:rsid w:val="000B30D8"/>
    <w:rsid w:val="000B374A"/>
    <w:rsid w:val="000B4650"/>
    <w:rsid w:val="000B4844"/>
    <w:rsid w:val="000B5559"/>
    <w:rsid w:val="000B68D6"/>
    <w:rsid w:val="000B7BDD"/>
    <w:rsid w:val="000C08B4"/>
    <w:rsid w:val="000C2A15"/>
    <w:rsid w:val="000C40FC"/>
    <w:rsid w:val="000C4A95"/>
    <w:rsid w:val="000C52D8"/>
    <w:rsid w:val="000C5792"/>
    <w:rsid w:val="000C5B34"/>
    <w:rsid w:val="000C6B65"/>
    <w:rsid w:val="000C6CDD"/>
    <w:rsid w:val="000C6E4A"/>
    <w:rsid w:val="000C757E"/>
    <w:rsid w:val="000D00D3"/>
    <w:rsid w:val="000D08EB"/>
    <w:rsid w:val="000D0DF0"/>
    <w:rsid w:val="000D1672"/>
    <w:rsid w:val="000D25C3"/>
    <w:rsid w:val="000D3492"/>
    <w:rsid w:val="000D49AD"/>
    <w:rsid w:val="000D4E86"/>
    <w:rsid w:val="000D54D3"/>
    <w:rsid w:val="000E093A"/>
    <w:rsid w:val="000E0D63"/>
    <w:rsid w:val="000E122F"/>
    <w:rsid w:val="000E12ED"/>
    <w:rsid w:val="000E1760"/>
    <w:rsid w:val="000E3BA4"/>
    <w:rsid w:val="000E3C9D"/>
    <w:rsid w:val="000E3E6C"/>
    <w:rsid w:val="000E44E3"/>
    <w:rsid w:val="000E4C04"/>
    <w:rsid w:val="000E6788"/>
    <w:rsid w:val="000E6B46"/>
    <w:rsid w:val="000E6C5B"/>
    <w:rsid w:val="000E6DAB"/>
    <w:rsid w:val="000E6EC3"/>
    <w:rsid w:val="000E7048"/>
    <w:rsid w:val="000E7B1E"/>
    <w:rsid w:val="000E7D39"/>
    <w:rsid w:val="000F114D"/>
    <w:rsid w:val="000F1DD7"/>
    <w:rsid w:val="000F309C"/>
    <w:rsid w:val="000F4CA8"/>
    <w:rsid w:val="000F58CA"/>
    <w:rsid w:val="000F6CC6"/>
    <w:rsid w:val="000F757E"/>
    <w:rsid w:val="001013C2"/>
    <w:rsid w:val="00102162"/>
    <w:rsid w:val="00103DA7"/>
    <w:rsid w:val="001048E3"/>
    <w:rsid w:val="00106FD7"/>
    <w:rsid w:val="001079CC"/>
    <w:rsid w:val="001129D2"/>
    <w:rsid w:val="0011351A"/>
    <w:rsid w:val="00113D31"/>
    <w:rsid w:val="0011578D"/>
    <w:rsid w:val="00115F17"/>
    <w:rsid w:val="001161FE"/>
    <w:rsid w:val="0011629A"/>
    <w:rsid w:val="00116CB0"/>
    <w:rsid w:val="00116F01"/>
    <w:rsid w:val="001202A7"/>
    <w:rsid w:val="001218E6"/>
    <w:rsid w:val="00121C72"/>
    <w:rsid w:val="0012423D"/>
    <w:rsid w:val="00124DFA"/>
    <w:rsid w:val="00125EC6"/>
    <w:rsid w:val="0012660F"/>
    <w:rsid w:val="00126926"/>
    <w:rsid w:val="00126C7A"/>
    <w:rsid w:val="00126FD0"/>
    <w:rsid w:val="00131012"/>
    <w:rsid w:val="00131C7A"/>
    <w:rsid w:val="0013475A"/>
    <w:rsid w:val="00134A00"/>
    <w:rsid w:val="00135F15"/>
    <w:rsid w:val="00135F51"/>
    <w:rsid w:val="001364FE"/>
    <w:rsid w:val="0013726E"/>
    <w:rsid w:val="00137350"/>
    <w:rsid w:val="00137A6F"/>
    <w:rsid w:val="00141ACF"/>
    <w:rsid w:val="00141B49"/>
    <w:rsid w:val="00143817"/>
    <w:rsid w:val="00143847"/>
    <w:rsid w:val="00143B3D"/>
    <w:rsid w:val="00144634"/>
    <w:rsid w:val="0014533D"/>
    <w:rsid w:val="00145D38"/>
    <w:rsid w:val="00145DCF"/>
    <w:rsid w:val="00145EE8"/>
    <w:rsid w:val="00146AD7"/>
    <w:rsid w:val="001508AD"/>
    <w:rsid w:val="00153811"/>
    <w:rsid w:val="00153B5B"/>
    <w:rsid w:val="00153DFB"/>
    <w:rsid w:val="00154118"/>
    <w:rsid w:val="00154351"/>
    <w:rsid w:val="00154679"/>
    <w:rsid w:val="00155920"/>
    <w:rsid w:val="00155A60"/>
    <w:rsid w:val="00155F92"/>
    <w:rsid w:val="00156B13"/>
    <w:rsid w:val="00156D10"/>
    <w:rsid w:val="00160158"/>
    <w:rsid w:val="0016030E"/>
    <w:rsid w:val="00160863"/>
    <w:rsid w:val="001609A7"/>
    <w:rsid w:val="001609D9"/>
    <w:rsid w:val="00160B72"/>
    <w:rsid w:val="00161403"/>
    <w:rsid w:val="00161598"/>
    <w:rsid w:val="00161E92"/>
    <w:rsid w:val="0016244C"/>
    <w:rsid w:val="001627AD"/>
    <w:rsid w:val="00162893"/>
    <w:rsid w:val="0016447C"/>
    <w:rsid w:val="00164C81"/>
    <w:rsid w:val="00165B49"/>
    <w:rsid w:val="00166B2A"/>
    <w:rsid w:val="00167163"/>
    <w:rsid w:val="00167A83"/>
    <w:rsid w:val="00167B13"/>
    <w:rsid w:val="0017079E"/>
    <w:rsid w:val="001735A4"/>
    <w:rsid w:val="00173CAB"/>
    <w:rsid w:val="001744B8"/>
    <w:rsid w:val="001752F7"/>
    <w:rsid w:val="0017781D"/>
    <w:rsid w:val="00177F7F"/>
    <w:rsid w:val="0018021C"/>
    <w:rsid w:val="00180946"/>
    <w:rsid w:val="001817BA"/>
    <w:rsid w:val="00183148"/>
    <w:rsid w:val="00183CAA"/>
    <w:rsid w:val="00184158"/>
    <w:rsid w:val="0018628F"/>
    <w:rsid w:val="001863BC"/>
    <w:rsid w:val="00187F61"/>
    <w:rsid w:val="00191C3D"/>
    <w:rsid w:val="00192B65"/>
    <w:rsid w:val="00195035"/>
    <w:rsid w:val="00195933"/>
    <w:rsid w:val="00197555"/>
    <w:rsid w:val="001A1F22"/>
    <w:rsid w:val="001A1FAA"/>
    <w:rsid w:val="001A3A2E"/>
    <w:rsid w:val="001A42B5"/>
    <w:rsid w:val="001A48F2"/>
    <w:rsid w:val="001A58AC"/>
    <w:rsid w:val="001A64D0"/>
    <w:rsid w:val="001A6B4A"/>
    <w:rsid w:val="001A78FE"/>
    <w:rsid w:val="001B05B6"/>
    <w:rsid w:val="001B1A8A"/>
    <w:rsid w:val="001B1AA2"/>
    <w:rsid w:val="001B30CE"/>
    <w:rsid w:val="001B316E"/>
    <w:rsid w:val="001B5F7A"/>
    <w:rsid w:val="001B64EB"/>
    <w:rsid w:val="001B7099"/>
    <w:rsid w:val="001B7404"/>
    <w:rsid w:val="001B7E69"/>
    <w:rsid w:val="001C1650"/>
    <w:rsid w:val="001C22AE"/>
    <w:rsid w:val="001C2523"/>
    <w:rsid w:val="001C2544"/>
    <w:rsid w:val="001C2AF2"/>
    <w:rsid w:val="001C2DED"/>
    <w:rsid w:val="001C4091"/>
    <w:rsid w:val="001C5B4D"/>
    <w:rsid w:val="001C794C"/>
    <w:rsid w:val="001D0618"/>
    <w:rsid w:val="001D0F44"/>
    <w:rsid w:val="001D120C"/>
    <w:rsid w:val="001D28FD"/>
    <w:rsid w:val="001D2CF9"/>
    <w:rsid w:val="001D3BA4"/>
    <w:rsid w:val="001D3E8F"/>
    <w:rsid w:val="001D44C5"/>
    <w:rsid w:val="001D485C"/>
    <w:rsid w:val="001D48C1"/>
    <w:rsid w:val="001D519A"/>
    <w:rsid w:val="001D5A00"/>
    <w:rsid w:val="001E0F79"/>
    <w:rsid w:val="001E13ED"/>
    <w:rsid w:val="001E1AC6"/>
    <w:rsid w:val="001E2E89"/>
    <w:rsid w:val="001E3654"/>
    <w:rsid w:val="001E4A19"/>
    <w:rsid w:val="001E4C81"/>
    <w:rsid w:val="001E4E37"/>
    <w:rsid w:val="001E66FB"/>
    <w:rsid w:val="001E6E4E"/>
    <w:rsid w:val="001F00A7"/>
    <w:rsid w:val="001F126B"/>
    <w:rsid w:val="001F26DB"/>
    <w:rsid w:val="001F3C34"/>
    <w:rsid w:val="001F478A"/>
    <w:rsid w:val="001F48CB"/>
    <w:rsid w:val="001F4E9D"/>
    <w:rsid w:val="001F7F5F"/>
    <w:rsid w:val="00200955"/>
    <w:rsid w:val="0020136C"/>
    <w:rsid w:val="00201AD8"/>
    <w:rsid w:val="00202D8A"/>
    <w:rsid w:val="00203836"/>
    <w:rsid w:val="0020440A"/>
    <w:rsid w:val="00204F32"/>
    <w:rsid w:val="002051BF"/>
    <w:rsid w:val="0020540B"/>
    <w:rsid w:val="002057E6"/>
    <w:rsid w:val="002070A2"/>
    <w:rsid w:val="00207295"/>
    <w:rsid w:val="002072F0"/>
    <w:rsid w:val="00210A29"/>
    <w:rsid w:val="0021141A"/>
    <w:rsid w:val="0021195A"/>
    <w:rsid w:val="002125F4"/>
    <w:rsid w:val="00212C60"/>
    <w:rsid w:val="00213836"/>
    <w:rsid w:val="002139DC"/>
    <w:rsid w:val="002147C8"/>
    <w:rsid w:val="00214A59"/>
    <w:rsid w:val="00214EAF"/>
    <w:rsid w:val="002158D5"/>
    <w:rsid w:val="0021680D"/>
    <w:rsid w:val="00216C37"/>
    <w:rsid w:val="00216CC0"/>
    <w:rsid w:val="00217DAB"/>
    <w:rsid w:val="00220344"/>
    <w:rsid w:val="00220389"/>
    <w:rsid w:val="00220614"/>
    <w:rsid w:val="00220D3A"/>
    <w:rsid w:val="0022193C"/>
    <w:rsid w:val="00222001"/>
    <w:rsid w:val="00222E12"/>
    <w:rsid w:val="00223F93"/>
    <w:rsid w:val="00224D92"/>
    <w:rsid w:val="0022542A"/>
    <w:rsid w:val="00225663"/>
    <w:rsid w:val="00225D75"/>
    <w:rsid w:val="00226A09"/>
    <w:rsid w:val="0022766D"/>
    <w:rsid w:val="00227A1A"/>
    <w:rsid w:val="00230FCD"/>
    <w:rsid w:val="002329EA"/>
    <w:rsid w:val="00234132"/>
    <w:rsid w:val="00234D19"/>
    <w:rsid w:val="002352DF"/>
    <w:rsid w:val="002361E0"/>
    <w:rsid w:val="00236813"/>
    <w:rsid w:val="00242605"/>
    <w:rsid w:val="0024673E"/>
    <w:rsid w:val="002469E9"/>
    <w:rsid w:val="00247DE7"/>
    <w:rsid w:val="00251B0F"/>
    <w:rsid w:val="00252A53"/>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833"/>
    <w:rsid w:val="00271FB4"/>
    <w:rsid w:val="00273687"/>
    <w:rsid w:val="00273BE9"/>
    <w:rsid w:val="002740B8"/>
    <w:rsid w:val="00276417"/>
    <w:rsid w:val="00276F77"/>
    <w:rsid w:val="00277451"/>
    <w:rsid w:val="00277539"/>
    <w:rsid w:val="00277A4C"/>
    <w:rsid w:val="0028119A"/>
    <w:rsid w:val="00281925"/>
    <w:rsid w:val="00281EB6"/>
    <w:rsid w:val="002832EB"/>
    <w:rsid w:val="002838D0"/>
    <w:rsid w:val="00283BD1"/>
    <w:rsid w:val="00284155"/>
    <w:rsid w:val="00284AE1"/>
    <w:rsid w:val="0028524B"/>
    <w:rsid w:val="00286223"/>
    <w:rsid w:val="00286710"/>
    <w:rsid w:val="00287F1A"/>
    <w:rsid w:val="00290075"/>
    <w:rsid w:val="00291CE9"/>
    <w:rsid w:val="00293CBB"/>
    <w:rsid w:val="00294123"/>
    <w:rsid w:val="00294F20"/>
    <w:rsid w:val="002959C6"/>
    <w:rsid w:val="00295A55"/>
    <w:rsid w:val="00295CB1"/>
    <w:rsid w:val="00295EA3"/>
    <w:rsid w:val="002963D7"/>
    <w:rsid w:val="00296D06"/>
    <w:rsid w:val="00297B5D"/>
    <w:rsid w:val="00297D32"/>
    <w:rsid w:val="002A016F"/>
    <w:rsid w:val="002A1D6E"/>
    <w:rsid w:val="002A2AA4"/>
    <w:rsid w:val="002A3308"/>
    <w:rsid w:val="002A3C55"/>
    <w:rsid w:val="002A4425"/>
    <w:rsid w:val="002A69FB"/>
    <w:rsid w:val="002B0C42"/>
    <w:rsid w:val="002B0F70"/>
    <w:rsid w:val="002B21EE"/>
    <w:rsid w:val="002B282C"/>
    <w:rsid w:val="002B545A"/>
    <w:rsid w:val="002B608C"/>
    <w:rsid w:val="002B62B2"/>
    <w:rsid w:val="002B69FC"/>
    <w:rsid w:val="002B7E39"/>
    <w:rsid w:val="002C1EF2"/>
    <w:rsid w:val="002C247E"/>
    <w:rsid w:val="002C26F0"/>
    <w:rsid w:val="002C2D81"/>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48CF"/>
    <w:rsid w:val="002E55B5"/>
    <w:rsid w:val="002E59F4"/>
    <w:rsid w:val="002E644D"/>
    <w:rsid w:val="002E67C3"/>
    <w:rsid w:val="002E6959"/>
    <w:rsid w:val="002E6EB4"/>
    <w:rsid w:val="002F0FD2"/>
    <w:rsid w:val="002F158F"/>
    <w:rsid w:val="002F16A6"/>
    <w:rsid w:val="002F18B6"/>
    <w:rsid w:val="002F1918"/>
    <w:rsid w:val="002F2784"/>
    <w:rsid w:val="002F437B"/>
    <w:rsid w:val="002F44DD"/>
    <w:rsid w:val="002F4A1A"/>
    <w:rsid w:val="002F4CBC"/>
    <w:rsid w:val="002F4F19"/>
    <w:rsid w:val="002F5D29"/>
    <w:rsid w:val="002F6EE5"/>
    <w:rsid w:val="002F72D7"/>
    <w:rsid w:val="002F781D"/>
    <w:rsid w:val="00300F62"/>
    <w:rsid w:val="003010CA"/>
    <w:rsid w:val="00301EC2"/>
    <w:rsid w:val="0030200A"/>
    <w:rsid w:val="00302301"/>
    <w:rsid w:val="003032E2"/>
    <w:rsid w:val="00303AE8"/>
    <w:rsid w:val="00303C2E"/>
    <w:rsid w:val="00303E0F"/>
    <w:rsid w:val="0030406F"/>
    <w:rsid w:val="003047BF"/>
    <w:rsid w:val="00304E98"/>
    <w:rsid w:val="003050B5"/>
    <w:rsid w:val="0030517A"/>
    <w:rsid w:val="0030585F"/>
    <w:rsid w:val="00306462"/>
    <w:rsid w:val="00307FA0"/>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DC5"/>
    <w:rsid w:val="00331814"/>
    <w:rsid w:val="00332EE3"/>
    <w:rsid w:val="0033322D"/>
    <w:rsid w:val="00333AB2"/>
    <w:rsid w:val="00333E5D"/>
    <w:rsid w:val="00334CCE"/>
    <w:rsid w:val="0033669B"/>
    <w:rsid w:val="00336AAF"/>
    <w:rsid w:val="00337183"/>
    <w:rsid w:val="00337F26"/>
    <w:rsid w:val="0034034D"/>
    <w:rsid w:val="00341498"/>
    <w:rsid w:val="00342FB5"/>
    <w:rsid w:val="00343A7F"/>
    <w:rsid w:val="003444A1"/>
    <w:rsid w:val="003473E6"/>
    <w:rsid w:val="00351B7E"/>
    <w:rsid w:val="00351F41"/>
    <w:rsid w:val="00352BB6"/>
    <w:rsid w:val="003530AF"/>
    <w:rsid w:val="00353230"/>
    <w:rsid w:val="00354214"/>
    <w:rsid w:val="003547B8"/>
    <w:rsid w:val="00354E28"/>
    <w:rsid w:val="00355130"/>
    <w:rsid w:val="00360CFB"/>
    <w:rsid w:val="00361639"/>
    <w:rsid w:val="003623D2"/>
    <w:rsid w:val="0036321F"/>
    <w:rsid w:val="003656A8"/>
    <w:rsid w:val="00365F7D"/>
    <w:rsid w:val="00366367"/>
    <w:rsid w:val="00366457"/>
    <w:rsid w:val="00367472"/>
    <w:rsid w:val="0037046B"/>
    <w:rsid w:val="003704CB"/>
    <w:rsid w:val="003706AB"/>
    <w:rsid w:val="00371675"/>
    <w:rsid w:val="003719BE"/>
    <w:rsid w:val="00371ACC"/>
    <w:rsid w:val="003723AC"/>
    <w:rsid w:val="003725DD"/>
    <w:rsid w:val="00372E7D"/>
    <w:rsid w:val="00373DC4"/>
    <w:rsid w:val="00373F54"/>
    <w:rsid w:val="00374029"/>
    <w:rsid w:val="0037435E"/>
    <w:rsid w:val="00374F71"/>
    <w:rsid w:val="003762BA"/>
    <w:rsid w:val="0037653A"/>
    <w:rsid w:val="003770C0"/>
    <w:rsid w:val="003805B2"/>
    <w:rsid w:val="00380C89"/>
    <w:rsid w:val="003818A2"/>
    <w:rsid w:val="003818A5"/>
    <w:rsid w:val="00381A2E"/>
    <w:rsid w:val="00382806"/>
    <w:rsid w:val="00384B35"/>
    <w:rsid w:val="00384DCD"/>
    <w:rsid w:val="00384FF5"/>
    <w:rsid w:val="003868C8"/>
    <w:rsid w:val="00386B80"/>
    <w:rsid w:val="00386B8D"/>
    <w:rsid w:val="00390D74"/>
    <w:rsid w:val="003936D9"/>
    <w:rsid w:val="00393C03"/>
    <w:rsid w:val="00393E43"/>
    <w:rsid w:val="00395BE9"/>
    <w:rsid w:val="00396A44"/>
    <w:rsid w:val="00396F6F"/>
    <w:rsid w:val="003972FD"/>
    <w:rsid w:val="00397994"/>
    <w:rsid w:val="00397AA8"/>
    <w:rsid w:val="003A24AF"/>
    <w:rsid w:val="003A2779"/>
    <w:rsid w:val="003A35F7"/>
    <w:rsid w:val="003A3638"/>
    <w:rsid w:val="003A4EC1"/>
    <w:rsid w:val="003A5041"/>
    <w:rsid w:val="003A5DF4"/>
    <w:rsid w:val="003A5EB6"/>
    <w:rsid w:val="003A6387"/>
    <w:rsid w:val="003A774C"/>
    <w:rsid w:val="003A7C2F"/>
    <w:rsid w:val="003B138F"/>
    <w:rsid w:val="003B216E"/>
    <w:rsid w:val="003B3E72"/>
    <w:rsid w:val="003B459A"/>
    <w:rsid w:val="003B56A8"/>
    <w:rsid w:val="003B6472"/>
    <w:rsid w:val="003C10DE"/>
    <w:rsid w:val="003C20D9"/>
    <w:rsid w:val="003C31B5"/>
    <w:rsid w:val="003C37DC"/>
    <w:rsid w:val="003C40E9"/>
    <w:rsid w:val="003C5473"/>
    <w:rsid w:val="003C558A"/>
    <w:rsid w:val="003C5D3A"/>
    <w:rsid w:val="003C7366"/>
    <w:rsid w:val="003C7522"/>
    <w:rsid w:val="003D0F8B"/>
    <w:rsid w:val="003D18B1"/>
    <w:rsid w:val="003D1F94"/>
    <w:rsid w:val="003D28A4"/>
    <w:rsid w:val="003D2C9C"/>
    <w:rsid w:val="003D2E0B"/>
    <w:rsid w:val="003D3420"/>
    <w:rsid w:val="003D442C"/>
    <w:rsid w:val="003D71CB"/>
    <w:rsid w:val="003E051E"/>
    <w:rsid w:val="003E08C3"/>
    <w:rsid w:val="003E0BC4"/>
    <w:rsid w:val="003E1C14"/>
    <w:rsid w:val="003E3C68"/>
    <w:rsid w:val="003E4DD8"/>
    <w:rsid w:val="003E76DF"/>
    <w:rsid w:val="003E7871"/>
    <w:rsid w:val="003E797F"/>
    <w:rsid w:val="003F15A7"/>
    <w:rsid w:val="003F16E9"/>
    <w:rsid w:val="003F18B1"/>
    <w:rsid w:val="003F19D1"/>
    <w:rsid w:val="003F29D9"/>
    <w:rsid w:val="003F3401"/>
    <w:rsid w:val="003F50FE"/>
    <w:rsid w:val="003F5FA5"/>
    <w:rsid w:val="003F7868"/>
    <w:rsid w:val="004002A4"/>
    <w:rsid w:val="004009A6"/>
    <w:rsid w:val="00400FD8"/>
    <w:rsid w:val="00402073"/>
    <w:rsid w:val="004024F4"/>
    <w:rsid w:val="00403574"/>
    <w:rsid w:val="0040357C"/>
    <w:rsid w:val="0040397B"/>
    <w:rsid w:val="00406118"/>
    <w:rsid w:val="00406C67"/>
    <w:rsid w:val="00410BAB"/>
    <w:rsid w:val="00410F37"/>
    <w:rsid w:val="0041186B"/>
    <w:rsid w:val="004123EC"/>
    <w:rsid w:val="004125AC"/>
    <w:rsid w:val="0041276E"/>
    <w:rsid w:val="004135A1"/>
    <w:rsid w:val="0041364F"/>
    <w:rsid w:val="00413858"/>
    <w:rsid w:val="00414089"/>
    <w:rsid w:val="00414202"/>
    <w:rsid w:val="00414310"/>
    <w:rsid w:val="004146D1"/>
    <w:rsid w:val="00414C4D"/>
    <w:rsid w:val="00416CA7"/>
    <w:rsid w:val="004204E0"/>
    <w:rsid w:val="00420763"/>
    <w:rsid w:val="00421493"/>
    <w:rsid w:val="00421680"/>
    <w:rsid w:val="0042333D"/>
    <w:rsid w:val="00424D52"/>
    <w:rsid w:val="00424F98"/>
    <w:rsid w:val="004256DF"/>
    <w:rsid w:val="0042590B"/>
    <w:rsid w:val="00430915"/>
    <w:rsid w:val="00433C14"/>
    <w:rsid w:val="00433EE9"/>
    <w:rsid w:val="00433F4F"/>
    <w:rsid w:val="004342B4"/>
    <w:rsid w:val="00435300"/>
    <w:rsid w:val="00435F00"/>
    <w:rsid w:val="00436C5A"/>
    <w:rsid w:val="0043717E"/>
    <w:rsid w:val="004400D7"/>
    <w:rsid w:val="00440F0F"/>
    <w:rsid w:val="00441793"/>
    <w:rsid w:val="00441B71"/>
    <w:rsid w:val="00442052"/>
    <w:rsid w:val="00442765"/>
    <w:rsid w:val="00442BD2"/>
    <w:rsid w:val="00443149"/>
    <w:rsid w:val="004452AF"/>
    <w:rsid w:val="00445F6E"/>
    <w:rsid w:val="00446142"/>
    <w:rsid w:val="00450AC6"/>
    <w:rsid w:val="004522F1"/>
    <w:rsid w:val="00452A3A"/>
    <w:rsid w:val="00452E62"/>
    <w:rsid w:val="0045411B"/>
    <w:rsid w:val="00454A0E"/>
    <w:rsid w:val="00454D4D"/>
    <w:rsid w:val="0045547F"/>
    <w:rsid w:val="0045558A"/>
    <w:rsid w:val="00455CD9"/>
    <w:rsid w:val="00456B77"/>
    <w:rsid w:val="00456FB4"/>
    <w:rsid w:val="00457B87"/>
    <w:rsid w:val="004618BD"/>
    <w:rsid w:val="00461D6D"/>
    <w:rsid w:val="00462281"/>
    <w:rsid w:val="00462296"/>
    <w:rsid w:val="00463FCB"/>
    <w:rsid w:val="00464440"/>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82BA9"/>
    <w:rsid w:val="004913EC"/>
    <w:rsid w:val="004923B7"/>
    <w:rsid w:val="0049496B"/>
    <w:rsid w:val="004962F1"/>
    <w:rsid w:val="004966AB"/>
    <w:rsid w:val="00496901"/>
    <w:rsid w:val="00497DBF"/>
    <w:rsid w:val="004A1DC3"/>
    <w:rsid w:val="004A273C"/>
    <w:rsid w:val="004A42CD"/>
    <w:rsid w:val="004A5A29"/>
    <w:rsid w:val="004B20A4"/>
    <w:rsid w:val="004B40C0"/>
    <w:rsid w:val="004B49A4"/>
    <w:rsid w:val="004B558A"/>
    <w:rsid w:val="004B5D89"/>
    <w:rsid w:val="004B61AC"/>
    <w:rsid w:val="004B7B58"/>
    <w:rsid w:val="004B7DBC"/>
    <w:rsid w:val="004C0DA3"/>
    <w:rsid w:val="004C13B1"/>
    <w:rsid w:val="004C1C3B"/>
    <w:rsid w:val="004C1EB9"/>
    <w:rsid w:val="004C2441"/>
    <w:rsid w:val="004C2CD9"/>
    <w:rsid w:val="004C398D"/>
    <w:rsid w:val="004C5624"/>
    <w:rsid w:val="004C5872"/>
    <w:rsid w:val="004D0DB1"/>
    <w:rsid w:val="004D1968"/>
    <w:rsid w:val="004D1D08"/>
    <w:rsid w:val="004D20D0"/>
    <w:rsid w:val="004D330B"/>
    <w:rsid w:val="004D33B2"/>
    <w:rsid w:val="004D385B"/>
    <w:rsid w:val="004D5AA2"/>
    <w:rsid w:val="004D5AFF"/>
    <w:rsid w:val="004D5CEA"/>
    <w:rsid w:val="004D5E9F"/>
    <w:rsid w:val="004D5FF3"/>
    <w:rsid w:val="004D7CC9"/>
    <w:rsid w:val="004D7D86"/>
    <w:rsid w:val="004E22D9"/>
    <w:rsid w:val="004E2C29"/>
    <w:rsid w:val="004E347F"/>
    <w:rsid w:val="004E42B2"/>
    <w:rsid w:val="004E4E5D"/>
    <w:rsid w:val="004E67C2"/>
    <w:rsid w:val="004E6F66"/>
    <w:rsid w:val="004E75D7"/>
    <w:rsid w:val="004F117D"/>
    <w:rsid w:val="004F2015"/>
    <w:rsid w:val="004F221C"/>
    <w:rsid w:val="004F57C7"/>
    <w:rsid w:val="004F7FF1"/>
    <w:rsid w:val="00500191"/>
    <w:rsid w:val="0050047C"/>
    <w:rsid w:val="0050115C"/>
    <w:rsid w:val="00501993"/>
    <w:rsid w:val="00503EB1"/>
    <w:rsid w:val="005041CC"/>
    <w:rsid w:val="00505B45"/>
    <w:rsid w:val="005079E0"/>
    <w:rsid w:val="00510B1F"/>
    <w:rsid w:val="00510F55"/>
    <w:rsid w:val="00512A76"/>
    <w:rsid w:val="00512ABE"/>
    <w:rsid w:val="005138E8"/>
    <w:rsid w:val="00515D88"/>
    <w:rsid w:val="0051718C"/>
    <w:rsid w:val="005223E7"/>
    <w:rsid w:val="005228F6"/>
    <w:rsid w:val="00522E75"/>
    <w:rsid w:val="005237AC"/>
    <w:rsid w:val="00523E15"/>
    <w:rsid w:val="00524342"/>
    <w:rsid w:val="00526BF6"/>
    <w:rsid w:val="00527303"/>
    <w:rsid w:val="005303ED"/>
    <w:rsid w:val="005306BE"/>
    <w:rsid w:val="0053121C"/>
    <w:rsid w:val="00532BF5"/>
    <w:rsid w:val="00532FB2"/>
    <w:rsid w:val="005333B5"/>
    <w:rsid w:val="00535B11"/>
    <w:rsid w:val="005371D0"/>
    <w:rsid w:val="00541268"/>
    <w:rsid w:val="005415A4"/>
    <w:rsid w:val="00541C3D"/>
    <w:rsid w:val="005420B2"/>
    <w:rsid w:val="00542B8E"/>
    <w:rsid w:val="00543B97"/>
    <w:rsid w:val="0054444E"/>
    <w:rsid w:val="0055109E"/>
    <w:rsid w:val="005525BB"/>
    <w:rsid w:val="00555A70"/>
    <w:rsid w:val="00557FB4"/>
    <w:rsid w:val="00560EF3"/>
    <w:rsid w:val="00561847"/>
    <w:rsid w:val="00562257"/>
    <w:rsid w:val="005623F5"/>
    <w:rsid w:val="005624C6"/>
    <w:rsid w:val="00562540"/>
    <w:rsid w:val="00563C7D"/>
    <w:rsid w:val="005642C4"/>
    <w:rsid w:val="005645B5"/>
    <w:rsid w:val="00565A77"/>
    <w:rsid w:val="00565C4E"/>
    <w:rsid w:val="00565E7C"/>
    <w:rsid w:val="00567E42"/>
    <w:rsid w:val="00570100"/>
    <w:rsid w:val="00570EE8"/>
    <w:rsid w:val="005716E4"/>
    <w:rsid w:val="0057191A"/>
    <w:rsid w:val="00571E15"/>
    <w:rsid w:val="0057236C"/>
    <w:rsid w:val="00572B81"/>
    <w:rsid w:val="00574940"/>
    <w:rsid w:val="00574FC9"/>
    <w:rsid w:val="0057512A"/>
    <w:rsid w:val="00575567"/>
    <w:rsid w:val="00577677"/>
    <w:rsid w:val="0057779B"/>
    <w:rsid w:val="00577907"/>
    <w:rsid w:val="0058031A"/>
    <w:rsid w:val="00580653"/>
    <w:rsid w:val="0058213D"/>
    <w:rsid w:val="00582FA7"/>
    <w:rsid w:val="0058314F"/>
    <w:rsid w:val="0058416C"/>
    <w:rsid w:val="0058488F"/>
    <w:rsid w:val="00584C66"/>
    <w:rsid w:val="00584C87"/>
    <w:rsid w:val="00584E57"/>
    <w:rsid w:val="0058529A"/>
    <w:rsid w:val="00585645"/>
    <w:rsid w:val="005856BD"/>
    <w:rsid w:val="00585C14"/>
    <w:rsid w:val="0058601C"/>
    <w:rsid w:val="0058617D"/>
    <w:rsid w:val="0058703F"/>
    <w:rsid w:val="0058712F"/>
    <w:rsid w:val="00587356"/>
    <w:rsid w:val="00592375"/>
    <w:rsid w:val="00592F8A"/>
    <w:rsid w:val="005940D3"/>
    <w:rsid w:val="00595DDB"/>
    <w:rsid w:val="0059706E"/>
    <w:rsid w:val="005975F2"/>
    <w:rsid w:val="005A03C0"/>
    <w:rsid w:val="005A0C00"/>
    <w:rsid w:val="005A1B4F"/>
    <w:rsid w:val="005A1C6A"/>
    <w:rsid w:val="005A3E1C"/>
    <w:rsid w:val="005A6D76"/>
    <w:rsid w:val="005A7341"/>
    <w:rsid w:val="005A7405"/>
    <w:rsid w:val="005A7DC7"/>
    <w:rsid w:val="005B35F6"/>
    <w:rsid w:val="005B382E"/>
    <w:rsid w:val="005B4E1C"/>
    <w:rsid w:val="005B5065"/>
    <w:rsid w:val="005B553F"/>
    <w:rsid w:val="005B5BAB"/>
    <w:rsid w:val="005B6D40"/>
    <w:rsid w:val="005B6F23"/>
    <w:rsid w:val="005C0274"/>
    <w:rsid w:val="005C350F"/>
    <w:rsid w:val="005C3B60"/>
    <w:rsid w:val="005C44B7"/>
    <w:rsid w:val="005C44DC"/>
    <w:rsid w:val="005C4AE1"/>
    <w:rsid w:val="005C4B2F"/>
    <w:rsid w:val="005C5465"/>
    <w:rsid w:val="005C57C4"/>
    <w:rsid w:val="005C5B11"/>
    <w:rsid w:val="005C5BDC"/>
    <w:rsid w:val="005C6533"/>
    <w:rsid w:val="005C6E37"/>
    <w:rsid w:val="005D0412"/>
    <w:rsid w:val="005D116B"/>
    <w:rsid w:val="005D19BD"/>
    <w:rsid w:val="005D3464"/>
    <w:rsid w:val="005D4F62"/>
    <w:rsid w:val="005D6E7F"/>
    <w:rsid w:val="005D7632"/>
    <w:rsid w:val="005D7F7B"/>
    <w:rsid w:val="005D7F96"/>
    <w:rsid w:val="005E01BC"/>
    <w:rsid w:val="005E0AD3"/>
    <w:rsid w:val="005E1665"/>
    <w:rsid w:val="005E1A4E"/>
    <w:rsid w:val="005E436E"/>
    <w:rsid w:val="005E445C"/>
    <w:rsid w:val="005E4F8E"/>
    <w:rsid w:val="005E55C5"/>
    <w:rsid w:val="005E58BB"/>
    <w:rsid w:val="005E7D03"/>
    <w:rsid w:val="005E7E24"/>
    <w:rsid w:val="005F01A2"/>
    <w:rsid w:val="005F09A8"/>
    <w:rsid w:val="005F117C"/>
    <w:rsid w:val="005F1271"/>
    <w:rsid w:val="005F1272"/>
    <w:rsid w:val="005F1A7D"/>
    <w:rsid w:val="005F2206"/>
    <w:rsid w:val="005F3D88"/>
    <w:rsid w:val="005F4169"/>
    <w:rsid w:val="005F4764"/>
    <w:rsid w:val="005F6965"/>
    <w:rsid w:val="005F7A40"/>
    <w:rsid w:val="006004F6"/>
    <w:rsid w:val="00602383"/>
    <w:rsid w:val="0060454E"/>
    <w:rsid w:val="00607E51"/>
    <w:rsid w:val="0061063F"/>
    <w:rsid w:val="00610AC3"/>
    <w:rsid w:val="00611680"/>
    <w:rsid w:val="00614F8B"/>
    <w:rsid w:val="006156DF"/>
    <w:rsid w:val="00615B1A"/>
    <w:rsid w:val="00615F21"/>
    <w:rsid w:val="006173FA"/>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09D"/>
    <w:rsid w:val="0063620B"/>
    <w:rsid w:val="0064263A"/>
    <w:rsid w:val="0064272F"/>
    <w:rsid w:val="00642B18"/>
    <w:rsid w:val="006431CF"/>
    <w:rsid w:val="00643D4D"/>
    <w:rsid w:val="006449DF"/>
    <w:rsid w:val="0064504A"/>
    <w:rsid w:val="00645242"/>
    <w:rsid w:val="00645373"/>
    <w:rsid w:val="0064554D"/>
    <w:rsid w:val="0064588B"/>
    <w:rsid w:val="0064631E"/>
    <w:rsid w:val="0065460B"/>
    <w:rsid w:val="00655062"/>
    <w:rsid w:val="00655772"/>
    <w:rsid w:val="00657419"/>
    <w:rsid w:val="00660652"/>
    <w:rsid w:val="006610CB"/>
    <w:rsid w:val="00661521"/>
    <w:rsid w:val="006619AE"/>
    <w:rsid w:val="00662392"/>
    <w:rsid w:val="0066314D"/>
    <w:rsid w:val="0066340C"/>
    <w:rsid w:val="00663CE2"/>
    <w:rsid w:val="006677FA"/>
    <w:rsid w:val="00667D5C"/>
    <w:rsid w:val="00667F10"/>
    <w:rsid w:val="00670567"/>
    <w:rsid w:val="0067110D"/>
    <w:rsid w:val="00671189"/>
    <w:rsid w:val="006711D6"/>
    <w:rsid w:val="00672509"/>
    <w:rsid w:val="00672DDA"/>
    <w:rsid w:val="00673453"/>
    <w:rsid w:val="0067567C"/>
    <w:rsid w:val="00675C1D"/>
    <w:rsid w:val="00676721"/>
    <w:rsid w:val="00676E04"/>
    <w:rsid w:val="006773AA"/>
    <w:rsid w:val="00677C1F"/>
    <w:rsid w:val="006801D6"/>
    <w:rsid w:val="00680B04"/>
    <w:rsid w:val="006832AB"/>
    <w:rsid w:val="00683363"/>
    <w:rsid w:val="006856B5"/>
    <w:rsid w:val="00685856"/>
    <w:rsid w:val="00685DA1"/>
    <w:rsid w:val="006862E3"/>
    <w:rsid w:val="00686730"/>
    <w:rsid w:val="00687B3D"/>
    <w:rsid w:val="00690286"/>
    <w:rsid w:val="006903CB"/>
    <w:rsid w:val="006911F5"/>
    <w:rsid w:val="00693B2C"/>
    <w:rsid w:val="00693FF1"/>
    <w:rsid w:val="0069674F"/>
    <w:rsid w:val="00697145"/>
    <w:rsid w:val="00697ED1"/>
    <w:rsid w:val="006A123D"/>
    <w:rsid w:val="006A1B5D"/>
    <w:rsid w:val="006A2475"/>
    <w:rsid w:val="006A49CA"/>
    <w:rsid w:val="006A4D5B"/>
    <w:rsid w:val="006A5C42"/>
    <w:rsid w:val="006A72F5"/>
    <w:rsid w:val="006A7426"/>
    <w:rsid w:val="006A7DEE"/>
    <w:rsid w:val="006A7FBA"/>
    <w:rsid w:val="006B10C8"/>
    <w:rsid w:val="006B28D6"/>
    <w:rsid w:val="006B36F7"/>
    <w:rsid w:val="006B3B7D"/>
    <w:rsid w:val="006B43B2"/>
    <w:rsid w:val="006B45EF"/>
    <w:rsid w:val="006B7503"/>
    <w:rsid w:val="006C0141"/>
    <w:rsid w:val="006C0689"/>
    <w:rsid w:val="006C0E11"/>
    <w:rsid w:val="006C11E2"/>
    <w:rsid w:val="006C1254"/>
    <w:rsid w:val="006C17B2"/>
    <w:rsid w:val="006C1E0A"/>
    <w:rsid w:val="006C4111"/>
    <w:rsid w:val="006C47A5"/>
    <w:rsid w:val="006C4CFD"/>
    <w:rsid w:val="006C510B"/>
    <w:rsid w:val="006C61A6"/>
    <w:rsid w:val="006C6D75"/>
    <w:rsid w:val="006C7501"/>
    <w:rsid w:val="006D0854"/>
    <w:rsid w:val="006D230D"/>
    <w:rsid w:val="006D2508"/>
    <w:rsid w:val="006D2643"/>
    <w:rsid w:val="006D27EF"/>
    <w:rsid w:val="006D3366"/>
    <w:rsid w:val="006D3B49"/>
    <w:rsid w:val="006D3C94"/>
    <w:rsid w:val="006D40BB"/>
    <w:rsid w:val="006D470D"/>
    <w:rsid w:val="006D64A6"/>
    <w:rsid w:val="006D6650"/>
    <w:rsid w:val="006D6D6F"/>
    <w:rsid w:val="006D7AC3"/>
    <w:rsid w:val="006E0B6A"/>
    <w:rsid w:val="006E0D59"/>
    <w:rsid w:val="006E1111"/>
    <w:rsid w:val="006E1B19"/>
    <w:rsid w:val="006E1E0E"/>
    <w:rsid w:val="006E28DA"/>
    <w:rsid w:val="006E2E76"/>
    <w:rsid w:val="006E30F4"/>
    <w:rsid w:val="006E4C58"/>
    <w:rsid w:val="006E5770"/>
    <w:rsid w:val="006E6C25"/>
    <w:rsid w:val="006F03C5"/>
    <w:rsid w:val="006F0664"/>
    <w:rsid w:val="006F1135"/>
    <w:rsid w:val="006F13EF"/>
    <w:rsid w:val="006F1F72"/>
    <w:rsid w:val="006F2AF9"/>
    <w:rsid w:val="006F3786"/>
    <w:rsid w:val="006F4751"/>
    <w:rsid w:val="006F4BD4"/>
    <w:rsid w:val="006F551E"/>
    <w:rsid w:val="006F556C"/>
    <w:rsid w:val="00700AD5"/>
    <w:rsid w:val="00700F5E"/>
    <w:rsid w:val="00702566"/>
    <w:rsid w:val="00702E0C"/>
    <w:rsid w:val="0070370A"/>
    <w:rsid w:val="00705348"/>
    <w:rsid w:val="00705677"/>
    <w:rsid w:val="00705FD3"/>
    <w:rsid w:val="00706447"/>
    <w:rsid w:val="00707101"/>
    <w:rsid w:val="007103EE"/>
    <w:rsid w:val="00711414"/>
    <w:rsid w:val="00712367"/>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60B0"/>
    <w:rsid w:val="0072747B"/>
    <w:rsid w:val="00727F92"/>
    <w:rsid w:val="007313C1"/>
    <w:rsid w:val="00731BDB"/>
    <w:rsid w:val="00731CDA"/>
    <w:rsid w:val="007320C1"/>
    <w:rsid w:val="007326EC"/>
    <w:rsid w:val="00732AC7"/>
    <w:rsid w:val="00732C60"/>
    <w:rsid w:val="00733815"/>
    <w:rsid w:val="007344B5"/>
    <w:rsid w:val="00734B4C"/>
    <w:rsid w:val="007352BC"/>
    <w:rsid w:val="007355E1"/>
    <w:rsid w:val="00736912"/>
    <w:rsid w:val="007375CF"/>
    <w:rsid w:val="007377C5"/>
    <w:rsid w:val="007412EC"/>
    <w:rsid w:val="00741541"/>
    <w:rsid w:val="00742137"/>
    <w:rsid w:val="0074379B"/>
    <w:rsid w:val="007443A0"/>
    <w:rsid w:val="00744770"/>
    <w:rsid w:val="007447B2"/>
    <w:rsid w:val="00744F69"/>
    <w:rsid w:val="0074585F"/>
    <w:rsid w:val="007463B6"/>
    <w:rsid w:val="007476EB"/>
    <w:rsid w:val="00747F0D"/>
    <w:rsid w:val="00750620"/>
    <w:rsid w:val="0075123F"/>
    <w:rsid w:val="00751DCE"/>
    <w:rsid w:val="00754137"/>
    <w:rsid w:val="00754707"/>
    <w:rsid w:val="00754B75"/>
    <w:rsid w:val="00754D4C"/>
    <w:rsid w:val="00755AAA"/>
    <w:rsid w:val="00755D42"/>
    <w:rsid w:val="00756C21"/>
    <w:rsid w:val="00756FD5"/>
    <w:rsid w:val="00757750"/>
    <w:rsid w:val="00757C90"/>
    <w:rsid w:val="007612E2"/>
    <w:rsid w:val="00761CF9"/>
    <w:rsid w:val="00762B14"/>
    <w:rsid w:val="007637E7"/>
    <w:rsid w:val="007646F6"/>
    <w:rsid w:val="00765CE9"/>
    <w:rsid w:val="00767569"/>
    <w:rsid w:val="00767749"/>
    <w:rsid w:val="007710D0"/>
    <w:rsid w:val="00773025"/>
    <w:rsid w:val="007730A7"/>
    <w:rsid w:val="00773148"/>
    <w:rsid w:val="007741E0"/>
    <w:rsid w:val="00775740"/>
    <w:rsid w:val="00776855"/>
    <w:rsid w:val="00777087"/>
    <w:rsid w:val="0077742F"/>
    <w:rsid w:val="007802F3"/>
    <w:rsid w:val="00782E89"/>
    <w:rsid w:val="00783664"/>
    <w:rsid w:val="0078392D"/>
    <w:rsid w:val="007852E5"/>
    <w:rsid w:val="00785A3B"/>
    <w:rsid w:val="0078629E"/>
    <w:rsid w:val="00786631"/>
    <w:rsid w:val="00786A47"/>
    <w:rsid w:val="007906DB"/>
    <w:rsid w:val="007925C8"/>
    <w:rsid w:val="00793FE5"/>
    <w:rsid w:val="00794D06"/>
    <w:rsid w:val="00795604"/>
    <w:rsid w:val="00796204"/>
    <w:rsid w:val="007962B7"/>
    <w:rsid w:val="00796B5A"/>
    <w:rsid w:val="00797A23"/>
    <w:rsid w:val="007A0061"/>
    <w:rsid w:val="007A108D"/>
    <w:rsid w:val="007A20D5"/>
    <w:rsid w:val="007A29BA"/>
    <w:rsid w:val="007A4A0E"/>
    <w:rsid w:val="007A5391"/>
    <w:rsid w:val="007A589E"/>
    <w:rsid w:val="007A6A66"/>
    <w:rsid w:val="007A6C3E"/>
    <w:rsid w:val="007A6CC0"/>
    <w:rsid w:val="007B095F"/>
    <w:rsid w:val="007B0C55"/>
    <w:rsid w:val="007B172E"/>
    <w:rsid w:val="007B1843"/>
    <w:rsid w:val="007B2295"/>
    <w:rsid w:val="007B333F"/>
    <w:rsid w:val="007B35D0"/>
    <w:rsid w:val="007B6124"/>
    <w:rsid w:val="007B6C95"/>
    <w:rsid w:val="007B78C2"/>
    <w:rsid w:val="007B7934"/>
    <w:rsid w:val="007C041B"/>
    <w:rsid w:val="007C1A46"/>
    <w:rsid w:val="007C24A5"/>
    <w:rsid w:val="007C30B5"/>
    <w:rsid w:val="007C53DE"/>
    <w:rsid w:val="007C6519"/>
    <w:rsid w:val="007C692F"/>
    <w:rsid w:val="007D30CE"/>
    <w:rsid w:val="007D3E2D"/>
    <w:rsid w:val="007D43E7"/>
    <w:rsid w:val="007D5041"/>
    <w:rsid w:val="007D687A"/>
    <w:rsid w:val="007D742C"/>
    <w:rsid w:val="007D79C7"/>
    <w:rsid w:val="007E0515"/>
    <w:rsid w:val="007E122F"/>
    <w:rsid w:val="007E1F20"/>
    <w:rsid w:val="007E26DC"/>
    <w:rsid w:val="007E3BA2"/>
    <w:rsid w:val="007E4791"/>
    <w:rsid w:val="007E4E58"/>
    <w:rsid w:val="007E507C"/>
    <w:rsid w:val="007E51AF"/>
    <w:rsid w:val="007E5A78"/>
    <w:rsid w:val="007E6124"/>
    <w:rsid w:val="007E67AF"/>
    <w:rsid w:val="007F018C"/>
    <w:rsid w:val="007F5457"/>
    <w:rsid w:val="007F5733"/>
    <w:rsid w:val="007F5AB1"/>
    <w:rsid w:val="007F5FF7"/>
    <w:rsid w:val="00800047"/>
    <w:rsid w:val="00800514"/>
    <w:rsid w:val="00800B14"/>
    <w:rsid w:val="00800D86"/>
    <w:rsid w:val="008030BC"/>
    <w:rsid w:val="00806049"/>
    <w:rsid w:val="008065B7"/>
    <w:rsid w:val="00806770"/>
    <w:rsid w:val="008068E2"/>
    <w:rsid w:val="00807087"/>
    <w:rsid w:val="0080767B"/>
    <w:rsid w:val="008078EB"/>
    <w:rsid w:val="00810811"/>
    <w:rsid w:val="00810A11"/>
    <w:rsid w:val="00810CE4"/>
    <w:rsid w:val="00811F38"/>
    <w:rsid w:val="0081326C"/>
    <w:rsid w:val="00813310"/>
    <w:rsid w:val="008147D7"/>
    <w:rsid w:val="00817DA9"/>
    <w:rsid w:val="00820D48"/>
    <w:rsid w:val="00820DDF"/>
    <w:rsid w:val="008216C0"/>
    <w:rsid w:val="00821D94"/>
    <w:rsid w:val="00822BF0"/>
    <w:rsid w:val="0082551A"/>
    <w:rsid w:val="00825A0F"/>
    <w:rsid w:val="00826EE2"/>
    <w:rsid w:val="00827B47"/>
    <w:rsid w:val="008317D1"/>
    <w:rsid w:val="008323C6"/>
    <w:rsid w:val="008326A2"/>
    <w:rsid w:val="0083310F"/>
    <w:rsid w:val="00833F1E"/>
    <w:rsid w:val="008342D9"/>
    <w:rsid w:val="008343A8"/>
    <w:rsid w:val="00834E03"/>
    <w:rsid w:val="00834F92"/>
    <w:rsid w:val="00836EF9"/>
    <w:rsid w:val="00836FDE"/>
    <w:rsid w:val="00842131"/>
    <w:rsid w:val="00843E0F"/>
    <w:rsid w:val="008444AE"/>
    <w:rsid w:val="00844B04"/>
    <w:rsid w:val="00845026"/>
    <w:rsid w:val="00851DBA"/>
    <w:rsid w:val="00852B37"/>
    <w:rsid w:val="00852E04"/>
    <w:rsid w:val="0085314F"/>
    <w:rsid w:val="00854B92"/>
    <w:rsid w:val="00855923"/>
    <w:rsid w:val="0086013D"/>
    <w:rsid w:val="00860E19"/>
    <w:rsid w:val="00861428"/>
    <w:rsid w:val="00861D4B"/>
    <w:rsid w:val="008624D2"/>
    <w:rsid w:val="008625D2"/>
    <w:rsid w:val="0086320C"/>
    <w:rsid w:val="00864276"/>
    <w:rsid w:val="0086764C"/>
    <w:rsid w:val="00871C56"/>
    <w:rsid w:val="00871D66"/>
    <w:rsid w:val="00872100"/>
    <w:rsid w:val="008722DF"/>
    <w:rsid w:val="00872356"/>
    <w:rsid w:val="00872880"/>
    <w:rsid w:val="00874A9E"/>
    <w:rsid w:val="008767D7"/>
    <w:rsid w:val="008773BC"/>
    <w:rsid w:val="00877593"/>
    <w:rsid w:val="00877BAE"/>
    <w:rsid w:val="00882DD3"/>
    <w:rsid w:val="00883315"/>
    <w:rsid w:val="00883813"/>
    <w:rsid w:val="0088463C"/>
    <w:rsid w:val="00884E88"/>
    <w:rsid w:val="00885065"/>
    <w:rsid w:val="0088781C"/>
    <w:rsid w:val="00887D73"/>
    <w:rsid w:val="00890850"/>
    <w:rsid w:val="008908B7"/>
    <w:rsid w:val="00891532"/>
    <w:rsid w:val="00891F94"/>
    <w:rsid w:val="0089287B"/>
    <w:rsid w:val="0089333D"/>
    <w:rsid w:val="008935D6"/>
    <w:rsid w:val="00893E4E"/>
    <w:rsid w:val="008947FF"/>
    <w:rsid w:val="0089623F"/>
    <w:rsid w:val="00897B64"/>
    <w:rsid w:val="00897F60"/>
    <w:rsid w:val="008A089F"/>
    <w:rsid w:val="008A3385"/>
    <w:rsid w:val="008A3D49"/>
    <w:rsid w:val="008A3E4B"/>
    <w:rsid w:val="008A4FBF"/>
    <w:rsid w:val="008A6F2A"/>
    <w:rsid w:val="008A71BE"/>
    <w:rsid w:val="008A75F0"/>
    <w:rsid w:val="008B140F"/>
    <w:rsid w:val="008B164A"/>
    <w:rsid w:val="008B1D8C"/>
    <w:rsid w:val="008B297E"/>
    <w:rsid w:val="008B40CE"/>
    <w:rsid w:val="008B4D9C"/>
    <w:rsid w:val="008B59C8"/>
    <w:rsid w:val="008B5F8E"/>
    <w:rsid w:val="008B6447"/>
    <w:rsid w:val="008B6DE3"/>
    <w:rsid w:val="008B787B"/>
    <w:rsid w:val="008C00F3"/>
    <w:rsid w:val="008C0449"/>
    <w:rsid w:val="008C0FFF"/>
    <w:rsid w:val="008C1D42"/>
    <w:rsid w:val="008C1E9E"/>
    <w:rsid w:val="008C381F"/>
    <w:rsid w:val="008C3E3E"/>
    <w:rsid w:val="008C3F4A"/>
    <w:rsid w:val="008C5899"/>
    <w:rsid w:val="008C69EE"/>
    <w:rsid w:val="008C7AF9"/>
    <w:rsid w:val="008D324E"/>
    <w:rsid w:val="008D5121"/>
    <w:rsid w:val="008D599C"/>
    <w:rsid w:val="008D709F"/>
    <w:rsid w:val="008D7B7C"/>
    <w:rsid w:val="008E0832"/>
    <w:rsid w:val="008E0F2F"/>
    <w:rsid w:val="008E1F17"/>
    <w:rsid w:val="008E43C2"/>
    <w:rsid w:val="008E45E7"/>
    <w:rsid w:val="008E4B06"/>
    <w:rsid w:val="008E4EB8"/>
    <w:rsid w:val="008E5AE2"/>
    <w:rsid w:val="008F0B8B"/>
    <w:rsid w:val="008F1E6B"/>
    <w:rsid w:val="008F309C"/>
    <w:rsid w:val="008F3A9B"/>
    <w:rsid w:val="008F49CA"/>
    <w:rsid w:val="008F4EE1"/>
    <w:rsid w:val="008F5854"/>
    <w:rsid w:val="008F598A"/>
    <w:rsid w:val="008F61A8"/>
    <w:rsid w:val="008F6C1E"/>
    <w:rsid w:val="008F7033"/>
    <w:rsid w:val="008F7A5A"/>
    <w:rsid w:val="008F7E90"/>
    <w:rsid w:val="00900276"/>
    <w:rsid w:val="00900B1C"/>
    <w:rsid w:val="00901EC5"/>
    <w:rsid w:val="009023E6"/>
    <w:rsid w:val="00902553"/>
    <w:rsid w:val="00902B33"/>
    <w:rsid w:val="00903B26"/>
    <w:rsid w:val="009042F6"/>
    <w:rsid w:val="00905399"/>
    <w:rsid w:val="00907203"/>
    <w:rsid w:val="009072E7"/>
    <w:rsid w:val="00910146"/>
    <w:rsid w:val="00910499"/>
    <w:rsid w:val="00911721"/>
    <w:rsid w:val="00911D9C"/>
    <w:rsid w:val="00913353"/>
    <w:rsid w:val="009133EE"/>
    <w:rsid w:val="00913C15"/>
    <w:rsid w:val="00913F03"/>
    <w:rsid w:val="00914AA1"/>
    <w:rsid w:val="009161BE"/>
    <w:rsid w:val="00916F8A"/>
    <w:rsid w:val="009175D9"/>
    <w:rsid w:val="0092193B"/>
    <w:rsid w:val="0092403F"/>
    <w:rsid w:val="00925838"/>
    <w:rsid w:val="00926165"/>
    <w:rsid w:val="0092782F"/>
    <w:rsid w:val="00931D07"/>
    <w:rsid w:val="00932545"/>
    <w:rsid w:val="00932845"/>
    <w:rsid w:val="009335CE"/>
    <w:rsid w:val="0093399E"/>
    <w:rsid w:val="00933EEE"/>
    <w:rsid w:val="009341BF"/>
    <w:rsid w:val="009342B5"/>
    <w:rsid w:val="009344E1"/>
    <w:rsid w:val="00934550"/>
    <w:rsid w:val="00935699"/>
    <w:rsid w:val="00936B62"/>
    <w:rsid w:val="009403B5"/>
    <w:rsid w:val="00940A89"/>
    <w:rsid w:val="00940B11"/>
    <w:rsid w:val="00942334"/>
    <w:rsid w:val="009426B8"/>
    <w:rsid w:val="009428EA"/>
    <w:rsid w:val="00942E72"/>
    <w:rsid w:val="00943EED"/>
    <w:rsid w:val="00944567"/>
    <w:rsid w:val="009452E3"/>
    <w:rsid w:val="00945C13"/>
    <w:rsid w:val="00945F79"/>
    <w:rsid w:val="009460D0"/>
    <w:rsid w:val="00950782"/>
    <w:rsid w:val="00951D1D"/>
    <w:rsid w:val="00951EB0"/>
    <w:rsid w:val="00951EE4"/>
    <w:rsid w:val="00952B76"/>
    <w:rsid w:val="00953DEA"/>
    <w:rsid w:val="00954C6E"/>
    <w:rsid w:val="009557C7"/>
    <w:rsid w:val="009572F2"/>
    <w:rsid w:val="009578DC"/>
    <w:rsid w:val="00957C22"/>
    <w:rsid w:val="009608C0"/>
    <w:rsid w:val="00960EF7"/>
    <w:rsid w:val="00960F9C"/>
    <w:rsid w:val="0096108C"/>
    <w:rsid w:val="00962584"/>
    <w:rsid w:val="00962EF2"/>
    <w:rsid w:val="00963850"/>
    <w:rsid w:val="00963EBF"/>
    <w:rsid w:val="00966493"/>
    <w:rsid w:val="00971F5C"/>
    <w:rsid w:val="0097329C"/>
    <w:rsid w:val="00973EA7"/>
    <w:rsid w:val="00974373"/>
    <w:rsid w:val="00974C35"/>
    <w:rsid w:val="00974E97"/>
    <w:rsid w:val="00975399"/>
    <w:rsid w:val="0097683D"/>
    <w:rsid w:val="009777CD"/>
    <w:rsid w:val="00980591"/>
    <w:rsid w:val="00981948"/>
    <w:rsid w:val="00981EEF"/>
    <w:rsid w:val="00981F19"/>
    <w:rsid w:val="0098297F"/>
    <w:rsid w:val="00982C6A"/>
    <w:rsid w:val="00982E1F"/>
    <w:rsid w:val="0098478E"/>
    <w:rsid w:val="009848E7"/>
    <w:rsid w:val="009862DA"/>
    <w:rsid w:val="00986771"/>
    <w:rsid w:val="009878A5"/>
    <w:rsid w:val="009904C4"/>
    <w:rsid w:val="00991F8E"/>
    <w:rsid w:val="009921AD"/>
    <w:rsid w:val="00992DA6"/>
    <w:rsid w:val="009939E8"/>
    <w:rsid w:val="00993A3F"/>
    <w:rsid w:val="009950D9"/>
    <w:rsid w:val="009964C7"/>
    <w:rsid w:val="009966D6"/>
    <w:rsid w:val="009A002F"/>
    <w:rsid w:val="009A082B"/>
    <w:rsid w:val="009A10F0"/>
    <w:rsid w:val="009A2EE1"/>
    <w:rsid w:val="009A478E"/>
    <w:rsid w:val="009A5043"/>
    <w:rsid w:val="009A5515"/>
    <w:rsid w:val="009A6578"/>
    <w:rsid w:val="009A6E9D"/>
    <w:rsid w:val="009A7530"/>
    <w:rsid w:val="009B01D5"/>
    <w:rsid w:val="009B0C02"/>
    <w:rsid w:val="009B29B4"/>
    <w:rsid w:val="009B310C"/>
    <w:rsid w:val="009B58DF"/>
    <w:rsid w:val="009B5D70"/>
    <w:rsid w:val="009B7097"/>
    <w:rsid w:val="009B7B1A"/>
    <w:rsid w:val="009C1628"/>
    <w:rsid w:val="009C1AF7"/>
    <w:rsid w:val="009C25B6"/>
    <w:rsid w:val="009C3785"/>
    <w:rsid w:val="009C3821"/>
    <w:rsid w:val="009C424A"/>
    <w:rsid w:val="009C463F"/>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5F63"/>
    <w:rsid w:val="009D7A85"/>
    <w:rsid w:val="009E15B4"/>
    <w:rsid w:val="009E18A4"/>
    <w:rsid w:val="009E19C0"/>
    <w:rsid w:val="009E235F"/>
    <w:rsid w:val="009E2E39"/>
    <w:rsid w:val="009E3971"/>
    <w:rsid w:val="009E3AFA"/>
    <w:rsid w:val="009E5E3F"/>
    <w:rsid w:val="009E777A"/>
    <w:rsid w:val="009E7F86"/>
    <w:rsid w:val="009F02BF"/>
    <w:rsid w:val="009F058D"/>
    <w:rsid w:val="009F0E6C"/>
    <w:rsid w:val="009F139D"/>
    <w:rsid w:val="009F163A"/>
    <w:rsid w:val="009F1D59"/>
    <w:rsid w:val="009F1DCB"/>
    <w:rsid w:val="009F30E6"/>
    <w:rsid w:val="009F37D8"/>
    <w:rsid w:val="009F43B8"/>
    <w:rsid w:val="009F59A3"/>
    <w:rsid w:val="009F5B98"/>
    <w:rsid w:val="00A00277"/>
    <w:rsid w:val="00A00309"/>
    <w:rsid w:val="00A02021"/>
    <w:rsid w:val="00A034FF"/>
    <w:rsid w:val="00A03D31"/>
    <w:rsid w:val="00A0598B"/>
    <w:rsid w:val="00A06A53"/>
    <w:rsid w:val="00A10A65"/>
    <w:rsid w:val="00A1114F"/>
    <w:rsid w:val="00A11295"/>
    <w:rsid w:val="00A1191C"/>
    <w:rsid w:val="00A11978"/>
    <w:rsid w:val="00A11DD2"/>
    <w:rsid w:val="00A125C6"/>
    <w:rsid w:val="00A12828"/>
    <w:rsid w:val="00A13F90"/>
    <w:rsid w:val="00A15E34"/>
    <w:rsid w:val="00A16144"/>
    <w:rsid w:val="00A171C6"/>
    <w:rsid w:val="00A17A6A"/>
    <w:rsid w:val="00A17C39"/>
    <w:rsid w:val="00A17E8F"/>
    <w:rsid w:val="00A230ED"/>
    <w:rsid w:val="00A23F6E"/>
    <w:rsid w:val="00A24526"/>
    <w:rsid w:val="00A25822"/>
    <w:rsid w:val="00A2590C"/>
    <w:rsid w:val="00A26427"/>
    <w:rsid w:val="00A264A8"/>
    <w:rsid w:val="00A27334"/>
    <w:rsid w:val="00A31001"/>
    <w:rsid w:val="00A31B34"/>
    <w:rsid w:val="00A321A4"/>
    <w:rsid w:val="00A33070"/>
    <w:rsid w:val="00A33208"/>
    <w:rsid w:val="00A33788"/>
    <w:rsid w:val="00A341B6"/>
    <w:rsid w:val="00A363CB"/>
    <w:rsid w:val="00A36AD9"/>
    <w:rsid w:val="00A37534"/>
    <w:rsid w:val="00A403C7"/>
    <w:rsid w:val="00A40D04"/>
    <w:rsid w:val="00A41603"/>
    <w:rsid w:val="00A42150"/>
    <w:rsid w:val="00A433EB"/>
    <w:rsid w:val="00A44082"/>
    <w:rsid w:val="00A44AF2"/>
    <w:rsid w:val="00A44C24"/>
    <w:rsid w:val="00A45D35"/>
    <w:rsid w:val="00A46649"/>
    <w:rsid w:val="00A4706C"/>
    <w:rsid w:val="00A470C7"/>
    <w:rsid w:val="00A501FD"/>
    <w:rsid w:val="00A5122A"/>
    <w:rsid w:val="00A5134C"/>
    <w:rsid w:val="00A51605"/>
    <w:rsid w:val="00A51B50"/>
    <w:rsid w:val="00A544A4"/>
    <w:rsid w:val="00A54768"/>
    <w:rsid w:val="00A55009"/>
    <w:rsid w:val="00A56915"/>
    <w:rsid w:val="00A57913"/>
    <w:rsid w:val="00A60330"/>
    <w:rsid w:val="00A614A2"/>
    <w:rsid w:val="00A61798"/>
    <w:rsid w:val="00A61E7A"/>
    <w:rsid w:val="00A6253C"/>
    <w:rsid w:val="00A6429F"/>
    <w:rsid w:val="00A64657"/>
    <w:rsid w:val="00A66160"/>
    <w:rsid w:val="00A669DE"/>
    <w:rsid w:val="00A71039"/>
    <w:rsid w:val="00A710D5"/>
    <w:rsid w:val="00A72820"/>
    <w:rsid w:val="00A72AE8"/>
    <w:rsid w:val="00A72D3F"/>
    <w:rsid w:val="00A738EE"/>
    <w:rsid w:val="00A7390C"/>
    <w:rsid w:val="00A73D93"/>
    <w:rsid w:val="00A74C9B"/>
    <w:rsid w:val="00A766A7"/>
    <w:rsid w:val="00A775AD"/>
    <w:rsid w:val="00A777BD"/>
    <w:rsid w:val="00A80044"/>
    <w:rsid w:val="00A80055"/>
    <w:rsid w:val="00A804CA"/>
    <w:rsid w:val="00A8111D"/>
    <w:rsid w:val="00A821A1"/>
    <w:rsid w:val="00A824E1"/>
    <w:rsid w:val="00A82D1A"/>
    <w:rsid w:val="00A862E2"/>
    <w:rsid w:val="00A86887"/>
    <w:rsid w:val="00A878AD"/>
    <w:rsid w:val="00A87C9C"/>
    <w:rsid w:val="00A92EEF"/>
    <w:rsid w:val="00A92FB8"/>
    <w:rsid w:val="00A9371B"/>
    <w:rsid w:val="00A955E4"/>
    <w:rsid w:val="00A9758B"/>
    <w:rsid w:val="00AA0304"/>
    <w:rsid w:val="00AA046E"/>
    <w:rsid w:val="00AA15FA"/>
    <w:rsid w:val="00AA1D70"/>
    <w:rsid w:val="00AA1FE3"/>
    <w:rsid w:val="00AA23CF"/>
    <w:rsid w:val="00AA3624"/>
    <w:rsid w:val="00AA3FDE"/>
    <w:rsid w:val="00AA444B"/>
    <w:rsid w:val="00AA5465"/>
    <w:rsid w:val="00AA54E0"/>
    <w:rsid w:val="00AA57F8"/>
    <w:rsid w:val="00AA59F9"/>
    <w:rsid w:val="00AA741B"/>
    <w:rsid w:val="00AB39DE"/>
    <w:rsid w:val="00AB52B8"/>
    <w:rsid w:val="00AB60EE"/>
    <w:rsid w:val="00AB77BA"/>
    <w:rsid w:val="00AC0060"/>
    <w:rsid w:val="00AC00BD"/>
    <w:rsid w:val="00AC08CF"/>
    <w:rsid w:val="00AC0BA2"/>
    <w:rsid w:val="00AC34AE"/>
    <w:rsid w:val="00AC45FD"/>
    <w:rsid w:val="00AC5B52"/>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4013"/>
    <w:rsid w:val="00AE5879"/>
    <w:rsid w:val="00AE5CCD"/>
    <w:rsid w:val="00AE6112"/>
    <w:rsid w:val="00AE6C04"/>
    <w:rsid w:val="00AE7705"/>
    <w:rsid w:val="00AF01A3"/>
    <w:rsid w:val="00AF0D54"/>
    <w:rsid w:val="00AF2648"/>
    <w:rsid w:val="00AF282A"/>
    <w:rsid w:val="00AF339C"/>
    <w:rsid w:val="00AF3D16"/>
    <w:rsid w:val="00AF4BC7"/>
    <w:rsid w:val="00AF4FA1"/>
    <w:rsid w:val="00AF5623"/>
    <w:rsid w:val="00AF6256"/>
    <w:rsid w:val="00AF6A3A"/>
    <w:rsid w:val="00AF6C12"/>
    <w:rsid w:val="00AF7338"/>
    <w:rsid w:val="00B002CD"/>
    <w:rsid w:val="00B019B0"/>
    <w:rsid w:val="00B01A99"/>
    <w:rsid w:val="00B01F5A"/>
    <w:rsid w:val="00B021F5"/>
    <w:rsid w:val="00B02237"/>
    <w:rsid w:val="00B03290"/>
    <w:rsid w:val="00B04182"/>
    <w:rsid w:val="00B047F2"/>
    <w:rsid w:val="00B0534B"/>
    <w:rsid w:val="00B06B26"/>
    <w:rsid w:val="00B07290"/>
    <w:rsid w:val="00B073B0"/>
    <w:rsid w:val="00B0799C"/>
    <w:rsid w:val="00B12164"/>
    <w:rsid w:val="00B133F9"/>
    <w:rsid w:val="00B1560B"/>
    <w:rsid w:val="00B15CBB"/>
    <w:rsid w:val="00B1743D"/>
    <w:rsid w:val="00B201EE"/>
    <w:rsid w:val="00B20C63"/>
    <w:rsid w:val="00B20D81"/>
    <w:rsid w:val="00B213A7"/>
    <w:rsid w:val="00B22907"/>
    <w:rsid w:val="00B24743"/>
    <w:rsid w:val="00B24B15"/>
    <w:rsid w:val="00B24F99"/>
    <w:rsid w:val="00B251D7"/>
    <w:rsid w:val="00B26C04"/>
    <w:rsid w:val="00B27766"/>
    <w:rsid w:val="00B305BC"/>
    <w:rsid w:val="00B30DE4"/>
    <w:rsid w:val="00B312D5"/>
    <w:rsid w:val="00B33073"/>
    <w:rsid w:val="00B332D1"/>
    <w:rsid w:val="00B33559"/>
    <w:rsid w:val="00B3446D"/>
    <w:rsid w:val="00B3549E"/>
    <w:rsid w:val="00B354BE"/>
    <w:rsid w:val="00B356E7"/>
    <w:rsid w:val="00B409D0"/>
    <w:rsid w:val="00B40BF6"/>
    <w:rsid w:val="00B40F66"/>
    <w:rsid w:val="00B41A0E"/>
    <w:rsid w:val="00B41B21"/>
    <w:rsid w:val="00B42250"/>
    <w:rsid w:val="00B42ECA"/>
    <w:rsid w:val="00B44D09"/>
    <w:rsid w:val="00B4527E"/>
    <w:rsid w:val="00B465FC"/>
    <w:rsid w:val="00B46E31"/>
    <w:rsid w:val="00B50025"/>
    <w:rsid w:val="00B505EB"/>
    <w:rsid w:val="00B515B5"/>
    <w:rsid w:val="00B543FC"/>
    <w:rsid w:val="00B54615"/>
    <w:rsid w:val="00B54890"/>
    <w:rsid w:val="00B54F14"/>
    <w:rsid w:val="00B55A54"/>
    <w:rsid w:val="00B55BED"/>
    <w:rsid w:val="00B55D72"/>
    <w:rsid w:val="00B56424"/>
    <w:rsid w:val="00B56A46"/>
    <w:rsid w:val="00B56BA8"/>
    <w:rsid w:val="00B572E7"/>
    <w:rsid w:val="00B575C4"/>
    <w:rsid w:val="00B576B5"/>
    <w:rsid w:val="00B57F14"/>
    <w:rsid w:val="00B60D21"/>
    <w:rsid w:val="00B61611"/>
    <w:rsid w:val="00B640AC"/>
    <w:rsid w:val="00B6430D"/>
    <w:rsid w:val="00B64D68"/>
    <w:rsid w:val="00B6542C"/>
    <w:rsid w:val="00B66398"/>
    <w:rsid w:val="00B6668B"/>
    <w:rsid w:val="00B66D6C"/>
    <w:rsid w:val="00B671F3"/>
    <w:rsid w:val="00B67D2B"/>
    <w:rsid w:val="00B71811"/>
    <w:rsid w:val="00B7297E"/>
    <w:rsid w:val="00B729CF"/>
    <w:rsid w:val="00B72E03"/>
    <w:rsid w:val="00B73AEA"/>
    <w:rsid w:val="00B73AF6"/>
    <w:rsid w:val="00B744BC"/>
    <w:rsid w:val="00B76F48"/>
    <w:rsid w:val="00B80C62"/>
    <w:rsid w:val="00B8305D"/>
    <w:rsid w:val="00B832CB"/>
    <w:rsid w:val="00B83F68"/>
    <w:rsid w:val="00B87091"/>
    <w:rsid w:val="00B903D1"/>
    <w:rsid w:val="00B92390"/>
    <w:rsid w:val="00B93767"/>
    <w:rsid w:val="00B93BBD"/>
    <w:rsid w:val="00B93BD6"/>
    <w:rsid w:val="00B9437C"/>
    <w:rsid w:val="00B94F48"/>
    <w:rsid w:val="00B96166"/>
    <w:rsid w:val="00B966F0"/>
    <w:rsid w:val="00B96EF7"/>
    <w:rsid w:val="00B96FD2"/>
    <w:rsid w:val="00B970D3"/>
    <w:rsid w:val="00B97BD1"/>
    <w:rsid w:val="00BA3753"/>
    <w:rsid w:val="00BA3A13"/>
    <w:rsid w:val="00BA48D4"/>
    <w:rsid w:val="00BA5B30"/>
    <w:rsid w:val="00BA5E68"/>
    <w:rsid w:val="00BA6409"/>
    <w:rsid w:val="00BA7738"/>
    <w:rsid w:val="00BB04C5"/>
    <w:rsid w:val="00BB0E60"/>
    <w:rsid w:val="00BB1526"/>
    <w:rsid w:val="00BB2CF9"/>
    <w:rsid w:val="00BB551F"/>
    <w:rsid w:val="00BB5EED"/>
    <w:rsid w:val="00BB60AE"/>
    <w:rsid w:val="00BB6A23"/>
    <w:rsid w:val="00BC054F"/>
    <w:rsid w:val="00BC08DB"/>
    <w:rsid w:val="00BC218D"/>
    <w:rsid w:val="00BC3DF5"/>
    <w:rsid w:val="00BC6308"/>
    <w:rsid w:val="00BC7866"/>
    <w:rsid w:val="00BD2727"/>
    <w:rsid w:val="00BD2B17"/>
    <w:rsid w:val="00BD3507"/>
    <w:rsid w:val="00BD354E"/>
    <w:rsid w:val="00BD38D8"/>
    <w:rsid w:val="00BD4F68"/>
    <w:rsid w:val="00BD5527"/>
    <w:rsid w:val="00BD5C3E"/>
    <w:rsid w:val="00BD64C7"/>
    <w:rsid w:val="00BD7737"/>
    <w:rsid w:val="00BE0733"/>
    <w:rsid w:val="00BE0EB0"/>
    <w:rsid w:val="00BE239A"/>
    <w:rsid w:val="00BE2515"/>
    <w:rsid w:val="00BE3466"/>
    <w:rsid w:val="00BE382E"/>
    <w:rsid w:val="00BE3970"/>
    <w:rsid w:val="00BE4528"/>
    <w:rsid w:val="00BE4A25"/>
    <w:rsid w:val="00BE544E"/>
    <w:rsid w:val="00BE56FA"/>
    <w:rsid w:val="00BE5AAD"/>
    <w:rsid w:val="00BE6510"/>
    <w:rsid w:val="00BE6AAE"/>
    <w:rsid w:val="00BE728E"/>
    <w:rsid w:val="00BE761D"/>
    <w:rsid w:val="00BF064C"/>
    <w:rsid w:val="00BF0E36"/>
    <w:rsid w:val="00BF1627"/>
    <w:rsid w:val="00BF21B6"/>
    <w:rsid w:val="00BF248C"/>
    <w:rsid w:val="00BF3AE7"/>
    <w:rsid w:val="00BF42A9"/>
    <w:rsid w:val="00BF44E6"/>
    <w:rsid w:val="00BF4DB7"/>
    <w:rsid w:val="00BF5320"/>
    <w:rsid w:val="00BF5335"/>
    <w:rsid w:val="00BF6346"/>
    <w:rsid w:val="00BF6736"/>
    <w:rsid w:val="00BF6D20"/>
    <w:rsid w:val="00C00AA4"/>
    <w:rsid w:val="00C01EF6"/>
    <w:rsid w:val="00C02085"/>
    <w:rsid w:val="00C04910"/>
    <w:rsid w:val="00C060EF"/>
    <w:rsid w:val="00C0690F"/>
    <w:rsid w:val="00C06EC5"/>
    <w:rsid w:val="00C076C0"/>
    <w:rsid w:val="00C07ACC"/>
    <w:rsid w:val="00C07F8C"/>
    <w:rsid w:val="00C10AAF"/>
    <w:rsid w:val="00C11F1E"/>
    <w:rsid w:val="00C121B2"/>
    <w:rsid w:val="00C12EF7"/>
    <w:rsid w:val="00C148B4"/>
    <w:rsid w:val="00C167FB"/>
    <w:rsid w:val="00C1716D"/>
    <w:rsid w:val="00C17699"/>
    <w:rsid w:val="00C178A7"/>
    <w:rsid w:val="00C21EEC"/>
    <w:rsid w:val="00C2292D"/>
    <w:rsid w:val="00C232BF"/>
    <w:rsid w:val="00C2350E"/>
    <w:rsid w:val="00C23574"/>
    <w:rsid w:val="00C2432A"/>
    <w:rsid w:val="00C24CC9"/>
    <w:rsid w:val="00C24D0C"/>
    <w:rsid w:val="00C25667"/>
    <w:rsid w:val="00C260DA"/>
    <w:rsid w:val="00C261AC"/>
    <w:rsid w:val="00C27075"/>
    <w:rsid w:val="00C27D1F"/>
    <w:rsid w:val="00C30E10"/>
    <w:rsid w:val="00C315EE"/>
    <w:rsid w:val="00C31AB2"/>
    <w:rsid w:val="00C32440"/>
    <w:rsid w:val="00C3282A"/>
    <w:rsid w:val="00C33C3A"/>
    <w:rsid w:val="00C34D13"/>
    <w:rsid w:val="00C35CDD"/>
    <w:rsid w:val="00C35F1C"/>
    <w:rsid w:val="00C377B8"/>
    <w:rsid w:val="00C401A0"/>
    <w:rsid w:val="00C4091F"/>
    <w:rsid w:val="00C42C04"/>
    <w:rsid w:val="00C42D08"/>
    <w:rsid w:val="00C437BA"/>
    <w:rsid w:val="00C44219"/>
    <w:rsid w:val="00C444E5"/>
    <w:rsid w:val="00C445C8"/>
    <w:rsid w:val="00C44760"/>
    <w:rsid w:val="00C46862"/>
    <w:rsid w:val="00C47F8C"/>
    <w:rsid w:val="00C50273"/>
    <w:rsid w:val="00C5135E"/>
    <w:rsid w:val="00C517C5"/>
    <w:rsid w:val="00C52F05"/>
    <w:rsid w:val="00C53070"/>
    <w:rsid w:val="00C5370E"/>
    <w:rsid w:val="00C5382E"/>
    <w:rsid w:val="00C543D9"/>
    <w:rsid w:val="00C54ADC"/>
    <w:rsid w:val="00C54E8B"/>
    <w:rsid w:val="00C5577F"/>
    <w:rsid w:val="00C55803"/>
    <w:rsid w:val="00C55BB7"/>
    <w:rsid w:val="00C56CC7"/>
    <w:rsid w:val="00C62BA9"/>
    <w:rsid w:val="00C668F3"/>
    <w:rsid w:val="00C7071D"/>
    <w:rsid w:val="00C70B60"/>
    <w:rsid w:val="00C71797"/>
    <w:rsid w:val="00C71A66"/>
    <w:rsid w:val="00C72072"/>
    <w:rsid w:val="00C72FA8"/>
    <w:rsid w:val="00C731F3"/>
    <w:rsid w:val="00C7369B"/>
    <w:rsid w:val="00C737C3"/>
    <w:rsid w:val="00C73EB0"/>
    <w:rsid w:val="00C74015"/>
    <w:rsid w:val="00C7403D"/>
    <w:rsid w:val="00C74872"/>
    <w:rsid w:val="00C74A4C"/>
    <w:rsid w:val="00C758C4"/>
    <w:rsid w:val="00C75B96"/>
    <w:rsid w:val="00C75D91"/>
    <w:rsid w:val="00C7752E"/>
    <w:rsid w:val="00C815C8"/>
    <w:rsid w:val="00C81685"/>
    <w:rsid w:val="00C81BA8"/>
    <w:rsid w:val="00C81FD0"/>
    <w:rsid w:val="00C82B95"/>
    <w:rsid w:val="00C82DC5"/>
    <w:rsid w:val="00C830E8"/>
    <w:rsid w:val="00C83A1B"/>
    <w:rsid w:val="00C83EDD"/>
    <w:rsid w:val="00C840E9"/>
    <w:rsid w:val="00C84368"/>
    <w:rsid w:val="00C85687"/>
    <w:rsid w:val="00C866FF"/>
    <w:rsid w:val="00C87A47"/>
    <w:rsid w:val="00C87B10"/>
    <w:rsid w:val="00C87E6B"/>
    <w:rsid w:val="00C903A1"/>
    <w:rsid w:val="00C913F4"/>
    <w:rsid w:val="00C9172D"/>
    <w:rsid w:val="00C94640"/>
    <w:rsid w:val="00C964D7"/>
    <w:rsid w:val="00CA0682"/>
    <w:rsid w:val="00CA089A"/>
    <w:rsid w:val="00CA13AC"/>
    <w:rsid w:val="00CA144A"/>
    <w:rsid w:val="00CA22E3"/>
    <w:rsid w:val="00CA29EB"/>
    <w:rsid w:val="00CA2F1C"/>
    <w:rsid w:val="00CA3EA6"/>
    <w:rsid w:val="00CA4335"/>
    <w:rsid w:val="00CA5787"/>
    <w:rsid w:val="00CA66B5"/>
    <w:rsid w:val="00CA6B9E"/>
    <w:rsid w:val="00CA6FF0"/>
    <w:rsid w:val="00CA76E2"/>
    <w:rsid w:val="00CB059F"/>
    <w:rsid w:val="00CB0788"/>
    <w:rsid w:val="00CB0B19"/>
    <w:rsid w:val="00CB0C2A"/>
    <w:rsid w:val="00CB2337"/>
    <w:rsid w:val="00CB48E7"/>
    <w:rsid w:val="00CB49B0"/>
    <w:rsid w:val="00CB4DB6"/>
    <w:rsid w:val="00CB5056"/>
    <w:rsid w:val="00CB555B"/>
    <w:rsid w:val="00CB678B"/>
    <w:rsid w:val="00CC052D"/>
    <w:rsid w:val="00CC1089"/>
    <w:rsid w:val="00CC1F6D"/>
    <w:rsid w:val="00CC5906"/>
    <w:rsid w:val="00CC6514"/>
    <w:rsid w:val="00CC6ADF"/>
    <w:rsid w:val="00CC7052"/>
    <w:rsid w:val="00CD0F33"/>
    <w:rsid w:val="00CD129E"/>
    <w:rsid w:val="00CD1C53"/>
    <w:rsid w:val="00CD1CC9"/>
    <w:rsid w:val="00CD20EB"/>
    <w:rsid w:val="00CD47C3"/>
    <w:rsid w:val="00CD4EDE"/>
    <w:rsid w:val="00CD5427"/>
    <w:rsid w:val="00CD5EC5"/>
    <w:rsid w:val="00CD64EE"/>
    <w:rsid w:val="00CD7CEF"/>
    <w:rsid w:val="00CE0987"/>
    <w:rsid w:val="00CE0EC9"/>
    <w:rsid w:val="00CE1BDF"/>
    <w:rsid w:val="00CE1C03"/>
    <w:rsid w:val="00CE3F5F"/>
    <w:rsid w:val="00CE4B24"/>
    <w:rsid w:val="00CE53D1"/>
    <w:rsid w:val="00CF0FB9"/>
    <w:rsid w:val="00CF108B"/>
    <w:rsid w:val="00CF129B"/>
    <w:rsid w:val="00CF156C"/>
    <w:rsid w:val="00CF1581"/>
    <w:rsid w:val="00CF2266"/>
    <w:rsid w:val="00CF2CB2"/>
    <w:rsid w:val="00CF5419"/>
    <w:rsid w:val="00CF59BA"/>
    <w:rsid w:val="00CF6D3B"/>
    <w:rsid w:val="00CF7733"/>
    <w:rsid w:val="00CF7896"/>
    <w:rsid w:val="00CF7D76"/>
    <w:rsid w:val="00D02AA6"/>
    <w:rsid w:val="00D02D10"/>
    <w:rsid w:val="00D045A2"/>
    <w:rsid w:val="00D046F4"/>
    <w:rsid w:val="00D05841"/>
    <w:rsid w:val="00D0597F"/>
    <w:rsid w:val="00D061FF"/>
    <w:rsid w:val="00D06F2D"/>
    <w:rsid w:val="00D07A28"/>
    <w:rsid w:val="00D07F31"/>
    <w:rsid w:val="00D11AC5"/>
    <w:rsid w:val="00D12137"/>
    <w:rsid w:val="00D121EF"/>
    <w:rsid w:val="00D129E5"/>
    <w:rsid w:val="00D12D1C"/>
    <w:rsid w:val="00D13ED1"/>
    <w:rsid w:val="00D147D7"/>
    <w:rsid w:val="00D15208"/>
    <w:rsid w:val="00D15B82"/>
    <w:rsid w:val="00D15DBF"/>
    <w:rsid w:val="00D204D9"/>
    <w:rsid w:val="00D208C8"/>
    <w:rsid w:val="00D210AB"/>
    <w:rsid w:val="00D21269"/>
    <w:rsid w:val="00D216E4"/>
    <w:rsid w:val="00D217D0"/>
    <w:rsid w:val="00D21B72"/>
    <w:rsid w:val="00D220A2"/>
    <w:rsid w:val="00D221F0"/>
    <w:rsid w:val="00D22785"/>
    <w:rsid w:val="00D23069"/>
    <w:rsid w:val="00D23394"/>
    <w:rsid w:val="00D23A96"/>
    <w:rsid w:val="00D23AC4"/>
    <w:rsid w:val="00D25611"/>
    <w:rsid w:val="00D26830"/>
    <w:rsid w:val="00D30391"/>
    <w:rsid w:val="00D30621"/>
    <w:rsid w:val="00D308EB"/>
    <w:rsid w:val="00D30B89"/>
    <w:rsid w:val="00D31698"/>
    <w:rsid w:val="00D3234A"/>
    <w:rsid w:val="00D32B9E"/>
    <w:rsid w:val="00D32CF5"/>
    <w:rsid w:val="00D333FC"/>
    <w:rsid w:val="00D3435A"/>
    <w:rsid w:val="00D35397"/>
    <w:rsid w:val="00D35D77"/>
    <w:rsid w:val="00D40BFD"/>
    <w:rsid w:val="00D421FC"/>
    <w:rsid w:val="00D440D2"/>
    <w:rsid w:val="00D45237"/>
    <w:rsid w:val="00D4587C"/>
    <w:rsid w:val="00D45A51"/>
    <w:rsid w:val="00D45C70"/>
    <w:rsid w:val="00D45EDE"/>
    <w:rsid w:val="00D4609B"/>
    <w:rsid w:val="00D4742C"/>
    <w:rsid w:val="00D509A5"/>
    <w:rsid w:val="00D5177A"/>
    <w:rsid w:val="00D523A1"/>
    <w:rsid w:val="00D53476"/>
    <w:rsid w:val="00D53DC9"/>
    <w:rsid w:val="00D54C56"/>
    <w:rsid w:val="00D56B26"/>
    <w:rsid w:val="00D576CE"/>
    <w:rsid w:val="00D57774"/>
    <w:rsid w:val="00D577CD"/>
    <w:rsid w:val="00D60347"/>
    <w:rsid w:val="00D60455"/>
    <w:rsid w:val="00D60E27"/>
    <w:rsid w:val="00D61966"/>
    <w:rsid w:val="00D61F02"/>
    <w:rsid w:val="00D62069"/>
    <w:rsid w:val="00D621C2"/>
    <w:rsid w:val="00D628B3"/>
    <w:rsid w:val="00D63174"/>
    <w:rsid w:val="00D63F7D"/>
    <w:rsid w:val="00D64FC2"/>
    <w:rsid w:val="00D651B8"/>
    <w:rsid w:val="00D65800"/>
    <w:rsid w:val="00D67259"/>
    <w:rsid w:val="00D67516"/>
    <w:rsid w:val="00D67A2D"/>
    <w:rsid w:val="00D67B08"/>
    <w:rsid w:val="00D70339"/>
    <w:rsid w:val="00D70986"/>
    <w:rsid w:val="00D70A43"/>
    <w:rsid w:val="00D70D6F"/>
    <w:rsid w:val="00D70FAD"/>
    <w:rsid w:val="00D71105"/>
    <w:rsid w:val="00D723DE"/>
    <w:rsid w:val="00D73012"/>
    <w:rsid w:val="00D7338C"/>
    <w:rsid w:val="00D740FD"/>
    <w:rsid w:val="00D74648"/>
    <w:rsid w:val="00D750AD"/>
    <w:rsid w:val="00D7518A"/>
    <w:rsid w:val="00D76723"/>
    <w:rsid w:val="00D76DE5"/>
    <w:rsid w:val="00D77145"/>
    <w:rsid w:val="00D77CD0"/>
    <w:rsid w:val="00D77DA5"/>
    <w:rsid w:val="00D77ECE"/>
    <w:rsid w:val="00D804FD"/>
    <w:rsid w:val="00D81C89"/>
    <w:rsid w:val="00D8388E"/>
    <w:rsid w:val="00D83B3D"/>
    <w:rsid w:val="00D850FA"/>
    <w:rsid w:val="00D86C70"/>
    <w:rsid w:val="00D86CF2"/>
    <w:rsid w:val="00D8759A"/>
    <w:rsid w:val="00D9063B"/>
    <w:rsid w:val="00D92FC9"/>
    <w:rsid w:val="00D93765"/>
    <w:rsid w:val="00D94B8F"/>
    <w:rsid w:val="00D94CAC"/>
    <w:rsid w:val="00D960DF"/>
    <w:rsid w:val="00D96618"/>
    <w:rsid w:val="00D97544"/>
    <w:rsid w:val="00D9761A"/>
    <w:rsid w:val="00D9768F"/>
    <w:rsid w:val="00D97F58"/>
    <w:rsid w:val="00DA000F"/>
    <w:rsid w:val="00DA2004"/>
    <w:rsid w:val="00DA227D"/>
    <w:rsid w:val="00DA2B87"/>
    <w:rsid w:val="00DA2CAD"/>
    <w:rsid w:val="00DA3475"/>
    <w:rsid w:val="00DA3F5D"/>
    <w:rsid w:val="00DA6045"/>
    <w:rsid w:val="00DB0B8B"/>
    <w:rsid w:val="00DB161C"/>
    <w:rsid w:val="00DB402C"/>
    <w:rsid w:val="00DB586F"/>
    <w:rsid w:val="00DB589F"/>
    <w:rsid w:val="00DB5A82"/>
    <w:rsid w:val="00DB5BBF"/>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496"/>
    <w:rsid w:val="00DD2D2C"/>
    <w:rsid w:val="00DD3896"/>
    <w:rsid w:val="00DD4116"/>
    <w:rsid w:val="00DD4E44"/>
    <w:rsid w:val="00DD6BB8"/>
    <w:rsid w:val="00DD6E7C"/>
    <w:rsid w:val="00DD7951"/>
    <w:rsid w:val="00DE0513"/>
    <w:rsid w:val="00DE0D1D"/>
    <w:rsid w:val="00DE402B"/>
    <w:rsid w:val="00DE40E5"/>
    <w:rsid w:val="00DE49A7"/>
    <w:rsid w:val="00DE50B5"/>
    <w:rsid w:val="00DE58E9"/>
    <w:rsid w:val="00DE7BA8"/>
    <w:rsid w:val="00DF00CF"/>
    <w:rsid w:val="00DF0391"/>
    <w:rsid w:val="00DF0CF9"/>
    <w:rsid w:val="00DF0D64"/>
    <w:rsid w:val="00DF1571"/>
    <w:rsid w:val="00DF5911"/>
    <w:rsid w:val="00DF6347"/>
    <w:rsid w:val="00DF7319"/>
    <w:rsid w:val="00DF761D"/>
    <w:rsid w:val="00E00508"/>
    <w:rsid w:val="00E00ABF"/>
    <w:rsid w:val="00E02ABC"/>
    <w:rsid w:val="00E03057"/>
    <w:rsid w:val="00E04AC9"/>
    <w:rsid w:val="00E05C10"/>
    <w:rsid w:val="00E061F8"/>
    <w:rsid w:val="00E07047"/>
    <w:rsid w:val="00E07265"/>
    <w:rsid w:val="00E100F7"/>
    <w:rsid w:val="00E10B0B"/>
    <w:rsid w:val="00E12711"/>
    <w:rsid w:val="00E12795"/>
    <w:rsid w:val="00E12C20"/>
    <w:rsid w:val="00E1333D"/>
    <w:rsid w:val="00E13AD7"/>
    <w:rsid w:val="00E14280"/>
    <w:rsid w:val="00E15671"/>
    <w:rsid w:val="00E160DF"/>
    <w:rsid w:val="00E162F8"/>
    <w:rsid w:val="00E16AF6"/>
    <w:rsid w:val="00E20EB5"/>
    <w:rsid w:val="00E20F47"/>
    <w:rsid w:val="00E21115"/>
    <w:rsid w:val="00E21D6D"/>
    <w:rsid w:val="00E23AEC"/>
    <w:rsid w:val="00E245D0"/>
    <w:rsid w:val="00E264D6"/>
    <w:rsid w:val="00E26870"/>
    <w:rsid w:val="00E26BAF"/>
    <w:rsid w:val="00E26CCA"/>
    <w:rsid w:val="00E30F86"/>
    <w:rsid w:val="00E3244C"/>
    <w:rsid w:val="00E3390F"/>
    <w:rsid w:val="00E33B81"/>
    <w:rsid w:val="00E341CB"/>
    <w:rsid w:val="00E34226"/>
    <w:rsid w:val="00E35DDE"/>
    <w:rsid w:val="00E35F53"/>
    <w:rsid w:val="00E361F3"/>
    <w:rsid w:val="00E36748"/>
    <w:rsid w:val="00E37E4E"/>
    <w:rsid w:val="00E42D54"/>
    <w:rsid w:val="00E438DD"/>
    <w:rsid w:val="00E4487F"/>
    <w:rsid w:val="00E44DAC"/>
    <w:rsid w:val="00E4533A"/>
    <w:rsid w:val="00E45947"/>
    <w:rsid w:val="00E459EA"/>
    <w:rsid w:val="00E47F00"/>
    <w:rsid w:val="00E50EE0"/>
    <w:rsid w:val="00E51AC9"/>
    <w:rsid w:val="00E51C3A"/>
    <w:rsid w:val="00E51D47"/>
    <w:rsid w:val="00E54A08"/>
    <w:rsid w:val="00E54A63"/>
    <w:rsid w:val="00E56979"/>
    <w:rsid w:val="00E56D23"/>
    <w:rsid w:val="00E575FC"/>
    <w:rsid w:val="00E60BC8"/>
    <w:rsid w:val="00E61042"/>
    <w:rsid w:val="00E62C51"/>
    <w:rsid w:val="00E62F50"/>
    <w:rsid w:val="00E63242"/>
    <w:rsid w:val="00E6382A"/>
    <w:rsid w:val="00E65E5A"/>
    <w:rsid w:val="00E702C8"/>
    <w:rsid w:val="00E73DB5"/>
    <w:rsid w:val="00E746A2"/>
    <w:rsid w:val="00E75CEA"/>
    <w:rsid w:val="00E77722"/>
    <w:rsid w:val="00E80456"/>
    <w:rsid w:val="00E806B6"/>
    <w:rsid w:val="00E80AD1"/>
    <w:rsid w:val="00E8344B"/>
    <w:rsid w:val="00E8409B"/>
    <w:rsid w:val="00E840A7"/>
    <w:rsid w:val="00E85A12"/>
    <w:rsid w:val="00E87C51"/>
    <w:rsid w:val="00E904A7"/>
    <w:rsid w:val="00E90E42"/>
    <w:rsid w:val="00E9182E"/>
    <w:rsid w:val="00E925ED"/>
    <w:rsid w:val="00E92B5E"/>
    <w:rsid w:val="00E93D53"/>
    <w:rsid w:val="00E93F38"/>
    <w:rsid w:val="00E93FD8"/>
    <w:rsid w:val="00E95364"/>
    <w:rsid w:val="00E953AD"/>
    <w:rsid w:val="00E95EB4"/>
    <w:rsid w:val="00E96FF8"/>
    <w:rsid w:val="00EA033A"/>
    <w:rsid w:val="00EA0CB2"/>
    <w:rsid w:val="00EA129B"/>
    <w:rsid w:val="00EA15BC"/>
    <w:rsid w:val="00EA16F0"/>
    <w:rsid w:val="00EA1F47"/>
    <w:rsid w:val="00EA225A"/>
    <w:rsid w:val="00EA2BAA"/>
    <w:rsid w:val="00EA37F1"/>
    <w:rsid w:val="00EA388E"/>
    <w:rsid w:val="00EA3CDD"/>
    <w:rsid w:val="00EA5A5F"/>
    <w:rsid w:val="00EA6091"/>
    <w:rsid w:val="00EA6C3A"/>
    <w:rsid w:val="00EA73F5"/>
    <w:rsid w:val="00EB059B"/>
    <w:rsid w:val="00EB0DF8"/>
    <w:rsid w:val="00EB113E"/>
    <w:rsid w:val="00EB1247"/>
    <w:rsid w:val="00EB2B49"/>
    <w:rsid w:val="00EB38ED"/>
    <w:rsid w:val="00EB4CCF"/>
    <w:rsid w:val="00EC0335"/>
    <w:rsid w:val="00EC091C"/>
    <w:rsid w:val="00EC3C42"/>
    <w:rsid w:val="00EC4177"/>
    <w:rsid w:val="00EC5E6F"/>
    <w:rsid w:val="00EC64F6"/>
    <w:rsid w:val="00EC72C7"/>
    <w:rsid w:val="00EC7B7C"/>
    <w:rsid w:val="00ED0096"/>
    <w:rsid w:val="00ED0629"/>
    <w:rsid w:val="00ED1115"/>
    <w:rsid w:val="00ED12EC"/>
    <w:rsid w:val="00ED191E"/>
    <w:rsid w:val="00ED1E65"/>
    <w:rsid w:val="00ED246C"/>
    <w:rsid w:val="00ED325F"/>
    <w:rsid w:val="00ED3913"/>
    <w:rsid w:val="00ED55F8"/>
    <w:rsid w:val="00ED67E8"/>
    <w:rsid w:val="00ED70C0"/>
    <w:rsid w:val="00EE0CFE"/>
    <w:rsid w:val="00EE0D4C"/>
    <w:rsid w:val="00EE275B"/>
    <w:rsid w:val="00EE32FF"/>
    <w:rsid w:val="00EE6053"/>
    <w:rsid w:val="00EE6C16"/>
    <w:rsid w:val="00EE757A"/>
    <w:rsid w:val="00EF1BF2"/>
    <w:rsid w:val="00EF2032"/>
    <w:rsid w:val="00EF2453"/>
    <w:rsid w:val="00EF3037"/>
    <w:rsid w:val="00EF3FD8"/>
    <w:rsid w:val="00EF44E6"/>
    <w:rsid w:val="00EF4657"/>
    <w:rsid w:val="00EF5F1A"/>
    <w:rsid w:val="00EF7955"/>
    <w:rsid w:val="00F007E8"/>
    <w:rsid w:val="00F017A0"/>
    <w:rsid w:val="00F01B7A"/>
    <w:rsid w:val="00F042DC"/>
    <w:rsid w:val="00F0430C"/>
    <w:rsid w:val="00F05FCA"/>
    <w:rsid w:val="00F06BFC"/>
    <w:rsid w:val="00F06F47"/>
    <w:rsid w:val="00F07EBA"/>
    <w:rsid w:val="00F10752"/>
    <w:rsid w:val="00F11E51"/>
    <w:rsid w:val="00F11F81"/>
    <w:rsid w:val="00F1261E"/>
    <w:rsid w:val="00F12789"/>
    <w:rsid w:val="00F131BC"/>
    <w:rsid w:val="00F13F3E"/>
    <w:rsid w:val="00F14039"/>
    <w:rsid w:val="00F14389"/>
    <w:rsid w:val="00F14805"/>
    <w:rsid w:val="00F14A3A"/>
    <w:rsid w:val="00F14C6E"/>
    <w:rsid w:val="00F1518C"/>
    <w:rsid w:val="00F151B2"/>
    <w:rsid w:val="00F158B5"/>
    <w:rsid w:val="00F159B2"/>
    <w:rsid w:val="00F16DB4"/>
    <w:rsid w:val="00F173C4"/>
    <w:rsid w:val="00F17D69"/>
    <w:rsid w:val="00F20660"/>
    <w:rsid w:val="00F2107B"/>
    <w:rsid w:val="00F21D89"/>
    <w:rsid w:val="00F21E36"/>
    <w:rsid w:val="00F2209A"/>
    <w:rsid w:val="00F22CB5"/>
    <w:rsid w:val="00F23315"/>
    <w:rsid w:val="00F23519"/>
    <w:rsid w:val="00F245EE"/>
    <w:rsid w:val="00F24948"/>
    <w:rsid w:val="00F25106"/>
    <w:rsid w:val="00F25649"/>
    <w:rsid w:val="00F26809"/>
    <w:rsid w:val="00F278A3"/>
    <w:rsid w:val="00F2797D"/>
    <w:rsid w:val="00F30C4D"/>
    <w:rsid w:val="00F31B3F"/>
    <w:rsid w:val="00F324A9"/>
    <w:rsid w:val="00F333AC"/>
    <w:rsid w:val="00F33EE8"/>
    <w:rsid w:val="00F34570"/>
    <w:rsid w:val="00F354B9"/>
    <w:rsid w:val="00F36010"/>
    <w:rsid w:val="00F36797"/>
    <w:rsid w:val="00F36AEF"/>
    <w:rsid w:val="00F36F4E"/>
    <w:rsid w:val="00F37F7A"/>
    <w:rsid w:val="00F4030B"/>
    <w:rsid w:val="00F41C88"/>
    <w:rsid w:val="00F41CD0"/>
    <w:rsid w:val="00F42CF7"/>
    <w:rsid w:val="00F43669"/>
    <w:rsid w:val="00F44474"/>
    <w:rsid w:val="00F44AF9"/>
    <w:rsid w:val="00F44DCF"/>
    <w:rsid w:val="00F451F4"/>
    <w:rsid w:val="00F45966"/>
    <w:rsid w:val="00F46035"/>
    <w:rsid w:val="00F47A85"/>
    <w:rsid w:val="00F47CD2"/>
    <w:rsid w:val="00F50670"/>
    <w:rsid w:val="00F52E81"/>
    <w:rsid w:val="00F5411A"/>
    <w:rsid w:val="00F54C2B"/>
    <w:rsid w:val="00F564C4"/>
    <w:rsid w:val="00F56CF6"/>
    <w:rsid w:val="00F5707E"/>
    <w:rsid w:val="00F57A56"/>
    <w:rsid w:val="00F57C5B"/>
    <w:rsid w:val="00F60311"/>
    <w:rsid w:val="00F62B72"/>
    <w:rsid w:val="00F62E9F"/>
    <w:rsid w:val="00F63F6D"/>
    <w:rsid w:val="00F64345"/>
    <w:rsid w:val="00F64F72"/>
    <w:rsid w:val="00F664D4"/>
    <w:rsid w:val="00F66BDD"/>
    <w:rsid w:val="00F66F9B"/>
    <w:rsid w:val="00F67F00"/>
    <w:rsid w:val="00F709A2"/>
    <w:rsid w:val="00F70AD0"/>
    <w:rsid w:val="00F71861"/>
    <w:rsid w:val="00F71863"/>
    <w:rsid w:val="00F71EB0"/>
    <w:rsid w:val="00F7255B"/>
    <w:rsid w:val="00F73071"/>
    <w:rsid w:val="00F7323D"/>
    <w:rsid w:val="00F73A1D"/>
    <w:rsid w:val="00F7459F"/>
    <w:rsid w:val="00F7631A"/>
    <w:rsid w:val="00F76898"/>
    <w:rsid w:val="00F769C2"/>
    <w:rsid w:val="00F77FF0"/>
    <w:rsid w:val="00F8118B"/>
    <w:rsid w:val="00F816B3"/>
    <w:rsid w:val="00F828A4"/>
    <w:rsid w:val="00F82E93"/>
    <w:rsid w:val="00F84A92"/>
    <w:rsid w:val="00F86F44"/>
    <w:rsid w:val="00F87613"/>
    <w:rsid w:val="00F914AF"/>
    <w:rsid w:val="00F927D0"/>
    <w:rsid w:val="00F92819"/>
    <w:rsid w:val="00F93216"/>
    <w:rsid w:val="00F93F43"/>
    <w:rsid w:val="00F94B63"/>
    <w:rsid w:val="00F95631"/>
    <w:rsid w:val="00F96079"/>
    <w:rsid w:val="00F96506"/>
    <w:rsid w:val="00FA23D3"/>
    <w:rsid w:val="00FA2CF8"/>
    <w:rsid w:val="00FA3384"/>
    <w:rsid w:val="00FA6407"/>
    <w:rsid w:val="00FA6AEB"/>
    <w:rsid w:val="00FB0508"/>
    <w:rsid w:val="00FB062B"/>
    <w:rsid w:val="00FB08AF"/>
    <w:rsid w:val="00FB0962"/>
    <w:rsid w:val="00FB0D4F"/>
    <w:rsid w:val="00FB2FDD"/>
    <w:rsid w:val="00FB3211"/>
    <w:rsid w:val="00FB338F"/>
    <w:rsid w:val="00FB3562"/>
    <w:rsid w:val="00FB3BBB"/>
    <w:rsid w:val="00FB6246"/>
    <w:rsid w:val="00FB64C6"/>
    <w:rsid w:val="00FB76E5"/>
    <w:rsid w:val="00FB7ADA"/>
    <w:rsid w:val="00FC06B0"/>
    <w:rsid w:val="00FC06FA"/>
    <w:rsid w:val="00FC07A4"/>
    <w:rsid w:val="00FC0F9F"/>
    <w:rsid w:val="00FC10EF"/>
    <w:rsid w:val="00FC1D42"/>
    <w:rsid w:val="00FC2496"/>
    <w:rsid w:val="00FC39BD"/>
    <w:rsid w:val="00FC3E03"/>
    <w:rsid w:val="00FC5B54"/>
    <w:rsid w:val="00FC7014"/>
    <w:rsid w:val="00FC75F4"/>
    <w:rsid w:val="00FD06A2"/>
    <w:rsid w:val="00FD1546"/>
    <w:rsid w:val="00FD1807"/>
    <w:rsid w:val="00FD1939"/>
    <w:rsid w:val="00FD22FD"/>
    <w:rsid w:val="00FD3E48"/>
    <w:rsid w:val="00FD50AB"/>
    <w:rsid w:val="00FD54E9"/>
    <w:rsid w:val="00FD65D6"/>
    <w:rsid w:val="00FD6E6B"/>
    <w:rsid w:val="00FD6FE4"/>
    <w:rsid w:val="00FD7C5E"/>
    <w:rsid w:val="00FE0FBF"/>
    <w:rsid w:val="00FE1D8A"/>
    <w:rsid w:val="00FE2EEA"/>
    <w:rsid w:val="00FE6C19"/>
    <w:rsid w:val="00FE6F7D"/>
    <w:rsid w:val="00FE6FB8"/>
    <w:rsid w:val="00FF1005"/>
    <w:rsid w:val="00FF1170"/>
    <w:rsid w:val="00FF252C"/>
    <w:rsid w:val="00FF34F9"/>
    <w:rsid w:val="00FF4855"/>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4_G"/>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3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rsid w:val="008D709F"/>
    <w:rPr>
      <w:rFonts w:ascii="Times New Roman" w:hAnsi="Times New Roman"/>
      <w:b/>
      <w:i/>
      <w:sz w:val="24"/>
      <w:szCs w:val="24"/>
      <w:lang w:eastAsia="en-US"/>
    </w:rPr>
  </w:style>
  <w:style w:type="paragraph" w:customStyle="1" w:styleId="amain">
    <w:name w:val="amain"/>
    <w:basedOn w:val="Normal"/>
    <w:rsid w:val="00B312D5"/>
    <w:pPr>
      <w:spacing w:before="100" w:beforeAutospacing="1" w:after="100" w:afterAutospacing="1" w:line="240" w:lineRule="auto"/>
    </w:pPr>
    <w:rPr>
      <w:rFonts w:eastAsia="Times New Roman"/>
      <w:szCs w:val="24"/>
      <w:lang w:eastAsia="en-AU"/>
    </w:rPr>
  </w:style>
  <w:style w:type="paragraph" w:customStyle="1" w:styleId="adef">
    <w:name w:val="adef"/>
    <w:basedOn w:val="Normal"/>
    <w:rsid w:val="00B312D5"/>
    <w:pPr>
      <w:spacing w:before="100" w:beforeAutospacing="1" w:after="100" w:afterAutospacing="1" w:line="240" w:lineRule="auto"/>
    </w:pPr>
    <w:rPr>
      <w:rFonts w:eastAsia="Times New Roman"/>
      <w:szCs w:val="24"/>
      <w:lang w:eastAsia="en-AU"/>
    </w:rPr>
  </w:style>
  <w:style w:type="character" w:customStyle="1" w:styleId="charbolditals">
    <w:name w:val="charbolditals"/>
    <w:basedOn w:val="DefaultParagraphFont"/>
    <w:rsid w:val="00B312D5"/>
  </w:style>
  <w:style w:type="character" w:styleId="UnresolvedMention">
    <w:name w:val="Unresolved Mention"/>
    <w:basedOn w:val="DefaultParagraphFont"/>
    <w:uiPriority w:val="99"/>
    <w:semiHidden/>
    <w:unhideWhenUsed/>
    <w:rsid w:val="006173FA"/>
    <w:rPr>
      <w:color w:val="605E5C"/>
      <w:shd w:val="clear" w:color="auto" w:fill="E1DFDD"/>
    </w:rPr>
  </w:style>
  <w:style w:type="paragraph" w:styleId="Revision">
    <w:name w:val="Revision"/>
    <w:hidden/>
    <w:uiPriority w:val="99"/>
    <w:semiHidden/>
    <w:rsid w:val="00BD5C3E"/>
    <w:rPr>
      <w:rFonts w:ascii="Times New Roman" w:hAnsi="Times New Roman"/>
      <w:sz w:val="24"/>
      <w:szCs w:val="22"/>
      <w:lang w:eastAsia="en-US"/>
    </w:rPr>
  </w:style>
  <w:style w:type="paragraph" w:customStyle="1" w:styleId="CS-Paragraphnumbering">
    <w:name w:val="CS - Paragraph numbering"/>
    <w:basedOn w:val="Normal"/>
    <w:rsid w:val="00E62C51"/>
    <w:pPr>
      <w:numPr>
        <w:numId w:val="40"/>
      </w:numPr>
      <w:spacing w:after="120"/>
      <w:ind w:right="-45"/>
    </w:pPr>
    <w:rPr>
      <w:rFonts w:asciiTheme="minorHAnsi" w:eastAsiaTheme="minorHAnsi" w:hAnsiTheme="minorHAnsi" w:cstheme="minorBidi"/>
      <w:szCs w:val="24"/>
    </w:rPr>
  </w:style>
  <w:style w:type="paragraph" w:customStyle="1" w:styleId="CSNumbering">
    <w:name w:val="CS Numbering"/>
    <w:basedOn w:val="Normal"/>
    <w:qFormat/>
    <w:rsid w:val="00EA15BC"/>
    <w:pPr>
      <w:widowControl w:val="0"/>
      <w:spacing w:after="240" w:line="240" w:lineRule="auto"/>
      <w:ind w:left="360" w:right="-45" w:hanging="360"/>
    </w:pPr>
    <w:rPr>
      <w:rFonts w:ascii="Calibri" w:eastAsia="Times New Roman" w:hAnsi="Calibri"/>
      <w:iCs/>
      <w:szCs w:val="24"/>
      <w:lang w:val="en-US"/>
    </w:rPr>
  </w:style>
  <w:style w:type="paragraph" w:customStyle="1" w:styleId="adefpara">
    <w:name w:val="adefpara"/>
    <w:basedOn w:val="Normal"/>
    <w:rsid w:val="000D25C3"/>
    <w:pPr>
      <w:spacing w:before="100" w:beforeAutospacing="1" w:after="100" w:afterAutospacing="1" w:line="240" w:lineRule="auto"/>
    </w:pPr>
    <w:rPr>
      <w:rFonts w:eastAsia="Times New Roman"/>
      <w:szCs w:val="24"/>
      <w:lang w:eastAsia="en-AU"/>
    </w:rPr>
  </w:style>
  <w:style w:type="character" w:customStyle="1" w:styleId="normaltextrun">
    <w:name w:val="normaltextrun"/>
    <w:basedOn w:val="DefaultParagraphFont"/>
    <w:rsid w:val="00D64FC2"/>
  </w:style>
  <w:style w:type="paragraph" w:customStyle="1" w:styleId="paragraph">
    <w:name w:val="paragraph"/>
    <w:basedOn w:val="Normal"/>
    <w:rsid w:val="00D64FC2"/>
    <w:pPr>
      <w:spacing w:before="100" w:beforeAutospacing="1" w:after="100" w:afterAutospacing="1" w:line="240" w:lineRule="auto"/>
    </w:pPr>
    <w:rPr>
      <w:rFonts w:eastAsiaTheme="minorHAnsi"/>
      <w:szCs w:val="24"/>
      <w:lang w:eastAsia="en-AU"/>
    </w:rPr>
  </w:style>
  <w:style w:type="paragraph" w:customStyle="1" w:styleId="apara">
    <w:name w:val="apara"/>
    <w:basedOn w:val="Normal"/>
    <w:rsid w:val="00CD5EC5"/>
    <w:pPr>
      <w:spacing w:before="100" w:beforeAutospacing="1" w:after="100" w:afterAutospacing="1" w:line="240" w:lineRule="auto"/>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44725605">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6509188">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72740908">
      <w:bodyDiv w:val="1"/>
      <w:marLeft w:val="0"/>
      <w:marRight w:val="0"/>
      <w:marTop w:val="0"/>
      <w:marBottom w:val="0"/>
      <w:divBdr>
        <w:top w:val="none" w:sz="0" w:space="0" w:color="auto"/>
        <w:left w:val="none" w:sz="0" w:space="0" w:color="auto"/>
        <w:bottom w:val="none" w:sz="0" w:space="0" w:color="auto"/>
        <w:right w:val="none" w:sz="0" w:space="0" w:color="auto"/>
      </w:divBdr>
    </w:div>
    <w:div w:id="703798228">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865493">
      <w:bodyDiv w:val="1"/>
      <w:marLeft w:val="0"/>
      <w:marRight w:val="0"/>
      <w:marTop w:val="0"/>
      <w:marBottom w:val="0"/>
      <w:divBdr>
        <w:top w:val="none" w:sz="0" w:space="0" w:color="auto"/>
        <w:left w:val="none" w:sz="0" w:space="0" w:color="auto"/>
        <w:bottom w:val="none" w:sz="0" w:space="0" w:color="auto"/>
        <w:right w:val="none" w:sz="0" w:space="0" w:color="auto"/>
      </w:divBdr>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796946518">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848174343">
      <w:bodyDiv w:val="1"/>
      <w:marLeft w:val="0"/>
      <w:marRight w:val="0"/>
      <w:marTop w:val="0"/>
      <w:marBottom w:val="0"/>
      <w:divBdr>
        <w:top w:val="none" w:sz="0" w:space="0" w:color="auto"/>
        <w:left w:val="none" w:sz="0" w:space="0" w:color="auto"/>
        <w:bottom w:val="none" w:sz="0" w:space="0" w:color="auto"/>
        <w:right w:val="none" w:sz="0" w:space="0" w:color="auto"/>
      </w:divBdr>
    </w:div>
    <w:div w:id="883324304">
      <w:bodyDiv w:val="1"/>
      <w:marLeft w:val="0"/>
      <w:marRight w:val="0"/>
      <w:marTop w:val="0"/>
      <w:marBottom w:val="0"/>
      <w:divBdr>
        <w:top w:val="none" w:sz="0" w:space="0" w:color="auto"/>
        <w:left w:val="none" w:sz="0" w:space="0" w:color="auto"/>
        <w:bottom w:val="none" w:sz="0" w:space="0" w:color="auto"/>
        <w:right w:val="none" w:sz="0" w:space="0" w:color="auto"/>
      </w:divBdr>
    </w:div>
    <w:div w:id="983698230">
      <w:bodyDiv w:val="1"/>
      <w:marLeft w:val="0"/>
      <w:marRight w:val="0"/>
      <w:marTop w:val="0"/>
      <w:marBottom w:val="0"/>
      <w:divBdr>
        <w:top w:val="none" w:sz="0" w:space="0" w:color="auto"/>
        <w:left w:val="none" w:sz="0" w:space="0" w:color="auto"/>
        <w:bottom w:val="none" w:sz="0" w:space="0" w:color="auto"/>
        <w:right w:val="none" w:sz="0" w:space="0" w:color="auto"/>
      </w:divBdr>
    </w:div>
    <w:div w:id="1012879687">
      <w:bodyDiv w:val="1"/>
      <w:marLeft w:val="0"/>
      <w:marRight w:val="0"/>
      <w:marTop w:val="0"/>
      <w:marBottom w:val="0"/>
      <w:divBdr>
        <w:top w:val="none" w:sz="0" w:space="0" w:color="auto"/>
        <w:left w:val="none" w:sz="0" w:space="0" w:color="auto"/>
        <w:bottom w:val="none" w:sz="0" w:space="0" w:color="auto"/>
        <w:right w:val="none" w:sz="0" w:space="0" w:color="auto"/>
      </w:divBdr>
    </w:div>
    <w:div w:id="1019041765">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240335641">
      <w:bodyDiv w:val="1"/>
      <w:marLeft w:val="0"/>
      <w:marRight w:val="0"/>
      <w:marTop w:val="0"/>
      <w:marBottom w:val="0"/>
      <w:divBdr>
        <w:top w:val="none" w:sz="0" w:space="0" w:color="auto"/>
        <w:left w:val="none" w:sz="0" w:space="0" w:color="auto"/>
        <w:bottom w:val="none" w:sz="0" w:space="0" w:color="auto"/>
        <w:right w:val="none" w:sz="0" w:space="0" w:color="auto"/>
      </w:divBdr>
    </w:div>
    <w:div w:id="1307976917">
      <w:bodyDiv w:val="1"/>
      <w:marLeft w:val="0"/>
      <w:marRight w:val="0"/>
      <w:marTop w:val="0"/>
      <w:marBottom w:val="0"/>
      <w:divBdr>
        <w:top w:val="none" w:sz="0" w:space="0" w:color="auto"/>
        <w:left w:val="none" w:sz="0" w:space="0" w:color="auto"/>
        <w:bottom w:val="none" w:sz="0" w:space="0" w:color="auto"/>
        <w:right w:val="none" w:sz="0" w:space="0" w:color="auto"/>
      </w:divBdr>
    </w:div>
    <w:div w:id="1529218655">
      <w:bodyDiv w:val="1"/>
      <w:marLeft w:val="0"/>
      <w:marRight w:val="0"/>
      <w:marTop w:val="0"/>
      <w:marBottom w:val="0"/>
      <w:divBdr>
        <w:top w:val="none" w:sz="0" w:space="0" w:color="auto"/>
        <w:left w:val="none" w:sz="0" w:space="0" w:color="auto"/>
        <w:bottom w:val="none" w:sz="0" w:space="0" w:color="auto"/>
        <w:right w:val="none" w:sz="0" w:space="0" w:color="auto"/>
      </w:divBdr>
    </w:div>
    <w:div w:id="1532184663">
      <w:bodyDiv w:val="1"/>
      <w:marLeft w:val="0"/>
      <w:marRight w:val="0"/>
      <w:marTop w:val="0"/>
      <w:marBottom w:val="0"/>
      <w:divBdr>
        <w:top w:val="none" w:sz="0" w:space="0" w:color="auto"/>
        <w:left w:val="none" w:sz="0" w:space="0" w:color="auto"/>
        <w:bottom w:val="none" w:sz="0" w:space="0" w:color="auto"/>
        <w:right w:val="none" w:sz="0" w:space="0" w:color="auto"/>
      </w:divBdr>
    </w:div>
    <w:div w:id="1535731004">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41110078">
      <w:bodyDiv w:val="1"/>
      <w:marLeft w:val="0"/>
      <w:marRight w:val="0"/>
      <w:marTop w:val="0"/>
      <w:marBottom w:val="0"/>
      <w:divBdr>
        <w:top w:val="none" w:sz="0" w:space="0" w:color="auto"/>
        <w:left w:val="none" w:sz="0" w:space="0" w:color="auto"/>
        <w:bottom w:val="none" w:sz="0" w:space="0" w:color="auto"/>
        <w:right w:val="none" w:sz="0" w:space="0" w:color="auto"/>
      </w:divBdr>
    </w:div>
    <w:div w:id="1759984489">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60380322">
      <w:bodyDiv w:val="1"/>
      <w:marLeft w:val="0"/>
      <w:marRight w:val="0"/>
      <w:marTop w:val="0"/>
      <w:marBottom w:val="0"/>
      <w:divBdr>
        <w:top w:val="none" w:sz="0" w:space="0" w:color="auto"/>
        <w:left w:val="none" w:sz="0" w:space="0" w:color="auto"/>
        <w:bottom w:val="none" w:sz="0" w:space="0" w:color="auto"/>
        <w:right w:val="none" w:sz="0" w:space="0" w:color="auto"/>
      </w:divBdr>
    </w:div>
    <w:div w:id="2047295467">
      <w:bodyDiv w:val="1"/>
      <w:marLeft w:val="0"/>
      <w:marRight w:val="0"/>
      <w:marTop w:val="0"/>
      <w:marBottom w:val="0"/>
      <w:divBdr>
        <w:top w:val="none" w:sz="0" w:space="0" w:color="auto"/>
        <w:left w:val="none" w:sz="0" w:space="0" w:color="auto"/>
        <w:bottom w:val="none" w:sz="0" w:space="0" w:color="auto"/>
        <w:right w:val="none" w:sz="0" w:space="0" w:color="auto"/>
      </w:divBdr>
    </w:div>
    <w:div w:id="2077624156">
      <w:bodyDiv w:val="1"/>
      <w:marLeft w:val="0"/>
      <w:marRight w:val="0"/>
      <w:marTop w:val="0"/>
      <w:marBottom w:val="0"/>
      <w:divBdr>
        <w:top w:val="none" w:sz="0" w:space="0" w:color="auto"/>
        <w:left w:val="none" w:sz="0" w:space="0" w:color="auto"/>
        <w:bottom w:val="none" w:sz="0" w:space="0" w:color="auto"/>
        <w:right w:val="none" w:sz="0" w:space="0" w:color="auto"/>
      </w:divBdr>
    </w:div>
    <w:div w:id="2107844429">
      <w:bodyDiv w:val="1"/>
      <w:marLeft w:val="0"/>
      <w:marRight w:val="0"/>
      <w:marTop w:val="0"/>
      <w:marBottom w:val="0"/>
      <w:divBdr>
        <w:top w:val="none" w:sz="0" w:space="0" w:color="auto"/>
        <w:left w:val="none" w:sz="0" w:space="0" w:color="auto"/>
        <w:bottom w:val="none" w:sz="0" w:space="0" w:color="auto"/>
        <w:right w:val="none" w:sz="0" w:space="0" w:color="auto"/>
      </w:divBdr>
    </w:div>
    <w:div w:id="21126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240BD"/>
    <w:rsid w:val="000636FC"/>
    <w:rsid w:val="0007266D"/>
    <w:rsid w:val="00082794"/>
    <w:rsid w:val="000A566B"/>
    <w:rsid w:val="000F7DFA"/>
    <w:rsid w:val="00103DD7"/>
    <w:rsid w:val="00192396"/>
    <w:rsid w:val="001B524F"/>
    <w:rsid w:val="001F6C55"/>
    <w:rsid w:val="00213176"/>
    <w:rsid w:val="0022607D"/>
    <w:rsid w:val="00240422"/>
    <w:rsid w:val="00284E98"/>
    <w:rsid w:val="002B79B1"/>
    <w:rsid w:val="003468A4"/>
    <w:rsid w:val="003A26A9"/>
    <w:rsid w:val="003F44B1"/>
    <w:rsid w:val="00424395"/>
    <w:rsid w:val="004B027E"/>
    <w:rsid w:val="004C5FA5"/>
    <w:rsid w:val="0051617A"/>
    <w:rsid w:val="00555E87"/>
    <w:rsid w:val="005F6B50"/>
    <w:rsid w:val="00602B26"/>
    <w:rsid w:val="00682AB9"/>
    <w:rsid w:val="00700FD6"/>
    <w:rsid w:val="00715771"/>
    <w:rsid w:val="00721837"/>
    <w:rsid w:val="00772D2C"/>
    <w:rsid w:val="007E7FF0"/>
    <w:rsid w:val="00805214"/>
    <w:rsid w:val="00841030"/>
    <w:rsid w:val="008738D8"/>
    <w:rsid w:val="00897E4C"/>
    <w:rsid w:val="008C6C1A"/>
    <w:rsid w:val="008D347D"/>
    <w:rsid w:val="00936019"/>
    <w:rsid w:val="00950D37"/>
    <w:rsid w:val="009525B9"/>
    <w:rsid w:val="00956E7B"/>
    <w:rsid w:val="009D3492"/>
    <w:rsid w:val="00A02387"/>
    <w:rsid w:val="00A06040"/>
    <w:rsid w:val="00A647A9"/>
    <w:rsid w:val="00A81BE8"/>
    <w:rsid w:val="00AD3FEE"/>
    <w:rsid w:val="00AF40D5"/>
    <w:rsid w:val="00B03892"/>
    <w:rsid w:val="00B159E0"/>
    <w:rsid w:val="00B427A3"/>
    <w:rsid w:val="00BF6024"/>
    <w:rsid w:val="00CB572C"/>
    <w:rsid w:val="00CE1364"/>
    <w:rsid w:val="00D334DF"/>
    <w:rsid w:val="00D80E25"/>
    <w:rsid w:val="00DA1B71"/>
    <w:rsid w:val="00E07D5D"/>
    <w:rsid w:val="00E57425"/>
    <w:rsid w:val="00E92D8C"/>
    <w:rsid w:val="00ED55CE"/>
    <w:rsid w:val="00ED5A5F"/>
    <w:rsid w:val="00EE313E"/>
    <w:rsid w:val="00F60A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9955</Words>
  <Characters>51835</Characters>
  <Application>Microsoft Office Word</Application>
  <DocSecurity>0</DocSecurity>
  <Lines>944</Lines>
  <Paragraphs>309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61707</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2016-05-09T04:55:00Z</cp:lastPrinted>
  <dcterms:created xsi:type="dcterms:W3CDTF">2022-10-11T00:07:00Z</dcterms:created>
  <dcterms:modified xsi:type="dcterms:W3CDTF">2022-10-11T00:07:00Z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_DocHome">
    <vt:i4>-409994015</vt:i4>
  </property>
</Properties>
</file>