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20C3D733"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400C12">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5DAF70B7" w14:textId="5DC14196" w:rsidR="0088445B" w:rsidRPr="0088445B" w:rsidRDefault="0088445B" w:rsidP="0088445B">
      <w:pPr>
        <w:spacing w:after="0"/>
        <w:jc w:val="center"/>
        <w:rPr>
          <w:rFonts w:ascii="Arial" w:hAnsi="Arial" w:cs="Arial"/>
          <w:b/>
          <w:bCs/>
          <w:sz w:val="24"/>
          <w:szCs w:val="24"/>
        </w:rPr>
      </w:pPr>
      <w:r w:rsidRPr="0088445B">
        <w:rPr>
          <w:rFonts w:ascii="Arial" w:hAnsi="Arial" w:cs="Arial"/>
          <w:b/>
          <w:bCs/>
          <w:sz w:val="24"/>
          <w:szCs w:val="24"/>
        </w:rPr>
        <w:t>BACKGROUND CHECKING</w:t>
      </w:r>
      <w:r w:rsidR="00551C01">
        <w:rPr>
          <w:rFonts w:ascii="Arial" w:hAnsi="Arial" w:cs="Arial"/>
          <w:b/>
          <w:bCs/>
          <w:sz w:val="24"/>
          <w:szCs w:val="24"/>
        </w:rPr>
        <w:t xml:space="preserve"> LEGISLATION</w:t>
      </w:r>
      <w:r w:rsidRPr="0088445B">
        <w:rPr>
          <w:rFonts w:ascii="Arial" w:hAnsi="Arial" w:cs="Arial"/>
          <w:b/>
          <w:bCs/>
          <w:sz w:val="24"/>
          <w:szCs w:val="24"/>
        </w:rPr>
        <w:t xml:space="preserve"> AMENDMENT BILL 2022</w:t>
      </w:r>
    </w:p>
    <w:p w14:paraId="69918477" w14:textId="2E84174A" w:rsidR="00741C4A" w:rsidRPr="00741C4A" w:rsidRDefault="00741C4A" w:rsidP="00741C4A">
      <w:pPr>
        <w:spacing w:after="0"/>
        <w:jc w:val="center"/>
        <w:rPr>
          <w:rFonts w:ascii="Arial" w:hAnsi="Arial" w:cs="Arial"/>
          <w:b/>
          <w:bCs/>
          <w:sz w:val="24"/>
          <w:szCs w:val="24"/>
        </w:rPr>
      </w:pP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355081B2" w:rsidR="00BC3EF0" w:rsidRDefault="00653196" w:rsidP="00BB387E">
      <w:pPr>
        <w:spacing w:after="0"/>
        <w:jc w:val="center"/>
        <w:rPr>
          <w:rFonts w:ascii="Arial" w:hAnsi="Arial" w:cs="Arial"/>
          <w:b/>
          <w:bCs/>
          <w:sz w:val="24"/>
          <w:szCs w:val="24"/>
        </w:rPr>
      </w:pPr>
      <w:r>
        <w:rPr>
          <w:rFonts w:ascii="Arial" w:hAnsi="Arial" w:cs="Arial"/>
          <w:b/>
          <w:bCs/>
          <w:sz w:val="24"/>
          <w:szCs w:val="24"/>
        </w:rPr>
        <w:t xml:space="preserve">SUPPLEMENTARY </w:t>
      </w:r>
      <w:r w:rsidR="00BB387E" w:rsidRPr="00BB387E">
        <w:rPr>
          <w:rFonts w:ascii="Arial" w:hAnsi="Arial" w:cs="Arial"/>
          <w:b/>
          <w:bCs/>
          <w:sz w:val="24"/>
          <w:szCs w:val="24"/>
        </w:rPr>
        <w:t>EXPLANATORY STATEMENT</w:t>
      </w:r>
      <w:r w:rsidR="00BC3EF0">
        <w:rPr>
          <w:rFonts w:ascii="Arial" w:hAnsi="Arial" w:cs="Arial"/>
          <w:b/>
          <w:bCs/>
          <w:sz w:val="24"/>
          <w:szCs w:val="24"/>
        </w:rPr>
        <w:t xml:space="preserve"> </w:t>
      </w:r>
    </w:p>
    <w:p w14:paraId="00B32D69" w14:textId="2EBA250C" w:rsidR="00BC3EF0" w:rsidRPr="00BB387E" w:rsidRDefault="00BC3EF0" w:rsidP="00BB387E">
      <w:pPr>
        <w:spacing w:after="0"/>
        <w:jc w:val="center"/>
        <w:rPr>
          <w:rFonts w:ascii="Arial" w:hAnsi="Arial" w:cs="Arial"/>
          <w:b/>
          <w:sz w:val="24"/>
          <w:szCs w:val="24"/>
        </w:rPr>
      </w:pPr>
    </w:p>
    <w:p w14:paraId="4E561EC7" w14:textId="77777777" w:rsidR="00BB387E" w:rsidRPr="00BB387E" w:rsidRDefault="00BB387E" w:rsidP="00BB387E">
      <w:pPr>
        <w:spacing w:after="0"/>
        <w:jc w:val="center"/>
        <w:rPr>
          <w:rFonts w:ascii="Arial" w:hAnsi="Arial" w:cs="Arial"/>
          <w:b/>
          <w:sz w:val="24"/>
          <w:szCs w:val="24"/>
        </w:rPr>
      </w:pPr>
    </w:p>
    <w:p w14:paraId="58E7858B" w14:textId="484B0A17" w:rsidR="00BB387E" w:rsidRDefault="00BB387E" w:rsidP="00BB387E">
      <w:pPr>
        <w:spacing w:after="0"/>
        <w:jc w:val="center"/>
        <w:rPr>
          <w:rFonts w:ascii="Arial" w:hAnsi="Arial" w:cs="Arial"/>
          <w:b/>
          <w:sz w:val="24"/>
          <w:szCs w:val="24"/>
        </w:rPr>
      </w:pPr>
    </w:p>
    <w:p w14:paraId="01CEFBB0" w14:textId="11A6352F" w:rsidR="00551C01" w:rsidRDefault="00551C01" w:rsidP="00BB387E">
      <w:pPr>
        <w:spacing w:after="0"/>
        <w:jc w:val="center"/>
        <w:rPr>
          <w:rFonts w:ascii="Arial" w:hAnsi="Arial" w:cs="Arial"/>
          <w:b/>
          <w:sz w:val="24"/>
          <w:szCs w:val="24"/>
        </w:rPr>
      </w:pPr>
    </w:p>
    <w:p w14:paraId="305301F3" w14:textId="31B21BE2" w:rsidR="00551C01" w:rsidRDefault="00551C01" w:rsidP="00BB387E">
      <w:pPr>
        <w:spacing w:after="0"/>
        <w:jc w:val="center"/>
        <w:rPr>
          <w:rFonts w:ascii="Arial" w:hAnsi="Arial" w:cs="Arial"/>
          <w:b/>
          <w:sz w:val="24"/>
          <w:szCs w:val="24"/>
        </w:rPr>
      </w:pPr>
    </w:p>
    <w:p w14:paraId="18E4708A" w14:textId="77777777" w:rsidR="00551C01" w:rsidRPr="00BB387E" w:rsidRDefault="00551C01" w:rsidP="00BB387E">
      <w:pPr>
        <w:spacing w:after="0"/>
        <w:jc w:val="center"/>
        <w:rPr>
          <w:rFonts w:ascii="Arial" w:hAnsi="Arial" w:cs="Arial"/>
          <w:b/>
          <w:sz w:val="24"/>
          <w:szCs w:val="24"/>
        </w:rPr>
      </w:pPr>
    </w:p>
    <w:p w14:paraId="44FB09C0" w14:textId="23514BE6" w:rsidR="00BB387E" w:rsidRDefault="00BB387E" w:rsidP="00BB387E">
      <w:pPr>
        <w:spacing w:after="0"/>
        <w:jc w:val="center"/>
        <w:rPr>
          <w:rFonts w:ascii="Arial" w:hAnsi="Arial" w:cs="Arial"/>
          <w:b/>
          <w:sz w:val="24"/>
          <w:szCs w:val="24"/>
        </w:rPr>
      </w:pPr>
    </w:p>
    <w:p w14:paraId="00D97C04" w14:textId="3277678B" w:rsidR="00551C01" w:rsidRDefault="00551C01" w:rsidP="00BB387E">
      <w:pPr>
        <w:spacing w:after="0"/>
        <w:jc w:val="center"/>
        <w:rPr>
          <w:rFonts w:ascii="Arial" w:hAnsi="Arial" w:cs="Arial"/>
          <w:b/>
          <w:sz w:val="24"/>
          <w:szCs w:val="24"/>
        </w:rPr>
      </w:pPr>
    </w:p>
    <w:p w14:paraId="29CBFAEB" w14:textId="77777777" w:rsidR="00551C01" w:rsidRPr="00BB387E" w:rsidRDefault="00551C01"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84838A0" w:rsidR="00BB387E" w:rsidRDefault="00BB387E" w:rsidP="00BB387E">
      <w:pPr>
        <w:keepNext/>
        <w:widowControl w:val="0"/>
        <w:spacing w:after="0"/>
        <w:jc w:val="center"/>
        <w:outlineLvl w:val="7"/>
        <w:rPr>
          <w:rFonts w:ascii="Arial" w:hAnsi="Arial" w:cs="Arial"/>
          <w:b/>
          <w:bCs/>
          <w:sz w:val="24"/>
          <w:szCs w:val="24"/>
        </w:rPr>
      </w:pPr>
    </w:p>
    <w:p w14:paraId="05B15A46" w14:textId="77777777" w:rsidR="00C90D64" w:rsidRPr="00BB387E" w:rsidRDefault="00C90D64"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51D8370" w14:textId="77777777" w:rsidR="00C90D64" w:rsidRDefault="00C90D64" w:rsidP="00BB387E">
      <w:pPr>
        <w:keepNext/>
        <w:widowControl w:val="0"/>
        <w:spacing w:after="0"/>
        <w:ind w:right="686"/>
        <w:jc w:val="right"/>
        <w:outlineLvl w:val="7"/>
        <w:rPr>
          <w:rFonts w:ascii="Arial" w:hAnsi="Arial" w:cs="Arial"/>
          <w:b/>
          <w:bCs/>
          <w:sz w:val="24"/>
          <w:szCs w:val="24"/>
        </w:rPr>
      </w:pPr>
    </w:p>
    <w:p w14:paraId="2D0F4E33" w14:textId="01B8AEFB"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59FDF766" w:rsidR="00BB387E" w:rsidRDefault="00AF0F0A" w:rsidP="00BB387E">
      <w:pPr>
        <w:spacing w:after="0"/>
        <w:ind w:right="686"/>
        <w:jc w:val="right"/>
        <w:rPr>
          <w:rFonts w:ascii="Arial" w:hAnsi="Arial" w:cs="Arial"/>
          <w:b/>
          <w:bCs/>
          <w:sz w:val="24"/>
          <w:szCs w:val="24"/>
        </w:rPr>
      </w:pPr>
      <w:r w:rsidRPr="00AF0F0A">
        <w:rPr>
          <w:rFonts w:ascii="Arial" w:hAnsi="Arial" w:cs="Arial"/>
          <w:b/>
          <w:bCs/>
          <w:sz w:val="24"/>
          <w:szCs w:val="24"/>
        </w:rPr>
        <w:t xml:space="preserve">Rachel Stephen-Smith </w:t>
      </w:r>
      <w:r w:rsidR="00E954A1">
        <w:rPr>
          <w:rFonts w:ascii="Arial" w:hAnsi="Arial" w:cs="Arial"/>
          <w:b/>
          <w:bCs/>
          <w:sz w:val="24"/>
          <w:szCs w:val="24"/>
        </w:rPr>
        <w:t>MLA</w:t>
      </w:r>
    </w:p>
    <w:p w14:paraId="7F08F112" w14:textId="544B9D59" w:rsidR="00551C01" w:rsidRPr="00BB387E" w:rsidRDefault="00551C01" w:rsidP="00BB387E">
      <w:pPr>
        <w:spacing w:after="0"/>
        <w:ind w:right="686"/>
        <w:jc w:val="right"/>
        <w:rPr>
          <w:rFonts w:ascii="Arial" w:hAnsi="Arial" w:cs="Arial"/>
          <w:b/>
          <w:bCs/>
          <w:sz w:val="24"/>
          <w:szCs w:val="24"/>
        </w:rPr>
      </w:pPr>
      <w:r>
        <w:rPr>
          <w:rFonts w:ascii="Arial" w:hAnsi="Arial" w:cs="Arial"/>
          <w:b/>
          <w:bCs/>
          <w:sz w:val="24"/>
          <w:szCs w:val="24"/>
        </w:rPr>
        <w:t>Minister for Families and Community Services</w:t>
      </w:r>
    </w:p>
    <w:p w14:paraId="29D58DC6" w14:textId="6271FD52" w:rsidR="00DC5912" w:rsidRPr="008C3B92" w:rsidRDefault="00DC5912" w:rsidP="00551C01">
      <w:pPr>
        <w:spacing w:after="0" w:line="240" w:lineRule="auto"/>
        <w:ind w:left="284"/>
        <w:rPr>
          <w:rFonts w:ascii="Arial" w:hAnsi="Arial" w:cs="Arial"/>
          <w:b/>
          <w:bCs/>
          <w:sz w:val="24"/>
          <w:szCs w:val="24"/>
          <w:u w:val="single"/>
        </w:rPr>
        <w:sectPr w:rsidR="00DC5912" w:rsidRPr="008C3B92" w:rsidSect="00551C01">
          <w:headerReference w:type="even" r:id="rId9"/>
          <w:headerReference w:type="default" r:id="rId10"/>
          <w:footerReference w:type="even" r:id="rId11"/>
          <w:footerReference w:type="default" r:id="rId12"/>
          <w:headerReference w:type="first" r:id="rId13"/>
          <w:footerReference w:type="first" r:id="rId14"/>
          <w:pgSz w:w="11906" w:h="16838"/>
          <w:pgMar w:top="1276" w:right="849" w:bottom="1440" w:left="851" w:header="709" w:footer="675" w:gutter="0"/>
          <w:pgNumType w:start="1"/>
          <w:cols w:space="708"/>
          <w:docGrid w:linePitch="360"/>
        </w:sectPr>
      </w:pPr>
    </w:p>
    <w:p w14:paraId="5D1513FF" w14:textId="1F2899B0" w:rsidR="00653196" w:rsidRDefault="00D075B6" w:rsidP="008C225D">
      <w:pPr>
        <w:pStyle w:val="Heading1"/>
        <w:jc w:val="center"/>
      </w:pPr>
      <w:r w:rsidRPr="00D075B6">
        <w:lastRenderedPageBreak/>
        <w:t>BACKGROUND CHECKING</w:t>
      </w:r>
      <w:r w:rsidR="00551C01">
        <w:t xml:space="preserve"> LEGISLATION</w:t>
      </w:r>
      <w:r w:rsidRPr="00D075B6">
        <w:t xml:space="preserve"> AMENDMENT </w:t>
      </w:r>
      <w:r w:rsidR="00ED3B77" w:rsidRPr="00BB387E">
        <w:t xml:space="preserve">BILL </w:t>
      </w:r>
      <w:r w:rsidR="005B7158" w:rsidRPr="00BB387E">
        <w:t>20</w:t>
      </w:r>
      <w:r w:rsidR="005B7158">
        <w:t>2</w:t>
      </w:r>
      <w:r w:rsidR="00653196">
        <w:t>2</w:t>
      </w:r>
    </w:p>
    <w:p w14:paraId="00ACAF6A" w14:textId="5A367F0D" w:rsidR="00ED3B77" w:rsidRPr="00BB387E" w:rsidRDefault="00653196" w:rsidP="008C225D">
      <w:pPr>
        <w:pStyle w:val="Heading1"/>
        <w:jc w:val="center"/>
      </w:pPr>
      <w:r>
        <w:t>Government Amendments</w:t>
      </w:r>
    </w:p>
    <w:p w14:paraId="2612AE1F" w14:textId="77777777" w:rsidR="00834FC9" w:rsidRDefault="00834FC9" w:rsidP="007F3D56">
      <w:pPr>
        <w:spacing w:after="0"/>
        <w:contextualSpacing/>
        <w:rPr>
          <w:rFonts w:ascii="Arial" w:hAnsi="Arial" w:cs="Arial"/>
          <w:bCs/>
          <w:sz w:val="24"/>
          <w:szCs w:val="24"/>
        </w:rPr>
      </w:pPr>
    </w:p>
    <w:p w14:paraId="77004ED2" w14:textId="1D88E7D2" w:rsidR="00653196" w:rsidRPr="00653196" w:rsidRDefault="00653196" w:rsidP="007F3D56">
      <w:pPr>
        <w:spacing w:after="0"/>
        <w:contextualSpacing/>
        <w:rPr>
          <w:rFonts w:ascii="Arial" w:hAnsi="Arial" w:cs="Arial"/>
          <w:b/>
          <w:sz w:val="24"/>
          <w:szCs w:val="24"/>
        </w:rPr>
      </w:pPr>
      <w:r w:rsidRPr="00653196">
        <w:rPr>
          <w:rFonts w:ascii="Arial" w:hAnsi="Arial" w:cs="Arial"/>
          <w:b/>
          <w:sz w:val="24"/>
          <w:szCs w:val="24"/>
        </w:rPr>
        <w:t xml:space="preserve">Outline of Government Amendments </w:t>
      </w:r>
    </w:p>
    <w:p w14:paraId="6EBC8B96" w14:textId="1FB9CA2B" w:rsidR="00653196" w:rsidRDefault="00653196" w:rsidP="007F3D56">
      <w:pPr>
        <w:spacing w:after="0"/>
        <w:contextualSpacing/>
        <w:rPr>
          <w:rFonts w:ascii="Arial" w:hAnsi="Arial" w:cs="Arial"/>
          <w:bCs/>
          <w:sz w:val="24"/>
          <w:szCs w:val="24"/>
        </w:rPr>
      </w:pPr>
    </w:p>
    <w:p w14:paraId="358D87C6" w14:textId="5E516105" w:rsidR="00653196" w:rsidRDefault="00653196" w:rsidP="007F3D56">
      <w:pPr>
        <w:spacing w:after="0"/>
        <w:contextualSpacing/>
        <w:rPr>
          <w:rFonts w:ascii="Arial" w:hAnsi="Arial" w:cs="Arial"/>
          <w:bCs/>
          <w:sz w:val="24"/>
          <w:szCs w:val="24"/>
        </w:rPr>
      </w:pPr>
      <w:r>
        <w:rPr>
          <w:rFonts w:ascii="Arial" w:hAnsi="Arial" w:cs="Arial"/>
          <w:bCs/>
          <w:sz w:val="24"/>
          <w:szCs w:val="24"/>
        </w:rPr>
        <w:t>This supplementary explanatory statement relates to Government amendment</w:t>
      </w:r>
      <w:r w:rsidR="00DB702F">
        <w:rPr>
          <w:rFonts w:ascii="Arial" w:hAnsi="Arial" w:cs="Arial"/>
          <w:bCs/>
          <w:sz w:val="24"/>
          <w:szCs w:val="24"/>
        </w:rPr>
        <w:t>s</w:t>
      </w:r>
      <w:r>
        <w:rPr>
          <w:rFonts w:ascii="Arial" w:hAnsi="Arial" w:cs="Arial"/>
          <w:bCs/>
          <w:sz w:val="24"/>
          <w:szCs w:val="24"/>
        </w:rPr>
        <w:t xml:space="preserve"> to the Background Checking</w:t>
      </w:r>
      <w:r w:rsidR="00551C01">
        <w:rPr>
          <w:rFonts w:ascii="Arial" w:hAnsi="Arial" w:cs="Arial"/>
          <w:bCs/>
          <w:sz w:val="24"/>
          <w:szCs w:val="24"/>
        </w:rPr>
        <w:t xml:space="preserve"> Legislation </w:t>
      </w:r>
      <w:r>
        <w:rPr>
          <w:rFonts w:ascii="Arial" w:hAnsi="Arial" w:cs="Arial"/>
          <w:bCs/>
          <w:sz w:val="24"/>
          <w:szCs w:val="24"/>
        </w:rPr>
        <w:t xml:space="preserve">Amendment Bill 2022 (Bill) as presented to the Legislative Assembly. </w:t>
      </w:r>
    </w:p>
    <w:p w14:paraId="7DFADEC9" w14:textId="77777777" w:rsidR="00653196" w:rsidRDefault="00653196" w:rsidP="00653196">
      <w:pPr>
        <w:spacing w:after="0"/>
        <w:contextualSpacing/>
        <w:rPr>
          <w:rFonts w:ascii="Arial" w:hAnsi="Arial" w:cs="Arial"/>
          <w:bCs/>
          <w:sz w:val="24"/>
          <w:szCs w:val="24"/>
        </w:rPr>
      </w:pPr>
    </w:p>
    <w:p w14:paraId="03341F08" w14:textId="06D90E0A" w:rsidR="00653196" w:rsidRPr="00653196" w:rsidRDefault="00653196" w:rsidP="00653196">
      <w:pPr>
        <w:spacing w:after="0"/>
        <w:contextualSpacing/>
        <w:rPr>
          <w:rFonts w:ascii="Arial" w:hAnsi="Arial" w:cs="Arial"/>
          <w:bCs/>
          <w:sz w:val="24"/>
          <w:szCs w:val="24"/>
        </w:rPr>
      </w:pPr>
      <w:r w:rsidRPr="00653196">
        <w:rPr>
          <w:rFonts w:ascii="Arial" w:hAnsi="Arial" w:cs="Arial"/>
          <w:bCs/>
          <w:sz w:val="24"/>
          <w:szCs w:val="24"/>
        </w:rPr>
        <w:t xml:space="preserve">This supplementary explanatory statement relates to Government amendments </w:t>
      </w:r>
    </w:p>
    <w:p w14:paraId="019716A7" w14:textId="4FFC468F" w:rsidR="00653196" w:rsidRPr="00653196" w:rsidRDefault="00653196" w:rsidP="00653196">
      <w:pPr>
        <w:spacing w:after="0"/>
        <w:contextualSpacing/>
        <w:rPr>
          <w:rFonts w:ascii="Arial" w:hAnsi="Arial" w:cs="Arial"/>
          <w:bCs/>
          <w:sz w:val="24"/>
          <w:szCs w:val="24"/>
        </w:rPr>
      </w:pPr>
      <w:r w:rsidRPr="00653196">
        <w:rPr>
          <w:rFonts w:ascii="Arial" w:hAnsi="Arial" w:cs="Arial"/>
          <w:bCs/>
          <w:sz w:val="24"/>
          <w:szCs w:val="24"/>
        </w:rPr>
        <w:t xml:space="preserve">to the Bill as presented to the Legislative Assembly. It has been prepared to </w:t>
      </w:r>
    </w:p>
    <w:p w14:paraId="1C4CC69C" w14:textId="50C4FACA" w:rsidR="00653196" w:rsidRPr="00653196" w:rsidRDefault="00653196" w:rsidP="00653196">
      <w:pPr>
        <w:spacing w:after="0"/>
        <w:contextualSpacing/>
        <w:rPr>
          <w:rFonts w:ascii="Arial" w:hAnsi="Arial" w:cs="Arial"/>
          <w:bCs/>
          <w:sz w:val="24"/>
          <w:szCs w:val="24"/>
        </w:rPr>
      </w:pPr>
      <w:r w:rsidRPr="00653196">
        <w:rPr>
          <w:rFonts w:ascii="Arial" w:hAnsi="Arial" w:cs="Arial"/>
          <w:bCs/>
          <w:sz w:val="24"/>
          <w:szCs w:val="24"/>
        </w:rPr>
        <w:t>assist the reader of the Government amendment</w:t>
      </w:r>
      <w:r w:rsidR="006E25FC">
        <w:rPr>
          <w:rFonts w:ascii="Arial" w:hAnsi="Arial" w:cs="Arial"/>
          <w:bCs/>
          <w:sz w:val="24"/>
          <w:szCs w:val="24"/>
        </w:rPr>
        <w:t>s</w:t>
      </w:r>
      <w:r w:rsidRPr="00653196">
        <w:rPr>
          <w:rFonts w:ascii="Arial" w:hAnsi="Arial" w:cs="Arial"/>
          <w:bCs/>
          <w:sz w:val="24"/>
          <w:szCs w:val="24"/>
        </w:rPr>
        <w:t xml:space="preserve"> and help inform </w:t>
      </w:r>
      <w:r w:rsidR="006E25FC">
        <w:rPr>
          <w:rFonts w:ascii="Arial" w:hAnsi="Arial" w:cs="Arial"/>
          <w:bCs/>
          <w:sz w:val="24"/>
          <w:szCs w:val="24"/>
        </w:rPr>
        <w:t xml:space="preserve">relevant </w:t>
      </w:r>
      <w:r w:rsidRPr="00653196">
        <w:rPr>
          <w:rFonts w:ascii="Arial" w:hAnsi="Arial" w:cs="Arial"/>
          <w:bCs/>
          <w:sz w:val="24"/>
          <w:szCs w:val="24"/>
        </w:rPr>
        <w:t>debate</w:t>
      </w:r>
      <w:r w:rsidR="006E25FC">
        <w:rPr>
          <w:rFonts w:ascii="Arial" w:hAnsi="Arial" w:cs="Arial"/>
          <w:bCs/>
          <w:sz w:val="24"/>
          <w:szCs w:val="24"/>
        </w:rPr>
        <w:t>.</w:t>
      </w:r>
      <w:r w:rsidRPr="00653196">
        <w:rPr>
          <w:rFonts w:ascii="Arial" w:hAnsi="Arial" w:cs="Arial"/>
          <w:bCs/>
          <w:sz w:val="24"/>
          <w:szCs w:val="24"/>
        </w:rPr>
        <w:t xml:space="preserve"> </w:t>
      </w:r>
    </w:p>
    <w:p w14:paraId="486C1326" w14:textId="77777777" w:rsidR="00653196" w:rsidRPr="00653196" w:rsidRDefault="00653196" w:rsidP="00653196">
      <w:pPr>
        <w:spacing w:after="0"/>
        <w:contextualSpacing/>
        <w:rPr>
          <w:rFonts w:ascii="Arial" w:hAnsi="Arial" w:cs="Arial"/>
          <w:bCs/>
          <w:sz w:val="24"/>
          <w:szCs w:val="24"/>
        </w:rPr>
      </w:pPr>
      <w:r w:rsidRPr="00653196">
        <w:rPr>
          <w:rFonts w:ascii="Arial" w:hAnsi="Arial" w:cs="Arial"/>
          <w:bCs/>
          <w:sz w:val="24"/>
          <w:szCs w:val="24"/>
        </w:rPr>
        <w:t xml:space="preserve">It does not form part of the Bill and has not been endorsed by the Legislative </w:t>
      </w:r>
    </w:p>
    <w:p w14:paraId="7527869C" w14:textId="77777777" w:rsidR="00653196" w:rsidRPr="00653196" w:rsidRDefault="00653196" w:rsidP="00653196">
      <w:pPr>
        <w:spacing w:after="0"/>
        <w:contextualSpacing/>
        <w:rPr>
          <w:rFonts w:ascii="Arial" w:hAnsi="Arial" w:cs="Arial"/>
          <w:bCs/>
          <w:sz w:val="24"/>
          <w:szCs w:val="24"/>
        </w:rPr>
      </w:pPr>
      <w:r w:rsidRPr="00653196">
        <w:rPr>
          <w:rFonts w:ascii="Arial" w:hAnsi="Arial" w:cs="Arial"/>
          <w:bCs/>
          <w:sz w:val="24"/>
          <w:szCs w:val="24"/>
        </w:rPr>
        <w:t xml:space="preserve">Assembly. A more detailed explanation of the purposes and intended operation of </w:t>
      </w:r>
    </w:p>
    <w:p w14:paraId="3A2D60BA" w14:textId="516A7137" w:rsidR="00653196" w:rsidRDefault="00653196" w:rsidP="00653196">
      <w:pPr>
        <w:spacing w:after="0"/>
        <w:contextualSpacing/>
        <w:rPr>
          <w:rFonts w:ascii="Arial" w:hAnsi="Arial" w:cs="Arial"/>
          <w:bCs/>
          <w:sz w:val="24"/>
          <w:szCs w:val="24"/>
        </w:rPr>
      </w:pPr>
      <w:r w:rsidRPr="00653196">
        <w:rPr>
          <w:rFonts w:ascii="Arial" w:hAnsi="Arial" w:cs="Arial"/>
          <w:bCs/>
          <w:sz w:val="24"/>
          <w:szCs w:val="24"/>
        </w:rPr>
        <w:t>the Bill are set out in the Explanatory Statement for the Bill.</w:t>
      </w:r>
      <w:r w:rsidRPr="00653196">
        <w:rPr>
          <w:rFonts w:ascii="Arial" w:hAnsi="Arial" w:cs="Arial"/>
          <w:bCs/>
          <w:sz w:val="24"/>
          <w:szCs w:val="24"/>
        </w:rPr>
        <w:cr/>
      </w:r>
    </w:p>
    <w:p w14:paraId="31DF51AF" w14:textId="253915E2" w:rsidR="00653196" w:rsidRDefault="00653196" w:rsidP="007F3D56">
      <w:pPr>
        <w:spacing w:after="0"/>
        <w:contextualSpacing/>
        <w:rPr>
          <w:rFonts w:ascii="Arial" w:hAnsi="Arial" w:cs="Arial"/>
          <w:bCs/>
          <w:sz w:val="24"/>
          <w:szCs w:val="24"/>
        </w:rPr>
      </w:pPr>
      <w:r w:rsidRPr="00653196">
        <w:rPr>
          <w:rFonts w:ascii="Arial" w:hAnsi="Arial" w:cs="Arial"/>
          <w:bCs/>
          <w:sz w:val="24"/>
          <w:szCs w:val="24"/>
        </w:rPr>
        <w:t xml:space="preserve">The Government amendments will </w:t>
      </w:r>
      <w:r w:rsidR="00FF38C7">
        <w:rPr>
          <w:rFonts w:ascii="Arial" w:hAnsi="Arial" w:cs="Arial"/>
          <w:bCs/>
          <w:sz w:val="24"/>
          <w:szCs w:val="24"/>
        </w:rPr>
        <w:t>adjust</w:t>
      </w:r>
      <w:r w:rsidRPr="00653196">
        <w:rPr>
          <w:rFonts w:ascii="Arial" w:hAnsi="Arial" w:cs="Arial"/>
          <w:bCs/>
          <w:sz w:val="24"/>
          <w:szCs w:val="24"/>
        </w:rPr>
        <w:t>:</w:t>
      </w:r>
    </w:p>
    <w:p w14:paraId="3715F084" w14:textId="5FB8C8E0" w:rsidR="00653196" w:rsidRDefault="00653196" w:rsidP="007F3D56">
      <w:pPr>
        <w:spacing w:after="0"/>
        <w:contextualSpacing/>
        <w:rPr>
          <w:rFonts w:ascii="Arial" w:hAnsi="Arial" w:cs="Arial"/>
          <w:bCs/>
          <w:sz w:val="24"/>
          <w:szCs w:val="24"/>
        </w:rPr>
      </w:pPr>
    </w:p>
    <w:p w14:paraId="6FC37AC4" w14:textId="6F29D9A5" w:rsidR="001F68AF" w:rsidRDefault="00653196" w:rsidP="00653196">
      <w:pPr>
        <w:pStyle w:val="ListParagraph"/>
        <w:numPr>
          <w:ilvl w:val="0"/>
          <w:numId w:val="34"/>
        </w:numPr>
        <w:contextualSpacing/>
        <w:rPr>
          <w:rFonts w:ascii="Arial" w:hAnsi="Arial" w:cs="Arial"/>
          <w:bCs/>
          <w:sz w:val="24"/>
          <w:szCs w:val="24"/>
        </w:rPr>
      </w:pPr>
      <w:r>
        <w:rPr>
          <w:rFonts w:ascii="Arial" w:hAnsi="Arial" w:cs="Arial"/>
          <w:bCs/>
          <w:sz w:val="24"/>
          <w:szCs w:val="24"/>
        </w:rPr>
        <w:t xml:space="preserve">the treatment of the offence of incest </w:t>
      </w:r>
      <w:r w:rsidR="00FF38C7">
        <w:rPr>
          <w:rFonts w:ascii="Arial" w:hAnsi="Arial" w:cs="Arial"/>
          <w:bCs/>
          <w:sz w:val="24"/>
          <w:szCs w:val="24"/>
        </w:rPr>
        <w:t xml:space="preserve">(child under the age of 16) </w:t>
      </w:r>
      <w:r>
        <w:rPr>
          <w:rFonts w:ascii="Arial" w:hAnsi="Arial" w:cs="Arial"/>
          <w:bCs/>
          <w:sz w:val="24"/>
          <w:szCs w:val="24"/>
        </w:rPr>
        <w:t xml:space="preserve">within the scheme of disqualifying offences in Schedules 2 and 3 of the </w:t>
      </w:r>
      <w:r w:rsidR="00A13E15" w:rsidRPr="00D075B6">
        <w:rPr>
          <w:rFonts w:ascii="Arial" w:hAnsi="Arial" w:cs="Arial"/>
          <w:bCs/>
          <w:i/>
          <w:iCs/>
          <w:sz w:val="24"/>
          <w:szCs w:val="24"/>
        </w:rPr>
        <w:t xml:space="preserve">Working with Vulnerable People (Background Checking) Act 2011 </w:t>
      </w:r>
      <w:r w:rsidR="00A13E15">
        <w:rPr>
          <w:rFonts w:ascii="Arial" w:hAnsi="Arial" w:cs="Arial"/>
          <w:bCs/>
          <w:sz w:val="24"/>
          <w:szCs w:val="24"/>
        </w:rPr>
        <w:t>(WWVP Act)</w:t>
      </w:r>
      <w:r w:rsidR="001F68AF">
        <w:rPr>
          <w:rFonts w:ascii="Arial" w:hAnsi="Arial" w:cs="Arial"/>
          <w:bCs/>
          <w:sz w:val="24"/>
          <w:szCs w:val="24"/>
        </w:rPr>
        <w:t>;</w:t>
      </w:r>
    </w:p>
    <w:p w14:paraId="338F6FAD" w14:textId="77777777" w:rsidR="00DB702F" w:rsidRDefault="00DB702F" w:rsidP="00DB702F">
      <w:pPr>
        <w:pStyle w:val="ListParagraph"/>
        <w:contextualSpacing/>
        <w:rPr>
          <w:rFonts w:ascii="Arial" w:hAnsi="Arial" w:cs="Arial"/>
          <w:bCs/>
          <w:sz w:val="24"/>
          <w:szCs w:val="24"/>
        </w:rPr>
      </w:pPr>
    </w:p>
    <w:p w14:paraId="28ADE031" w14:textId="79B7C3EC" w:rsidR="00653196" w:rsidRDefault="00FF38C7">
      <w:pPr>
        <w:pStyle w:val="ListParagraph"/>
        <w:numPr>
          <w:ilvl w:val="0"/>
          <w:numId w:val="34"/>
        </w:numPr>
        <w:contextualSpacing/>
        <w:rPr>
          <w:rFonts w:ascii="Arial" w:hAnsi="Arial" w:cs="Arial"/>
          <w:bCs/>
          <w:sz w:val="24"/>
          <w:szCs w:val="24"/>
        </w:rPr>
      </w:pPr>
      <w:r w:rsidRPr="00FF38C7">
        <w:rPr>
          <w:rFonts w:ascii="Arial" w:hAnsi="Arial" w:cs="Arial"/>
          <w:bCs/>
          <w:sz w:val="24"/>
          <w:szCs w:val="24"/>
        </w:rPr>
        <w:t xml:space="preserve">the extension of the scheme of disqualifying offences to capture not only interstate offences but also Commonwealth offences and foreign offences. </w:t>
      </w:r>
    </w:p>
    <w:p w14:paraId="19E42B0C" w14:textId="77777777" w:rsidR="00FF38C7" w:rsidRPr="00FF38C7" w:rsidRDefault="00FF38C7" w:rsidP="00FF38C7">
      <w:pPr>
        <w:pStyle w:val="ListParagraph"/>
        <w:contextualSpacing/>
        <w:rPr>
          <w:rFonts w:ascii="Arial" w:hAnsi="Arial" w:cs="Arial"/>
          <w:bCs/>
          <w:sz w:val="24"/>
          <w:szCs w:val="24"/>
        </w:rPr>
      </w:pPr>
    </w:p>
    <w:p w14:paraId="5B19E6A0" w14:textId="62580401" w:rsidR="00653196" w:rsidRPr="00FF38C7" w:rsidRDefault="00A13E15" w:rsidP="007F3D56">
      <w:pPr>
        <w:spacing w:after="0"/>
        <w:contextualSpacing/>
        <w:rPr>
          <w:rFonts w:ascii="Arial" w:hAnsi="Arial" w:cs="Arial"/>
          <w:b/>
          <w:sz w:val="24"/>
          <w:szCs w:val="24"/>
        </w:rPr>
      </w:pPr>
      <w:r w:rsidRPr="00FF38C7">
        <w:rPr>
          <w:rFonts w:ascii="Arial" w:hAnsi="Arial" w:cs="Arial"/>
          <w:b/>
          <w:sz w:val="24"/>
          <w:szCs w:val="24"/>
        </w:rPr>
        <w:t xml:space="preserve">Consistency with Human Rights </w:t>
      </w:r>
    </w:p>
    <w:p w14:paraId="659E81FD" w14:textId="0CEDA8C5" w:rsidR="00A13E15" w:rsidRDefault="00A13E15" w:rsidP="007F3D56">
      <w:pPr>
        <w:spacing w:after="0"/>
        <w:contextualSpacing/>
        <w:rPr>
          <w:rFonts w:ascii="Arial" w:hAnsi="Arial" w:cs="Arial"/>
          <w:bCs/>
          <w:sz w:val="24"/>
          <w:szCs w:val="24"/>
        </w:rPr>
      </w:pPr>
    </w:p>
    <w:p w14:paraId="14704996" w14:textId="576D8F93" w:rsidR="00A13E15" w:rsidRDefault="00A13E15" w:rsidP="007F3D56">
      <w:pPr>
        <w:spacing w:after="0"/>
        <w:contextualSpacing/>
        <w:rPr>
          <w:rFonts w:ascii="Arial" w:hAnsi="Arial" w:cs="Arial"/>
          <w:bCs/>
          <w:sz w:val="24"/>
          <w:szCs w:val="24"/>
        </w:rPr>
      </w:pPr>
      <w:r>
        <w:rPr>
          <w:rFonts w:ascii="Arial" w:hAnsi="Arial" w:cs="Arial"/>
          <w:bCs/>
          <w:sz w:val="24"/>
          <w:szCs w:val="24"/>
        </w:rPr>
        <w:t xml:space="preserve">The Government amendments are not considered to alter the way in which the rights under the </w:t>
      </w:r>
      <w:r w:rsidRPr="00A13E15">
        <w:rPr>
          <w:rFonts w:ascii="Arial" w:hAnsi="Arial" w:cs="Arial"/>
          <w:bCs/>
          <w:i/>
          <w:iCs/>
          <w:sz w:val="24"/>
          <w:szCs w:val="24"/>
        </w:rPr>
        <w:t>Human Rights Act 2004</w:t>
      </w:r>
      <w:r>
        <w:rPr>
          <w:rFonts w:ascii="Arial" w:hAnsi="Arial" w:cs="Arial"/>
          <w:bCs/>
          <w:sz w:val="24"/>
          <w:szCs w:val="24"/>
        </w:rPr>
        <w:t xml:space="preserve"> (HRA) are engaged or limited by the Bill.</w:t>
      </w:r>
    </w:p>
    <w:p w14:paraId="78D5C4A5" w14:textId="3BE5DEA2" w:rsidR="00FF38C7" w:rsidRDefault="00FF38C7" w:rsidP="007F3D56">
      <w:pPr>
        <w:spacing w:after="0"/>
        <w:contextualSpacing/>
        <w:rPr>
          <w:rFonts w:ascii="Arial" w:hAnsi="Arial" w:cs="Arial"/>
          <w:bCs/>
          <w:sz w:val="24"/>
          <w:szCs w:val="24"/>
        </w:rPr>
      </w:pPr>
    </w:p>
    <w:p w14:paraId="1C55190C" w14:textId="3527CE36"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w:t>
      </w:r>
      <w:r w:rsidR="00FF38C7">
        <w:rPr>
          <w:rFonts w:ascii="Arial" w:hAnsi="Arial" w:cs="Arial"/>
          <w:bCs/>
          <w:sz w:val="24"/>
          <w:szCs w:val="24"/>
        </w:rPr>
        <w:t>Government amendments are not “significant”</w:t>
      </w:r>
      <w:r w:rsidRPr="00834FC9">
        <w:rPr>
          <w:rFonts w:ascii="Arial" w:hAnsi="Arial" w:cs="Arial"/>
          <w:bCs/>
          <w:sz w:val="24"/>
          <w:szCs w:val="24"/>
        </w:rPr>
        <w:t xml:space="preserve">.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00FF38C7">
        <w:rPr>
          <w:rFonts w:ascii="Arial" w:hAnsi="Arial" w:cs="Arial"/>
          <w:bCs/>
          <w:sz w:val="24"/>
          <w:szCs w:val="24"/>
        </w:rPr>
        <w:t xml:space="preserve">HRA. </w:t>
      </w:r>
    </w:p>
    <w:p w14:paraId="3F20865D" w14:textId="77777777" w:rsidR="0052127F" w:rsidRPr="00834FC9" w:rsidRDefault="0052127F" w:rsidP="007F3D56">
      <w:pPr>
        <w:spacing w:after="0"/>
        <w:rPr>
          <w:rFonts w:ascii="Arial" w:hAnsi="Arial" w:cs="Arial"/>
          <w:bCs/>
          <w:sz w:val="24"/>
          <w:szCs w:val="24"/>
          <w:highlight w:val="yellow"/>
        </w:rPr>
      </w:pPr>
    </w:p>
    <w:p w14:paraId="1B567F47" w14:textId="77777777" w:rsidR="00A13E15" w:rsidRDefault="00A13E15">
      <w:pPr>
        <w:spacing w:after="0" w:line="240" w:lineRule="auto"/>
        <w:rPr>
          <w:rFonts w:ascii="Arial" w:eastAsiaTheme="majorEastAsia" w:hAnsi="Arial" w:cstheme="majorBidi"/>
          <w:b/>
          <w:sz w:val="24"/>
          <w:szCs w:val="26"/>
        </w:rPr>
      </w:pPr>
      <w:r>
        <w:rPr>
          <w:rFonts w:ascii="Arial" w:eastAsiaTheme="majorEastAsia" w:hAnsi="Arial" w:cstheme="majorBidi"/>
          <w:b/>
          <w:sz w:val="24"/>
          <w:szCs w:val="26"/>
        </w:rPr>
        <w:br w:type="page"/>
      </w:r>
    </w:p>
    <w:p w14:paraId="4181C6EA" w14:textId="01B6F7FB" w:rsidR="00D075B6" w:rsidRPr="00D075B6" w:rsidRDefault="00683CD1" w:rsidP="00D075B6">
      <w:pPr>
        <w:keepNext/>
        <w:keepLines/>
        <w:spacing w:before="120" w:after="120" w:line="240" w:lineRule="auto"/>
        <w:outlineLvl w:val="1"/>
        <w:rPr>
          <w:rFonts w:ascii="Arial" w:eastAsiaTheme="majorEastAsia" w:hAnsi="Arial" w:cstheme="majorBidi"/>
          <w:b/>
          <w:sz w:val="24"/>
          <w:szCs w:val="26"/>
        </w:rPr>
      </w:pPr>
      <w:r>
        <w:rPr>
          <w:rFonts w:ascii="Arial" w:eastAsiaTheme="majorEastAsia" w:hAnsi="Arial" w:cstheme="majorBidi"/>
          <w:b/>
          <w:sz w:val="24"/>
          <w:szCs w:val="26"/>
        </w:rPr>
        <w:lastRenderedPageBreak/>
        <w:t>Disqualifying Offences</w:t>
      </w:r>
    </w:p>
    <w:p w14:paraId="4C4B6698" w14:textId="77777777" w:rsidR="00D075B6" w:rsidRPr="00D075B6" w:rsidRDefault="00D075B6" w:rsidP="00D075B6">
      <w:pPr>
        <w:spacing w:after="0"/>
        <w:rPr>
          <w:rFonts w:ascii="Arial" w:hAnsi="Arial" w:cs="Arial"/>
          <w:bCs/>
          <w:iCs/>
          <w:sz w:val="24"/>
          <w:szCs w:val="24"/>
        </w:rPr>
      </w:pPr>
    </w:p>
    <w:p w14:paraId="03ABB222" w14:textId="3C1F6E53" w:rsidR="00D075B6" w:rsidRPr="00D075B6" w:rsidRDefault="00FF38C7" w:rsidP="002C193D">
      <w:pPr>
        <w:rPr>
          <w:rFonts w:ascii="Arial" w:hAnsi="Arial" w:cs="Arial"/>
          <w:bCs/>
          <w:iCs/>
          <w:sz w:val="24"/>
          <w:szCs w:val="24"/>
        </w:rPr>
      </w:pPr>
      <w:r>
        <w:rPr>
          <w:rFonts w:ascii="Arial" w:hAnsi="Arial" w:cs="Arial"/>
          <w:bCs/>
          <w:iCs/>
          <w:sz w:val="24"/>
          <w:szCs w:val="24"/>
        </w:rPr>
        <w:t>As noted in the Explanatory Statement to the Bill, t</w:t>
      </w:r>
      <w:r w:rsidR="00D075B6" w:rsidRPr="00D075B6">
        <w:rPr>
          <w:rFonts w:ascii="Arial" w:hAnsi="Arial" w:cs="Arial"/>
          <w:bCs/>
          <w:iCs/>
          <w:sz w:val="24"/>
          <w:szCs w:val="24"/>
        </w:rPr>
        <w:t>he W</w:t>
      </w:r>
      <w:r w:rsidR="00551C01">
        <w:rPr>
          <w:rFonts w:ascii="Arial" w:hAnsi="Arial" w:cs="Arial"/>
          <w:bCs/>
          <w:iCs/>
          <w:sz w:val="24"/>
          <w:szCs w:val="24"/>
        </w:rPr>
        <w:t>orking with Vulnerable People (W</w:t>
      </w:r>
      <w:r w:rsidR="00D075B6" w:rsidRPr="00D075B6">
        <w:rPr>
          <w:rFonts w:ascii="Arial" w:hAnsi="Arial" w:cs="Arial"/>
          <w:bCs/>
          <w:iCs/>
          <w:sz w:val="24"/>
          <w:szCs w:val="24"/>
        </w:rPr>
        <w:t>WVP</w:t>
      </w:r>
      <w:r w:rsidR="00551C01">
        <w:rPr>
          <w:rFonts w:ascii="Arial" w:hAnsi="Arial" w:cs="Arial"/>
          <w:bCs/>
          <w:iCs/>
          <w:sz w:val="24"/>
          <w:szCs w:val="24"/>
        </w:rPr>
        <w:t>)</w:t>
      </w:r>
      <w:r w:rsidR="00D075B6" w:rsidRPr="00D075B6">
        <w:rPr>
          <w:rFonts w:ascii="Arial" w:hAnsi="Arial" w:cs="Arial"/>
          <w:bCs/>
          <w:iCs/>
          <w:sz w:val="24"/>
          <w:szCs w:val="24"/>
        </w:rPr>
        <w:t xml:space="preserve"> Scheme accommodates two </w:t>
      </w:r>
      <w:r w:rsidR="00C07AEB">
        <w:rPr>
          <w:rFonts w:ascii="Arial" w:hAnsi="Arial" w:cs="Arial"/>
          <w:bCs/>
          <w:iCs/>
          <w:sz w:val="24"/>
          <w:szCs w:val="24"/>
        </w:rPr>
        <w:t xml:space="preserve">national </w:t>
      </w:r>
      <w:r w:rsidR="00D075B6" w:rsidRPr="00D075B6">
        <w:rPr>
          <w:rFonts w:ascii="Arial" w:hAnsi="Arial" w:cs="Arial"/>
          <w:bCs/>
          <w:iCs/>
          <w:sz w:val="24"/>
          <w:szCs w:val="24"/>
        </w:rPr>
        <w:t>initiatives relating to children and people with disability:</w:t>
      </w:r>
    </w:p>
    <w:p w14:paraId="1BC5FEB1" w14:textId="2129E241" w:rsidR="00634319" w:rsidRPr="00634319" w:rsidRDefault="00634319" w:rsidP="00634319">
      <w:pPr>
        <w:numPr>
          <w:ilvl w:val="0"/>
          <w:numId w:val="6"/>
        </w:numPr>
        <w:rPr>
          <w:rFonts w:ascii="Arial" w:hAnsi="Arial" w:cs="Arial"/>
          <w:iCs/>
          <w:color w:val="000000" w:themeColor="text1"/>
          <w:sz w:val="24"/>
          <w:szCs w:val="24"/>
        </w:rPr>
      </w:pPr>
      <w:r w:rsidRPr="00D075B6">
        <w:rPr>
          <w:rFonts w:ascii="Arial" w:hAnsi="Arial" w:cs="Arial"/>
          <w:bCs/>
          <w:iCs/>
          <w:sz w:val="24"/>
          <w:szCs w:val="24"/>
        </w:rPr>
        <w:t>National approach for National Disability Insurance Scheme Worker Screening Check (NDISWC) under the NDIS Quality and Safeguarding Framework</w:t>
      </w:r>
      <w:r w:rsidR="006E25FC">
        <w:rPr>
          <w:rFonts w:ascii="Arial" w:hAnsi="Arial" w:cs="Arial"/>
          <w:bCs/>
          <w:iCs/>
          <w:sz w:val="24"/>
          <w:szCs w:val="24"/>
        </w:rPr>
        <w:t>;</w:t>
      </w:r>
      <w:r>
        <w:rPr>
          <w:rFonts w:ascii="Arial" w:hAnsi="Arial" w:cs="Arial"/>
          <w:bCs/>
          <w:iCs/>
          <w:sz w:val="24"/>
          <w:szCs w:val="24"/>
        </w:rPr>
        <w:t xml:space="preserve"> and</w:t>
      </w:r>
    </w:p>
    <w:p w14:paraId="6ED1804C" w14:textId="6838436B" w:rsidR="00634319" w:rsidRPr="00C76609" w:rsidRDefault="00634319" w:rsidP="00634319">
      <w:pPr>
        <w:numPr>
          <w:ilvl w:val="0"/>
          <w:numId w:val="6"/>
        </w:numPr>
        <w:rPr>
          <w:rFonts w:ascii="Arial" w:hAnsi="Arial" w:cs="Arial"/>
          <w:iCs/>
          <w:color w:val="000000" w:themeColor="text1"/>
          <w:sz w:val="24"/>
          <w:szCs w:val="24"/>
        </w:rPr>
      </w:pPr>
      <w:r w:rsidRPr="00D075B6">
        <w:rPr>
          <w:rFonts w:ascii="Arial" w:hAnsi="Arial" w:cs="Arial"/>
          <w:bCs/>
          <w:iCs/>
          <w:sz w:val="24"/>
          <w:szCs w:val="24"/>
        </w:rPr>
        <w:t>National Standards for Working with Children Checks (WWCC) as recommended by the Royal Commission into Institutional Responses to Child Sexual Abuse</w:t>
      </w:r>
      <w:r w:rsidR="006E25FC">
        <w:rPr>
          <w:rFonts w:ascii="Arial" w:hAnsi="Arial" w:cs="Arial"/>
          <w:bCs/>
          <w:iCs/>
          <w:sz w:val="24"/>
          <w:szCs w:val="24"/>
        </w:rPr>
        <w:t>;</w:t>
      </w:r>
    </w:p>
    <w:p w14:paraId="2B088D09" w14:textId="77777777" w:rsidR="0098121D" w:rsidRDefault="0098121D" w:rsidP="00C76609">
      <w:pPr>
        <w:rPr>
          <w:rFonts w:ascii="Arial" w:hAnsi="Arial" w:cs="Arial"/>
          <w:bCs/>
          <w:iCs/>
          <w:sz w:val="24"/>
          <w:szCs w:val="24"/>
        </w:rPr>
      </w:pPr>
      <w:r>
        <w:rPr>
          <w:rFonts w:ascii="Arial" w:hAnsi="Arial" w:cs="Arial"/>
          <w:bCs/>
          <w:iCs/>
          <w:sz w:val="24"/>
          <w:szCs w:val="24"/>
        </w:rPr>
        <w:t xml:space="preserve">Those initiatives are accommodated, in part, by a scheme of disqualifying offences. A person who has a conviction or finding of guilt these offences is treated differently to a person who has a conviction or finding of guilt for any other “relevant offence”. </w:t>
      </w:r>
    </w:p>
    <w:p w14:paraId="591FA20E" w14:textId="247B9B63" w:rsidR="0098121D" w:rsidRDefault="0098121D" w:rsidP="00C76609">
      <w:pPr>
        <w:rPr>
          <w:rFonts w:ascii="Arial" w:hAnsi="Arial" w:cs="Arial"/>
          <w:bCs/>
          <w:iCs/>
          <w:sz w:val="24"/>
          <w:szCs w:val="24"/>
        </w:rPr>
      </w:pPr>
      <w:r>
        <w:rPr>
          <w:rFonts w:ascii="Arial" w:hAnsi="Arial" w:cs="Arial"/>
          <w:bCs/>
          <w:iCs/>
          <w:sz w:val="24"/>
          <w:szCs w:val="24"/>
        </w:rPr>
        <w:t xml:space="preserve">The disqualifying offences fall into two classes—Class A and Class B—which reflect the relative seriousness of the offence and </w:t>
      </w:r>
      <w:r w:rsidR="004E39A5">
        <w:rPr>
          <w:rFonts w:ascii="Arial" w:hAnsi="Arial" w:cs="Arial"/>
          <w:bCs/>
          <w:iCs/>
          <w:sz w:val="24"/>
          <w:szCs w:val="24"/>
        </w:rPr>
        <w:t>degree of risk which is associated with it.</w:t>
      </w:r>
    </w:p>
    <w:p w14:paraId="1233E6A8" w14:textId="457D911B" w:rsidR="0098121D" w:rsidRDefault="004E39A5" w:rsidP="00C76609">
      <w:pPr>
        <w:rPr>
          <w:rFonts w:ascii="Arial" w:hAnsi="Arial" w:cs="Arial"/>
          <w:bCs/>
          <w:iCs/>
          <w:sz w:val="24"/>
          <w:szCs w:val="24"/>
        </w:rPr>
      </w:pPr>
      <w:r>
        <w:rPr>
          <w:rFonts w:ascii="Arial" w:hAnsi="Arial" w:cs="Arial"/>
          <w:bCs/>
          <w:iCs/>
          <w:sz w:val="24"/>
          <w:szCs w:val="24"/>
        </w:rPr>
        <w:t xml:space="preserve">A conviction or finding of guilt for a disqualifying offence gives </w:t>
      </w:r>
      <w:r w:rsidR="0098121D">
        <w:rPr>
          <w:rFonts w:ascii="Arial" w:hAnsi="Arial" w:cs="Arial"/>
          <w:bCs/>
          <w:iCs/>
          <w:sz w:val="24"/>
          <w:szCs w:val="24"/>
        </w:rPr>
        <w:t xml:space="preserve">to consequences: </w:t>
      </w:r>
    </w:p>
    <w:p w14:paraId="7F82C42A" w14:textId="103E6E6E" w:rsidR="0098121D" w:rsidRDefault="0098121D" w:rsidP="00551C01">
      <w:pPr>
        <w:numPr>
          <w:ilvl w:val="0"/>
          <w:numId w:val="6"/>
        </w:numPr>
        <w:rPr>
          <w:rFonts w:ascii="Arial" w:hAnsi="Arial" w:cs="Arial"/>
          <w:bCs/>
          <w:iCs/>
          <w:sz w:val="24"/>
          <w:szCs w:val="24"/>
        </w:rPr>
      </w:pPr>
      <w:r w:rsidRPr="0098121D">
        <w:rPr>
          <w:rFonts w:ascii="Arial" w:hAnsi="Arial" w:cs="Arial"/>
          <w:bCs/>
          <w:i/>
          <w:sz w:val="24"/>
          <w:szCs w:val="24"/>
        </w:rPr>
        <w:t>Class A disqualifying offences</w:t>
      </w:r>
      <w:r>
        <w:rPr>
          <w:rFonts w:ascii="Arial" w:hAnsi="Arial" w:cs="Arial"/>
          <w:bCs/>
          <w:iCs/>
          <w:sz w:val="24"/>
          <w:szCs w:val="24"/>
        </w:rPr>
        <w:t xml:space="preserve">: </w:t>
      </w:r>
      <w:r w:rsidR="004E39A5">
        <w:rPr>
          <w:rFonts w:ascii="Arial" w:hAnsi="Arial" w:cs="Arial"/>
          <w:bCs/>
          <w:iCs/>
          <w:sz w:val="24"/>
          <w:szCs w:val="24"/>
        </w:rPr>
        <w:t xml:space="preserve">the person </w:t>
      </w:r>
      <w:r>
        <w:rPr>
          <w:rFonts w:ascii="Arial" w:hAnsi="Arial" w:cs="Arial"/>
          <w:bCs/>
          <w:iCs/>
          <w:sz w:val="24"/>
          <w:szCs w:val="24"/>
        </w:rPr>
        <w:t>is automatically disqualified from registration and will have any existing registration automatically cancelled;</w:t>
      </w:r>
    </w:p>
    <w:p w14:paraId="513C8B23" w14:textId="2334E744" w:rsidR="0098121D" w:rsidRPr="0098121D" w:rsidRDefault="0098121D" w:rsidP="00551C01">
      <w:pPr>
        <w:numPr>
          <w:ilvl w:val="0"/>
          <w:numId w:val="6"/>
        </w:numPr>
        <w:rPr>
          <w:rFonts w:ascii="Arial" w:hAnsi="Arial" w:cs="Arial"/>
          <w:bCs/>
          <w:iCs/>
          <w:sz w:val="24"/>
          <w:szCs w:val="24"/>
        </w:rPr>
      </w:pPr>
      <w:r w:rsidRPr="0098121D">
        <w:rPr>
          <w:rFonts w:ascii="Arial" w:hAnsi="Arial" w:cs="Arial"/>
          <w:bCs/>
          <w:i/>
          <w:sz w:val="24"/>
          <w:szCs w:val="24"/>
        </w:rPr>
        <w:t>Class B disqualifying offences</w:t>
      </w:r>
      <w:r>
        <w:rPr>
          <w:rFonts w:ascii="Arial" w:hAnsi="Arial" w:cs="Arial"/>
          <w:bCs/>
          <w:iCs/>
          <w:sz w:val="24"/>
          <w:szCs w:val="24"/>
        </w:rPr>
        <w:t xml:space="preserve">: </w:t>
      </w:r>
      <w:r w:rsidR="004E39A5">
        <w:rPr>
          <w:rFonts w:ascii="Arial" w:hAnsi="Arial" w:cs="Arial"/>
          <w:bCs/>
          <w:iCs/>
          <w:sz w:val="24"/>
          <w:szCs w:val="24"/>
        </w:rPr>
        <w:t xml:space="preserve">the person </w:t>
      </w:r>
      <w:r>
        <w:rPr>
          <w:rFonts w:ascii="Arial" w:hAnsi="Arial" w:cs="Arial"/>
          <w:bCs/>
          <w:iCs/>
          <w:sz w:val="24"/>
          <w:szCs w:val="24"/>
        </w:rPr>
        <w:t>is only eligible to be registered or to keep their registration</w:t>
      </w:r>
      <w:r w:rsidR="004E39A5">
        <w:rPr>
          <w:rFonts w:ascii="Arial" w:hAnsi="Arial" w:cs="Arial"/>
          <w:bCs/>
          <w:iCs/>
          <w:sz w:val="24"/>
          <w:szCs w:val="24"/>
        </w:rPr>
        <w:t xml:space="preserve"> by discretion</w:t>
      </w:r>
      <w:r>
        <w:rPr>
          <w:rFonts w:ascii="Arial" w:hAnsi="Arial" w:cs="Arial"/>
          <w:bCs/>
          <w:iCs/>
          <w:sz w:val="24"/>
          <w:szCs w:val="24"/>
        </w:rPr>
        <w:t xml:space="preserve"> in certain exceptional circumstances.</w:t>
      </w:r>
    </w:p>
    <w:p w14:paraId="375F043A" w14:textId="1E8DB781" w:rsidR="00701959" w:rsidRPr="00683CD1" w:rsidRDefault="00701959" w:rsidP="00C76609">
      <w:pPr>
        <w:rPr>
          <w:rFonts w:ascii="Arial" w:hAnsi="Arial" w:cs="Arial"/>
          <w:b/>
          <w:iCs/>
          <w:sz w:val="24"/>
          <w:szCs w:val="24"/>
        </w:rPr>
      </w:pPr>
      <w:r w:rsidRPr="00683CD1">
        <w:rPr>
          <w:rFonts w:ascii="Arial" w:hAnsi="Arial" w:cs="Arial"/>
          <w:b/>
          <w:iCs/>
          <w:sz w:val="24"/>
          <w:szCs w:val="24"/>
        </w:rPr>
        <w:t>Interstate offences</w:t>
      </w:r>
    </w:p>
    <w:p w14:paraId="4C71F6AF" w14:textId="177D2772" w:rsidR="0098121D" w:rsidRDefault="004E39A5" w:rsidP="00C76609">
      <w:pPr>
        <w:rPr>
          <w:rFonts w:ascii="Arial" w:hAnsi="Arial" w:cs="Arial"/>
          <w:bCs/>
          <w:iCs/>
          <w:sz w:val="24"/>
          <w:szCs w:val="24"/>
        </w:rPr>
      </w:pPr>
      <w:r>
        <w:rPr>
          <w:rFonts w:ascii="Arial" w:hAnsi="Arial" w:cs="Arial"/>
          <w:bCs/>
          <w:iCs/>
          <w:sz w:val="24"/>
          <w:szCs w:val="24"/>
        </w:rPr>
        <w:t xml:space="preserve">The current lists of disqualifying offences—Class A and Class B—are drawn from Territory laws such as the </w:t>
      </w:r>
      <w:r w:rsidRPr="004E39A5">
        <w:rPr>
          <w:rFonts w:ascii="Arial" w:hAnsi="Arial" w:cs="Arial"/>
          <w:bCs/>
          <w:i/>
          <w:sz w:val="24"/>
          <w:szCs w:val="24"/>
        </w:rPr>
        <w:t>Crimes Act 1900</w:t>
      </w:r>
      <w:r>
        <w:rPr>
          <w:rFonts w:ascii="Arial" w:hAnsi="Arial" w:cs="Arial"/>
          <w:bCs/>
          <w:iCs/>
          <w:sz w:val="24"/>
          <w:szCs w:val="24"/>
        </w:rPr>
        <w:t xml:space="preserve"> (ACT) and </w:t>
      </w:r>
      <w:r w:rsidRPr="004E39A5">
        <w:rPr>
          <w:rFonts w:ascii="Arial" w:hAnsi="Arial" w:cs="Arial"/>
          <w:bCs/>
          <w:i/>
          <w:sz w:val="24"/>
          <w:szCs w:val="24"/>
        </w:rPr>
        <w:t>Criminal Code 2002</w:t>
      </w:r>
      <w:r>
        <w:rPr>
          <w:rFonts w:ascii="Arial" w:hAnsi="Arial" w:cs="Arial"/>
          <w:bCs/>
          <w:iCs/>
          <w:sz w:val="24"/>
          <w:szCs w:val="24"/>
        </w:rPr>
        <w:t xml:space="preserve"> (ACT). </w:t>
      </w:r>
    </w:p>
    <w:p w14:paraId="73B10AF8" w14:textId="0A43C12B" w:rsidR="00A56D48" w:rsidRDefault="00A56D48" w:rsidP="00C76609">
      <w:pPr>
        <w:rPr>
          <w:rFonts w:ascii="Arial" w:hAnsi="Arial" w:cs="Arial"/>
          <w:bCs/>
          <w:iCs/>
          <w:sz w:val="24"/>
          <w:szCs w:val="24"/>
        </w:rPr>
      </w:pPr>
      <w:r>
        <w:rPr>
          <w:rFonts w:ascii="Arial" w:hAnsi="Arial" w:cs="Arial"/>
          <w:bCs/>
          <w:iCs/>
          <w:sz w:val="24"/>
          <w:szCs w:val="24"/>
        </w:rPr>
        <w:t xml:space="preserve">The Bill allows for those lists to be extended to include any interstate offences which correspond, or substantially correspond, to the offences drawn from Territory law. </w:t>
      </w:r>
    </w:p>
    <w:p w14:paraId="6AF4D5E4" w14:textId="769F1C13" w:rsidR="00A56D48" w:rsidRDefault="00A56D48" w:rsidP="00C76609">
      <w:pPr>
        <w:rPr>
          <w:rFonts w:ascii="Arial" w:hAnsi="Arial" w:cs="Arial"/>
          <w:bCs/>
          <w:iCs/>
          <w:sz w:val="24"/>
          <w:szCs w:val="24"/>
        </w:rPr>
      </w:pPr>
      <w:r>
        <w:rPr>
          <w:rFonts w:ascii="Arial" w:hAnsi="Arial" w:cs="Arial"/>
          <w:bCs/>
          <w:iCs/>
          <w:sz w:val="24"/>
          <w:szCs w:val="24"/>
        </w:rPr>
        <w:t xml:space="preserve">The Government amendments clarify that the lists may also be extended to include offences under a Commonwealth law, or foreign law, </w:t>
      </w:r>
      <w:r w:rsidR="0020770B">
        <w:rPr>
          <w:rFonts w:ascii="Arial" w:hAnsi="Arial" w:cs="Arial"/>
          <w:bCs/>
          <w:iCs/>
          <w:sz w:val="24"/>
          <w:szCs w:val="24"/>
        </w:rPr>
        <w:t xml:space="preserve">that </w:t>
      </w:r>
      <w:r>
        <w:rPr>
          <w:rFonts w:ascii="Arial" w:hAnsi="Arial" w:cs="Arial"/>
          <w:bCs/>
          <w:iCs/>
          <w:sz w:val="24"/>
          <w:szCs w:val="24"/>
        </w:rPr>
        <w:t>have this correspondence.</w:t>
      </w:r>
    </w:p>
    <w:p w14:paraId="51050B79" w14:textId="43C4CBBC" w:rsidR="00701959" w:rsidRDefault="00701959" w:rsidP="00C76609">
      <w:pPr>
        <w:rPr>
          <w:rFonts w:ascii="Arial" w:hAnsi="Arial" w:cs="Arial"/>
          <w:bCs/>
          <w:iCs/>
          <w:sz w:val="24"/>
          <w:szCs w:val="24"/>
        </w:rPr>
      </w:pPr>
      <w:r>
        <w:rPr>
          <w:rFonts w:ascii="Arial" w:hAnsi="Arial" w:cs="Arial"/>
          <w:bCs/>
          <w:iCs/>
          <w:sz w:val="24"/>
          <w:szCs w:val="24"/>
        </w:rPr>
        <w:t>As the Explanatory Statement to the Bill notes, “correspondence” is a broad concept.</w:t>
      </w:r>
    </w:p>
    <w:p w14:paraId="6FC8CA9A" w14:textId="52FACEE4" w:rsidR="00701959" w:rsidRDefault="00701959" w:rsidP="00C76609">
      <w:pPr>
        <w:rPr>
          <w:rFonts w:ascii="Arial" w:hAnsi="Arial" w:cs="Arial"/>
          <w:iCs/>
          <w:color w:val="000000" w:themeColor="text1"/>
          <w:sz w:val="24"/>
          <w:szCs w:val="24"/>
        </w:rPr>
      </w:pPr>
      <w:r w:rsidRPr="001124CB">
        <w:rPr>
          <w:rFonts w:ascii="Arial" w:hAnsi="Arial" w:cs="Arial"/>
          <w:iCs/>
          <w:color w:val="000000" w:themeColor="text1"/>
          <w:sz w:val="24"/>
          <w:szCs w:val="24"/>
        </w:rPr>
        <w:t xml:space="preserve">An offence </w:t>
      </w:r>
      <w:r>
        <w:rPr>
          <w:rFonts w:ascii="Arial" w:hAnsi="Arial" w:cs="Arial"/>
          <w:iCs/>
          <w:color w:val="000000" w:themeColor="text1"/>
          <w:sz w:val="24"/>
          <w:szCs w:val="24"/>
        </w:rPr>
        <w:t xml:space="preserve">may </w:t>
      </w:r>
      <w:r w:rsidRPr="001124CB">
        <w:rPr>
          <w:rFonts w:ascii="Arial" w:hAnsi="Arial" w:cs="Arial"/>
          <w:iCs/>
          <w:color w:val="000000" w:themeColor="text1"/>
          <w:sz w:val="24"/>
          <w:szCs w:val="24"/>
        </w:rPr>
        <w:t>be a “corresponding offence” under a “corresponding law” if it contain</w:t>
      </w:r>
      <w:r>
        <w:rPr>
          <w:rFonts w:ascii="Arial" w:hAnsi="Arial" w:cs="Arial"/>
          <w:iCs/>
          <w:color w:val="000000" w:themeColor="text1"/>
          <w:sz w:val="24"/>
          <w:szCs w:val="24"/>
        </w:rPr>
        <w:t>s</w:t>
      </w:r>
      <w:r w:rsidRPr="001124CB">
        <w:rPr>
          <w:rFonts w:ascii="Arial" w:hAnsi="Arial" w:cs="Arial"/>
          <w:iCs/>
          <w:color w:val="000000" w:themeColor="text1"/>
          <w:sz w:val="24"/>
          <w:szCs w:val="24"/>
        </w:rPr>
        <w:t xml:space="preserve"> the same physical and mental elements (for example in a code jurisdiction) or it ha</w:t>
      </w:r>
      <w:r>
        <w:rPr>
          <w:rFonts w:ascii="Arial" w:hAnsi="Arial" w:cs="Arial"/>
          <w:iCs/>
          <w:color w:val="000000" w:themeColor="text1"/>
          <w:sz w:val="24"/>
          <w:szCs w:val="24"/>
        </w:rPr>
        <w:t>s</w:t>
      </w:r>
      <w:r w:rsidRPr="001124CB">
        <w:rPr>
          <w:rFonts w:ascii="Arial" w:hAnsi="Arial" w:cs="Arial"/>
          <w:iCs/>
          <w:color w:val="000000" w:themeColor="text1"/>
          <w:sz w:val="24"/>
          <w:szCs w:val="24"/>
        </w:rPr>
        <w:t xml:space="preserve"> the same gist or gravamen (for example in a non-code jurisdiction). </w:t>
      </w:r>
      <w:r w:rsidR="00F02E67">
        <w:rPr>
          <w:rFonts w:ascii="Arial" w:hAnsi="Arial" w:cs="Arial"/>
          <w:iCs/>
          <w:color w:val="000000" w:themeColor="text1"/>
          <w:sz w:val="24"/>
          <w:szCs w:val="24"/>
        </w:rPr>
        <w:t xml:space="preserve">It may also be a corresponding offence if it is </w:t>
      </w:r>
      <w:r w:rsidRPr="001124CB">
        <w:rPr>
          <w:rFonts w:ascii="Arial" w:hAnsi="Arial" w:cs="Arial"/>
          <w:iCs/>
          <w:color w:val="000000" w:themeColor="text1"/>
          <w:sz w:val="24"/>
          <w:szCs w:val="24"/>
        </w:rPr>
        <w:t>“of the same kind” or “of the same character”</w:t>
      </w:r>
      <w:r w:rsidR="00F02E67">
        <w:rPr>
          <w:rFonts w:ascii="Arial" w:hAnsi="Arial" w:cs="Arial"/>
          <w:iCs/>
          <w:color w:val="000000" w:themeColor="text1"/>
          <w:sz w:val="24"/>
          <w:szCs w:val="24"/>
        </w:rPr>
        <w:t>.</w:t>
      </w:r>
    </w:p>
    <w:p w14:paraId="7ADFE59A" w14:textId="2EC18B2F" w:rsidR="00F02E67" w:rsidRDefault="00F02E67" w:rsidP="00C76609">
      <w:pPr>
        <w:rPr>
          <w:rFonts w:ascii="Arial" w:hAnsi="Arial" w:cs="Arial"/>
          <w:sz w:val="24"/>
          <w:szCs w:val="24"/>
        </w:rPr>
      </w:pPr>
      <w:r>
        <w:rPr>
          <w:rFonts w:ascii="Arial" w:hAnsi="Arial" w:cs="Arial"/>
          <w:sz w:val="24"/>
          <w:szCs w:val="24"/>
        </w:rPr>
        <w:t xml:space="preserve">This reflects an established body of law. </w:t>
      </w:r>
      <w:r w:rsidRPr="008A3115">
        <w:rPr>
          <w:rFonts w:ascii="Arial" w:hAnsi="Arial" w:cs="Arial"/>
          <w:sz w:val="24"/>
          <w:szCs w:val="24"/>
        </w:rPr>
        <w:t xml:space="preserve">Generally, a law of one jurisdiction will “correspond” to a law of another jurisdiction where it deals with the same subject matter in a manner, or with a result, that is similar. Laws may correspond in object or </w:t>
      </w:r>
      <w:r w:rsidRPr="008A3115">
        <w:rPr>
          <w:rFonts w:ascii="Arial" w:hAnsi="Arial" w:cs="Arial"/>
          <w:sz w:val="24"/>
          <w:szCs w:val="24"/>
        </w:rPr>
        <w:lastRenderedPageBreak/>
        <w:t>purpose even though they use different machinery and the provisions need not be identical but they must harmonise with each other.</w:t>
      </w:r>
      <w:r w:rsidRPr="008A3115">
        <w:rPr>
          <w:rStyle w:val="FootnoteReference"/>
          <w:rFonts w:ascii="Arial" w:hAnsi="Arial" w:cs="Arial"/>
          <w:sz w:val="24"/>
          <w:szCs w:val="24"/>
        </w:rPr>
        <w:footnoteReference w:id="2"/>
      </w:r>
      <w:r w:rsidRPr="008A3115">
        <w:rPr>
          <w:rFonts w:ascii="Arial" w:hAnsi="Arial" w:cs="Arial"/>
          <w:sz w:val="24"/>
          <w:szCs w:val="24"/>
        </w:rPr>
        <w:t xml:space="preserve"> In considering the meaning of “corresponding provision”,</w:t>
      </w:r>
      <w:r>
        <w:rPr>
          <w:rFonts w:ascii="Arial" w:hAnsi="Arial" w:cs="Arial"/>
          <w:sz w:val="24"/>
          <w:szCs w:val="24"/>
        </w:rPr>
        <w:t xml:space="preserve"> a court</w:t>
      </w:r>
      <w:r w:rsidRPr="008A3115">
        <w:rPr>
          <w:rFonts w:ascii="Arial" w:hAnsi="Arial" w:cs="Arial"/>
          <w:sz w:val="24"/>
          <w:szCs w:val="24"/>
        </w:rPr>
        <w:t xml:space="preserve"> may have regard to the fact that in a federal system there may be a general commonality of regulation of a subject matter, which each legislature may execute with differences of detail and machinery but regard as a set of corresponding laws.</w:t>
      </w:r>
      <w:r w:rsidRPr="008A3115">
        <w:rPr>
          <w:rStyle w:val="FootnoteReference"/>
          <w:rFonts w:ascii="Arial" w:hAnsi="Arial" w:cs="Arial"/>
          <w:sz w:val="24"/>
          <w:szCs w:val="24"/>
        </w:rPr>
        <w:footnoteReference w:id="3"/>
      </w:r>
      <w:r w:rsidRPr="008A3115">
        <w:rPr>
          <w:rFonts w:ascii="Arial" w:hAnsi="Arial" w:cs="Arial"/>
          <w:sz w:val="24"/>
          <w:szCs w:val="24"/>
        </w:rPr>
        <w:t xml:space="preserve"> A court maker will be confined by the ordinary rules of statutory construction, including the need to respect the text and purpose of the legislation, and may not artificially strain the concept to supplement any deficiencies.</w:t>
      </w:r>
    </w:p>
    <w:p w14:paraId="401A1D0F" w14:textId="77777777" w:rsidR="00F92E92" w:rsidRDefault="00F02E67" w:rsidP="00C76609">
      <w:pPr>
        <w:rPr>
          <w:rFonts w:ascii="Arial" w:hAnsi="Arial" w:cs="Arial"/>
          <w:sz w:val="24"/>
          <w:szCs w:val="24"/>
        </w:rPr>
      </w:pPr>
      <w:r>
        <w:rPr>
          <w:rFonts w:ascii="Arial" w:hAnsi="Arial" w:cs="Arial"/>
          <w:sz w:val="24"/>
          <w:szCs w:val="24"/>
        </w:rPr>
        <w:t>The breadth of this concept is key to the operation of the Government amendments.</w:t>
      </w:r>
      <w:r w:rsidR="00F92E92">
        <w:rPr>
          <w:rFonts w:ascii="Arial" w:hAnsi="Arial" w:cs="Arial"/>
          <w:sz w:val="24"/>
          <w:szCs w:val="24"/>
        </w:rPr>
        <w:t xml:space="preserve"> </w:t>
      </w:r>
    </w:p>
    <w:p w14:paraId="76DFF6BD" w14:textId="2D7A3F0B" w:rsidR="00F92E92" w:rsidRDefault="00F92E92" w:rsidP="00C76609">
      <w:pPr>
        <w:rPr>
          <w:rFonts w:ascii="Arial" w:hAnsi="Arial" w:cs="Arial"/>
          <w:sz w:val="24"/>
          <w:szCs w:val="24"/>
        </w:rPr>
      </w:pPr>
      <w:r>
        <w:rPr>
          <w:rFonts w:ascii="Arial" w:hAnsi="Arial" w:cs="Arial"/>
          <w:sz w:val="24"/>
          <w:szCs w:val="24"/>
        </w:rPr>
        <w:t xml:space="preserve">In the first place, while there is considerable overlap in the criminal laws of the States and Territories, there is less between those laws and the laws of the Commonwealth. The relevant offences in Commonwealth law tend to be framed by reference to their connection with specific heads of legislative power, for example in relation to matters which occur in a foreign jurisdiction, matters which relate to international obligations and matters which are connected to the regulation of customs and postal services. </w:t>
      </w:r>
    </w:p>
    <w:p w14:paraId="52CA6BEE" w14:textId="25D6AED2" w:rsidR="00F92E92" w:rsidRDefault="00355A1D" w:rsidP="00C76609">
      <w:pPr>
        <w:rPr>
          <w:rFonts w:ascii="Arial" w:hAnsi="Arial" w:cs="Arial"/>
          <w:sz w:val="24"/>
          <w:szCs w:val="24"/>
        </w:rPr>
      </w:pPr>
      <w:r>
        <w:rPr>
          <w:rFonts w:ascii="Arial" w:hAnsi="Arial" w:cs="Arial"/>
          <w:sz w:val="24"/>
          <w:szCs w:val="24"/>
        </w:rPr>
        <w:t xml:space="preserve">In the second place, while there may be overlap between the laws of the States and Territories and the laws of a foreign jurisdiction, there may be considerable diversity in the particular gist or gravamen of the offences and in the drafting of those laws. </w:t>
      </w:r>
    </w:p>
    <w:p w14:paraId="5A1FB6C0" w14:textId="257DF5CB" w:rsidR="00355A1D" w:rsidRDefault="00355A1D" w:rsidP="00F02E67">
      <w:pPr>
        <w:rPr>
          <w:rFonts w:ascii="Arial" w:hAnsi="Arial" w:cs="Arial"/>
          <w:sz w:val="24"/>
          <w:szCs w:val="24"/>
        </w:rPr>
      </w:pPr>
      <w:r>
        <w:rPr>
          <w:rFonts w:ascii="Arial" w:hAnsi="Arial" w:cs="Arial"/>
          <w:sz w:val="24"/>
          <w:szCs w:val="24"/>
        </w:rPr>
        <w:t xml:space="preserve">The intention is that the lists of disqualifying offences be capable of extension </w:t>
      </w:r>
      <w:r w:rsidR="006E25FC">
        <w:rPr>
          <w:rFonts w:ascii="Arial" w:hAnsi="Arial" w:cs="Arial"/>
          <w:sz w:val="24"/>
          <w:szCs w:val="24"/>
        </w:rPr>
        <w:t>to</w:t>
      </w:r>
      <w:r>
        <w:rPr>
          <w:rFonts w:ascii="Arial" w:hAnsi="Arial" w:cs="Arial"/>
          <w:sz w:val="24"/>
          <w:szCs w:val="24"/>
        </w:rPr>
        <w:t xml:space="preserve"> allow all of these offences to be captured if they meet this test of correspondence. </w:t>
      </w:r>
    </w:p>
    <w:p w14:paraId="6034F0C8" w14:textId="487CB427" w:rsidR="00701959" w:rsidRPr="00683CD1" w:rsidRDefault="00701959" w:rsidP="0020770B">
      <w:pPr>
        <w:rPr>
          <w:rFonts w:ascii="Arial" w:hAnsi="Arial" w:cs="Arial"/>
          <w:b/>
          <w:iCs/>
          <w:sz w:val="24"/>
          <w:szCs w:val="24"/>
        </w:rPr>
      </w:pPr>
      <w:r w:rsidRPr="00683CD1">
        <w:rPr>
          <w:rFonts w:ascii="Arial" w:hAnsi="Arial" w:cs="Arial"/>
          <w:b/>
          <w:iCs/>
          <w:sz w:val="24"/>
          <w:szCs w:val="24"/>
        </w:rPr>
        <w:t xml:space="preserve">Incest </w:t>
      </w:r>
    </w:p>
    <w:p w14:paraId="3077622F" w14:textId="3DC596BF" w:rsidR="004E39A5" w:rsidRDefault="0020770B" w:rsidP="0020770B">
      <w:pPr>
        <w:rPr>
          <w:rFonts w:ascii="Arial" w:hAnsi="Arial" w:cs="Arial"/>
          <w:bCs/>
          <w:iCs/>
          <w:sz w:val="24"/>
          <w:szCs w:val="24"/>
        </w:rPr>
      </w:pPr>
      <w:r>
        <w:rPr>
          <w:rFonts w:ascii="Arial" w:hAnsi="Arial" w:cs="Arial"/>
          <w:bCs/>
          <w:iCs/>
          <w:sz w:val="24"/>
          <w:szCs w:val="24"/>
        </w:rPr>
        <w:t xml:space="preserve">One offence in the lists of disqualifying offences is that of </w:t>
      </w:r>
      <w:r w:rsidR="004E39A5">
        <w:rPr>
          <w:rFonts w:ascii="Arial" w:hAnsi="Arial" w:cs="Arial"/>
          <w:bCs/>
          <w:iCs/>
          <w:sz w:val="24"/>
          <w:szCs w:val="24"/>
        </w:rPr>
        <w:t>incest</w:t>
      </w:r>
      <w:r>
        <w:rPr>
          <w:rFonts w:ascii="Arial" w:hAnsi="Arial" w:cs="Arial"/>
          <w:bCs/>
          <w:iCs/>
          <w:sz w:val="24"/>
          <w:szCs w:val="24"/>
        </w:rPr>
        <w:t>, where the person against whom it is committed is under the age of 16 years (</w:t>
      </w:r>
      <w:r w:rsidR="004E39A5">
        <w:rPr>
          <w:rFonts w:ascii="Arial" w:hAnsi="Arial" w:cs="Arial"/>
          <w:bCs/>
          <w:iCs/>
          <w:sz w:val="24"/>
          <w:szCs w:val="24"/>
        </w:rPr>
        <w:t>Crimes Act</w:t>
      </w:r>
      <w:r>
        <w:rPr>
          <w:rFonts w:ascii="Arial" w:hAnsi="Arial" w:cs="Arial"/>
          <w:bCs/>
          <w:iCs/>
          <w:sz w:val="24"/>
          <w:szCs w:val="24"/>
        </w:rPr>
        <w:t>, s 62(2))</w:t>
      </w:r>
      <w:r w:rsidR="004E39A5">
        <w:rPr>
          <w:rFonts w:ascii="Arial" w:hAnsi="Arial" w:cs="Arial"/>
          <w:bCs/>
          <w:iCs/>
          <w:sz w:val="24"/>
          <w:szCs w:val="24"/>
        </w:rPr>
        <w:t xml:space="preserve">. </w:t>
      </w:r>
    </w:p>
    <w:p w14:paraId="6AC9AD49" w14:textId="4CDF61CB" w:rsidR="007B7397" w:rsidRDefault="007B7397" w:rsidP="0020770B">
      <w:pPr>
        <w:rPr>
          <w:rFonts w:ascii="Arial" w:hAnsi="Arial" w:cs="Arial"/>
          <w:bCs/>
          <w:iCs/>
          <w:sz w:val="24"/>
          <w:szCs w:val="24"/>
        </w:rPr>
      </w:pPr>
      <w:r>
        <w:rPr>
          <w:rFonts w:ascii="Arial" w:hAnsi="Arial" w:cs="Arial"/>
          <w:bCs/>
          <w:iCs/>
          <w:sz w:val="24"/>
          <w:szCs w:val="24"/>
        </w:rPr>
        <w:t xml:space="preserve">The WWVP Act imposes a further set of conditions which, if met, cause a conviction or finding of guilt to fall into Class A or Class B according to the age of the </w:t>
      </w:r>
      <w:r w:rsidR="00701959">
        <w:rPr>
          <w:rFonts w:ascii="Arial" w:hAnsi="Arial" w:cs="Arial"/>
          <w:bCs/>
          <w:iCs/>
          <w:sz w:val="24"/>
          <w:szCs w:val="24"/>
        </w:rPr>
        <w:t>victim</w:t>
      </w:r>
      <w:r>
        <w:rPr>
          <w:rFonts w:ascii="Arial" w:hAnsi="Arial" w:cs="Arial"/>
          <w:bCs/>
          <w:iCs/>
          <w:sz w:val="24"/>
          <w:szCs w:val="24"/>
        </w:rPr>
        <w:t>:</w:t>
      </w:r>
    </w:p>
    <w:p w14:paraId="3346AC7C" w14:textId="7A078D8D" w:rsidR="007B7397" w:rsidRDefault="007B7397" w:rsidP="00551C01">
      <w:pPr>
        <w:numPr>
          <w:ilvl w:val="0"/>
          <w:numId w:val="6"/>
        </w:numPr>
        <w:rPr>
          <w:rFonts w:ascii="Arial" w:hAnsi="Arial" w:cs="Arial"/>
          <w:bCs/>
          <w:iCs/>
          <w:sz w:val="24"/>
          <w:szCs w:val="24"/>
        </w:rPr>
      </w:pPr>
      <w:r w:rsidRPr="007B7397">
        <w:rPr>
          <w:rFonts w:ascii="Arial" w:hAnsi="Arial" w:cs="Arial"/>
          <w:bCs/>
          <w:i/>
          <w:sz w:val="24"/>
          <w:szCs w:val="24"/>
        </w:rPr>
        <w:t>Class A disqualifying offence</w:t>
      </w:r>
      <w:r>
        <w:rPr>
          <w:rFonts w:ascii="Arial" w:hAnsi="Arial" w:cs="Arial"/>
          <w:bCs/>
          <w:iCs/>
          <w:sz w:val="24"/>
          <w:szCs w:val="24"/>
        </w:rPr>
        <w:t>: where the offence is committed against a person who is under the age of 13 years;</w:t>
      </w:r>
    </w:p>
    <w:p w14:paraId="0ECE49CB" w14:textId="5C22E4FC" w:rsidR="007B7397" w:rsidRDefault="007B7397" w:rsidP="00551C01">
      <w:pPr>
        <w:numPr>
          <w:ilvl w:val="0"/>
          <w:numId w:val="6"/>
        </w:numPr>
        <w:rPr>
          <w:rFonts w:ascii="Arial" w:hAnsi="Arial" w:cs="Arial"/>
          <w:bCs/>
          <w:iCs/>
          <w:sz w:val="24"/>
          <w:szCs w:val="24"/>
        </w:rPr>
      </w:pPr>
      <w:r w:rsidRPr="007B7397">
        <w:rPr>
          <w:rFonts w:ascii="Arial" w:hAnsi="Arial" w:cs="Arial"/>
          <w:bCs/>
          <w:i/>
          <w:sz w:val="24"/>
          <w:szCs w:val="24"/>
        </w:rPr>
        <w:t xml:space="preserve">Class </w:t>
      </w:r>
      <w:r>
        <w:rPr>
          <w:rFonts w:ascii="Arial" w:hAnsi="Arial" w:cs="Arial"/>
          <w:bCs/>
          <w:i/>
          <w:sz w:val="24"/>
          <w:szCs w:val="24"/>
        </w:rPr>
        <w:t>B</w:t>
      </w:r>
      <w:r w:rsidRPr="007B7397">
        <w:rPr>
          <w:rFonts w:ascii="Arial" w:hAnsi="Arial" w:cs="Arial"/>
          <w:bCs/>
          <w:i/>
          <w:sz w:val="24"/>
          <w:szCs w:val="24"/>
        </w:rPr>
        <w:t xml:space="preserve"> disqualifying offence</w:t>
      </w:r>
      <w:r>
        <w:rPr>
          <w:rFonts w:ascii="Arial" w:hAnsi="Arial" w:cs="Arial"/>
          <w:bCs/>
          <w:iCs/>
          <w:sz w:val="24"/>
          <w:szCs w:val="24"/>
        </w:rPr>
        <w:t>: where the offence is committed against a person who is over the age of 13 years and under the age of 16 years.</w:t>
      </w:r>
    </w:p>
    <w:p w14:paraId="28FECB25" w14:textId="77777777" w:rsidR="005C1BC0" w:rsidRDefault="005C1BC0" w:rsidP="005C1BC0">
      <w:pPr>
        <w:rPr>
          <w:rFonts w:ascii="Arial" w:hAnsi="Arial" w:cs="Arial"/>
          <w:bCs/>
          <w:iCs/>
          <w:sz w:val="24"/>
          <w:szCs w:val="24"/>
        </w:rPr>
      </w:pPr>
      <w:r w:rsidRPr="005C1BC0">
        <w:rPr>
          <w:rFonts w:ascii="Arial" w:hAnsi="Arial" w:cs="Arial"/>
          <w:bCs/>
          <w:iCs/>
          <w:sz w:val="24"/>
          <w:szCs w:val="24"/>
        </w:rPr>
        <w:t>The Bill removes the second condition (age of the victim) from the Class A offence, with the intention that any conviction or finding of guilt for incest will fall into Class A</w:t>
      </w:r>
      <w:r>
        <w:rPr>
          <w:rFonts w:ascii="Arial" w:hAnsi="Arial" w:cs="Arial"/>
          <w:bCs/>
          <w:iCs/>
          <w:sz w:val="24"/>
          <w:szCs w:val="24"/>
        </w:rPr>
        <w:t>.</w:t>
      </w:r>
    </w:p>
    <w:p w14:paraId="2C781487" w14:textId="4F1C84EA" w:rsidR="005C1BC0" w:rsidRDefault="005C1BC0" w:rsidP="0020770B">
      <w:pPr>
        <w:rPr>
          <w:rFonts w:ascii="Arial" w:hAnsi="Arial" w:cs="Arial"/>
          <w:bCs/>
          <w:iCs/>
          <w:sz w:val="24"/>
          <w:szCs w:val="24"/>
        </w:rPr>
      </w:pPr>
      <w:r w:rsidRPr="005C1BC0">
        <w:rPr>
          <w:rFonts w:ascii="Arial" w:hAnsi="Arial" w:cs="Arial"/>
          <w:bCs/>
          <w:iCs/>
          <w:sz w:val="24"/>
          <w:szCs w:val="24"/>
        </w:rPr>
        <w:t>The Government amendments introduce a new Class A offence, incest (</w:t>
      </w:r>
      <w:r w:rsidR="00BB7D22">
        <w:rPr>
          <w:rFonts w:ascii="Arial" w:hAnsi="Arial" w:cs="Arial"/>
          <w:bCs/>
          <w:iCs/>
          <w:sz w:val="24"/>
          <w:szCs w:val="24"/>
        </w:rPr>
        <w:t>1</w:t>
      </w:r>
      <w:r w:rsidRPr="005C1BC0">
        <w:rPr>
          <w:rFonts w:ascii="Arial" w:hAnsi="Arial" w:cs="Arial"/>
          <w:bCs/>
          <w:iCs/>
          <w:sz w:val="24"/>
          <w:szCs w:val="24"/>
        </w:rPr>
        <w:t xml:space="preserve">6 years or older) with a new condition, where the offence is committed against a vulnerable person, including </w:t>
      </w:r>
      <w:r w:rsidR="00CF7406">
        <w:rPr>
          <w:rFonts w:ascii="Arial" w:hAnsi="Arial" w:cs="Arial"/>
          <w:bCs/>
          <w:iCs/>
          <w:sz w:val="24"/>
          <w:szCs w:val="24"/>
        </w:rPr>
        <w:t xml:space="preserve">a </w:t>
      </w:r>
      <w:r w:rsidRPr="005C1BC0">
        <w:rPr>
          <w:rFonts w:ascii="Arial" w:hAnsi="Arial" w:cs="Arial"/>
          <w:bCs/>
          <w:iCs/>
          <w:sz w:val="24"/>
          <w:szCs w:val="24"/>
        </w:rPr>
        <w:t>person under 16 years. </w:t>
      </w:r>
    </w:p>
    <w:p w14:paraId="4BC841FD" w14:textId="20A802F2" w:rsidR="00683CD1" w:rsidRPr="00DD68E3" w:rsidRDefault="00683CD1" w:rsidP="00551C01">
      <w:pPr>
        <w:spacing w:after="0" w:line="240" w:lineRule="auto"/>
        <w:jc w:val="center"/>
        <w:rPr>
          <w:rFonts w:ascii="Arial" w:hAnsi="Arial" w:cs="Arial"/>
          <w:b/>
          <w:bCs/>
          <w:sz w:val="24"/>
          <w:szCs w:val="24"/>
        </w:rPr>
      </w:pPr>
      <w:r>
        <w:rPr>
          <w:rFonts w:ascii="Arial" w:hAnsi="Arial" w:cs="Arial"/>
          <w:bCs/>
          <w:iCs/>
          <w:sz w:val="24"/>
          <w:szCs w:val="24"/>
        </w:rPr>
        <w:br w:type="page"/>
      </w:r>
      <w:r w:rsidRPr="00DD68E3">
        <w:rPr>
          <w:rFonts w:ascii="Arial" w:hAnsi="Arial" w:cs="Arial"/>
          <w:b/>
          <w:bCs/>
          <w:sz w:val="24"/>
          <w:szCs w:val="24"/>
        </w:rPr>
        <w:lastRenderedPageBreak/>
        <w:t>Background Checking</w:t>
      </w:r>
      <w:r w:rsidR="00551C01">
        <w:rPr>
          <w:rFonts w:ascii="Arial" w:hAnsi="Arial" w:cs="Arial"/>
          <w:b/>
          <w:bCs/>
          <w:sz w:val="24"/>
          <w:szCs w:val="24"/>
        </w:rPr>
        <w:t xml:space="preserve"> Legislation </w:t>
      </w:r>
      <w:r w:rsidRPr="00DD68E3">
        <w:rPr>
          <w:rFonts w:ascii="Arial" w:hAnsi="Arial" w:cs="Arial"/>
          <w:b/>
          <w:bCs/>
          <w:sz w:val="24"/>
          <w:szCs w:val="24"/>
        </w:rPr>
        <w:t>Amendment Bill 2022</w:t>
      </w:r>
    </w:p>
    <w:p w14:paraId="667A5C31" w14:textId="137182ED" w:rsidR="00DD68E3" w:rsidRPr="00DD68E3" w:rsidRDefault="00DD68E3" w:rsidP="00DD68E3">
      <w:pPr>
        <w:jc w:val="center"/>
        <w:rPr>
          <w:rFonts w:ascii="Arial" w:hAnsi="Arial" w:cs="Arial"/>
          <w:b/>
          <w:bCs/>
          <w:sz w:val="24"/>
          <w:szCs w:val="24"/>
        </w:rPr>
      </w:pPr>
      <w:r w:rsidRPr="00DD68E3">
        <w:rPr>
          <w:rFonts w:ascii="Arial" w:hAnsi="Arial" w:cs="Arial"/>
          <w:b/>
          <w:bCs/>
          <w:sz w:val="24"/>
          <w:szCs w:val="24"/>
        </w:rPr>
        <w:t>Detail</w:t>
      </w:r>
    </w:p>
    <w:p w14:paraId="04B8764C" w14:textId="77777777" w:rsidR="00DD68E3" w:rsidRPr="00DD68E3" w:rsidRDefault="00DD68E3" w:rsidP="00DD68E3">
      <w:pPr>
        <w:jc w:val="center"/>
        <w:rPr>
          <w:rFonts w:ascii="Arial" w:hAnsi="Arial" w:cs="Arial"/>
          <w:b/>
          <w:bCs/>
        </w:rPr>
      </w:pPr>
    </w:p>
    <w:p w14:paraId="75804F67" w14:textId="4F6C1DF1" w:rsidR="00DD68E3" w:rsidRDefault="00DD68E3" w:rsidP="00DD68E3">
      <w:pPr>
        <w:rPr>
          <w:rFonts w:ascii="Arial" w:hAnsi="Arial" w:cs="Arial"/>
          <w:b/>
          <w:iCs/>
          <w:sz w:val="24"/>
          <w:szCs w:val="24"/>
        </w:rPr>
      </w:pPr>
      <w:r>
        <w:rPr>
          <w:rFonts w:ascii="Arial" w:hAnsi="Arial" w:cs="Arial"/>
          <w:b/>
          <w:iCs/>
          <w:sz w:val="24"/>
          <w:szCs w:val="24"/>
        </w:rPr>
        <w:t>Government Amendment 1</w:t>
      </w:r>
    </w:p>
    <w:p w14:paraId="01C5741B" w14:textId="346C119C" w:rsidR="00DD68E3" w:rsidRDefault="00DD68E3" w:rsidP="00DD68E3">
      <w:pPr>
        <w:rPr>
          <w:rFonts w:ascii="Arial" w:hAnsi="Arial" w:cs="Arial"/>
          <w:b/>
          <w:iCs/>
          <w:sz w:val="24"/>
          <w:szCs w:val="24"/>
        </w:rPr>
      </w:pPr>
      <w:r w:rsidRPr="00DD68E3">
        <w:rPr>
          <w:rFonts w:ascii="Arial" w:hAnsi="Arial" w:cs="Arial"/>
          <w:b/>
          <w:iCs/>
          <w:sz w:val="24"/>
          <w:szCs w:val="24"/>
        </w:rPr>
        <w:t xml:space="preserve">Clause 5 </w:t>
      </w:r>
      <w:r>
        <w:rPr>
          <w:rFonts w:ascii="Arial" w:hAnsi="Arial" w:cs="Arial"/>
          <w:b/>
          <w:iCs/>
          <w:sz w:val="24"/>
          <w:szCs w:val="24"/>
        </w:rPr>
        <w:br/>
      </w:r>
      <w:r w:rsidRPr="00DD68E3">
        <w:rPr>
          <w:rFonts w:ascii="Arial" w:hAnsi="Arial" w:cs="Arial"/>
          <w:b/>
          <w:iCs/>
          <w:sz w:val="24"/>
          <w:szCs w:val="24"/>
        </w:rPr>
        <w:t>Proposed new section 11B (2) (a) (</w:t>
      </w:r>
      <w:proofErr w:type="spellStart"/>
      <w:r w:rsidRPr="00DD68E3">
        <w:rPr>
          <w:rFonts w:ascii="Arial" w:hAnsi="Arial" w:cs="Arial"/>
          <w:b/>
          <w:iCs/>
          <w:sz w:val="24"/>
          <w:szCs w:val="24"/>
        </w:rPr>
        <w:t>i</w:t>
      </w:r>
      <w:proofErr w:type="spellEnd"/>
      <w:r w:rsidRPr="00DD68E3">
        <w:rPr>
          <w:rFonts w:ascii="Arial" w:hAnsi="Arial" w:cs="Arial"/>
          <w:b/>
          <w:iCs/>
          <w:sz w:val="24"/>
          <w:szCs w:val="24"/>
        </w:rPr>
        <w:t xml:space="preserve">) </w:t>
      </w:r>
      <w:r>
        <w:rPr>
          <w:rFonts w:ascii="Arial" w:hAnsi="Arial" w:cs="Arial"/>
          <w:b/>
          <w:iCs/>
          <w:sz w:val="24"/>
          <w:szCs w:val="24"/>
        </w:rPr>
        <w:br/>
      </w:r>
      <w:r w:rsidRPr="00DD68E3">
        <w:rPr>
          <w:rFonts w:ascii="Arial" w:hAnsi="Arial" w:cs="Arial"/>
          <w:b/>
          <w:iCs/>
          <w:sz w:val="24"/>
          <w:szCs w:val="24"/>
        </w:rPr>
        <w:t>Page 6, line 4—</w:t>
      </w:r>
    </w:p>
    <w:p w14:paraId="3A386C52" w14:textId="28EA8B2A" w:rsidR="00DD68E3" w:rsidRDefault="00DD68E3" w:rsidP="00DD68E3">
      <w:pPr>
        <w:rPr>
          <w:rFonts w:ascii="Arial" w:hAnsi="Arial" w:cs="Arial"/>
          <w:bCs/>
          <w:iCs/>
          <w:sz w:val="24"/>
          <w:szCs w:val="24"/>
        </w:rPr>
      </w:pPr>
      <w:r w:rsidRPr="00DD68E3">
        <w:rPr>
          <w:rFonts w:ascii="Arial" w:hAnsi="Arial" w:cs="Arial"/>
          <w:bCs/>
          <w:iCs/>
          <w:sz w:val="24"/>
          <w:szCs w:val="24"/>
        </w:rPr>
        <w:t xml:space="preserve">This amendment </w:t>
      </w:r>
      <w:r>
        <w:rPr>
          <w:rFonts w:ascii="Arial" w:hAnsi="Arial" w:cs="Arial"/>
          <w:bCs/>
          <w:iCs/>
          <w:sz w:val="24"/>
          <w:szCs w:val="24"/>
        </w:rPr>
        <w:t>confirms the intention to allow the existing scheme for disqualifying offences to include all offences, local or overseas, which correspond to the Territory offences in the lists of disqualifying offences in Schedules 2 and 3 of the WWVP Act.</w:t>
      </w:r>
    </w:p>
    <w:p w14:paraId="48E98C7F" w14:textId="720EB7AD" w:rsidR="00DD68E3" w:rsidRDefault="00FC786E" w:rsidP="00DD68E3">
      <w:pPr>
        <w:rPr>
          <w:rFonts w:ascii="Arial" w:hAnsi="Arial" w:cs="Arial"/>
          <w:bCs/>
          <w:iCs/>
          <w:sz w:val="24"/>
          <w:szCs w:val="24"/>
        </w:rPr>
      </w:pPr>
      <w:r>
        <w:rPr>
          <w:rFonts w:ascii="Arial" w:hAnsi="Arial" w:cs="Arial"/>
          <w:bCs/>
          <w:iCs/>
          <w:sz w:val="24"/>
          <w:szCs w:val="24"/>
        </w:rPr>
        <w:t>This will allow the Minister, through the corresponding provision arrangements, to extend the meaning of “disqualifying offence” to include a relevant offence under a corresponding law of the Commonwealth, another State or a foreign country.</w:t>
      </w:r>
    </w:p>
    <w:p w14:paraId="191CB4C4" w14:textId="740E059A" w:rsidR="00FC786E" w:rsidRDefault="00FC786E" w:rsidP="00DD68E3">
      <w:pPr>
        <w:rPr>
          <w:rFonts w:ascii="Arial" w:hAnsi="Arial" w:cs="Arial"/>
          <w:bCs/>
          <w:iCs/>
          <w:sz w:val="24"/>
          <w:szCs w:val="24"/>
        </w:rPr>
      </w:pPr>
      <w:r>
        <w:rPr>
          <w:rFonts w:ascii="Arial" w:hAnsi="Arial" w:cs="Arial"/>
          <w:bCs/>
          <w:iCs/>
          <w:sz w:val="24"/>
          <w:szCs w:val="24"/>
        </w:rPr>
        <w:t xml:space="preserve">Under the </w:t>
      </w:r>
      <w:r w:rsidRPr="00FC786E">
        <w:rPr>
          <w:rFonts w:ascii="Arial" w:hAnsi="Arial" w:cs="Arial"/>
          <w:bCs/>
          <w:i/>
          <w:sz w:val="24"/>
          <w:szCs w:val="24"/>
        </w:rPr>
        <w:t>Legislation Act 2001</w:t>
      </w:r>
      <w:r>
        <w:rPr>
          <w:rFonts w:ascii="Arial" w:hAnsi="Arial" w:cs="Arial"/>
          <w:bCs/>
          <w:iCs/>
          <w:sz w:val="24"/>
          <w:szCs w:val="24"/>
        </w:rPr>
        <w:t>, a “State” is defined to include the Northern Territory.</w:t>
      </w:r>
    </w:p>
    <w:p w14:paraId="58F9CC45" w14:textId="77777777" w:rsidR="004E334D" w:rsidRDefault="004E334D" w:rsidP="00DD68E3">
      <w:pPr>
        <w:rPr>
          <w:rFonts w:ascii="Arial" w:hAnsi="Arial" w:cs="Arial"/>
          <w:bCs/>
          <w:iCs/>
          <w:sz w:val="24"/>
          <w:szCs w:val="24"/>
        </w:rPr>
      </w:pPr>
    </w:p>
    <w:p w14:paraId="69FFAE94" w14:textId="7D4F7254" w:rsidR="00FC786E" w:rsidRPr="00FC786E" w:rsidRDefault="00FC786E" w:rsidP="004E334D">
      <w:pPr>
        <w:rPr>
          <w:rFonts w:ascii="Arial" w:hAnsi="Arial" w:cs="Arial"/>
          <w:b/>
          <w:iCs/>
          <w:sz w:val="24"/>
          <w:szCs w:val="24"/>
        </w:rPr>
      </w:pPr>
      <w:r w:rsidRPr="00FC786E">
        <w:rPr>
          <w:rFonts w:ascii="Arial" w:hAnsi="Arial" w:cs="Arial"/>
          <w:b/>
          <w:iCs/>
          <w:sz w:val="24"/>
          <w:szCs w:val="24"/>
        </w:rPr>
        <w:t>Government Amendment 2</w:t>
      </w:r>
    </w:p>
    <w:p w14:paraId="362B045A" w14:textId="77777777" w:rsidR="00FC786E" w:rsidRPr="00FC786E" w:rsidRDefault="00FC786E" w:rsidP="004E334D">
      <w:pPr>
        <w:autoSpaceDE w:val="0"/>
        <w:autoSpaceDN w:val="0"/>
        <w:adjustRightInd w:val="0"/>
        <w:spacing w:after="0"/>
        <w:rPr>
          <w:rFonts w:ascii="Arial" w:hAnsi="Arial" w:cs="Arial"/>
          <w:b/>
          <w:bCs/>
          <w:color w:val="000000"/>
          <w:sz w:val="24"/>
          <w:szCs w:val="24"/>
          <w:lang w:eastAsia="en-AU"/>
        </w:rPr>
      </w:pPr>
      <w:r w:rsidRPr="00FC786E">
        <w:rPr>
          <w:rFonts w:ascii="Arial" w:hAnsi="Arial" w:cs="Arial"/>
          <w:b/>
          <w:bCs/>
          <w:color w:val="000000"/>
          <w:sz w:val="24"/>
          <w:szCs w:val="24"/>
          <w:lang w:eastAsia="en-AU"/>
        </w:rPr>
        <w:t xml:space="preserve">Proposed new clause 16A </w:t>
      </w:r>
    </w:p>
    <w:p w14:paraId="41A50438" w14:textId="77B51643" w:rsidR="00FC786E" w:rsidRPr="00FC786E" w:rsidRDefault="00FC786E" w:rsidP="004E334D">
      <w:pPr>
        <w:autoSpaceDE w:val="0"/>
        <w:autoSpaceDN w:val="0"/>
        <w:adjustRightInd w:val="0"/>
        <w:rPr>
          <w:rFonts w:ascii="Arial" w:hAnsi="Arial" w:cs="Arial"/>
          <w:color w:val="000000"/>
          <w:sz w:val="24"/>
          <w:szCs w:val="24"/>
          <w:lang w:eastAsia="en-AU"/>
        </w:rPr>
      </w:pPr>
      <w:r w:rsidRPr="00FC786E">
        <w:rPr>
          <w:rFonts w:ascii="Arial" w:hAnsi="Arial" w:cs="Arial"/>
          <w:b/>
          <w:bCs/>
          <w:color w:val="000000"/>
          <w:sz w:val="24"/>
          <w:szCs w:val="24"/>
          <w:lang w:eastAsia="en-AU"/>
        </w:rPr>
        <w:t xml:space="preserve">Page 10, line 22— </w:t>
      </w:r>
    </w:p>
    <w:p w14:paraId="4E6F8DF1" w14:textId="0AD9C451" w:rsidR="00DD68E3" w:rsidRDefault="00FC786E" w:rsidP="00DD68E3">
      <w:pPr>
        <w:rPr>
          <w:rFonts w:ascii="Arial" w:hAnsi="Arial" w:cs="Arial"/>
          <w:bCs/>
          <w:iCs/>
          <w:sz w:val="24"/>
          <w:szCs w:val="24"/>
        </w:rPr>
      </w:pPr>
      <w:r>
        <w:rPr>
          <w:rFonts w:ascii="Arial" w:hAnsi="Arial" w:cs="Arial"/>
          <w:bCs/>
          <w:iCs/>
          <w:sz w:val="24"/>
          <w:szCs w:val="24"/>
        </w:rPr>
        <w:t xml:space="preserve">This amendment introduces a new </w:t>
      </w:r>
      <w:r w:rsidR="004E334D">
        <w:rPr>
          <w:rFonts w:ascii="Arial" w:hAnsi="Arial" w:cs="Arial"/>
          <w:bCs/>
          <w:iCs/>
          <w:sz w:val="24"/>
          <w:szCs w:val="24"/>
        </w:rPr>
        <w:t>item</w:t>
      </w:r>
      <w:r>
        <w:rPr>
          <w:rFonts w:ascii="Arial" w:hAnsi="Arial" w:cs="Arial"/>
          <w:bCs/>
          <w:iCs/>
          <w:sz w:val="24"/>
          <w:szCs w:val="24"/>
        </w:rPr>
        <w:t xml:space="preserve"> to the list of </w:t>
      </w:r>
      <w:r w:rsidR="004E334D" w:rsidRPr="004E334D">
        <w:rPr>
          <w:rFonts w:ascii="Arial" w:hAnsi="Arial" w:cs="Arial"/>
          <w:bCs/>
          <w:iCs/>
          <w:sz w:val="24"/>
          <w:szCs w:val="24"/>
        </w:rPr>
        <w:t xml:space="preserve">Class </w:t>
      </w:r>
      <w:r w:rsidR="000D4E4A">
        <w:rPr>
          <w:rFonts w:ascii="Arial" w:hAnsi="Arial" w:cs="Arial"/>
          <w:bCs/>
          <w:iCs/>
          <w:sz w:val="24"/>
          <w:szCs w:val="24"/>
        </w:rPr>
        <w:t>A</w:t>
      </w:r>
      <w:r w:rsidR="004E334D" w:rsidRPr="004E334D">
        <w:rPr>
          <w:rFonts w:ascii="Arial" w:hAnsi="Arial" w:cs="Arial"/>
          <w:bCs/>
          <w:iCs/>
          <w:sz w:val="24"/>
          <w:szCs w:val="24"/>
        </w:rPr>
        <w:t xml:space="preserve"> disqualifying offences.</w:t>
      </w:r>
    </w:p>
    <w:p w14:paraId="53CF1ACE" w14:textId="4AC79086" w:rsidR="004E334D" w:rsidRDefault="004E334D" w:rsidP="00DD68E3">
      <w:pPr>
        <w:rPr>
          <w:rFonts w:ascii="Arial" w:hAnsi="Arial" w:cs="Arial"/>
          <w:bCs/>
          <w:iCs/>
          <w:sz w:val="24"/>
          <w:szCs w:val="24"/>
        </w:rPr>
      </w:pPr>
      <w:r>
        <w:rPr>
          <w:rFonts w:ascii="Arial" w:hAnsi="Arial" w:cs="Arial"/>
          <w:bCs/>
          <w:iCs/>
          <w:sz w:val="24"/>
          <w:szCs w:val="24"/>
        </w:rPr>
        <w:t xml:space="preserve">The offence is the offence of incest against a person who is of or above the age of 16 years, with the condition that it must be committed against a vulnerable person. </w:t>
      </w:r>
    </w:p>
    <w:p w14:paraId="2102CF58" w14:textId="1BD874F0" w:rsidR="00DD68E3" w:rsidRDefault="004E334D" w:rsidP="00DD68E3">
      <w:pPr>
        <w:rPr>
          <w:rFonts w:ascii="Arial" w:hAnsi="Arial" w:cs="Arial"/>
          <w:bCs/>
          <w:iCs/>
          <w:sz w:val="24"/>
          <w:szCs w:val="24"/>
        </w:rPr>
      </w:pPr>
      <w:r>
        <w:rPr>
          <w:rFonts w:ascii="Arial" w:hAnsi="Arial" w:cs="Arial"/>
          <w:bCs/>
          <w:iCs/>
          <w:sz w:val="24"/>
          <w:szCs w:val="24"/>
        </w:rPr>
        <w:t>A “vulnerable person” is defined to mean a child or an adult who is disadvantaged and who is accessing a “regulated activity” in relation to that disadvantage (s 7).</w:t>
      </w:r>
    </w:p>
    <w:p w14:paraId="5A0AE690" w14:textId="4C458BE9" w:rsidR="004E334D" w:rsidRDefault="004E334D" w:rsidP="00DD68E3">
      <w:pPr>
        <w:rPr>
          <w:rFonts w:ascii="Arial" w:hAnsi="Arial" w:cs="Arial"/>
          <w:bCs/>
          <w:iCs/>
          <w:sz w:val="24"/>
          <w:szCs w:val="24"/>
        </w:rPr>
      </w:pPr>
    </w:p>
    <w:p w14:paraId="046B7677" w14:textId="703DED30" w:rsidR="004E334D" w:rsidRPr="00FC786E" w:rsidRDefault="004E334D" w:rsidP="004E334D">
      <w:pPr>
        <w:rPr>
          <w:rFonts w:ascii="Arial" w:hAnsi="Arial" w:cs="Arial"/>
          <w:b/>
          <w:iCs/>
          <w:sz w:val="24"/>
          <w:szCs w:val="24"/>
        </w:rPr>
      </w:pPr>
      <w:r w:rsidRPr="00FC786E">
        <w:rPr>
          <w:rFonts w:ascii="Arial" w:hAnsi="Arial" w:cs="Arial"/>
          <w:b/>
          <w:iCs/>
          <w:sz w:val="24"/>
          <w:szCs w:val="24"/>
        </w:rPr>
        <w:t xml:space="preserve">Government Amendment </w:t>
      </w:r>
      <w:r>
        <w:rPr>
          <w:rFonts w:ascii="Arial" w:hAnsi="Arial" w:cs="Arial"/>
          <w:b/>
          <w:iCs/>
          <w:sz w:val="24"/>
          <w:szCs w:val="24"/>
        </w:rPr>
        <w:t>3</w:t>
      </w:r>
    </w:p>
    <w:p w14:paraId="53B6B8E7" w14:textId="4F520F91" w:rsidR="004E334D" w:rsidRPr="00FC786E" w:rsidRDefault="004E334D" w:rsidP="004E334D">
      <w:pPr>
        <w:autoSpaceDE w:val="0"/>
        <w:autoSpaceDN w:val="0"/>
        <w:adjustRightInd w:val="0"/>
        <w:rPr>
          <w:rFonts w:ascii="Arial" w:hAnsi="Arial" w:cs="Arial"/>
          <w:color w:val="000000"/>
          <w:sz w:val="24"/>
          <w:szCs w:val="24"/>
          <w:lang w:eastAsia="en-AU"/>
        </w:rPr>
      </w:pPr>
      <w:r w:rsidRPr="004E334D">
        <w:rPr>
          <w:rFonts w:ascii="Arial" w:hAnsi="Arial" w:cs="Arial"/>
          <w:b/>
          <w:bCs/>
          <w:color w:val="000000"/>
          <w:sz w:val="24"/>
          <w:szCs w:val="24"/>
          <w:lang w:eastAsia="en-AU"/>
        </w:rPr>
        <w:t xml:space="preserve">Clause 18 </w:t>
      </w:r>
      <w:r>
        <w:rPr>
          <w:rFonts w:ascii="Arial" w:hAnsi="Arial" w:cs="Arial"/>
          <w:b/>
          <w:bCs/>
          <w:color w:val="000000"/>
          <w:sz w:val="24"/>
          <w:szCs w:val="24"/>
          <w:lang w:eastAsia="en-AU"/>
        </w:rPr>
        <w:br/>
      </w:r>
      <w:r w:rsidRPr="004E334D">
        <w:rPr>
          <w:rFonts w:ascii="Arial" w:hAnsi="Arial" w:cs="Arial"/>
          <w:b/>
          <w:bCs/>
          <w:color w:val="000000"/>
          <w:sz w:val="24"/>
          <w:szCs w:val="24"/>
          <w:lang w:eastAsia="en-AU"/>
        </w:rPr>
        <w:t>Page 11, line 1—</w:t>
      </w:r>
    </w:p>
    <w:p w14:paraId="23155505" w14:textId="509B63F1" w:rsidR="004E334D" w:rsidRDefault="004E334D" w:rsidP="00DD68E3">
      <w:pPr>
        <w:rPr>
          <w:rFonts w:ascii="Arial" w:hAnsi="Arial" w:cs="Arial"/>
          <w:bCs/>
          <w:iCs/>
          <w:sz w:val="24"/>
          <w:szCs w:val="24"/>
        </w:rPr>
      </w:pPr>
      <w:r>
        <w:rPr>
          <w:rFonts w:ascii="Arial" w:hAnsi="Arial" w:cs="Arial"/>
          <w:bCs/>
          <w:iCs/>
          <w:sz w:val="24"/>
          <w:szCs w:val="24"/>
        </w:rPr>
        <w:t>This amendment removes the offence of incest</w:t>
      </w:r>
      <w:r w:rsidR="00400C12">
        <w:rPr>
          <w:rFonts w:ascii="Arial" w:hAnsi="Arial" w:cs="Arial"/>
          <w:bCs/>
          <w:iCs/>
          <w:sz w:val="24"/>
          <w:szCs w:val="24"/>
        </w:rPr>
        <w:t xml:space="preserve"> against a person who is under the age of 16 years (and related condition) </w:t>
      </w:r>
      <w:r>
        <w:rPr>
          <w:rFonts w:ascii="Arial" w:hAnsi="Arial" w:cs="Arial"/>
          <w:bCs/>
          <w:iCs/>
          <w:sz w:val="24"/>
          <w:szCs w:val="24"/>
        </w:rPr>
        <w:t xml:space="preserve">from the list of Class B disqualifying offences. </w:t>
      </w:r>
    </w:p>
    <w:sectPr w:rsidR="004E334D" w:rsidSect="005C1BC0">
      <w:headerReference w:type="even" r:id="rId15"/>
      <w:headerReference w:type="default" r:id="rId16"/>
      <w:footerReference w:type="default" r:id="rId17"/>
      <w:headerReference w:type="first" r:id="rId18"/>
      <w:footerReference w:type="first" r:id="rId19"/>
      <w:pgSz w:w="11906" w:h="16838"/>
      <w:pgMar w:top="1276" w:right="1440" w:bottom="1135"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6B8E" w14:textId="77777777" w:rsidR="00EA28ED" w:rsidRDefault="00EA28ED">
      <w:pPr>
        <w:spacing w:after="0" w:line="240" w:lineRule="auto"/>
      </w:pPr>
      <w:r>
        <w:separator/>
      </w:r>
    </w:p>
  </w:endnote>
  <w:endnote w:type="continuationSeparator" w:id="0">
    <w:p w14:paraId="624301E9" w14:textId="77777777" w:rsidR="00EA28ED" w:rsidRDefault="00EA28ED">
      <w:pPr>
        <w:spacing w:after="0" w:line="240" w:lineRule="auto"/>
      </w:pPr>
      <w:r>
        <w:continuationSeparator/>
      </w:r>
    </w:p>
  </w:endnote>
  <w:endnote w:type="continuationNotice" w:id="1">
    <w:p w14:paraId="7096DBF5" w14:textId="77777777" w:rsidR="00EA28ED" w:rsidRDefault="00EA2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5351" w14:textId="77777777" w:rsidR="00E131BC" w:rsidRDefault="00E13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D1EC" w14:textId="2D271F8E" w:rsidR="00E131BC" w:rsidRPr="00E131BC" w:rsidRDefault="00E131BC" w:rsidP="00E131BC">
    <w:pPr>
      <w:pStyle w:val="Footer"/>
      <w:jc w:val="center"/>
      <w:rPr>
        <w:rFonts w:cs="Arial"/>
        <w:sz w:val="14"/>
      </w:rPr>
    </w:pPr>
    <w:r w:rsidRPr="00E131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24C7F210"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259E224F" w14:textId="3E970A04" w:rsidR="00E131BC" w:rsidRPr="00E131BC" w:rsidRDefault="00E131BC" w:rsidP="00E131BC">
    <w:pPr>
      <w:pStyle w:val="Footer"/>
      <w:spacing w:before="60" w:line="240" w:lineRule="auto"/>
      <w:jc w:val="center"/>
      <w:rPr>
        <w:rFonts w:cs="Arial"/>
        <w:sz w:val="14"/>
      </w:rPr>
    </w:pPr>
    <w:r w:rsidRPr="00E131BC">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50F255BD"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BD0149D" w14:textId="78B3CCE2" w:rsidR="00E131BC" w:rsidRPr="00E131BC" w:rsidRDefault="00E131BC" w:rsidP="00E131BC">
    <w:pPr>
      <w:pStyle w:val="Footer"/>
      <w:jc w:val="center"/>
      <w:rPr>
        <w:rFonts w:cs="Arial"/>
        <w:sz w:val="14"/>
      </w:rPr>
    </w:pPr>
    <w:r w:rsidRPr="00E131BC">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18B2" w14:textId="77777777" w:rsidR="00EA28ED" w:rsidRDefault="00EA28ED">
      <w:pPr>
        <w:spacing w:after="0" w:line="240" w:lineRule="auto"/>
      </w:pPr>
      <w:r>
        <w:separator/>
      </w:r>
    </w:p>
  </w:footnote>
  <w:footnote w:type="continuationSeparator" w:id="0">
    <w:p w14:paraId="3E882E16" w14:textId="77777777" w:rsidR="00EA28ED" w:rsidRDefault="00EA28ED">
      <w:pPr>
        <w:spacing w:after="0" w:line="240" w:lineRule="auto"/>
      </w:pPr>
      <w:r>
        <w:continuationSeparator/>
      </w:r>
    </w:p>
  </w:footnote>
  <w:footnote w:type="continuationNotice" w:id="1">
    <w:p w14:paraId="4C0279B0" w14:textId="77777777" w:rsidR="00EA28ED" w:rsidRDefault="00EA28ED">
      <w:pPr>
        <w:spacing w:after="0" w:line="240" w:lineRule="auto"/>
      </w:pPr>
    </w:p>
  </w:footnote>
  <w:footnote w:id="2">
    <w:p w14:paraId="669213D0" w14:textId="77777777" w:rsidR="00F02E67" w:rsidRDefault="00F02E67" w:rsidP="00F02E67">
      <w:pPr>
        <w:pStyle w:val="FootnoteText"/>
      </w:pPr>
      <w:r>
        <w:rPr>
          <w:rStyle w:val="FootnoteReference"/>
        </w:rPr>
        <w:footnoteRef/>
      </w:r>
      <w:r>
        <w:t xml:space="preserve"> </w:t>
      </w:r>
      <w:r w:rsidRPr="00355A1D">
        <w:rPr>
          <w:i/>
          <w:iCs/>
        </w:rPr>
        <w:t>Samarkos v Commissioner for Corporate Affairs</w:t>
      </w:r>
      <w:r w:rsidRPr="00355A1D">
        <w:t xml:space="preserve"> (1988) 90 FLR 299; </w:t>
      </w:r>
      <w:r w:rsidRPr="00355A1D">
        <w:rPr>
          <w:i/>
          <w:iCs/>
        </w:rPr>
        <w:t>Fortbacon Pty Ltd v Dickie and another</w:t>
      </w:r>
      <w:r w:rsidRPr="00355A1D">
        <w:t xml:space="preserve"> (1995) 127 FLR 69, </w:t>
      </w:r>
      <w:r w:rsidRPr="00355A1D">
        <w:rPr>
          <w:i/>
          <w:iCs/>
        </w:rPr>
        <w:t>R v DF</w:t>
      </w:r>
      <w:r w:rsidRPr="00355A1D">
        <w:t xml:space="preserve"> (2010) 238 FLR 348; and </w:t>
      </w:r>
      <w:r w:rsidRPr="00355A1D">
        <w:rPr>
          <w:i/>
          <w:iCs/>
        </w:rPr>
        <w:t>R v Hoang</w:t>
      </w:r>
      <w:r w:rsidRPr="00355A1D">
        <w:t xml:space="preserve"> [2015] ACTSC 17.</w:t>
      </w:r>
    </w:p>
  </w:footnote>
  <w:footnote w:id="3">
    <w:p w14:paraId="0D0EF506" w14:textId="77777777" w:rsidR="00F02E67" w:rsidRDefault="00F02E67" w:rsidP="00F02E67">
      <w:pPr>
        <w:pStyle w:val="FootnoteText"/>
      </w:pPr>
      <w:r>
        <w:rPr>
          <w:rStyle w:val="FootnoteReference"/>
        </w:rPr>
        <w:footnoteRef/>
      </w:r>
      <w:r>
        <w:t xml:space="preserve"> </w:t>
      </w:r>
      <w:r w:rsidRPr="00355A1D">
        <w:rPr>
          <w:i/>
          <w:iCs/>
        </w:rPr>
        <w:t>Fortbacon</w:t>
      </w:r>
      <w:r w:rsidRPr="00355A1D">
        <w:t xml:space="preserve"> at 74; </w:t>
      </w:r>
      <w:r w:rsidRPr="00355A1D">
        <w:rPr>
          <w:i/>
          <w:iCs/>
        </w:rPr>
        <w:t>Macleod v ASIC</w:t>
      </w:r>
      <w:r w:rsidRPr="00355A1D">
        <w:t xml:space="preserve"> (2002) 211 CLR 287 at [78]-[86]; </w:t>
      </w:r>
      <w:r w:rsidRPr="00355A1D">
        <w:rPr>
          <w:i/>
          <w:iCs/>
        </w:rPr>
        <w:t>DF</w:t>
      </w:r>
      <w:r w:rsidRPr="00355A1D">
        <w:t xml:space="preserve"> at [274].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C78C" w14:textId="00745081" w:rsidR="00663D29" w:rsidRDefault="00E131BC">
    <w:pPr>
      <w:pStyle w:val="Header"/>
    </w:pPr>
    <w:r>
      <w:rPr>
        <w:noProof/>
      </w:rPr>
      <w:pict w14:anchorId="1EBE2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2954" o:spid="_x0000_s1026"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EA9F" w14:textId="77777777" w:rsidR="00E131BC" w:rsidRDefault="00E13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E4B0" w14:textId="05C8B310" w:rsidR="00663D29" w:rsidRPr="00663D29" w:rsidRDefault="00E131BC" w:rsidP="00663D29">
    <w:pPr>
      <w:pStyle w:val="Header"/>
      <w:jc w:val="center"/>
      <w:rPr>
        <w:rFonts w:ascii="Calibri" w:hAnsi="Calibri" w:cs="Calibri"/>
        <w:b/>
        <w:bCs/>
        <w:color w:val="FF0000"/>
        <w:sz w:val="32"/>
        <w:szCs w:val="32"/>
      </w:rPr>
    </w:pPr>
    <w:r>
      <w:rPr>
        <w:noProof/>
      </w:rPr>
      <w:pict w14:anchorId="7D5D7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2953" o:spid="_x0000_s1025" type="#_x0000_t136" style="position:absolute;left:0;text-align:left;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63D29">
      <w:rPr>
        <w:rFonts w:ascii="Calibri" w:hAnsi="Calibri" w:cs="Calibri"/>
        <w:b/>
        <w:bCs/>
        <w:color w:val="FF0000"/>
        <w:sz w:val="32"/>
        <w:szCs w:val="32"/>
      </w:rPr>
      <w:t>CABINET</w:t>
    </w:r>
  </w:p>
  <w:p w14:paraId="2BFC7417" w14:textId="77777777" w:rsidR="00663D29" w:rsidRDefault="00663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49C7" w14:textId="51949B64" w:rsidR="0073752D" w:rsidRDefault="00E131BC">
    <w:pPr>
      <w:pStyle w:val="Header"/>
    </w:pPr>
    <w:r>
      <w:rPr>
        <w:noProof/>
      </w:rPr>
      <w:pict w14:anchorId="62DC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2957" o:spid="_x0000_s1029" type="#_x0000_t136" style="position:absolute;margin-left:0;margin-top:0;width:424.2pt;height:212.1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B765" w14:textId="6885D20E" w:rsidR="0073752D" w:rsidRDefault="007375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AAFD" w14:textId="384C00B8" w:rsidR="0073752D" w:rsidRDefault="00737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F68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0A6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4CB9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9C1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50D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347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06D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3612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CAC0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46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AC1473"/>
    <w:multiLevelType w:val="hybridMultilevel"/>
    <w:tmpl w:val="6F544D4A"/>
    <w:lvl w:ilvl="0" w:tplc="0C090001">
      <w:start w:val="1"/>
      <w:numFmt w:val="bullet"/>
      <w:lvlText w:val=""/>
      <w:lvlJc w:val="left"/>
      <w:pPr>
        <w:ind w:left="1080" w:hanging="360"/>
      </w:pPr>
      <w:rPr>
        <w:rFonts w:ascii="Symbol" w:hAnsi="Symbol" w:hint="default"/>
        <w:i w:val="0"/>
      </w:rPr>
    </w:lvl>
    <w:lvl w:ilvl="1" w:tplc="FFFFFFFF">
      <w:start w:val="1"/>
      <w:numFmt w:val="lowerLetter"/>
      <w:lvlText w:val="%2."/>
      <w:lvlJc w:val="left"/>
      <w:pPr>
        <w:ind w:left="1800" w:hanging="360"/>
      </w:pPr>
    </w:lvl>
    <w:lvl w:ilvl="2" w:tplc="FFFFFFFF">
      <w:start w:val="1"/>
      <w:numFmt w:val="lowerRoman"/>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3794F65"/>
    <w:multiLevelType w:val="hybridMultilevel"/>
    <w:tmpl w:val="33DE1EE0"/>
    <w:lvl w:ilvl="0" w:tplc="5690584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C3D7D"/>
    <w:multiLevelType w:val="hybridMultilevel"/>
    <w:tmpl w:val="13B0A2CA"/>
    <w:lvl w:ilvl="0" w:tplc="0C090019">
      <w:start w:val="1"/>
      <w:numFmt w:val="lowerLetter"/>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left"/>
      <w:pPr>
        <w:ind w:left="2520" w:hanging="18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EB24492"/>
    <w:multiLevelType w:val="hybridMultilevel"/>
    <w:tmpl w:val="38D82C76"/>
    <w:lvl w:ilvl="0" w:tplc="5690584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1E50D5A"/>
    <w:multiLevelType w:val="hybridMultilevel"/>
    <w:tmpl w:val="F3500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844F9"/>
    <w:multiLevelType w:val="hybridMultilevel"/>
    <w:tmpl w:val="7BDC4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FB122D"/>
    <w:multiLevelType w:val="hybridMultilevel"/>
    <w:tmpl w:val="43E0366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CF865CB"/>
    <w:multiLevelType w:val="hybridMultilevel"/>
    <w:tmpl w:val="A6D85106"/>
    <w:lvl w:ilvl="0" w:tplc="CEB8288A">
      <w:start w:val="1"/>
      <w:numFmt w:val="lowerRoman"/>
      <w:pStyle w:val="Recommendation3"/>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2E552ED2"/>
    <w:multiLevelType w:val="hybridMultilevel"/>
    <w:tmpl w:val="D8A49A8C"/>
    <w:lvl w:ilvl="0" w:tplc="0C090001">
      <w:start w:val="1"/>
      <w:numFmt w:val="bullet"/>
      <w:lvlText w:val=""/>
      <w:lvlJc w:val="left"/>
      <w:pPr>
        <w:ind w:left="720" w:hanging="360"/>
      </w:pPr>
      <w:rPr>
        <w:rFonts w:ascii="Symbol" w:hAnsi="Symbol" w:hint="default"/>
        <w:i w:val="0"/>
      </w:rPr>
    </w:lvl>
    <w:lvl w:ilvl="1" w:tplc="FFFFFFFF">
      <w:start w:val="1"/>
      <w:numFmt w:val="bullet"/>
      <w:lvlText w:val=""/>
      <w:lvlJc w:val="left"/>
      <w:pPr>
        <w:ind w:left="1440" w:hanging="360"/>
      </w:pPr>
      <w:rPr>
        <w:rFonts w:ascii="Symbol" w:hAnsi="Symbol" w:hint="default"/>
        <w:b w:val="0"/>
        <w:bCs w:val="0"/>
      </w:r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2249AD"/>
    <w:multiLevelType w:val="hybridMultilevel"/>
    <w:tmpl w:val="0E9861B4"/>
    <w:lvl w:ilvl="0" w:tplc="5690584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0F01DA"/>
    <w:multiLevelType w:val="hybridMultilevel"/>
    <w:tmpl w:val="564AB73C"/>
    <w:lvl w:ilvl="0" w:tplc="E33045CC">
      <w:start w:val="1"/>
      <w:numFmt w:val="lowerLetter"/>
      <w:lvlText w:val="%1."/>
      <w:lvlJc w:val="left"/>
      <w:pPr>
        <w:ind w:left="108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6C70B1"/>
    <w:multiLevelType w:val="hybridMultilevel"/>
    <w:tmpl w:val="228A63CE"/>
    <w:lvl w:ilvl="0" w:tplc="FFFFFFFF">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b w:val="0"/>
        <w:bCs w:val="0"/>
      </w:r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6E3695"/>
    <w:multiLevelType w:val="hybridMultilevel"/>
    <w:tmpl w:val="0E9861B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F067D1"/>
    <w:multiLevelType w:val="hybridMultilevel"/>
    <w:tmpl w:val="0C7C334C"/>
    <w:lvl w:ilvl="0" w:tplc="5690584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3F32EC"/>
    <w:multiLevelType w:val="hybridMultilevel"/>
    <w:tmpl w:val="880A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7275459D"/>
    <w:multiLevelType w:val="hybridMultilevel"/>
    <w:tmpl w:val="DA60507A"/>
    <w:lvl w:ilvl="0" w:tplc="5690584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4451E4"/>
    <w:multiLevelType w:val="hybridMultilevel"/>
    <w:tmpl w:val="4B5EAD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59D47C6"/>
    <w:multiLevelType w:val="multilevel"/>
    <w:tmpl w:val="43E03662"/>
    <w:styleLink w:val="CurrentList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7A7140E"/>
    <w:multiLevelType w:val="multilevel"/>
    <w:tmpl w:val="5F34E9C8"/>
    <w:styleLink w:val="CurrentList1"/>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left"/>
      <w:pPr>
        <w:ind w:left="2520" w:hanging="18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8471FDB"/>
    <w:multiLevelType w:val="hybridMultilevel"/>
    <w:tmpl w:val="1D1E4D1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4E0B17"/>
    <w:multiLevelType w:val="multilevel"/>
    <w:tmpl w:val="43E03662"/>
    <w:styleLink w:val="CurrentList3"/>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7BF954BB"/>
    <w:multiLevelType w:val="hybridMultilevel"/>
    <w:tmpl w:val="7EDC3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5F4F8D"/>
    <w:multiLevelType w:val="hybridMultilevel"/>
    <w:tmpl w:val="FBE8A7FA"/>
    <w:lvl w:ilvl="0" w:tplc="5160553E">
      <w:start w:val="1"/>
      <w:numFmt w:val="decimal"/>
      <w:lvlText w:val="%1)"/>
      <w:lvlJc w:val="left"/>
      <w:pPr>
        <w:ind w:left="720" w:hanging="360"/>
      </w:pPr>
      <w:rPr>
        <w:i w:val="0"/>
      </w:rPr>
    </w:lvl>
    <w:lvl w:ilvl="1" w:tplc="CAA84220">
      <w:start w:val="1"/>
      <w:numFmt w:val="lowerLetter"/>
      <w:lvlText w:val="%2."/>
      <w:lvlJc w:val="left"/>
      <w:pPr>
        <w:ind w:left="1440" w:hanging="360"/>
      </w:pPr>
      <w:rPr>
        <w:b w:val="0"/>
        <w:bCs w:val="0"/>
      </w:r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4526329">
    <w:abstractNumId w:val="26"/>
  </w:num>
  <w:num w:numId="2" w16cid:durableId="1459840114">
    <w:abstractNumId w:val="33"/>
  </w:num>
  <w:num w:numId="3" w16cid:durableId="80610454">
    <w:abstractNumId w:val="10"/>
  </w:num>
  <w:num w:numId="4" w16cid:durableId="2073694190">
    <w:abstractNumId w:val="13"/>
  </w:num>
  <w:num w:numId="5" w16cid:durableId="1337997380">
    <w:abstractNumId w:val="21"/>
  </w:num>
  <w:num w:numId="6" w16cid:durableId="9337173">
    <w:abstractNumId w:val="15"/>
  </w:num>
  <w:num w:numId="7" w16cid:durableId="664865211">
    <w:abstractNumId w:val="14"/>
  </w:num>
  <w:num w:numId="8" w16cid:durableId="657001214">
    <w:abstractNumId w:val="12"/>
  </w:num>
  <w:num w:numId="9" w16cid:durableId="1019502000">
    <w:abstractNumId w:val="24"/>
  </w:num>
  <w:num w:numId="10" w16cid:durableId="660472763">
    <w:abstractNumId w:val="17"/>
  </w:num>
  <w:num w:numId="11" w16cid:durableId="779372929">
    <w:abstractNumId w:val="25"/>
  </w:num>
  <w:num w:numId="12" w16cid:durableId="869882339">
    <w:abstractNumId w:val="35"/>
  </w:num>
  <w:num w:numId="13" w16cid:durableId="1976333348">
    <w:abstractNumId w:val="28"/>
  </w:num>
  <w:num w:numId="14" w16cid:durableId="1913616656">
    <w:abstractNumId w:val="30"/>
  </w:num>
  <w:num w:numId="15" w16cid:durableId="1108114094">
    <w:abstractNumId w:val="9"/>
  </w:num>
  <w:num w:numId="16" w16cid:durableId="246423826">
    <w:abstractNumId w:val="7"/>
  </w:num>
  <w:num w:numId="17" w16cid:durableId="1886142249">
    <w:abstractNumId w:val="6"/>
  </w:num>
  <w:num w:numId="18" w16cid:durableId="1483160249">
    <w:abstractNumId w:val="5"/>
  </w:num>
  <w:num w:numId="19" w16cid:durableId="86193427">
    <w:abstractNumId w:val="4"/>
  </w:num>
  <w:num w:numId="20" w16cid:durableId="1486969291">
    <w:abstractNumId w:val="3"/>
  </w:num>
  <w:num w:numId="21" w16cid:durableId="1340893403">
    <w:abstractNumId w:val="2"/>
  </w:num>
  <w:num w:numId="22" w16cid:durableId="1974630514">
    <w:abstractNumId w:val="1"/>
  </w:num>
  <w:num w:numId="23" w16cid:durableId="1747848112">
    <w:abstractNumId w:val="0"/>
  </w:num>
  <w:num w:numId="24" w16cid:durableId="593975501">
    <w:abstractNumId w:val="11"/>
  </w:num>
  <w:num w:numId="25" w16cid:durableId="144706921">
    <w:abstractNumId w:val="27"/>
  </w:num>
  <w:num w:numId="26" w16cid:durableId="941035440">
    <w:abstractNumId w:val="20"/>
  </w:num>
  <w:num w:numId="27" w16cid:durableId="538594164">
    <w:abstractNumId w:val="22"/>
  </w:num>
  <w:num w:numId="28" w16cid:durableId="941691338">
    <w:abstractNumId w:val="19"/>
  </w:num>
  <w:num w:numId="29" w16cid:durableId="682171451">
    <w:abstractNumId w:val="29"/>
  </w:num>
  <w:num w:numId="30" w16cid:durableId="1168253873">
    <w:abstractNumId w:val="32"/>
  </w:num>
  <w:num w:numId="31" w16cid:durableId="1452356648">
    <w:abstractNumId w:val="23"/>
  </w:num>
  <w:num w:numId="32" w16cid:durableId="597371753">
    <w:abstractNumId w:val="31"/>
  </w:num>
  <w:num w:numId="33" w16cid:durableId="489710162">
    <w:abstractNumId w:val="18"/>
  </w:num>
  <w:num w:numId="34" w16cid:durableId="2140299831">
    <w:abstractNumId w:val="16"/>
  </w:num>
  <w:num w:numId="35" w16cid:durableId="1650934487">
    <w:abstractNumId w:val="34"/>
  </w:num>
  <w:num w:numId="36" w16cid:durableId="17270727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0"/>
    <w:rsid w:val="00000174"/>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0FB8"/>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3CB8"/>
    <w:rsid w:val="00054677"/>
    <w:rsid w:val="0005467E"/>
    <w:rsid w:val="000554D5"/>
    <w:rsid w:val="000557CF"/>
    <w:rsid w:val="0005649D"/>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4ED"/>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0B8A"/>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6A98"/>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E4A"/>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2FF7"/>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B61"/>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252"/>
    <w:rsid w:val="001124CB"/>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0948"/>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9CC"/>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123"/>
    <w:rsid w:val="001B3A7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8AF"/>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70B"/>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1F0B"/>
    <w:rsid w:val="002220FE"/>
    <w:rsid w:val="0022225E"/>
    <w:rsid w:val="002222B7"/>
    <w:rsid w:val="00222680"/>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4B87"/>
    <w:rsid w:val="00245253"/>
    <w:rsid w:val="00245F00"/>
    <w:rsid w:val="00246418"/>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3AA3"/>
    <w:rsid w:val="0025410F"/>
    <w:rsid w:val="002541C0"/>
    <w:rsid w:val="00254694"/>
    <w:rsid w:val="00255CAA"/>
    <w:rsid w:val="00256826"/>
    <w:rsid w:val="00256C1E"/>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39F"/>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676"/>
    <w:rsid w:val="002C0A46"/>
    <w:rsid w:val="002C1031"/>
    <w:rsid w:val="002C1890"/>
    <w:rsid w:val="002C193D"/>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65A"/>
    <w:rsid w:val="002D1788"/>
    <w:rsid w:val="002D2267"/>
    <w:rsid w:val="002D24CF"/>
    <w:rsid w:val="002D24FA"/>
    <w:rsid w:val="002D2AD2"/>
    <w:rsid w:val="002D2ADD"/>
    <w:rsid w:val="002D2C57"/>
    <w:rsid w:val="002D3C0D"/>
    <w:rsid w:val="002D42D3"/>
    <w:rsid w:val="002D4A92"/>
    <w:rsid w:val="002D557D"/>
    <w:rsid w:val="002D55DF"/>
    <w:rsid w:val="002D59A5"/>
    <w:rsid w:val="002D5C13"/>
    <w:rsid w:val="002D622E"/>
    <w:rsid w:val="002D686B"/>
    <w:rsid w:val="002D6938"/>
    <w:rsid w:val="002D6AA4"/>
    <w:rsid w:val="002D7FFB"/>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6BD9"/>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4A1E"/>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5A1D"/>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58FD"/>
    <w:rsid w:val="003864A6"/>
    <w:rsid w:val="003876E9"/>
    <w:rsid w:val="003878BA"/>
    <w:rsid w:val="00387CEA"/>
    <w:rsid w:val="0039021B"/>
    <w:rsid w:val="003908AD"/>
    <w:rsid w:val="00390B90"/>
    <w:rsid w:val="00391355"/>
    <w:rsid w:val="003915E8"/>
    <w:rsid w:val="0039212F"/>
    <w:rsid w:val="00392D0C"/>
    <w:rsid w:val="003930D0"/>
    <w:rsid w:val="003937C4"/>
    <w:rsid w:val="00393B1B"/>
    <w:rsid w:val="00393BD4"/>
    <w:rsid w:val="003953C7"/>
    <w:rsid w:val="003959A3"/>
    <w:rsid w:val="003962BF"/>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814"/>
    <w:rsid w:val="003B6911"/>
    <w:rsid w:val="003B709B"/>
    <w:rsid w:val="003B71CF"/>
    <w:rsid w:val="003B739A"/>
    <w:rsid w:val="003B7A31"/>
    <w:rsid w:val="003B7C4B"/>
    <w:rsid w:val="003C064D"/>
    <w:rsid w:val="003C103C"/>
    <w:rsid w:val="003C1726"/>
    <w:rsid w:val="003C1930"/>
    <w:rsid w:val="003C1978"/>
    <w:rsid w:val="003C1FEF"/>
    <w:rsid w:val="003C224D"/>
    <w:rsid w:val="003C23A7"/>
    <w:rsid w:val="003C25A7"/>
    <w:rsid w:val="003C2868"/>
    <w:rsid w:val="003C2C03"/>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16A"/>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0C12"/>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1811"/>
    <w:rsid w:val="004222C1"/>
    <w:rsid w:val="004229E2"/>
    <w:rsid w:val="00422DEA"/>
    <w:rsid w:val="004240EE"/>
    <w:rsid w:val="0042486F"/>
    <w:rsid w:val="00424FBB"/>
    <w:rsid w:val="00425A3E"/>
    <w:rsid w:val="00425A8C"/>
    <w:rsid w:val="00426776"/>
    <w:rsid w:val="004269D7"/>
    <w:rsid w:val="00426E87"/>
    <w:rsid w:val="00427CCB"/>
    <w:rsid w:val="00427F27"/>
    <w:rsid w:val="00430308"/>
    <w:rsid w:val="00431900"/>
    <w:rsid w:val="00433B49"/>
    <w:rsid w:val="0043422C"/>
    <w:rsid w:val="004343AE"/>
    <w:rsid w:val="00434E9C"/>
    <w:rsid w:val="0043575C"/>
    <w:rsid w:val="00435777"/>
    <w:rsid w:val="004366F6"/>
    <w:rsid w:val="0043686D"/>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430"/>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7E1"/>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33C"/>
    <w:rsid w:val="00496A4D"/>
    <w:rsid w:val="00496CB4"/>
    <w:rsid w:val="00496D87"/>
    <w:rsid w:val="004977DC"/>
    <w:rsid w:val="004A044B"/>
    <w:rsid w:val="004A06DC"/>
    <w:rsid w:val="004A0ED7"/>
    <w:rsid w:val="004A14F8"/>
    <w:rsid w:val="004A1685"/>
    <w:rsid w:val="004A19DA"/>
    <w:rsid w:val="004A1C3C"/>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B77E0"/>
    <w:rsid w:val="004C0525"/>
    <w:rsid w:val="004C0D6A"/>
    <w:rsid w:val="004C115D"/>
    <w:rsid w:val="004C16D9"/>
    <w:rsid w:val="004C180D"/>
    <w:rsid w:val="004C197D"/>
    <w:rsid w:val="004C1F33"/>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34D"/>
    <w:rsid w:val="004E39A5"/>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2B27"/>
    <w:rsid w:val="00503607"/>
    <w:rsid w:val="00503AAB"/>
    <w:rsid w:val="00503EE9"/>
    <w:rsid w:val="00503F2D"/>
    <w:rsid w:val="0050469C"/>
    <w:rsid w:val="00504BA3"/>
    <w:rsid w:val="00505363"/>
    <w:rsid w:val="005067B7"/>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2FF"/>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1C01"/>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2833"/>
    <w:rsid w:val="00563A0D"/>
    <w:rsid w:val="00564ECD"/>
    <w:rsid w:val="005652B6"/>
    <w:rsid w:val="0056579D"/>
    <w:rsid w:val="005659AB"/>
    <w:rsid w:val="00566627"/>
    <w:rsid w:val="005667AF"/>
    <w:rsid w:val="0056680C"/>
    <w:rsid w:val="00566D31"/>
    <w:rsid w:val="005670C2"/>
    <w:rsid w:val="00567158"/>
    <w:rsid w:val="0056765C"/>
    <w:rsid w:val="00567D75"/>
    <w:rsid w:val="00570781"/>
    <w:rsid w:val="00570ACB"/>
    <w:rsid w:val="00571039"/>
    <w:rsid w:val="0057107C"/>
    <w:rsid w:val="005714FB"/>
    <w:rsid w:val="0057154D"/>
    <w:rsid w:val="00571A7C"/>
    <w:rsid w:val="00572058"/>
    <w:rsid w:val="005726C0"/>
    <w:rsid w:val="00572A76"/>
    <w:rsid w:val="00572FA3"/>
    <w:rsid w:val="005736BC"/>
    <w:rsid w:val="0057382D"/>
    <w:rsid w:val="00573B4E"/>
    <w:rsid w:val="005748C8"/>
    <w:rsid w:val="00574972"/>
    <w:rsid w:val="00574A1A"/>
    <w:rsid w:val="00574FFB"/>
    <w:rsid w:val="0057588B"/>
    <w:rsid w:val="005759E3"/>
    <w:rsid w:val="00575D66"/>
    <w:rsid w:val="00575FC7"/>
    <w:rsid w:val="005772AA"/>
    <w:rsid w:val="00577F77"/>
    <w:rsid w:val="005805C1"/>
    <w:rsid w:val="00582246"/>
    <w:rsid w:val="0058269D"/>
    <w:rsid w:val="00582B85"/>
    <w:rsid w:val="00582D0F"/>
    <w:rsid w:val="005834C4"/>
    <w:rsid w:val="00584942"/>
    <w:rsid w:val="00585947"/>
    <w:rsid w:val="005865E5"/>
    <w:rsid w:val="00586606"/>
    <w:rsid w:val="005866CC"/>
    <w:rsid w:val="0058680E"/>
    <w:rsid w:val="005878DD"/>
    <w:rsid w:val="00587BF0"/>
    <w:rsid w:val="005909D2"/>
    <w:rsid w:val="00590C62"/>
    <w:rsid w:val="00591318"/>
    <w:rsid w:val="00591427"/>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121D"/>
    <w:rsid w:val="005B23A3"/>
    <w:rsid w:val="005B2C3F"/>
    <w:rsid w:val="005B36E3"/>
    <w:rsid w:val="005B3751"/>
    <w:rsid w:val="005B38F2"/>
    <w:rsid w:val="005B3FCE"/>
    <w:rsid w:val="005B452D"/>
    <w:rsid w:val="005B4BCC"/>
    <w:rsid w:val="005B6270"/>
    <w:rsid w:val="005B6457"/>
    <w:rsid w:val="005B6A08"/>
    <w:rsid w:val="005B6C48"/>
    <w:rsid w:val="005B6E2F"/>
    <w:rsid w:val="005B7158"/>
    <w:rsid w:val="005B77A2"/>
    <w:rsid w:val="005B7C06"/>
    <w:rsid w:val="005B7F41"/>
    <w:rsid w:val="005C13CA"/>
    <w:rsid w:val="005C18A0"/>
    <w:rsid w:val="005C1BC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036"/>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3EA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319"/>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196"/>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19B0"/>
    <w:rsid w:val="00662661"/>
    <w:rsid w:val="00663D29"/>
    <w:rsid w:val="00665195"/>
    <w:rsid w:val="0066575D"/>
    <w:rsid w:val="00665791"/>
    <w:rsid w:val="00665C2E"/>
    <w:rsid w:val="00665E11"/>
    <w:rsid w:val="006662D8"/>
    <w:rsid w:val="00666A23"/>
    <w:rsid w:val="00667B63"/>
    <w:rsid w:val="0067047B"/>
    <w:rsid w:val="00670515"/>
    <w:rsid w:val="00670A76"/>
    <w:rsid w:val="00670B9F"/>
    <w:rsid w:val="00670E1C"/>
    <w:rsid w:val="00672775"/>
    <w:rsid w:val="0067305E"/>
    <w:rsid w:val="006739F7"/>
    <w:rsid w:val="00673DA9"/>
    <w:rsid w:val="00674074"/>
    <w:rsid w:val="0067461D"/>
    <w:rsid w:val="00674703"/>
    <w:rsid w:val="0067665D"/>
    <w:rsid w:val="00676836"/>
    <w:rsid w:val="00676F9A"/>
    <w:rsid w:val="00677385"/>
    <w:rsid w:val="006774F3"/>
    <w:rsid w:val="00677558"/>
    <w:rsid w:val="0068019C"/>
    <w:rsid w:val="00681143"/>
    <w:rsid w:val="00681520"/>
    <w:rsid w:val="00682BC2"/>
    <w:rsid w:val="00683C94"/>
    <w:rsid w:val="00683CD1"/>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4B4"/>
    <w:rsid w:val="006955CC"/>
    <w:rsid w:val="0069696D"/>
    <w:rsid w:val="00696A9C"/>
    <w:rsid w:val="006974E5"/>
    <w:rsid w:val="00697825"/>
    <w:rsid w:val="006979ED"/>
    <w:rsid w:val="00697AE0"/>
    <w:rsid w:val="006A0765"/>
    <w:rsid w:val="006A07E6"/>
    <w:rsid w:val="006A1538"/>
    <w:rsid w:val="006A22F7"/>
    <w:rsid w:val="006A2525"/>
    <w:rsid w:val="006A277A"/>
    <w:rsid w:val="006A2CF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0C7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25AB"/>
    <w:rsid w:val="006E25FC"/>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5A1"/>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1959"/>
    <w:rsid w:val="00702000"/>
    <w:rsid w:val="00702519"/>
    <w:rsid w:val="00702DBB"/>
    <w:rsid w:val="007041A0"/>
    <w:rsid w:val="0070425D"/>
    <w:rsid w:val="00704703"/>
    <w:rsid w:val="00704755"/>
    <w:rsid w:val="00706C0F"/>
    <w:rsid w:val="007071E4"/>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076"/>
    <w:rsid w:val="007349B8"/>
    <w:rsid w:val="0073546A"/>
    <w:rsid w:val="00735E50"/>
    <w:rsid w:val="00735FB3"/>
    <w:rsid w:val="00736109"/>
    <w:rsid w:val="00736C5D"/>
    <w:rsid w:val="007371FC"/>
    <w:rsid w:val="00737475"/>
    <w:rsid w:val="0073752D"/>
    <w:rsid w:val="00737843"/>
    <w:rsid w:val="007378D8"/>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4F7F"/>
    <w:rsid w:val="0074529F"/>
    <w:rsid w:val="0074546A"/>
    <w:rsid w:val="00745BA5"/>
    <w:rsid w:val="00745D47"/>
    <w:rsid w:val="00745D4C"/>
    <w:rsid w:val="00745D7C"/>
    <w:rsid w:val="007468E1"/>
    <w:rsid w:val="007476AD"/>
    <w:rsid w:val="007502DA"/>
    <w:rsid w:val="00750D67"/>
    <w:rsid w:val="00750F0E"/>
    <w:rsid w:val="00751210"/>
    <w:rsid w:val="007518C6"/>
    <w:rsid w:val="00752939"/>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9E6"/>
    <w:rsid w:val="00762EC2"/>
    <w:rsid w:val="007633C1"/>
    <w:rsid w:val="00763A0C"/>
    <w:rsid w:val="00763AA8"/>
    <w:rsid w:val="00764978"/>
    <w:rsid w:val="00764B3E"/>
    <w:rsid w:val="00764F8F"/>
    <w:rsid w:val="00765134"/>
    <w:rsid w:val="00765322"/>
    <w:rsid w:val="007653D0"/>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1EA"/>
    <w:rsid w:val="007B2457"/>
    <w:rsid w:val="007B26C9"/>
    <w:rsid w:val="007B2C29"/>
    <w:rsid w:val="007B2F68"/>
    <w:rsid w:val="007B2F72"/>
    <w:rsid w:val="007B32B4"/>
    <w:rsid w:val="007B32D3"/>
    <w:rsid w:val="007B3957"/>
    <w:rsid w:val="007B4AFD"/>
    <w:rsid w:val="007B5875"/>
    <w:rsid w:val="007B62AB"/>
    <w:rsid w:val="007B648B"/>
    <w:rsid w:val="007B6799"/>
    <w:rsid w:val="007B6A78"/>
    <w:rsid w:val="007B6E5F"/>
    <w:rsid w:val="007B7384"/>
    <w:rsid w:val="007B7397"/>
    <w:rsid w:val="007B7D8D"/>
    <w:rsid w:val="007C00CB"/>
    <w:rsid w:val="007C0124"/>
    <w:rsid w:val="007C01CE"/>
    <w:rsid w:val="007C09D4"/>
    <w:rsid w:val="007C173C"/>
    <w:rsid w:val="007C1F79"/>
    <w:rsid w:val="007C2779"/>
    <w:rsid w:val="007C3C4B"/>
    <w:rsid w:val="007C42CE"/>
    <w:rsid w:val="007C44D3"/>
    <w:rsid w:val="007C46F5"/>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11C"/>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0E"/>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A33"/>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36EC2"/>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69F"/>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15EE"/>
    <w:rsid w:val="008822AA"/>
    <w:rsid w:val="008837A3"/>
    <w:rsid w:val="0088445B"/>
    <w:rsid w:val="00884EDD"/>
    <w:rsid w:val="00884FF2"/>
    <w:rsid w:val="00885580"/>
    <w:rsid w:val="008859B7"/>
    <w:rsid w:val="0088608D"/>
    <w:rsid w:val="00886384"/>
    <w:rsid w:val="0088641E"/>
    <w:rsid w:val="00886F8C"/>
    <w:rsid w:val="00887C44"/>
    <w:rsid w:val="00887DBF"/>
    <w:rsid w:val="0089386B"/>
    <w:rsid w:val="00893FE7"/>
    <w:rsid w:val="008947E4"/>
    <w:rsid w:val="008950F3"/>
    <w:rsid w:val="00895619"/>
    <w:rsid w:val="0089578E"/>
    <w:rsid w:val="00896A2B"/>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4F1"/>
    <w:rsid w:val="008B5AC8"/>
    <w:rsid w:val="008B5AE9"/>
    <w:rsid w:val="008B6AEB"/>
    <w:rsid w:val="008B7265"/>
    <w:rsid w:val="008B79FB"/>
    <w:rsid w:val="008C0BB3"/>
    <w:rsid w:val="008C14D6"/>
    <w:rsid w:val="008C1D90"/>
    <w:rsid w:val="008C1DC2"/>
    <w:rsid w:val="008C225D"/>
    <w:rsid w:val="008C2C28"/>
    <w:rsid w:val="008C2D23"/>
    <w:rsid w:val="008C2FC1"/>
    <w:rsid w:val="008C380B"/>
    <w:rsid w:val="008C3B92"/>
    <w:rsid w:val="008C439C"/>
    <w:rsid w:val="008C5355"/>
    <w:rsid w:val="008C57AD"/>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5029"/>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1EA"/>
    <w:rsid w:val="00935B0E"/>
    <w:rsid w:val="0093668E"/>
    <w:rsid w:val="009366E7"/>
    <w:rsid w:val="00936D8A"/>
    <w:rsid w:val="00937334"/>
    <w:rsid w:val="0093774B"/>
    <w:rsid w:val="00937954"/>
    <w:rsid w:val="00940192"/>
    <w:rsid w:val="009407D6"/>
    <w:rsid w:val="00940A6A"/>
    <w:rsid w:val="0094179E"/>
    <w:rsid w:val="00941CEC"/>
    <w:rsid w:val="00942057"/>
    <w:rsid w:val="00942088"/>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01A"/>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1753"/>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21D"/>
    <w:rsid w:val="0098148D"/>
    <w:rsid w:val="00981BE7"/>
    <w:rsid w:val="00982113"/>
    <w:rsid w:val="0098294F"/>
    <w:rsid w:val="00982D2C"/>
    <w:rsid w:val="00983475"/>
    <w:rsid w:val="0098417E"/>
    <w:rsid w:val="00984FEA"/>
    <w:rsid w:val="00985043"/>
    <w:rsid w:val="00985094"/>
    <w:rsid w:val="009850CF"/>
    <w:rsid w:val="0098536D"/>
    <w:rsid w:val="009869C4"/>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0C6E"/>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0722"/>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E17"/>
    <w:rsid w:val="009F3F1D"/>
    <w:rsid w:val="009F4DF9"/>
    <w:rsid w:val="009F5927"/>
    <w:rsid w:val="009F69CB"/>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E15"/>
    <w:rsid w:val="00A13F17"/>
    <w:rsid w:val="00A13F5B"/>
    <w:rsid w:val="00A140BB"/>
    <w:rsid w:val="00A145A4"/>
    <w:rsid w:val="00A14D50"/>
    <w:rsid w:val="00A15835"/>
    <w:rsid w:val="00A15D0B"/>
    <w:rsid w:val="00A16080"/>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6D48"/>
    <w:rsid w:val="00A5717D"/>
    <w:rsid w:val="00A57523"/>
    <w:rsid w:val="00A61221"/>
    <w:rsid w:val="00A613DE"/>
    <w:rsid w:val="00A61585"/>
    <w:rsid w:val="00A61699"/>
    <w:rsid w:val="00A61C62"/>
    <w:rsid w:val="00A62A35"/>
    <w:rsid w:val="00A6333C"/>
    <w:rsid w:val="00A63D59"/>
    <w:rsid w:val="00A63F13"/>
    <w:rsid w:val="00A6567B"/>
    <w:rsid w:val="00A65D70"/>
    <w:rsid w:val="00A66AE3"/>
    <w:rsid w:val="00A70069"/>
    <w:rsid w:val="00A701DA"/>
    <w:rsid w:val="00A70600"/>
    <w:rsid w:val="00A70A02"/>
    <w:rsid w:val="00A70D26"/>
    <w:rsid w:val="00A71B06"/>
    <w:rsid w:val="00A72444"/>
    <w:rsid w:val="00A724DF"/>
    <w:rsid w:val="00A729F1"/>
    <w:rsid w:val="00A72B2B"/>
    <w:rsid w:val="00A735BB"/>
    <w:rsid w:val="00A73775"/>
    <w:rsid w:val="00A73C3A"/>
    <w:rsid w:val="00A743E0"/>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44"/>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0FE"/>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0F0A"/>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1F7B"/>
    <w:rsid w:val="00B02596"/>
    <w:rsid w:val="00B02D9C"/>
    <w:rsid w:val="00B03D7F"/>
    <w:rsid w:val="00B03E5E"/>
    <w:rsid w:val="00B03F5D"/>
    <w:rsid w:val="00B04422"/>
    <w:rsid w:val="00B05046"/>
    <w:rsid w:val="00B0569F"/>
    <w:rsid w:val="00B05D6D"/>
    <w:rsid w:val="00B05E0A"/>
    <w:rsid w:val="00B064DF"/>
    <w:rsid w:val="00B06AD2"/>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8B"/>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328"/>
    <w:rsid w:val="00B455BD"/>
    <w:rsid w:val="00B45F5C"/>
    <w:rsid w:val="00B46C4B"/>
    <w:rsid w:val="00B5015E"/>
    <w:rsid w:val="00B5017A"/>
    <w:rsid w:val="00B510AE"/>
    <w:rsid w:val="00B518E0"/>
    <w:rsid w:val="00B51A1C"/>
    <w:rsid w:val="00B51E92"/>
    <w:rsid w:val="00B5237A"/>
    <w:rsid w:val="00B5325E"/>
    <w:rsid w:val="00B53776"/>
    <w:rsid w:val="00B53818"/>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210"/>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2434"/>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B7D22"/>
    <w:rsid w:val="00BC069F"/>
    <w:rsid w:val="00BC0A98"/>
    <w:rsid w:val="00BC0FB8"/>
    <w:rsid w:val="00BC14F6"/>
    <w:rsid w:val="00BC217E"/>
    <w:rsid w:val="00BC22D0"/>
    <w:rsid w:val="00BC28C4"/>
    <w:rsid w:val="00BC34D8"/>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AEB"/>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4ED5"/>
    <w:rsid w:val="00C157D8"/>
    <w:rsid w:val="00C17179"/>
    <w:rsid w:val="00C1732B"/>
    <w:rsid w:val="00C17422"/>
    <w:rsid w:val="00C17C56"/>
    <w:rsid w:val="00C17D82"/>
    <w:rsid w:val="00C2040D"/>
    <w:rsid w:val="00C20B13"/>
    <w:rsid w:val="00C20E61"/>
    <w:rsid w:val="00C21160"/>
    <w:rsid w:val="00C211D7"/>
    <w:rsid w:val="00C21360"/>
    <w:rsid w:val="00C22961"/>
    <w:rsid w:val="00C2356C"/>
    <w:rsid w:val="00C2491E"/>
    <w:rsid w:val="00C252A5"/>
    <w:rsid w:val="00C25FF9"/>
    <w:rsid w:val="00C26BC5"/>
    <w:rsid w:val="00C3027F"/>
    <w:rsid w:val="00C308EC"/>
    <w:rsid w:val="00C30CF5"/>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7F4"/>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609"/>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D64"/>
    <w:rsid w:val="00C90F90"/>
    <w:rsid w:val="00C9145D"/>
    <w:rsid w:val="00C91540"/>
    <w:rsid w:val="00C92701"/>
    <w:rsid w:val="00C92C33"/>
    <w:rsid w:val="00C93059"/>
    <w:rsid w:val="00C9327D"/>
    <w:rsid w:val="00C93682"/>
    <w:rsid w:val="00C943E1"/>
    <w:rsid w:val="00C9524F"/>
    <w:rsid w:val="00C964AD"/>
    <w:rsid w:val="00C971AF"/>
    <w:rsid w:val="00C97827"/>
    <w:rsid w:val="00C97964"/>
    <w:rsid w:val="00C97C71"/>
    <w:rsid w:val="00C97F5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406"/>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075B6"/>
    <w:rsid w:val="00D10691"/>
    <w:rsid w:val="00D1078E"/>
    <w:rsid w:val="00D10FBF"/>
    <w:rsid w:val="00D11B5E"/>
    <w:rsid w:val="00D12480"/>
    <w:rsid w:val="00D1274C"/>
    <w:rsid w:val="00D12C08"/>
    <w:rsid w:val="00D12D4C"/>
    <w:rsid w:val="00D158F8"/>
    <w:rsid w:val="00D15B74"/>
    <w:rsid w:val="00D161C0"/>
    <w:rsid w:val="00D16234"/>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663"/>
    <w:rsid w:val="00D30ED5"/>
    <w:rsid w:val="00D3157F"/>
    <w:rsid w:val="00D31899"/>
    <w:rsid w:val="00D319D2"/>
    <w:rsid w:val="00D31D45"/>
    <w:rsid w:val="00D31DA7"/>
    <w:rsid w:val="00D32ABC"/>
    <w:rsid w:val="00D330DB"/>
    <w:rsid w:val="00D3372F"/>
    <w:rsid w:val="00D33BC8"/>
    <w:rsid w:val="00D346A3"/>
    <w:rsid w:val="00D34800"/>
    <w:rsid w:val="00D34D2F"/>
    <w:rsid w:val="00D3547D"/>
    <w:rsid w:val="00D361D5"/>
    <w:rsid w:val="00D36A79"/>
    <w:rsid w:val="00D3776B"/>
    <w:rsid w:val="00D37DC0"/>
    <w:rsid w:val="00D4031A"/>
    <w:rsid w:val="00D4076C"/>
    <w:rsid w:val="00D4082B"/>
    <w:rsid w:val="00D408B4"/>
    <w:rsid w:val="00D41091"/>
    <w:rsid w:val="00D4178E"/>
    <w:rsid w:val="00D41C8C"/>
    <w:rsid w:val="00D421F3"/>
    <w:rsid w:val="00D424C6"/>
    <w:rsid w:val="00D43DEC"/>
    <w:rsid w:val="00D43E85"/>
    <w:rsid w:val="00D4401A"/>
    <w:rsid w:val="00D44828"/>
    <w:rsid w:val="00D45602"/>
    <w:rsid w:val="00D47072"/>
    <w:rsid w:val="00D477B6"/>
    <w:rsid w:val="00D47D37"/>
    <w:rsid w:val="00D47FCA"/>
    <w:rsid w:val="00D521BD"/>
    <w:rsid w:val="00D534CB"/>
    <w:rsid w:val="00D535F1"/>
    <w:rsid w:val="00D53802"/>
    <w:rsid w:val="00D53A67"/>
    <w:rsid w:val="00D54052"/>
    <w:rsid w:val="00D5415A"/>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6772"/>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691"/>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B702F"/>
    <w:rsid w:val="00DC090E"/>
    <w:rsid w:val="00DC0A9B"/>
    <w:rsid w:val="00DC1018"/>
    <w:rsid w:val="00DC10F1"/>
    <w:rsid w:val="00DC19E9"/>
    <w:rsid w:val="00DC2A89"/>
    <w:rsid w:val="00DC2F09"/>
    <w:rsid w:val="00DC30B4"/>
    <w:rsid w:val="00DC33F3"/>
    <w:rsid w:val="00DC39C3"/>
    <w:rsid w:val="00DC3B2B"/>
    <w:rsid w:val="00DC4179"/>
    <w:rsid w:val="00DC489B"/>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68E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E7FE8"/>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1BC"/>
    <w:rsid w:val="00E13551"/>
    <w:rsid w:val="00E13CD6"/>
    <w:rsid w:val="00E14087"/>
    <w:rsid w:val="00E14360"/>
    <w:rsid w:val="00E143E7"/>
    <w:rsid w:val="00E14867"/>
    <w:rsid w:val="00E14C30"/>
    <w:rsid w:val="00E15168"/>
    <w:rsid w:val="00E15230"/>
    <w:rsid w:val="00E1525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24BE"/>
    <w:rsid w:val="00E42F60"/>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0C9"/>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97C9F"/>
    <w:rsid w:val="00EA0274"/>
    <w:rsid w:val="00EA09A2"/>
    <w:rsid w:val="00EA0AB2"/>
    <w:rsid w:val="00EA11B2"/>
    <w:rsid w:val="00EA18FF"/>
    <w:rsid w:val="00EA1A00"/>
    <w:rsid w:val="00EA1CB3"/>
    <w:rsid w:val="00EA1D07"/>
    <w:rsid w:val="00EA28ED"/>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2B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581"/>
    <w:rsid w:val="00EE0810"/>
    <w:rsid w:val="00EE17FE"/>
    <w:rsid w:val="00EE1C1F"/>
    <w:rsid w:val="00EE22C7"/>
    <w:rsid w:val="00EE2A7B"/>
    <w:rsid w:val="00EE4289"/>
    <w:rsid w:val="00EE531D"/>
    <w:rsid w:val="00EE5A8D"/>
    <w:rsid w:val="00EE6459"/>
    <w:rsid w:val="00EE6FE4"/>
    <w:rsid w:val="00EE723E"/>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2E67"/>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6AF0"/>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3BF"/>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57E"/>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1F9"/>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B97"/>
    <w:rsid w:val="00F91FCE"/>
    <w:rsid w:val="00F92E92"/>
    <w:rsid w:val="00F9356C"/>
    <w:rsid w:val="00F94265"/>
    <w:rsid w:val="00F94722"/>
    <w:rsid w:val="00F94A15"/>
    <w:rsid w:val="00F95A4B"/>
    <w:rsid w:val="00F967F4"/>
    <w:rsid w:val="00F97653"/>
    <w:rsid w:val="00FA0396"/>
    <w:rsid w:val="00FA1F41"/>
    <w:rsid w:val="00FA20DD"/>
    <w:rsid w:val="00FA2432"/>
    <w:rsid w:val="00FA250D"/>
    <w:rsid w:val="00FA265A"/>
    <w:rsid w:val="00FA2D6B"/>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1E0"/>
    <w:rsid w:val="00FB4676"/>
    <w:rsid w:val="00FB52EB"/>
    <w:rsid w:val="00FB5A21"/>
    <w:rsid w:val="00FB64F8"/>
    <w:rsid w:val="00FB6B84"/>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6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8C7"/>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5:docId w15:val="{1A67E486-FE59-46A3-9822-E7A4F5C1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CD1"/>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100B6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355A1D"/>
    <w:pPr>
      <w:widowControl w:val="0"/>
      <w:spacing w:after="60" w:line="240" w:lineRule="auto"/>
    </w:pPr>
    <w:rPr>
      <w:rFonts w:ascii="Arial" w:hAnsi="Arial"/>
      <w:sz w:val="20"/>
      <w:szCs w:val="20"/>
      <w:lang w:val="en-GB"/>
    </w:rPr>
  </w:style>
  <w:style w:type="character" w:customStyle="1" w:styleId="FootnoteTextChar">
    <w:name w:val="Footnote Text Char"/>
    <w:basedOn w:val="DefaultParagraphFont"/>
    <w:link w:val="FootnoteText"/>
    <w:uiPriority w:val="99"/>
    <w:locked/>
    <w:rsid w:val="00355A1D"/>
    <w:rPr>
      <w:rFonts w:ascii="Arial" w:hAnsi="Arial"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752939"/>
    <w:rPr>
      <w:color w:val="605E5C"/>
      <w:shd w:val="clear" w:color="auto" w:fill="E1DFDD"/>
    </w:rPr>
  </w:style>
  <w:style w:type="character" w:customStyle="1" w:styleId="Heading5Char">
    <w:name w:val="Heading 5 Char"/>
    <w:basedOn w:val="DefaultParagraphFont"/>
    <w:link w:val="Heading5"/>
    <w:semiHidden/>
    <w:rsid w:val="00100B61"/>
    <w:rPr>
      <w:rFonts w:asciiTheme="majorHAnsi" w:eastAsiaTheme="majorEastAsia" w:hAnsiTheme="majorHAnsi" w:cstheme="majorBidi"/>
      <w:color w:val="365F91" w:themeColor="accent1" w:themeShade="BF"/>
      <w:sz w:val="22"/>
      <w:szCs w:val="22"/>
      <w:lang w:eastAsia="en-US"/>
    </w:rPr>
  </w:style>
  <w:style w:type="numbering" w:customStyle="1" w:styleId="CurrentList1">
    <w:name w:val="Current List1"/>
    <w:uiPriority w:val="99"/>
    <w:rsid w:val="00452430"/>
    <w:pPr>
      <w:numPr>
        <w:numId w:val="14"/>
      </w:numPr>
    </w:pPr>
  </w:style>
  <w:style w:type="numbering" w:customStyle="1" w:styleId="CurrentList2">
    <w:name w:val="Current List2"/>
    <w:uiPriority w:val="99"/>
    <w:rsid w:val="00613EA3"/>
    <w:pPr>
      <w:numPr>
        <w:numId w:val="29"/>
      </w:numPr>
    </w:pPr>
  </w:style>
  <w:style w:type="numbering" w:customStyle="1" w:styleId="CurrentList3">
    <w:name w:val="Current List3"/>
    <w:uiPriority w:val="99"/>
    <w:rsid w:val="00613EA3"/>
    <w:pPr>
      <w:numPr>
        <w:numId w:val="30"/>
      </w:numPr>
    </w:pPr>
  </w:style>
  <w:style w:type="paragraph" w:customStyle="1" w:styleId="Recommendation3">
    <w:name w:val="Recommendation 3"/>
    <w:qFormat/>
    <w:rsid w:val="00971753"/>
    <w:pPr>
      <w:numPr>
        <w:numId w:val="33"/>
      </w:numPr>
      <w:tabs>
        <w:tab w:val="left" w:pos="1276"/>
      </w:tabs>
      <w:spacing w:before="60" w:line="276" w:lineRule="auto"/>
    </w:pPr>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47199043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619532180">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06574">
      <w:bodyDiv w:val="1"/>
      <w:marLeft w:val="0"/>
      <w:marRight w:val="0"/>
      <w:marTop w:val="0"/>
      <w:marBottom w:val="0"/>
      <w:divBdr>
        <w:top w:val="none" w:sz="0" w:space="0" w:color="auto"/>
        <w:left w:val="none" w:sz="0" w:space="0" w:color="auto"/>
        <w:bottom w:val="none" w:sz="0" w:space="0" w:color="auto"/>
        <w:right w:val="none" w:sz="0" w:space="0" w:color="auto"/>
      </w:divBdr>
    </w:div>
    <w:div w:id="205037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7093</Characters>
  <Application>Microsoft Office Word</Application>
  <DocSecurity>0</DocSecurity>
  <Lines>180</Lines>
  <Paragraphs>67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2023-03-28T23:37:00Z</dcterms:created>
  <dcterms:modified xsi:type="dcterms:W3CDTF">2023-03-28T23:37:00Z</dcterms:modified>
</cp:coreProperties>
</file>