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F0D46" w14:textId="77777777" w:rsidR="0079054C" w:rsidRPr="00702244" w:rsidRDefault="0079054C" w:rsidP="00702244">
      <w:pPr>
        <w:rPr>
          <w:rFonts w:ascii="Arial" w:eastAsia="Times New Roman" w:hAnsi="Arial" w:cs="Arial"/>
          <w:szCs w:val="20"/>
        </w:rPr>
      </w:pPr>
      <w:r w:rsidRPr="00702244">
        <w:rPr>
          <w:rFonts w:ascii="Arial" w:eastAsia="Times New Roman" w:hAnsi="Arial" w:cs="Arial"/>
          <w:szCs w:val="20"/>
        </w:rPr>
        <w:t>Australian Capital Territory</w:t>
      </w:r>
    </w:p>
    <w:p w14:paraId="3E47BA8A" w14:textId="77777777" w:rsidR="0079054C" w:rsidRPr="007641DC" w:rsidRDefault="0079054C" w:rsidP="00702244">
      <w:pPr>
        <w:spacing w:before="600"/>
        <w:ind w:right="567"/>
        <w:rPr>
          <w:rFonts w:ascii="Arial" w:eastAsia="Times New Roman" w:hAnsi="Arial" w:cs="Arial"/>
          <w:b/>
          <w:bCs/>
          <w:sz w:val="36"/>
          <w:szCs w:val="36"/>
        </w:rPr>
      </w:pPr>
      <w:r w:rsidRPr="007641DC">
        <w:rPr>
          <w:rFonts w:ascii="Arial" w:eastAsia="Times New Roman" w:hAnsi="Arial" w:cs="Arial"/>
          <w:b/>
          <w:bCs/>
          <w:sz w:val="36"/>
          <w:szCs w:val="36"/>
        </w:rPr>
        <w:t>Explanatory Statement</w:t>
      </w:r>
    </w:p>
    <w:p w14:paraId="68249C72" w14:textId="7695CC2B" w:rsidR="0079054C" w:rsidRPr="00702244" w:rsidRDefault="00147BAF" w:rsidP="00702244">
      <w:pPr>
        <w:pStyle w:val="Billname"/>
        <w:autoSpaceDE/>
        <w:autoSpaceDN/>
        <w:spacing w:before="700"/>
        <w:rPr>
          <w:rFonts w:eastAsia="Times New Roman" w:cs="Times New Roman"/>
          <w:bCs w:val="0"/>
          <w:szCs w:val="20"/>
        </w:rPr>
      </w:pPr>
      <w:r w:rsidRPr="00702244">
        <w:rPr>
          <w:rFonts w:eastAsia="Times New Roman" w:cs="Times New Roman"/>
          <w:bCs w:val="0"/>
          <w:szCs w:val="20"/>
        </w:rPr>
        <w:t>Public Health (Notifiable Conditions) Determination</w:t>
      </w:r>
      <w:r w:rsidR="00EE4137" w:rsidRPr="00702244">
        <w:rPr>
          <w:rFonts w:eastAsia="Times New Roman" w:cs="Times New Roman"/>
          <w:bCs w:val="0"/>
          <w:szCs w:val="20"/>
        </w:rPr>
        <w:t> 20</w:t>
      </w:r>
      <w:r w:rsidRPr="00702244">
        <w:rPr>
          <w:rFonts w:eastAsia="Times New Roman" w:cs="Times New Roman"/>
          <w:bCs w:val="0"/>
          <w:szCs w:val="20"/>
        </w:rPr>
        <w:t>2</w:t>
      </w:r>
      <w:r w:rsidR="004D008F" w:rsidRPr="00702244">
        <w:rPr>
          <w:rFonts w:eastAsia="Times New Roman" w:cs="Times New Roman"/>
          <w:bCs w:val="0"/>
          <w:szCs w:val="20"/>
        </w:rPr>
        <w:t>2</w:t>
      </w:r>
      <w:r w:rsidR="00863BF5">
        <w:rPr>
          <w:rFonts w:eastAsia="Times New Roman" w:cs="Times New Roman"/>
          <w:bCs w:val="0"/>
          <w:szCs w:val="20"/>
        </w:rPr>
        <w:t> (No 2)</w:t>
      </w:r>
    </w:p>
    <w:p w14:paraId="1F23B92F" w14:textId="445864F2" w:rsidR="0079054C" w:rsidRPr="00702244" w:rsidRDefault="00240D93" w:rsidP="00702244">
      <w:pPr>
        <w:spacing w:before="340"/>
        <w:rPr>
          <w:rFonts w:ascii="Arial" w:eastAsia="Times New Roman" w:hAnsi="Arial" w:cs="Arial"/>
          <w:b/>
          <w:bCs/>
          <w:szCs w:val="20"/>
        </w:rPr>
      </w:pPr>
      <w:r w:rsidRPr="00702244">
        <w:rPr>
          <w:rFonts w:ascii="Arial" w:eastAsia="Times New Roman" w:hAnsi="Arial" w:cs="Arial"/>
          <w:b/>
          <w:bCs/>
          <w:szCs w:val="20"/>
        </w:rPr>
        <w:t>Disallowable Instrument DI20</w:t>
      </w:r>
      <w:r w:rsidR="001951F9" w:rsidRPr="00702244">
        <w:rPr>
          <w:rFonts w:ascii="Arial" w:eastAsia="Times New Roman" w:hAnsi="Arial" w:cs="Arial"/>
          <w:b/>
          <w:bCs/>
          <w:szCs w:val="20"/>
        </w:rPr>
        <w:t>2</w:t>
      </w:r>
      <w:r w:rsidR="004D008F" w:rsidRPr="00702244">
        <w:rPr>
          <w:rFonts w:ascii="Arial" w:eastAsia="Times New Roman" w:hAnsi="Arial" w:cs="Arial"/>
          <w:b/>
          <w:bCs/>
          <w:szCs w:val="20"/>
        </w:rPr>
        <w:t>2</w:t>
      </w:r>
      <w:r w:rsidR="00EE4137" w:rsidRPr="00702244">
        <w:rPr>
          <w:rFonts w:ascii="Arial" w:eastAsia="Times New Roman" w:hAnsi="Arial" w:cs="Arial"/>
          <w:b/>
          <w:bCs/>
          <w:szCs w:val="20"/>
        </w:rPr>
        <w:t>-</w:t>
      </w:r>
      <w:r w:rsidR="004815CF">
        <w:rPr>
          <w:rFonts w:ascii="Arial" w:eastAsia="Times New Roman" w:hAnsi="Arial" w:cs="Arial"/>
          <w:b/>
          <w:bCs/>
          <w:szCs w:val="20"/>
        </w:rPr>
        <w:t>237</w:t>
      </w:r>
    </w:p>
    <w:p w14:paraId="3A3CED39" w14:textId="77777777" w:rsidR="0079054C" w:rsidRPr="00702244" w:rsidRDefault="0079054C" w:rsidP="00702244">
      <w:pPr>
        <w:pStyle w:val="madeunder"/>
        <w:autoSpaceDE/>
        <w:autoSpaceDN/>
        <w:spacing w:before="300" w:after="0"/>
        <w:rPr>
          <w:rFonts w:eastAsia="Times New Roman"/>
          <w:sz w:val="24"/>
        </w:rPr>
      </w:pPr>
      <w:r w:rsidRPr="00702244">
        <w:rPr>
          <w:rFonts w:eastAsia="Times New Roman"/>
          <w:sz w:val="24"/>
        </w:rPr>
        <w:t xml:space="preserve">made under the </w:t>
      </w:r>
    </w:p>
    <w:p w14:paraId="2374D93A" w14:textId="77777777" w:rsidR="0079054C" w:rsidRPr="00702244" w:rsidRDefault="0079054C" w:rsidP="00702244">
      <w:pPr>
        <w:pStyle w:val="CoverActName"/>
        <w:autoSpaceDE/>
        <w:autoSpaceDN/>
        <w:spacing w:before="320" w:after="0"/>
        <w:rPr>
          <w:rFonts w:eastAsia="Times New Roman"/>
          <w:bCs w:val="0"/>
        </w:rPr>
      </w:pPr>
      <w:r w:rsidRPr="00702244">
        <w:rPr>
          <w:rFonts w:eastAsia="Times New Roman"/>
          <w:bCs w:val="0"/>
        </w:rPr>
        <w:t>Public Health Act 1997, s 100 (Notifiable Conditions – Ministerial determination)</w:t>
      </w:r>
    </w:p>
    <w:p w14:paraId="7D77B83A" w14:textId="77777777" w:rsidR="00702244" w:rsidRDefault="00702244" w:rsidP="00702244">
      <w:pPr>
        <w:pStyle w:val="N-line3"/>
        <w:pBdr>
          <w:bottom w:val="none" w:sz="0" w:space="0" w:color="auto"/>
        </w:pBdr>
      </w:pPr>
    </w:p>
    <w:p w14:paraId="74E37963" w14:textId="77777777" w:rsidR="00702244" w:rsidRDefault="00702244" w:rsidP="00702244">
      <w:pPr>
        <w:pStyle w:val="N-line3"/>
        <w:pBdr>
          <w:top w:val="single" w:sz="12" w:space="1" w:color="auto"/>
          <w:bottom w:val="none" w:sz="0" w:space="0" w:color="auto"/>
        </w:pBdr>
      </w:pPr>
    </w:p>
    <w:p w14:paraId="68CAF026" w14:textId="19960AD3" w:rsidR="0079054C" w:rsidRPr="006F0952" w:rsidRDefault="005064B5" w:rsidP="00C5003A">
      <w:pPr>
        <w:ind w:right="-334"/>
      </w:pPr>
      <w:r>
        <w:t xml:space="preserve">The </w:t>
      </w:r>
      <w:r w:rsidR="0079054C" w:rsidRPr="006F0952">
        <w:rPr>
          <w:i/>
          <w:iCs/>
        </w:rPr>
        <w:t>Public Health Act</w:t>
      </w:r>
      <w:r w:rsidR="00EE4137">
        <w:rPr>
          <w:i/>
          <w:iCs/>
        </w:rPr>
        <w:t> </w:t>
      </w:r>
      <w:r w:rsidR="0079054C" w:rsidRPr="006F0952">
        <w:rPr>
          <w:i/>
          <w:iCs/>
        </w:rPr>
        <w:t>1997</w:t>
      </w:r>
      <w:r w:rsidR="0079054C" w:rsidRPr="006F0952">
        <w:t xml:space="preserve"> (the Act)</w:t>
      </w:r>
      <w:r>
        <w:t>,</w:t>
      </w:r>
      <w:r w:rsidR="0079054C" w:rsidRPr="006F0952">
        <w:t xml:space="preserve"> </w:t>
      </w:r>
      <w:r w:rsidRPr="006F0952">
        <w:t>Part 6</w:t>
      </w:r>
      <w:r>
        <w:t xml:space="preserve"> (Notifiable conditions and public health hazards)</w:t>
      </w:r>
      <w:r w:rsidRPr="006F0952">
        <w:t xml:space="preserve"> of the </w:t>
      </w:r>
      <w:r w:rsidR="0079054C" w:rsidRPr="006F0952">
        <w:t>provides for the monitoring and investigation of notifiable conditions so that public health action may be carried out in order to minimise the adverse public health effects of such conditions.</w:t>
      </w:r>
    </w:p>
    <w:p w14:paraId="4C6BDD70" w14:textId="77777777" w:rsidR="0079054C" w:rsidRPr="006F0952" w:rsidRDefault="0079054C" w:rsidP="00C5003A">
      <w:pPr>
        <w:ind w:right="-334"/>
      </w:pPr>
    </w:p>
    <w:p w14:paraId="611AE049" w14:textId="49CBA9E1" w:rsidR="0079054C" w:rsidRPr="006F0952" w:rsidRDefault="0079054C" w:rsidP="00C5003A">
      <w:pPr>
        <w:ind w:right="-334"/>
      </w:pPr>
      <w:r w:rsidRPr="006F0952">
        <w:t>Under subsection</w:t>
      </w:r>
      <w:r w:rsidR="00EE4137">
        <w:t> </w:t>
      </w:r>
      <w:r w:rsidRPr="006F0952">
        <w:t>100</w:t>
      </w:r>
      <w:r w:rsidR="00EE4137">
        <w:t> </w:t>
      </w:r>
      <w:r w:rsidRPr="006F0952">
        <w:t xml:space="preserve">(1) of the Act the </w:t>
      </w:r>
      <w:r w:rsidR="005064B5">
        <w:t>M</w:t>
      </w:r>
      <w:r w:rsidRPr="006F0952">
        <w:t>inister may in writing, determine-</w:t>
      </w:r>
    </w:p>
    <w:p w14:paraId="5F1B3F1D" w14:textId="77777777" w:rsidR="0079054C" w:rsidRPr="006F0952" w:rsidRDefault="0079054C" w:rsidP="00C5003A">
      <w:pPr>
        <w:numPr>
          <w:ilvl w:val="0"/>
          <w:numId w:val="1"/>
        </w:numPr>
        <w:tabs>
          <w:tab w:val="clear" w:pos="1404"/>
          <w:tab w:val="num" w:pos="993"/>
        </w:tabs>
        <w:ind w:left="993" w:right="-334" w:hanging="567"/>
      </w:pPr>
      <w:r w:rsidRPr="006F0952">
        <w:t>a disease or medical condition to be a notifiable condition; and</w:t>
      </w:r>
    </w:p>
    <w:p w14:paraId="33511946" w14:textId="77777777" w:rsidR="0079054C" w:rsidRPr="006F0952" w:rsidRDefault="0079054C" w:rsidP="00C5003A">
      <w:pPr>
        <w:pStyle w:val="BodyTextIndent2"/>
        <w:tabs>
          <w:tab w:val="left" w:pos="993"/>
        </w:tabs>
        <w:ind w:left="993" w:right="-334" w:hanging="567"/>
        <w:rPr>
          <w:rFonts w:ascii="Times New Roman" w:hAnsi="Times New Roman" w:cs="Times New Roman"/>
        </w:rPr>
      </w:pPr>
      <w:r w:rsidRPr="006F0952">
        <w:rPr>
          <w:rFonts w:ascii="Times New Roman" w:hAnsi="Times New Roman" w:cs="Times New Roman"/>
        </w:rPr>
        <w:t>(b)</w:t>
      </w:r>
      <w:r w:rsidRPr="006F0952">
        <w:rPr>
          <w:rFonts w:ascii="Times New Roman" w:hAnsi="Times New Roman" w:cs="Times New Roman"/>
        </w:rPr>
        <w:tab/>
        <w:t xml:space="preserve">a disease referred to in paragraph (a) to be a transmissible notifiable condition. </w:t>
      </w:r>
    </w:p>
    <w:p w14:paraId="49434ED2" w14:textId="77777777" w:rsidR="0079054C" w:rsidRPr="006F0952" w:rsidRDefault="0079054C" w:rsidP="00C5003A">
      <w:pPr>
        <w:ind w:right="-334"/>
      </w:pPr>
    </w:p>
    <w:p w14:paraId="3633B790" w14:textId="2540FF6C" w:rsidR="00AB53BE" w:rsidRDefault="00EE4137" w:rsidP="00C5003A">
      <w:pPr>
        <w:ind w:right="-334"/>
        <w:rPr>
          <w:lang w:val="en-GB"/>
        </w:rPr>
      </w:pPr>
      <w:r>
        <w:t xml:space="preserve">This instrument adds </w:t>
      </w:r>
      <w:r w:rsidR="00863BF5">
        <w:t xml:space="preserve">Monkeypox </w:t>
      </w:r>
      <w:r>
        <w:t>to the list of notifiable diseases</w:t>
      </w:r>
      <w:r w:rsidR="00863BF5">
        <w:t>.</w:t>
      </w:r>
      <w:r>
        <w:t xml:space="preserve"> </w:t>
      </w:r>
      <w:r w:rsidR="00AB53BE" w:rsidRPr="007C25BB">
        <w:rPr>
          <w:lang w:val="en-GB"/>
        </w:rPr>
        <w:t xml:space="preserve">The determination is a disallowable instrument for the purposes of the </w:t>
      </w:r>
      <w:r w:rsidR="00AB53BE" w:rsidRPr="007C25BB">
        <w:rPr>
          <w:i/>
          <w:iCs/>
          <w:lang w:val="en-GB"/>
        </w:rPr>
        <w:t>Legislation Act 2001</w:t>
      </w:r>
      <w:r w:rsidR="00AB53BE" w:rsidRPr="007C25BB">
        <w:rPr>
          <w:lang w:val="en-GB"/>
        </w:rPr>
        <w:t xml:space="preserve">. </w:t>
      </w:r>
    </w:p>
    <w:p w14:paraId="7F07E977" w14:textId="77777777" w:rsidR="00262591" w:rsidRPr="007C25BB" w:rsidRDefault="00262591" w:rsidP="00C5003A">
      <w:pPr>
        <w:ind w:right="-334"/>
        <w:rPr>
          <w:lang w:val="en-GB"/>
        </w:rPr>
      </w:pPr>
    </w:p>
    <w:p w14:paraId="3D06619B" w14:textId="193AE852" w:rsidR="00863BF5" w:rsidRDefault="00863BF5" w:rsidP="00262591">
      <w:pPr>
        <w:ind w:right="-334"/>
      </w:pPr>
      <w:r>
        <w:t>Monkeypox has been a temporary notifiable condition</w:t>
      </w:r>
      <w:r w:rsidR="005064B5" w:rsidRPr="005064B5">
        <w:t xml:space="preserve"> </w:t>
      </w:r>
      <w:r w:rsidR="005064B5">
        <w:t>following a declaration by the Chief Health Officer on 27 May 2022</w:t>
      </w:r>
      <w:r>
        <w:t xml:space="preserve">. </w:t>
      </w:r>
      <w:r w:rsidR="005064B5">
        <w:t>U</w:t>
      </w:r>
      <w:r>
        <w:t>nder section 101(3) of the Act</w:t>
      </w:r>
      <w:r w:rsidR="005064B5">
        <w:t>,</w:t>
      </w:r>
      <w:r>
        <w:t xml:space="preserve"> a declaration as a temporary notifiable condition can remain in force for not longer than 6 months, meaning the temporary declaration will conclude on 1 November 2022. </w:t>
      </w:r>
    </w:p>
    <w:p w14:paraId="4DB9F386" w14:textId="77777777" w:rsidR="00863BF5" w:rsidRDefault="00863BF5" w:rsidP="00262591">
      <w:pPr>
        <w:ind w:right="-334"/>
      </w:pPr>
    </w:p>
    <w:p w14:paraId="3763F911" w14:textId="3CFDDD9F" w:rsidR="00863BF5" w:rsidRDefault="00863BF5" w:rsidP="00863BF5">
      <w:pPr>
        <w:ind w:right="-334"/>
      </w:pPr>
      <w:bookmarkStart w:id="0" w:name="_Hlk116487601"/>
      <w:r>
        <w:rPr>
          <w:lang w:val="en-US"/>
        </w:rPr>
        <w:t>The Australian Chief Medical Officer declared Monkeypox to be a Communicable Disease of National Significance on 28 July 2022.</w:t>
      </w:r>
      <w:r w:rsidRPr="00863BF5">
        <w:rPr>
          <w:rFonts w:ascii="Segoe UI" w:hAnsi="Segoe UI" w:cs="Segoe UI"/>
          <w:color w:val="313131"/>
          <w:shd w:val="clear" w:color="auto" w:fill="FFFFFF"/>
        </w:rPr>
        <w:t xml:space="preserve"> </w:t>
      </w:r>
      <w:r>
        <w:t xml:space="preserve">This </w:t>
      </w:r>
      <w:r w:rsidRPr="00863BF5">
        <w:t>follow</w:t>
      </w:r>
      <w:r>
        <w:t>ed</w:t>
      </w:r>
      <w:r w:rsidRPr="00863BF5">
        <w:t xml:space="preserve"> the World Health Organization declaring the global situation regarding M</w:t>
      </w:r>
      <w:r w:rsidR="006D6917">
        <w:t>onkeypox</w:t>
      </w:r>
      <w:r w:rsidRPr="00863BF5">
        <w:t xml:space="preserve"> to be a public health emergency of international concer</w:t>
      </w:r>
      <w:r>
        <w:t>n. Accordingly, these declarations are indicative that Monkeypox continues to represent a public health threat such that its status as a notifiable condition must apply beyond 1 November 2022</w:t>
      </w:r>
      <w:bookmarkEnd w:id="0"/>
      <w:r w:rsidR="00B36222">
        <w:t>.</w:t>
      </w:r>
    </w:p>
    <w:p w14:paraId="722BFAE8" w14:textId="5CB56CC9" w:rsidR="006C7213" w:rsidRDefault="006C7213" w:rsidP="00863BF5">
      <w:pPr>
        <w:ind w:right="-334"/>
      </w:pPr>
    </w:p>
    <w:p w14:paraId="77469FE2" w14:textId="5F0CC93B" w:rsidR="006C7213" w:rsidRPr="007E1701" w:rsidRDefault="006C7213" w:rsidP="006C7213">
      <w:r>
        <w:t xml:space="preserve">Furthermore, </w:t>
      </w:r>
      <w:r w:rsidRPr="00450672">
        <w:t xml:space="preserve">the listing of “Respiratory illness in </w:t>
      </w:r>
      <w:r>
        <w:rPr>
          <w:b/>
          <w:bCs/>
        </w:rPr>
        <w:t>three</w:t>
      </w:r>
      <w:r w:rsidRPr="00450672">
        <w:t xml:space="preserve"> or more related cases in an institution within 72</w:t>
      </w:r>
      <w:r>
        <w:t> </w:t>
      </w:r>
      <w:r w:rsidRPr="00450672">
        <w:t xml:space="preserve">hours” </w:t>
      </w:r>
      <w:r>
        <w:t xml:space="preserve">has been amended </w:t>
      </w:r>
      <w:r w:rsidRPr="00450672">
        <w:t xml:space="preserve">to be “respiratory illness in </w:t>
      </w:r>
      <w:r>
        <w:rPr>
          <w:b/>
          <w:bCs/>
        </w:rPr>
        <w:t>two</w:t>
      </w:r>
      <w:r w:rsidRPr="00450672">
        <w:t xml:space="preserve"> or more related cases in an institution within 72 hours” to align with updated national guidance for </w:t>
      </w:r>
      <w:r>
        <w:t>Residential Aged Care Facilities (</w:t>
      </w:r>
      <w:r w:rsidRPr="00450672">
        <w:t>RACFs</w:t>
      </w:r>
      <w:r>
        <w:t>)</w:t>
      </w:r>
      <w:r w:rsidRPr="00450672">
        <w:t xml:space="preserve"> that </w:t>
      </w:r>
      <w:r>
        <w:t>were recently endorsed by the Australian Health Protection Principal Committee. This also aligns with the amended Code of Practice for the Reporting of Notifiable Conditions.</w:t>
      </w:r>
    </w:p>
    <w:p w14:paraId="6B70922B" w14:textId="77777777" w:rsidR="006C7213" w:rsidRPr="007E1701" w:rsidRDefault="006C7213" w:rsidP="006C7213">
      <w:r w:rsidRPr="007E1701">
        <w:lastRenderedPageBreak/>
        <w:t xml:space="preserve">The first two sections of the code of practice address the obligation to report notifiable conditions and details who is obliged to report. </w:t>
      </w:r>
      <w:r>
        <w:t>S</w:t>
      </w:r>
      <w:r w:rsidRPr="007E1701">
        <w:t>ection 3 of the code of practice details notification requirements. Section</w:t>
      </w:r>
      <w:r>
        <w:t>s </w:t>
      </w:r>
      <w:r w:rsidRPr="007E1701">
        <w:t>4 and 5 describe the public health response to notifications and issues related to privacy and disclosure of information. Section 6 provides an explanation of the definitions used in the code of practice</w:t>
      </w:r>
      <w:r>
        <w:t xml:space="preserve">. These provisions have undergone minor editorial changes from the previously determined </w:t>
      </w:r>
      <w:r w:rsidRPr="007E1701">
        <w:t>code of practice.</w:t>
      </w:r>
    </w:p>
    <w:p w14:paraId="371B365C" w14:textId="77777777" w:rsidR="006C7213" w:rsidRDefault="006C7213" w:rsidP="00863BF5">
      <w:pPr>
        <w:ind w:right="-334"/>
      </w:pPr>
    </w:p>
    <w:p w14:paraId="3203F407" w14:textId="77777777" w:rsidR="006C7213" w:rsidRPr="004B4326" w:rsidRDefault="006C7213" w:rsidP="00863BF5">
      <w:pPr>
        <w:ind w:right="-334"/>
      </w:pPr>
    </w:p>
    <w:sectPr w:rsidR="006C7213" w:rsidRPr="004B4326" w:rsidSect="008D4A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4F62E" w14:textId="77777777" w:rsidR="0052427D" w:rsidRDefault="0052427D">
      <w:r>
        <w:separator/>
      </w:r>
    </w:p>
  </w:endnote>
  <w:endnote w:type="continuationSeparator" w:id="0">
    <w:p w14:paraId="114A15A5" w14:textId="77777777" w:rsidR="0052427D" w:rsidRDefault="00524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632FC" w14:textId="77777777" w:rsidR="00B31487" w:rsidRDefault="00B314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B3EB3" w14:textId="4FBE3281" w:rsidR="001C6D9B" w:rsidRDefault="001C6D9B">
    <w:pPr>
      <w:pStyle w:val="Footer"/>
      <w:jc w:val="right"/>
    </w:pPr>
    <w:r w:rsidRPr="003209B7">
      <w:t xml:space="preserve">Page </w:t>
    </w:r>
    <w:r w:rsidRPr="003209B7">
      <w:fldChar w:fldCharType="begin"/>
    </w:r>
    <w:r w:rsidRPr="003209B7">
      <w:instrText xml:space="preserve"> PAGE </w:instrText>
    </w:r>
    <w:r w:rsidRPr="003209B7">
      <w:fldChar w:fldCharType="separate"/>
    </w:r>
    <w:r w:rsidR="00AB4A2B" w:rsidRPr="003209B7">
      <w:rPr>
        <w:noProof/>
      </w:rPr>
      <w:t>1</w:t>
    </w:r>
    <w:r w:rsidRPr="003209B7">
      <w:fldChar w:fldCharType="end"/>
    </w:r>
    <w:r w:rsidRPr="003209B7">
      <w:t xml:space="preserve"> of </w:t>
    </w:r>
    <w:r w:rsidR="00B31487">
      <w:fldChar w:fldCharType="begin"/>
    </w:r>
    <w:r w:rsidR="00B31487">
      <w:instrText xml:space="preserve"> NUMPAGES  </w:instrText>
    </w:r>
    <w:r w:rsidR="00B31487">
      <w:fldChar w:fldCharType="separate"/>
    </w:r>
    <w:r w:rsidR="00AB4A2B" w:rsidRPr="003209B7">
      <w:rPr>
        <w:noProof/>
      </w:rPr>
      <w:t>1</w:t>
    </w:r>
    <w:r w:rsidR="00B31487">
      <w:rPr>
        <w:noProof/>
      </w:rPr>
      <w:fldChar w:fldCharType="end"/>
    </w:r>
  </w:p>
  <w:p w14:paraId="4EA451F5" w14:textId="36796AE3" w:rsidR="003209B7" w:rsidRPr="00B31487" w:rsidRDefault="00B31487" w:rsidP="00B31487">
    <w:pPr>
      <w:pStyle w:val="Footer"/>
      <w:spacing w:before="120"/>
      <w:jc w:val="center"/>
      <w:rPr>
        <w:rFonts w:ascii="Arial" w:hAnsi="Arial" w:cs="Arial"/>
        <w:sz w:val="14"/>
        <w:szCs w:val="14"/>
      </w:rPr>
    </w:pPr>
    <w:r w:rsidRPr="00B31487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500B9" w14:textId="77777777" w:rsidR="00B31487" w:rsidRDefault="00B314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E3D78" w14:textId="77777777" w:rsidR="0052427D" w:rsidRDefault="0052427D">
      <w:r>
        <w:separator/>
      </w:r>
    </w:p>
  </w:footnote>
  <w:footnote w:type="continuationSeparator" w:id="0">
    <w:p w14:paraId="75E59AC9" w14:textId="77777777" w:rsidR="0052427D" w:rsidRDefault="005242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4CC43" w14:textId="77777777" w:rsidR="00B31487" w:rsidRDefault="00B314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8B23E" w14:textId="77777777" w:rsidR="00B31487" w:rsidRDefault="00B314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3449A" w14:textId="77777777" w:rsidR="00B31487" w:rsidRDefault="00B314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F7876"/>
    <w:multiLevelType w:val="hybridMultilevel"/>
    <w:tmpl w:val="1E6C7A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184D6F"/>
    <w:multiLevelType w:val="hybridMultilevel"/>
    <w:tmpl w:val="D28A72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296211"/>
    <w:multiLevelType w:val="hybridMultilevel"/>
    <w:tmpl w:val="E0EE9B72"/>
    <w:lvl w:ilvl="0" w:tplc="7646F670">
      <w:start w:val="1"/>
      <w:numFmt w:val="lowerLetter"/>
      <w:lvlText w:val="(%1)"/>
      <w:lvlJc w:val="left"/>
      <w:pPr>
        <w:tabs>
          <w:tab w:val="num" w:pos="1404"/>
        </w:tabs>
        <w:ind w:left="140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24"/>
        </w:tabs>
        <w:ind w:left="212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44"/>
        </w:tabs>
        <w:ind w:left="284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564"/>
        </w:tabs>
        <w:ind w:left="356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284"/>
        </w:tabs>
        <w:ind w:left="428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04"/>
        </w:tabs>
        <w:ind w:left="500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24"/>
        </w:tabs>
        <w:ind w:left="572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44"/>
        </w:tabs>
        <w:ind w:left="644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164"/>
        </w:tabs>
        <w:ind w:left="7164" w:hanging="180"/>
      </w:pPr>
      <w:rPr>
        <w:rFonts w:cs="Times New Roman"/>
      </w:rPr>
    </w:lvl>
  </w:abstractNum>
  <w:abstractNum w:abstractNumId="3" w15:restartNumberingAfterBreak="0">
    <w:nsid w:val="5D6D6B2E"/>
    <w:multiLevelType w:val="hybridMultilevel"/>
    <w:tmpl w:val="32E27F92"/>
    <w:lvl w:ilvl="0" w:tplc="0C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754950FD"/>
    <w:multiLevelType w:val="hybridMultilevel"/>
    <w:tmpl w:val="93F817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46571">
    <w:abstractNumId w:val="2"/>
  </w:num>
  <w:num w:numId="2" w16cid:durableId="489056740">
    <w:abstractNumId w:val="0"/>
  </w:num>
  <w:num w:numId="3" w16cid:durableId="239024203">
    <w:abstractNumId w:val="3"/>
  </w:num>
  <w:num w:numId="4" w16cid:durableId="989867771">
    <w:abstractNumId w:val="4"/>
  </w:num>
  <w:num w:numId="5" w16cid:durableId="1943295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121"/>
    <w:rsid w:val="00041DE4"/>
    <w:rsid w:val="00076484"/>
    <w:rsid w:val="0008006D"/>
    <w:rsid w:val="000B39CA"/>
    <w:rsid w:val="001061E5"/>
    <w:rsid w:val="00147BAF"/>
    <w:rsid w:val="001951F9"/>
    <w:rsid w:val="001A6314"/>
    <w:rsid w:val="001C6D9B"/>
    <w:rsid w:val="00240D93"/>
    <w:rsid w:val="00262591"/>
    <w:rsid w:val="002D4642"/>
    <w:rsid w:val="003073A4"/>
    <w:rsid w:val="003166AB"/>
    <w:rsid w:val="003209B7"/>
    <w:rsid w:val="003A45F2"/>
    <w:rsid w:val="003C6CA9"/>
    <w:rsid w:val="003E3A8C"/>
    <w:rsid w:val="00406283"/>
    <w:rsid w:val="00430148"/>
    <w:rsid w:val="00455C9E"/>
    <w:rsid w:val="004815CF"/>
    <w:rsid w:val="004B4326"/>
    <w:rsid w:val="004D008F"/>
    <w:rsid w:val="004D1112"/>
    <w:rsid w:val="00502403"/>
    <w:rsid w:val="005064B5"/>
    <w:rsid w:val="005111F9"/>
    <w:rsid w:val="0052427D"/>
    <w:rsid w:val="00615CF0"/>
    <w:rsid w:val="006C7213"/>
    <w:rsid w:val="006D6917"/>
    <w:rsid w:val="006F0952"/>
    <w:rsid w:val="00702244"/>
    <w:rsid w:val="00704CB5"/>
    <w:rsid w:val="0076130D"/>
    <w:rsid w:val="007641DC"/>
    <w:rsid w:val="00770121"/>
    <w:rsid w:val="0079054C"/>
    <w:rsid w:val="007C25BB"/>
    <w:rsid w:val="008506CE"/>
    <w:rsid w:val="00863BF5"/>
    <w:rsid w:val="008659D8"/>
    <w:rsid w:val="008D4ABF"/>
    <w:rsid w:val="008F6175"/>
    <w:rsid w:val="00917733"/>
    <w:rsid w:val="00992DE1"/>
    <w:rsid w:val="009F1ACC"/>
    <w:rsid w:val="00A55DE3"/>
    <w:rsid w:val="00A76FED"/>
    <w:rsid w:val="00AB4A2B"/>
    <w:rsid w:val="00AB53BE"/>
    <w:rsid w:val="00B31487"/>
    <w:rsid w:val="00B36222"/>
    <w:rsid w:val="00B5328A"/>
    <w:rsid w:val="00B82029"/>
    <w:rsid w:val="00BD5CB5"/>
    <w:rsid w:val="00BE6CB4"/>
    <w:rsid w:val="00C377F3"/>
    <w:rsid w:val="00C5003A"/>
    <w:rsid w:val="00D20FBF"/>
    <w:rsid w:val="00D278F8"/>
    <w:rsid w:val="00D9659E"/>
    <w:rsid w:val="00E67BCB"/>
    <w:rsid w:val="00EC7857"/>
    <w:rsid w:val="00EE4137"/>
    <w:rsid w:val="00F81722"/>
    <w:rsid w:val="00F96A05"/>
    <w:rsid w:val="00FF0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CBDC1C"/>
  <w14:defaultImageDpi w14:val="0"/>
  <w15:docId w15:val="{9AE8CD21-17D4-41F3-933E-CE8696626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Body Text Indent 2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ABF"/>
    <w:pPr>
      <w:spacing w:after="0" w:line="240" w:lineRule="auto"/>
    </w:pPr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D4ABF"/>
    <w:pPr>
      <w:keepNext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D4ABF"/>
    <w:pPr>
      <w:keepNext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8D4ABF"/>
    <w:pPr>
      <w:keepNext/>
      <w:jc w:val="center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D4ABF"/>
    <w:pPr>
      <w:keepNext/>
      <w:jc w:val="center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D4ABF"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8D4ABF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8D4ABF"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8D4ABF"/>
    <w:rPr>
      <w:rFonts w:cs="Times New Roman"/>
      <w:b/>
      <w:bCs/>
      <w:sz w:val="28"/>
      <w:szCs w:val="28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8D4ABF"/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D4ABF"/>
    <w:rPr>
      <w:rFonts w:ascii="Times New Roman" w:hAnsi="Times New Roman" w:cs="Times New Roman"/>
      <w:sz w:val="24"/>
      <w:szCs w:val="24"/>
      <w:lang w:val="x-none" w:eastAsia="en-US"/>
    </w:rPr>
  </w:style>
  <w:style w:type="paragraph" w:styleId="BodyText2">
    <w:name w:val="Body Text 2"/>
    <w:basedOn w:val="Normal"/>
    <w:link w:val="BodyText2Char"/>
    <w:uiPriority w:val="99"/>
    <w:rsid w:val="008D4ABF"/>
    <w:rPr>
      <w:rFonts w:ascii="Arial" w:hAnsi="Arial" w:cs="Arial"/>
      <w:sz w:val="40"/>
      <w:szCs w:val="4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8D4ABF"/>
    <w:rPr>
      <w:rFonts w:ascii="Times New Roman" w:hAnsi="Times New Roman" w:cs="Times New Roman"/>
      <w:sz w:val="24"/>
      <w:szCs w:val="24"/>
      <w:lang w:val="x-none" w:eastAsia="en-US"/>
    </w:rPr>
  </w:style>
  <w:style w:type="paragraph" w:styleId="BodyTextIndent2">
    <w:name w:val="Body Text Indent 2"/>
    <w:basedOn w:val="Normal"/>
    <w:link w:val="BodyTextIndent2Char"/>
    <w:uiPriority w:val="99"/>
    <w:rsid w:val="008D4ABF"/>
    <w:pPr>
      <w:ind w:left="720" w:hanging="294"/>
    </w:pPr>
    <w:rPr>
      <w:rFonts w:ascii="Arial" w:hAnsi="Arial" w:cs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8D4ABF"/>
    <w:rPr>
      <w:rFonts w:ascii="Times New Roman" w:hAnsi="Times New Roman" w:cs="Times New Roman"/>
      <w:sz w:val="24"/>
      <w:szCs w:val="24"/>
      <w:lang w:val="x-none" w:eastAsia="en-US"/>
    </w:rPr>
  </w:style>
  <w:style w:type="paragraph" w:styleId="Header">
    <w:name w:val="header"/>
    <w:basedOn w:val="Normal"/>
    <w:link w:val="HeaderChar"/>
    <w:uiPriority w:val="99"/>
    <w:rsid w:val="008D4AB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D4ABF"/>
    <w:rPr>
      <w:rFonts w:ascii="Times New Roman" w:hAnsi="Times New Roman" w:cs="Times New Roman"/>
      <w:sz w:val="24"/>
      <w:szCs w:val="24"/>
      <w:lang w:val="x-none" w:eastAsia="en-US"/>
    </w:rPr>
  </w:style>
  <w:style w:type="paragraph" w:customStyle="1" w:styleId="Billname">
    <w:name w:val="Billname"/>
    <w:basedOn w:val="Normal"/>
    <w:rsid w:val="008D4ABF"/>
    <w:pPr>
      <w:tabs>
        <w:tab w:val="left" w:pos="2400"/>
        <w:tab w:val="left" w:pos="2880"/>
      </w:tabs>
      <w:autoSpaceDE w:val="0"/>
      <w:autoSpaceDN w:val="0"/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madeunder">
    <w:name w:val="made under"/>
    <w:basedOn w:val="Normal"/>
    <w:rsid w:val="008D4ABF"/>
    <w:pPr>
      <w:autoSpaceDE w:val="0"/>
      <w:autoSpaceDN w:val="0"/>
      <w:spacing w:before="180" w:after="60"/>
      <w:jc w:val="both"/>
    </w:pPr>
    <w:rPr>
      <w:sz w:val="20"/>
      <w:szCs w:val="20"/>
    </w:rPr>
  </w:style>
  <w:style w:type="paragraph" w:customStyle="1" w:styleId="CoverActName">
    <w:name w:val="CoverActName"/>
    <w:basedOn w:val="Normal"/>
    <w:rsid w:val="008D4ABF"/>
    <w:pPr>
      <w:tabs>
        <w:tab w:val="left" w:pos="2600"/>
      </w:tabs>
      <w:autoSpaceDE w:val="0"/>
      <w:autoSpaceDN w:val="0"/>
      <w:spacing w:before="200" w:after="60"/>
      <w:jc w:val="both"/>
    </w:pPr>
    <w:rPr>
      <w:rFonts w:ascii="Arial" w:hAnsi="Arial" w:cs="Arial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rsid w:val="008D4AB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D4ABF"/>
    <w:rPr>
      <w:rFonts w:ascii="Times New Roman" w:hAnsi="Times New Roman" w:cs="Times New Roman"/>
      <w:sz w:val="24"/>
      <w:szCs w:val="24"/>
      <w:lang w:val="x-none" w:eastAsia="en-US"/>
    </w:rPr>
  </w:style>
  <w:style w:type="character" w:styleId="CommentReference">
    <w:name w:val="annotation reference"/>
    <w:basedOn w:val="DefaultParagraphFont"/>
    <w:uiPriority w:val="99"/>
    <w:rsid w:val="002625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625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2591"/>
    <w:rPr>
      <w:rFonts w:ascii="Times New Roman" w:hAnsi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2625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262591"/>
    <w:rPr>
      <w:rFonts w:ascii="Times New Roman" w:hAnsi="Times New Roman"/>
      <w:b/>
      <w:bCs/>
      <w:sz w:val="20"/>
      <w:szCs w:val="20"/>
      <w:lang w:eastAsia="en-US"/>
    </w:rPr>
  </w:style>
  <w:style w:type="paragraph" w:customStyle="1" w:styleId="N-line3">
    <w:name w:val="N-line3"/>
    <w:basedOn w:val="Normal"/>
    <w:next w:val="Normal"/>
    <w:rsid w:val="00702244"/>
    <w:pPr>
      <w:pBdr>
        <w:bottom w:val="single" w:sz="12" w:space="1" w:color="auto"/>
      </w:pBdr>
      <w:jc w:val="both"/>
    </w:pPr>
    <w:rPr>
      <w:rFonts w:eastAsia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2326</Characters>
  <Application>Microsoft Office Word</Application>
  <DocSecurity>0</DocSecurity>
  <Lines>47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Health Act 1997 ES</vt:lpstr>
    </vt:vector>
  </TitlesOfParts>
  <Company>ACT Government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Health Act 1997 ES</dc:title>
  <dc:subject/>
  <dc:creator>ACT Government</dc:creator>
  <cp:keywords>2</cp:keywords>
  <dc:description/>
  <cp:lastModifiedBy>PCODCS</cp:lastModifiedBy>
  <cp:revision>4</cp:revision>
  <cp:lastPrinted>2017-04-03T05:01:00Z</cp:lastPrinted>
  <dcterms:created xsi:type="dcterms:W3CDTF">2022-10-26T22:12:00Z</dcterms:created>
  <dcterms:modified xsi:type="dcterms:W3CDTF">2022-10-26T22:12:00Z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9895588</vt:lpwstr>
  </property>
  <property fmtid="{D5CDD505-2E9C-101B-9397-08002B2CF9AE}" pid="4" name="JMSREQUIREDCHECKIN">
    <vt:lpwstr/>
  </property>
  <property fmtid="{D5CDD505-2E9C-101B-9397-08002B2CF9AE}" pid="5" name="Objective-Id">
    <vt:lpwstr>A39099346</vt:lpwstr>
  </property>
  <property fmtid="{D5CDD505-2E9C-101B-9397-08002B2CF9AE}" pid="6" name="Objective-Title">
    <vt:lpwstr>ES for Notifiable Conditions declaration 2022 No2</vt:lpwstr>
  </property>
  <property fmtid="{D5CDD505-2E9C-101B-9397-08002B2CF9AE}" pid="7" name="Objective-Comment">
    <vt:lpwstr/>
  </property>
  <property fmtid="{D5CDD505-2E9C-101B-9397-08002B2CF9AE}" pid="8" name="Objective-CreationStamp">
    <vt:filetime>2022-10-19T22:44:10Z</vt:filetime>
  </property>
  <property fmtid="{D5CDD505-2E9C-101B-9397-08002B2CF9AE}" pid="9" name="Objective-IsApproved">
    <vt:bool>false</vt:bool>
  </property>
  <property fmtid="{D5CDD505-2E9C-101B-9397-08002B2CF9AE}" pid="10" name="Objective-IsPublished">
    <vt:bool>true</vt:bool>
  </property>
  <property fmtid="{D5CDD505-2E9C-101B-9397-08002B2CF9AE}" pid="11" name="Objective-DatePublished">
    <vt:filetime>2022-10-19T22:45:46Z</vt:filetime>
  </property>
  <property fmtid="{D5CDD505-2E9C-101B-9397-08002B2CF9AE}" pid="12" name="Objective-ModificationStamp">
    <vt:filetime>2022-10-19T22:45:46Z</vt:filetime>
  </property>
  <property fmtid="{D5CDD505-2E9C-101B-9397-08002B2CF9AE}" pid="13" name="Objective-Owner">
    <vt:lpwstr>Tracey Docherty</vt:lpwstr>
  </property>
  <property fmtid="{D5CDD505-2E9C-101B-9397-08002B2CF9AE}" pid="14" name="Objective-Path">
    <vt:lpwstr>Whole of ACT Government:ACTHD - ACT Health:GROUP: Population Health GROUP (PH):01. Office of the Chief Health Officer:01. Chief Health Officer:01. Clearance items:5. Cleared Items:updates to Code of Practice re COVID-19:</vt:lpwstr>
  </property>
  <property fmtid="{D5CDD505-2E9C-101B-9397-08002B2CF9AE}" pid="15" name="Objective-Parent">
    <vt:lpwstr>updates to Code of Practice re COVID-19</vt:lpwstr>
  </property>
  <property fmtid="{D5CDD505-2E9C-101B-9397-08002B2CF9AE}" pid="16" name="Objective-State">
    <vt:lpwstr>Published</vt:lpwstr>
  </property>
  <property fmtid="{D5CDD505-2E9C-101B-9397-08002B2CF9AE}" pid="17" name="Objective-Version">
    <vt:lpwstr>1.0</vt:lpwstr>
  </property>
  <property fmtid="{D5CDD505-2E9C-101B-9397-08002B2CF9AE}" pid="18" name="Objective-VersionNumber">
    <vt:r8>1</vt:r8>
  </property>
  <property fmtid="{D5CDD505-2E9C-101B-9397-08002B2CF9AE}" pid="19" name="Objective-VersionComment">
    <vt:lpwstr>First version</vt:lpwstr>
  </property>
  <property fmtid="{D5CDD505-2E9C-101B-9397-08002B2CF9AE}" pid="20" name="Objective-FileNumber">
    <vt:lpwstr>1-2022/97055</vt:lpwstr>
  </property>
  <property fmtid="{D5CDD505-2E9C-101B-9397-08002B2CF9AE}" pid="21" name="Objective-Classification">
    <vt:lpwstr>Unclassified (beige file cover)</vt:lpwstr>
  </property>
  <property fmtid="{D5CDD505-2E9C-101B-9397-08002B2CF9AE}" pid="22" name="Objective-Caveats">
    <vt:lpwstr/>
  </property>
  <property fmtid="{D5CDD505-2E9C-101B-9397-08002B2CF9AE}" pid="23" name="Objective-Owner Agency">
    <vt:lpwstr>ACTHD - ACT Health Directorate</vt:lpwstr>
  </property>
  <property fmtid="{D5CDD505-2E9C-101B-9397-08002B2CF9AE}" pid="24" name="Objective-Document Type">
    <vt:lpwstr>0-Document</vt:lpwstr>
  </property>
  <property fmtid="{D5CDD505-2E9C-101B-9397-08002B2CF9AE}" pid="25" name="Objective-Language">
    <vt:lpwstr>English (en)</vt:lpwstr>
  </property>
  <property fmtid="{D5CDD505-2E9C-101B-9397-08002B2CF9AE}" pid="26" name="Objective-Jurisdiction">
    <vt:lpwstr>ACT</vt:lpwstr>
  </property>
  <property fmtid="{D5CDD505-2E9C-101B-9397-08002B2CF9AE}" pid="27" name="Objective-Customers">
    <vt:lpwstr/>
  </property>
  <property fmtid="{D5CDD505-2E9C-101B-9397-08002B2CF9AE}" pid="28" name="Objective-Places">
    <vt:lpwstr/>
  </property>
  <property fmtid="{D5CDD505-2E9C-101B-9397-08002B2CF9AE}" pid="29" name="Objective-Transaction Reference">
    <vt:lpwstr/>
  </property>
  <property fmtid="{D5CDD505-2E9C-101B-9397-08002B2CF9AE}" pid="30" name="Objective-Document Created By">
    <vt:lpwstr/>
  </property>
  <property fmtid="{D5CDD505-2E9C-101B-9397-08002B2CF9AE}" pid="31" name="Objective-Document Created On">
    <vt:lpwstr/>
  </property>
  <property fmtid="{D5CDD505-2E9C-101B-9397-08002B2CF9AE}" pid="32" name="Objective-Covers Period From">
    <vt:lpwstr/>
  </property>
  <property fmtid="{D5CDD505-2E9C-101B-9397-08002B2CF9AE}" pid="33" name="Objective-Covers Period To">
    <vt:lpwstr/>
  </property>
</Properties>
</file>