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E0D2"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FF519AE" w14:textId="73B06225" w:rsidR="00D84BEB" w:rsidRDefault="00D84BEB" w:rsidP="00D84BEB">
      <w:pPr>
        <w:pStyle w:val="Billname"/>
        <w:spacing w:before="700"/>
      </w:pPr>
      <w:r>
        <w:t>Energy Efficiency (Cost of Living) Improvement (Eligible Activities) Determination 2022</w:t>
      </w:r>
      <w:r w:rsidR="00FA5925">
        <w:t xml:space="preserve"> (No 2)</w:t>
      </w:r>
    </w:p>
    <w:p w14:paraId="21C174E8" w14:textId="6D7DF5E0" w:rsidR="00C17FAB" w:rsidRDefault="002D7C60" w:rsidP="00DA3B00">
      <w:pPr>
        <w:spacing w:before="340"/>
        <w:rPr>
          <w:rFonts w:ascii="Arial" w:hAnsi="Arial" w:cs="Arial"/>
          <w:b/>
          <w:bCs/>
        </w:rPr>
      </w:pPr>
      <w:r>
        <w:rPr>
          <w:rFonts w:ascii="Arial" w:hAnsi="Arial" w:cs="Arial"/>
          <w:b/>
          <w:bCs/>
        </w:rPr>
        <w:t>Disallowable instrument DI</w:t>
      </w:r>
      <w:r w:rsidR="00D84BEB">
        <w:rPr>
          <w:rFonts w:ascii="Arial" w:hAnsi="Arial" w:cs="Arial"/>
          <w:b/>
          <w:bCs/>
        </w:rPr>
        <w:t>2022</w:t>
      </w:r>
      <w:r w:rsidR="00C17FAB">
        <w:rPr>
          <w:rFonts w:ascii="Arial" w:hAnsi="Arial" w:cs="Arial"/>
          <w:b/>
          <w:bCs/>
        </w:rPr>
        <w:t>–</w:t>
      </w:r>
      <w:r w:rsidR="00586F68">
        <w:rPr>
          <w:rFonts w:ascii="Arial" w:hAnsi="Arial" w:cs="Arial"/>
          <w:b/>
          <w:bCs/>
        </w:rPr>
        <w:t>244</w:t>
      </w:r>
    </w:p>
    <w:p w14:paraId="15AE9BE9" w14:textId="77777777" w:rsidR="00C17FAB" w:rsidRDefault="00C17FAB" w:rsidP="00DA3B00">
      <w:pPr>
        <w:pStyle w:val="madeunder"/>
        <w:spacing w:before="300" w:after="0"/>
      </w:pPr>
      <w:r>
        <w:t xml:space="preserve">made under the  </w:t>
      </w:r>
    </w:p>
    <w:p w14:paraId="12F46249" w14:textId="1A1BACC4" w:rsidR="00D84BEB" w:rsidRDefault="00D84BEB">
      <w:pPr>
        <w:spacing w:before="360"/>
        <w:ind w:right="565"/>
        <w:rPr>
          <w:rFonts w:ascii="Arial" w:hAnsi="Arial" w:cs="Arial"/>
          <w:b/>
          <w:sz w:val="20"/>
        </w:rPr>
      </w:pPr>
      <w:r w:rsidRPr="00D84BEB">
        <w:rPr>
          <w:rFonts w:ascii="Arial" w:hAnsi="Arial" w:cs="Arial"/>
          <w:b/>
          <w:sz w:val="20"/>
        </w:rPr>
        <w:t>Energy Efficiency (Cost of Living) Improvement Act 2012, s</w:t>
      </w:r>
      <w:r w:rsidR="004B31DE">
        <w:rPr>
          <w:rFonts w:ascii="Arial" w:hAnsi="Arial" w:cs="Arial"/>
          <w:b/>
          <w:sz w:val="20"/>
        </w:rPr>
        <w:t xml:space="preserve"> </w:t>
      </w:r>
      <w:r w:rsidRPr="00D84BEB">
        <w:rPr>
          <w:rFonts w:ascii="Arial" w:hAnsi="Arial" w:cs="Arial"/>
          <w:b/>
          <w:sz w:val="20"/>
        </w:rPr>
        <w:t>10 (Eligible activities)</w:t>
      </w:r>
    </w:p>
    <w:p w14:paraId="2135E5FA" w14:textId="7CCB010E"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BC476CC" w14:textId="77777777" w:rsidR="00C17FAB" w:rsidRDefault="00C17FAB">
      <w:pPr>
        <w:pStyle w:val="N-line3"/>
        <w:pBdr>
          <w:bottom w:val="none" w:sz="0" w:space="0" w:color="auto"/>
        </w:pBdr>
      </w:pPr>
    </w:p>
    <w:p w14:paraId="2B0E34D2" w14:textId="77777777" w:rsidR="00C17FAB" w:rsidRDefault="00C17FAB">
      <w:pPr>
        <w:pStyle w:val="N-line3"/>
        <w:pBdr>
          <w:top w:val="single" w:sz="12" w:space="1" w:color="auto"/>
          <w:bottom w:val="none" w:sz="0" w:space="0" w:color="auto"/>
        </w:pBdr>
      </w:pPr>
    </w:p>
    <w:bookmarkEnd w:id="0"/>
    <w:p w14:paraId="2FB46473" w14:textId="77777777" w:rsidR="00D84BEB" w:rsidRPr="00AD4382" w:rsidRDefault="00D84BEB" w:rsidP="002B712A">
      <w:pPr>
        <w:autoSpaceDE w:val="0"/>
        <w:autoSpaceDN w:val="0"/>
        <w:adjustRightInd w:val="0"/>
        <w:spacing w:before="240" w:after="240"/>
        <w:rPr>
          <w:rFonts w:ascii="Arial" w:eastAsia="Calibri" w:hAnsi="Arial" w:cs="Arial"/>
          <w:color w:val="000000"/>
          <w:szCs w:val="24"/>
        </w:rPr>
      </w:pPr>
      <w:r w:rsidRPr="00AD4382">
        <w:rPr>
          <w:rFonts w:ascii="Arial" w:eastAsia="Calibri" w:hAnsi="Arial" w:cs="Arial"/>
          <w:b/>
          <w:bCs/>
          <w:color w:val="000000"/>
          <w:szCs w:val="24"/>
        </w:rPr>
        <w:t>Introduction</w:t>
      </w:r>
    </w:p>
    <w:p w14:paraId="367E5889" w14:textId="4534DEDF" w:rsidR="00D84BEB" w:rsidRPr="00D84BEB" w:rsidRDefault="00D84BEB" w:rsidP="00AD4382">
      <w:pPr>
        <w:autoSpaceDE w:val="0"/>
        <w:autoSpaceDN w:val="0"/>
        <w:adjustRightInd w:val="0"/>
        <w:spacing w:after="120"/>
        <w:rPr>
          <w:rFonts w:eastAsia="Calibri"/>
          <w:color w:val="000000"/>
          <w:szCs w:val="24"/>
        </w:rPr>
      </w:pPr>
      <w:r w:rsidRPr="00D84BEB">
        <w:rPr>
          <w:rFonts w:eastAsia="Calibri"/>
          <w:color w:val="000000"/>
          <w:szCs w:val="24"/>
        </w:rPr>
        <w:t xml:space="preserve">This explanatory statement relates to the </w:t>
      </w:r>
      <w:r w:rsidRPr="00BD337F">
        <w:rPr>
          <w:rFonts w:eastAsia="Calibri"/>
          <w:i/>
          <w:iCs/>
          <w:color w:val="000000"/>
          <w:szCs w:val="24"/>
        </w:rPr>
        <w:t>Energy Efficiency (Cost of Living) Improvement (Eligible Activities) Determination 2022</w:t>
      </w:r>
      <w:r w:rsidRPr="00D84BEB">
        <w:rPr>
          <w:rFonts w:eastAsia="Calibri"/>
          <w:color w:val="000000"/>
          <w:szCs w:val="24"/>
        </w:rPr>
        <w:t xml:space="preserve"> </w:t>
      </w:r>
      <w:r w:rsidR="00FA5925" w:rsidRPr="0008223D">
        <w:rPr>
          <w:rFonts w:eastAsia="Calibri"/>
          <w:i/>
          <w:iCs/>
          <w:color w:val="000000"/>
          <w:szCs w:val="24"/>
        </w:rPr>
        <w:t>(No 2)</w:t>
      </w:r>
      <w:r w:rsidR="00FA5925">
        <w:rPr>
          <w:rFonts w:eastAsia="Calibri"/>
          <w:color w:val="000000"/>
          <w:szCs w:val="24"/>
        </w:rPr>
        <w:t xml:space="preserve"> </w:t>
      </w:r>
      <w:r w:rsidRPr="00D84BEB">
        <w:rPr>
          <w:rFonts w:eastAsia="Calibri"/>
          <w:color w:val="000000"/>
          <w:szCs w:val="24"/>
        </w:rPr>
        <w:t xml:space="preserve">(the </w:t>
      </w:r>
      <w:r w:rsidRPr="00BD337F">
        <w:rPr>
          <w:rFonts w:eastAsia="Calibri"/>
          <w:b/>
          <w:bCs/>
          <w:i/>
          <w:iCs/>
          <w:color w:val="000000"/>
          <w:szCs w:val="24"/>
        </w:rPr>
        <w:t>Determination</w:t>
      </w:r>
      <w:r w:rsidRPr="00D84BEB">
        <w:rPr>
          <w:rFonts w:eastAsia="Calibri"/>
          <w:color w:val="000000"/>
          <w:szCs w:val="24"/>
        </w:rPr>
        <w:t xml:space="preserve">). It has been prepared in order to assist the reader of the Determination. It does not form part of the Determination and has not been endorsed by the Assembly. </w:t>
      </w:r>
    </w:p>
    <w:p w14:paraId="2817418F" w14:textId="77777777" w:rsidR="00D84BEB" w:rsidRPr="00D84BEB" w:rsidRDefault="00D84BEB" w:rsidP="002B712A">
      <w:pPr>
        <w:spacing w:after="120"/>
        <w:rPr>
          <w:color w:val="000000"/>
          <w:szCs w:val="24"/>
          <w:lang w:eastAsia="en-AU"/>
        </w:rPr>
      </w:pPr>
      <w:r w:rsidRPr="00D84BEB">
        <w:rPr>
          <w:color w:val="000000"/>
          <w:szCs w:val="24"/>
          <w:lang w:eastAsia="en-AU"/>
        </w:rPr>
        <w:t xml:space="preserve">This explanatory statement clarifies the intent of the Determination and must be read in conjunction with the Determination. It is not, and is not intended to be, a comprehensive description of the Determination. What is written about a provision is not to be taken as an authoritative guide to the meaning of a provision, this being a task for the courts. </w:t>
      </w:r>
    </w:p>
    <w:p w14:paraId="65874A8F" w14:textId="3F892126" w:rsidR="00D84BEB" w:rsidRPr="00AD4382" w:rsidRDefault="00D84BEB" w:rsidP="002B712A">
      <w:pPr>
        <w:spacing w:before="240" w:after="240"/>
        <w:rPr>
          <w:rFonts w:ascii="Arial" w:hAnsi="Arial" w:cs="Arial"/>
          <w:b/>
          <w:bCs/>
          <w:szCs w:val="24"/>
        </w:rPr>
      </w:pPr>
      <w:r w:rsidRPr="00AD4382">
        <w:rPr>
          <w:rFonts w:ascii="Arial" w:hAnsi="Arial" w:cs="Arial"/>
          <w:b/>
          <w:bCs/>
          <w:szCs w:val="24"/>
        </w:rPr>
        <w:t>Overview</w:t>
      </w:r>
    </w:p>
    <w:p w14:paraId="1723AFD3" w14:textId="47B2A519" w:rsidR="00606C33" w:rsidRDefault="00606C33" w:rsidP="00AD4382">
      <w:pPr>
        <w:spacing w:after="120"/>
      </w:pPr>
      <w:r w:rsidRPr="0078202B">
        <w:t xml:space="preserve">The </w:t>
      </w:r>
      <w:r w:rsidRPr="0078202B">
        <w:rPr>
          <w:i/>
          <w:iCs/>
        </w:rPr>
        <w:t>Energy Efficiency (Cost of Living) Improvement Act 2012</w:t>
      </w:r>
      <w:r w:rsidRPr="0078202B">
        <w:t xml:space="preserve"> (the </w:t>
      </w:r>
      <w:r w:rsidRPr="00BD337F">
        <w:rPr>
          <w:b/>
          <w:bCs/>
          <w:i/>
          <w:iCs/>
        </w:rPr>
        <w:t>Act</w:t>
      </w:r>
      <w:r w:rsidRPr="0078202B">
        <w:t xml:space="preserve">) establishes the </w:t>
      </w:r>
      <w:r>
        <w:t xml:space="preserve">Australian Capital Territory’s </w:t>
      </w:r>
      <w:r w:rsidRPr="0078202B">
        <w:t>Energy Efficiency Improvement Scheme (</w:t>
      </w:r>
      <w:r w:rsidRPr="00BD337F">
        <w:rPr>
          <w:b/>
          <w:bCs/>
          <w:i/>
          <w:iCs/>
        </w:rPr>
        <w:t>EEIS</w:t>
      </w:r>
      <w:r w:rsidR="004B31DE">
        <w:t xml:space="preserve"> or </w:t>
      </w:r>
      <w:r w:rsidRPr="00952AAC">
        <w:t>the</w:t>
      </w:r>
      <w:r w:rsidRPr="00BD337F">
        <w:rPr>
          <w:b/>
          <w:bCs/>
          <w:i/>
          <w:iCs/>
        </w:rPr>
        <w:t xml:space="preserve"> Scheme</w:t>
      </w:r>
      <w:r w:rsidRPr="0078202B">
        <w:t xml:space="preserve">), which aims to encourage the efficient use of energy; reduce greenhouse gas emissions associated with energy use in the Territory; reduce household and </w:t>
      </w:r>
      <w:r>
        <w:t>small</w:t>
      </w:r>
      <w:r w:rsidR="007259E6">
        <w:t>-</w:t>
      </w:r>
      <w:r>
        <w:t>to</w:t>
      </w:r>
      <w:r w:rsidR="007259E6">
        <w:t>-</w:t>
      </w:r>
      <w:r>
        <w:t xml:space="preserve">medium sized </w:t>
      </w:r>
      <w:r w:rsidRPr="0078202B">
        <w:t>business energy use and costs; and increase opportunities for priority households to reduce energy use and costs.</w:t>
      </w:r>
      <w:r>
        <w:t xml:space="preserve"> The EEIS</w:t>
      </w:r>
      <w:r w:rsidRPr="00137490">
        <w:t xml:space="preserve"> establishes a Territory-wide Energy Savings Target (</w:t>
      </w:r>
      <w:r w:rsidRPr="00BD337F">
        <w:rPr>
          <w:b/>
          <w:bCs/>
          <w:i/>
          <w:iCs/>
        </w:rPr>
        <w:t>EST</w:t>
      </w:r>
      <w:r w:rsidRPr="00137490">
        <w:t>)</w:t>
      </w:r>
      <w:r>
        <w:t>,</w:t>
      </w:r>
      <w:r w:rsidRPr="00137490">
        <w:t xml:space="preserve"> defined as a proportion of a retailer’s total electricity sales in the ACT.</w:t>
      </w:r>
    </w:p>
    <w:p w14:paraId="72D2513D" w14:textId="75C56ACB" w:rsidR="00D84BEB" w:rsidRPr="00F0239B" w:rsidRDefault="00606C33" w:rsidP="00AD4382">
      <w:pPr>
        <w:spacing w:after="120"/>
      </w:pPr>
      <w:r>
        <w:t>The Act requires individual</w:t>
      </w:r>
      <w:r w:rsidRPr="00E461D0">
        <w:t xml:space="preserve"> </w:t>
      </w:r>
      <w:r>
        <w:t xml:space="preserve">electricity </w:t>
      </w:r>
      <w:r w:rsidRPr="00E461D0">
        <w:t xml:space="preserve">retailers to </w:t>
      </w:r>
      <w:r>
        <w:t xml:space="preserve">achieve energy savings </w:t>
      </w:r>
      <w:r w:rsidRPr="00E461D0">
        <w:t>by delivering eligible activities</w:t>
      </w:r>
      <w:r>
        <w:t xml:space="preserve"> to households and small-to-medium enterprises</w:t>
      </w:r>
      <w:r w:rsidRPr="00E461D0">
        <w:t>.</w:t>
      </w:r>
      <w:r>
        <w:rPr>
          <w:color w:val="000000"/>
          <w:szCs w:val="24"/>
          <w:lang w:eastAsia="en-AU"/>
        </w:rPr>
        <w:t xml:space="preserve"> </w:t>
      </w:r>
      <w:r w:rsidR="00D84BEB" w:rsidRPr="00D84BEB">
        <w:rPr>
          <w:szCs w:val="24"/>
        </w:rPr>
        <w:t xml:space="preserve">The purpose of the Determination </w:t>
      </w:r>
      <w:r>
        <w:rPr>
          <w:szCs w:val="24"/>
        </w:rPr>
        <w:t xml:space="preserve">is to </w:t>
      </w:r>
      <w:r w:rsidRPr="00606C33">
        <w:rPr>
          <w:szCs w:val="24"/>
        </w:rPr>
        <w:t xml:space="preserve">establish the eligible activities that can be undertaken by energy retailers to achieve the </w:t>
      </w:r>
      <w:r>
        <w:rPr>
          <w:szCs w:val="24"/>
        </w:rPr>
        <w:t>EST</w:t>
      </w:r>
      <w:r w:rsidRPr="00606C33">
        <w:rPr>
          <w:szCs w:val="24"/>
        </w:rPr>
        <w:t xml:space="preserve">. </w:t>
      </w:r>
      <w:r w:rsidR="00D84BEB" w:rsidRPr="00D84BEB">
        <w:rPr>
          <w:szCs w:val="24"/>
        </w:rPr>
        <w:t xml:space="preserve">The Determination is a disallowable instrument made under the </w:t>
      </w:r>
      <w:r w:rsidR="007259E6" w:rsidRPr="00BD337F">
        <w:rPr>
          <w:szCs w:val="24"/>
          <w:bdr w:val="none" w:sz="0" w:space="0" w:color="auto" w:frame="1"/>
          <w:shd w:val="clear" w:color="auto" w:fill="FFFFFF"/>
        </w:rPr>
        <w:t>Act</w:t>
      </w:r>
      <w:r w:rsidR="00D84BEB" w:rsidRPr="00D84BEB">
        <w:rPr>
          <w:szCs w:val="24"/>
        </w:rPr>
        <w:t xml:space="preserve">, section 10. </w:t>
      </w:r>
    </w:p>
    <w:p w14:paraId="77E4A4E2" w14:textId="5864924E" w:rsidR="006E1FCF" w:rsidRDefault="00D84BEB" w:rsidP="00AD4382">
      <w:pPr>
        <w:spacing w:after="120"/>
        <w:rPr>
          <w:sz w:val="22"/>
        </w:rPr>
      </w:pPr>
      <w:r w:rsidRPr="00D84BEB">
        <w:rPr>
          <w:szCs w:val="24"/>
        </w:rPr>
        <w:lastRenderedPageBreak/>
        <w:t xml:space="preserve">This Determination </w:t>
      </w:r>
      <w:r w:rsidR="00342FFA">
        <w:t xml:space="preserve">retains the suite of EEIS Eligible Activities previously legislated but contains </w:t>
      </w:r>
      <w:r w:rsidR="006E1FCF">
        <w:rPr>
          <w:szCs w:val="24"/>
        </w:rPr>
        <w:t xml:space="preserve">the following amendment to </w:t>
      </w:r>
      <w:r w:rsidR="00123B9A">
        <w:rPr>
          <w:szCs w:val="24"/>
        </w:rPr>
        <w:t>clauses</w:t>
      </w:r>
      <w:r w:rsidR="00FA5925">
        <w:rPr>
          <w:szCs w:val="24"/>
        </w:rPr>
        <w:t xml:space="preserve"> 1.8.2, 1.9.2 and 2.4.2</w:t>
      </w:r>
    </w:p>
    <w:p w14:paraId="18AA5A2D" w14:textId="77777777" w:rsidR="00D84BEB" w:rsidRPr="00D84BEB" w:rsidRDefault="00D84BEB" w:rsidP="00D84BEB"/>
    <w:tbl>
      <w:tblPr>
        <w:tblStyle w:val="TableGrid"/>
        <w:tblW w:w="0" w:type="auto"/>
        <w:tblLook w:val="04A0" w:firstRow="1" w:lastRow="0" w:firstColumn="1" w:lastColumn="0" w:noHBand="0" w:noVBand="1"/>
      </w:tblPr>
      <w:tblGrid>
        <w:gridCol w:w="1884"/>
        <w:gridCol w:w="6413"/>
      </w:tblGrid>
      <w:tr w:rsidR="00D84BEB" w:rsidRPr="00D84BEB" w14:paraId="3B90E1D6" w14:textId="77777777" w:rsidTr="00D84BEB">
        <w:trPr>
          <w:tblHeader/>
        </w:trPr>
        <w:tc>
          <w:tcPr>
            <w:tcW w:w="1884" w:type="dxa"/>
            <w:shd w:val="clear" w:color="auto" w:fill="000000"/>
          </w:tcPr>
          <w:p w14:paraId="5A523E59" w14:textId="0B267CEF" w:rsidR="00D84BEB" w:rsidRPr="002D4855" w:rsidRDefault="00D84BEB" w:rsidP="00D84BEB">
            <w:pPr>
              <w:rPr>
                <w:rFonts w:ascii="Times New Roman" w:hAnsi="Times New Roman"/>
                <w:color w:val="FFFFFF"/>
              </w:rPr>
            </w:pPr>
            <w:r w:rsidRPr="004B31DE">
              <w:rPr>
                <w:color w:val="FFFFFF"/>
              </w:rPr>
              <w:t>Schedule Clause</w:t>
            </w:r>
          </w:p>
        </w:tc>
        <w:tc>
          <w:tcPr>
            <w:tcW w:w="6413" w:type="dxa"/>
            <w:shd w:val="clear" w:color="auto" w:fill="000000"/>
          </w:tcPr>
          <w:p w14:paraId="202EB98C" w14:textId="5DF40D11" w:rsidR="00D84BEB" w:rsidRPr="002D4855" w:rsidRDefault="00D84BEB" w:rsidP="00D84BEB">
            <w:pPr>
              <w:rPr>
                <w:rFonts w:ascii="Times New Roman" w:hAnsi="Times New Roman"/>
                <w:color w:val="FFFFFF"/>
              </w:rPr>
            </w:pPr>
            <w:r w:rsidRPr="004B31DE">
              <w:rPr>
                <w:color w:val="FFFFFF"/>
              </w:rPr>
              <w:t>Change</w:t>
            </w:r>
          </w:p>
        </w:tc>
      </w:tr>
      <w:tr w:rsidR="007F53AA" w:rsidRPr="00D84BEB" w14:paraId="4020DF84" w14:textId="77777777" w:rsidTr="00D84BEB">
        <w:tc>
          <w:tcPr>
            <w:tcW w:w="1884" w:type="dxa"/>
          </w:tcPr>
          <w:p w14:paraId="57947390" w14:textId="6B49371E" w:rsidR="007F53AA" w:rsidRPr="00FA5925" w:rsidRDefault="00FA5925" w:rsidP="007F53AA">
            <w:pPr>
              <w:rPr>
                <w:rFonts w:ascii="Times New Roman" w:hAnsi="Times New Roman"/>
                <w:szCs w:val="24"/>
              </w:rPr>
            </w:pPr>
            <w:r w:rsidRPr="00FA5925">
              <w:rPr>
                <w:rFonts w:ascii="Times New Roman" w:hAnsi="Times New Roman"/>
                <w:szCs w:val="24"/>
              </w:rPr>
              <w:t>1.8.2 (</w:t>
            </w:r>
            <w:r>
              <w:rPr>
                <w:rFonts w:ascii="Times New Roman" w:hAnsi="Times New Roman"/>
                <w:szCs w:val="24"/>
              </w:rPr>
              <w:t>d</w:t>
            </w:r>
            <w:r w:rsidRPr="00FA5925">
              <w:rPr>
                <w:rFonts w:ascii="Times New Roman" w:hAnsi="Times New Roman"/>
                <w:szCs w:val="24"/>
              </w:rPr>
              <w:t>)</w:t>
            </w:r>
          </w:p>
        </w:tc>
        <w:tc>
          <w:tcPr>
            <w:tcW w:w="6413" w:type="dxa"/>
          </w:tcPr>
          <w:p w14:paraId="0A45EDD9" w14:textId="77777777" w:rsidR="00FA5925" w:rsidRDefault="00FA5925" w:rsidP="002379F1">
            <w:pPr>
              <w:pStyle w:val="BodytextEEIS"/>
              <w:ind w:left="0"/>
              <w:rPr>
                <w:rFonts w:ascii="Times New Roman" w:hAnsi="Times New Roman" w:cs="Times New Roman"/>
                <w:sz w:val="24"/>
                <w:szCs w:val="24"/>
              </w:rPr>
            </w:pPr>
            <w:r>
              <w:rPr>
                <w:rFonts w:ascii="Times New Roman" w:hAnsi="Times New Roman" w:cs="Times New Roman"/>
                <w:sz w:val="24"/>
                <w:szCs w:val="24"/>
              </w:rPr>
              <w:t>Delete</w:t>
            </w:r>
          </w:p>
          <w:p w14:paraId="5DC39719" w14:textId="77777777" w:rsidR="004E2D23" w:rsidRDefault="00FA5925" w:rsidP="002379F1">
            <w:pPr>
              <w:pStyle w:val="BodytextEEIS"/>
              <w:ind w:left="0"/>
              <w:rPr>
                <w:rFonts w:ascii="Times New Roman" w:hAnsi="Times New Roman" w:cs="Times New Roman"/>
                <w:sz w:val="24"/>
                <w:szCs w:val="24"/>
              </w:rPr>
            </w:pPr>
            <w:r>
              <w:rPr>
                <w:rFonts w:ascii="Times New Roman" w:hAnsi="Times New Roman" w:cs="Times New Roman"/>
                <w:sz w:val="24"/>
                <w:szCs w:val="24"/>
              </w:rPr>
              <w:t>“(d) not be otherwise required by law, for example under the National Construction Code;”</w:t>
            </w:r>
          </w:p>
          <w:p w14:paraId="75224E40" w14:textId="1899CAF5" w:rsidR="002B712A" w:rsidRPr="00FA5925" w:rsidRDefault="004E2D23" w:rsidP="002379F1">
            <w:pPr>
              <w:pStyle w:val="BodytextEEIS"/>
              <w:ind w:left="0"/>
              <w:rPr>
                <w:rFonts w:ascii="Times New Roman" w:hAnsi="Times New Roman" w:cs="Times New Roman"/>
                <w:sz w:val="24"/>
                <w:szCs w:val="24"/>
              </w:rPr>
            </w:pPr>
            <w:r>
              <w:rPr>
                <w:rFonts w:ascii="Times New Roman" w:hAnsi="Times New Roman" w:cs="Times New Roman"/>
                <w:sz w:val="24"/>
                <w:szCs w:val="24"/>
              </w:rPr>
              <w:t>C</w:t>
            </w:r>
            <w:r w:rsidR="002B712A">
              <w:rPr>
                <w:rFonts w:ascii="Times New Roman" w:hAnsi="Times New Roman" w:cs="Times New Roman"/>
                <w:sz w:val="24"/>
                <w:szCs w:val="24"/>
              </w:rPr>
              <w:t>onsequential renumbering of the paragraphs</w:t>
            </w:r>
          </w:p>
        </w:tc>
      </w:tr>
      <w:tr w:rsidR="007F53AA" w:rsidRPr="00D84BEB" w14:paraId="5FED9401" w14:textId="77777777" w:rsidTr="00D84BEB">
        <w:tc>
          <w:tcPr>
            <w:tcW w:w="1884" w:type="dxa"/>
          </w:tcPr>
          <w:p w14:paraId="1EA2B69F" w14:textId="5D374E8E" w:rsidR="007F53AA" w:rsidRPr="00FA5925" w:rsidRDefault="00FA5925" w:rsidP="007F53AA">
            <w:pPr>
              <w:rPr>
                <w:rFonts w:ascii="Times New Roman" w:hAnsi="Times New Roman"/>
                <w:szCs w:val="24"/>
              </w:rPr>
            </w:pPr>
            <w:r w:rsidRPr="00FA5925">
              <w:rPr>
                <w:rFonts w:ascii="Times New Roman" w:hAnsi="Times New Roman"/>
                <w:szCs w:val="24"/>
              </w:rPr>
              <w:t>1.9.2 (c)</w:t>
            </w:r>
          </w:p>
        </w:tc>
        <w:tc>
          <w:tcPr>
            <w:tcW w:w="6413" w:type="dxa"/>
          </w:tcPr>
          <w:p w14:paraId="369589B7" w14:textId="77777777" w:rsidR="007F53AA" w:rsidRPr="00FA5925" w:rsidRDefault="00FA5925" w:rsidP="00FA5925">
            <w:pPr>
              <w:pStyle w:val="BodytextEEIS"/>
              <w:ind w:left="0"/>
              <w:rPr>
                <w:rFonts w:ascii="Times New Roman" w:hAnsi="Times New Roman" w:cs="Times New Roman"/>
                <w:sz w:val="24"/>
                <w:szCs w:val="24"/>
              </w:rPr>
            </w:pPr>
            <w:r w:rsidRPr="00FA5925">
              <w:rPr>
                <w:rFonts w:ascii="Times New Roman" w:hAnsi="Times New Roman" w:cs="Times New Roman"/>
                <w:sz w:val="24"/>
                <w:szCs w:val="24"/>
              </w:rPr>
              <w:t>Delete</w:t>
            </w:r>
          </w:p>
          <w:p w14:paraId="2C1AA999" w14:textId="77777777" w:rsidR="00FA5925" w:rsidRDefault="00FA5925" w:rsidP="00FA5925">
            <w:pPr>
              <w:pStyle w:val="BodytextEEIS"/>
              <w:ind w:left="0"/>
              <w:rPr>
                <w:rFonts w:ascii="Times New Roman" w:hAnsi="Times New Roman" w:cs="Times New Roman"/>
                <w:sz w:val="24"/>
                <w:szCs w:val="24"/>
              </w:rPr>
            </w:pPr>
            <w:r w:rsidRPr="00FA5925">
              <w:rPr>
                <w:rFonts w:ascii="Times New Roman" w:hAnsi="Times New Roman" w:cs="Times New Roman"/>
                <w:sz w:val="24"/>
                <w:szCs w:val="24"/>
              </w:rPr>
              <w:t>“(c) not be otherwise required by law, for example under the National Construction Code;”</w:t>
            </w:r>
          </w:p>
          <w:p w14:paraId="6344C2AF" w14:textId="7EFF0DE6" w:rsidR="004E2D23" w:rsidRPr="00FA5925" w:rsidRDefault="004E2D23" w:rsidP="00FA5925">
            <w:pPr>
              <w:pStyle w:val="BodytextEEIS"/>
              <w:ind w:left="0"/>
              <w:rPr>
                <w:rFonts w:ascii="Times New Roman" w:hAnsi="Times New Roman" w:cs="Times New Roman"/>
                <w:sz w:val="24"/>
                <w:szCs w:val="24"/>
              </w:rPr>
            </w:pPr>
            <w:r>
              <w:rPr>
                <w:rFonts w:ascii="Times New Roman" w:hAnsi="Times New Roman" w:cs="Times New Roman"/>
                <w:sz w:val="24"/>
                <w:szCs w:val="24"/>
              </w:rPr>
              <w:t>Consequential renumbering of the paragraphs</w:t>
            </w:r>
          </w:p>
        </w:tc>
      </w:tr>
      <w:tr w:rsidR="007F53AA" w:rsidRPr="00D84BEB" w14:paraId="2F653451" w14:textId="77777777" w:rsidTr="00D84BEB">
        <w:tc>
          <w:tcPr>
            <w:tcW w:w="1884" w:type="dxa"/>
          </w:tcPr>
          <w:p w14:paraId="7FC4A30A" w14:textId="143DB9CD" w:rsidR="007F53AA" w:rsidRPr="00FA5925" w:rsidRDefault="00FA5925" w:rsidP="007F53AA">
            <w:pPr>
              <w:rPr>
                <w:rFonts w:ascii="Times New Roman" w:hAnsi="Times New Roman"/>
                <w:szCs w:val="24"/>
              </w:rPr>
            </w:pPr>
            <w:r w:rsidRPr="00FA5925">
              <w:rPr>
                <w:rFonts w:ascii="Times New Roman" w:hAnsi="Times New Roman"/>
                <w:szCs w:val="24"/>
              </w:rPr>
              <w:t>2.4.2 (c)</w:t>
            </w:r>
          </w:p>
        </w:tc>
        <w:tc>
          <w:tcPr>
            <w:tcW w:w="6413" w:type="dxa"/>
          </w:tcPr>
          <w:p w14:paraId="6DF749C7" w14:textId="77777777" w:rsidR="002379F1" w:rsidRPr="00FA5925" w:rsidRDefault="00FA5925" w:rsidP="002379F1">
            <w:pPr>
              <w:pStyle w:val="BodytextEEIS"/>
              <w:ind w:left="0"/>
              <w:rPr>
                <w:rFonts w:ascii="Times New Roman" w:hAnsi="Times New Roman" w:cs="Times New Roman"/>
                <w:sz w:val="24"/>
                <w:szCs w:val="24"/>
              </w:rPr>
            </w:pPr>
            <w:r w:rsidRPr="00FA5925">
              <w:rPr>
                <w:rFonts w:ascii="Times New Roman" w:hAnsi="Times New Roman" w:cs="Times New Roman"/>
                <w:sz w:val="24"/>
                <w:szCs w:val="24"/>
              </w:rPr>
              <w:t>Delete</w:t>
            </w:r>
          </w:p>
          <w:p w14:paraId="3360B9FB" w14:textId="77777777" w:rsidR="00FA5925" w:rsidRDefault="00FA5925" w:rsidP="002379F1">
            <w:pPr>
              <w:pStyle w:val="BodytextEEIS"/>
              <w:ind w:left="0"/>
              <w:rPr>
                <w:rFonts w:ascii="Times New Roman" w:hAnsi="Times New Roman" w:cs="Times New Roman"/>
                <w:sz w:val="24"/>
                <w:szCs w:val="24"/>
              </w:rPr>
            </w:pPr>
            <w:r w:rsidRPr="00FA5925">
              <w:rPr>
                <w:rFonts w:ascii="Times New Roman" w:hAnsi="Times New Roman" w:cs="Times New Roman"/>
                <w:sz w:val="24"/>
                <w:szCs w:val="24"/>
              </w:rPr>
              <w:t>“(c) not be otherwise required by law, for example as condition of a development approval;”</w:t>
            </w:r>
          </w:p>
          <w:p w14:paraId="35AFABF9" w14:textId="4A185F36" w:rsidR="004E2D23" w:rsidRPr="00FA5925" w:rsidRDefault="004E2D23" w:rsidP="002379F1">
            <w:pPr>
              <w:pStyle w:val="BodytextEEIS"/>
              <w:ind w:left="0"/>
              <w:rPr>
                <w:rFonts w:ascii="Times New Roman" w:hAnsi="Times New Roman" w:cs="Times New Roman"/>
                <w:sz w:val="24"/>
                <w:szCs w:val="24"/>
              </w:rPr>
            </w:pPr>
            <w:r>
              <w:rPr>
                <w:rFonts w:ascii="Times New Roman" w:hAnsi="Times New Roman" w:cs="Times New Roman"/>
                <w:sz w:val="24"/>
                <w:szCs w:val="24"/>
              </w:rPr>
              <w:t>Consequential renumbering of the paragraphs</w:t>
            </w:r>
          </w:p>
        </w:tc>
      </w:tr>
    </w:tbl>
    <w:p w14:paraId="4BAA66FA" w14:textId="725B81DE" w:rsidR="00D84BEB" w:rsidRDefault="00D84BEB" w:rsidP="00D84BEB">
      <w:pPr>
        <w:rPr>
          <w:szCs w:val="24"/>
        </w:rPr>
      </w:pPr>
    </w:p>
    <w:p w14:paraId="05117C5E" w14:textId="395D63EE" w:rsidR="00FA5925" w:rsidRDefault="006E1FCF" w:rsidP="00AD4382">
      <w:pPr>
        <w:spacing w:after="120"/>
      </w:pPr>
      <w:r>
        <w:rPr>
          <w:szCs w:val="24"/>
        </w:rPr>
        <w:t>Th</w:t>
      </w:r>
      <w:r w:rsidR="00342FFA">
        <w:rPr>
          <w:szCs w:val="24"/>
        </w:rPr>
        <w:t>e</w:t>
      </w:r>
      <w:r>
        <w:rPr>
          <w:szCs w:val="24"/>
        </w:rPr>
        <w:t xml:space="preserve"> amendment</w:t>
      </w:r>
      <w:r w:rsidR="004E2D23">
        <w:rPr>
          <w:szCs w:val="24"/>
        </w:rPr>
        <w:t>s</w:t>
      </w:r>
      <w:r w:rsidR="00AE48FD">
        <w:t xml:space="preserve"> </w:t>
      </w:r>
      <w:r w:rsidR="00FA5925">
        <w:t xml:space="preserve">remove the requirement for insulation activities under the EEIS to not be otherwise required by law. </w:t>
      </w:r>
    </w:p>
    <w:p w14:paraId="6D5B69D7" w14:textId="383F9FC0" w:rsidR="00FA5925" w:rsidRDefault="00952AAC" w:rsidP="00AD4382">
      <w:pPr>
        <w:spacing w:after="120"/>
        <w:rPr>
          <w:szCs w:val="24"/>
        </w:rPr>
      </w:pPr>
      <w:r>
        <w:rPr>
          <w:szCs w:val="24"/>
        </w:rPr>
        <w:t>A new m</w:t>
      </w:r>
      <w:r w:rsidR="00FA5925" w:rsidRPr="00160DFB">
        <w:rPr>
          <w:szCs w:val="24"/>
        </w:rPr>
        <w:t xml:space="preserve">inimum </w:t>
      </w:r>
      <w:r>
        <w:rPr>
          <w:szCs w:val="24"/>
        </w:rPr>
        <w:t>e</w:t>
      </w:r>
      <w:r w:rsidR="00FA5925" w:rsidRPr="00160DFB">
        <w:rPr>
          <w:szCs w:val="24"/>
        </w:rPr>
        <w:t xml:space="preserve">nergy </w:t>
      </w:r>
      <w:r>
        <w:rPr>
          <w:szCs w:val="24"/>
        </w:rPr>
        <w:t>e</w:t>
      </w:r>
      <w:r w:rsidR="00FA5925" w:rsidRPr="00160DFB">
        <w:rPr>
          <w:szCs w:val="24"/>
        </w:rPr>
        <w:t xml:space="preserve">fficiency </w:t>
      </w:r>
      <w:r>
        <w:rPr>
          <w:szCs w:val="24"/>
        </w:rPr>
        <w:t>s</w:t>
      </w:r>
      <w:r w:rsidR="00FA5925" w:rsidRPr="00160DFB">
        <w:rPr>
          <w:szCs w:val="24"/>
        </w:rPr>
        <w:t xml:space="preserve">tandard for </w:t>
      </w:r>
      <w:r>
        <w:rPr>
          <w:szCs w:val="24"/>
        </w:rPr>
        <w:t>r</w:t>
      </w:r>
      <w:r w:rsidR="00FA5925" w:rsidRPr="00160DFB">
        <w:rPr>
          <w:szCs w:val="24"/>
        </w:rPr>
        <w:t xml:space="preserve">ental </w:t>
      </w:r>
      <w:r>
        <w:rPr>
          <w:szCs w:val="24"/>
        </w:rPr>
        <w:t>p</w:t>
      </w:r>
      <w:r w:rsidR="00FA5925" w:rsidRPr="00160DFB">
        <w:rPr>
          <w:szCs w:val="24"/>
        </w:rPr>
        <w:t>roperties</w:t>
      </w:r>
      <w:r w:rsidR="00FA5925">
        <w:rPr>
          <w:szCs w:val="24"/>
        </w:rPr>
        <w:t xml:space="preserve"> will be introduced within the ACT</w:t>
      </w:r>
      <w:r w:rsidR="00FA5925" w:rsidRPr="00160DFB">
        <w:rPr>
          <w:szCs w:val="24"/>
        </w:rPr>
        <w:t xml:space="preserve"> </w:t>
      </w:r>
      <w:r w:rsidR="00FA5925">
        <w:rPr>
          <w:szCs w:val="24"/>
        </w:rPr>
        <w:t xml:space="preserve">requiring rental </w:t>
      </w:r>
      <w:r>
        <w:rPr>
          <w:szCs w:val="24"/>
        </w:rPr>
        <w:t xml:space="preserve">premises </w:t>
      </w:r>
      <w:r w:rsidR="00FA5925">
        <w:rPr>
          <w:szCs w:val="24"/>
        </w:rPr>
        <w:t xml:space="preserve">with ceiling insulation </w:t>
      </w:r>
      <w:r>
        <w:rPr>
          <w:szCs w:val="24"/>
        </w:rPr>
        <w:t xml:space="preserve">with an R-value less than R2 </w:t>
      </w:r>
      <w:r w:rsidR="00FA5925">
        <w:rPr>
          <w:szCs w:val="24"/>
        </w:rPr>
        <w:t>to install or upgrade to a minimum of R5.</w:t>
      </w:r>
      <w:r w:rsidR="00FA5925" w:rsidRPr="00160DFB">
        <w:rPr>
          <w:szCs w:val="24"/>
        </w:rPr>
        <w:t xml:space="preserve"> </w:t>
      </w:r>
    </w:p>
    <w:p w14:paraId="66F83BF6" w14:textId="68D17C6F" w:rsidR="00FA5925" w:rsidRDefault="00FA5925" w:rsidP="00AD4382">
      <w:pPr>
        <w:spacing w:after="120"/>
        <w:rPr>
          <w:szCs w:val="24"/>
        </w:rPr>
      </w:pPr>
      <w:r>
        <w:rPr>
          <w:szCs w:val="24"/>
        </w:rPr>
        <w:t xml:space="preserve">This new standard disqualifies installation of ceiling insulation as an eligible activity under the EEIS due to the requirement </w:t>
      </w:r>
      <w:r w:rsidR="00952AAC">
        <w:rPr>
          <w:szCs w:val="24"/>
        </w:rPr>
        <w:t xml:space="preserve">that </w:t>
      </w:r>
      <w:r>
        <w:rPr>
          <w:szCs w:val="24"/>
        </w:rPr>
        <w:t>insulation activities under the EEIS not be otherwise required by law.</w:t>
      </w:r>
    </w:p>
    <w:p w14:paraId="4512CFFB" w14:textId="377E12ED" w:rsidR="00FA5925" w:rsidRDefault="00FA5925" w:rsidP="00AD4382">
      <w:pPr>
        <w:spacing w:after="120"/>
        <w:rPr>
          <w:szCs w:val="24"/>
        </w:rPr>
      </w:pPr>
      <w:r>
        <w:rPr>
          <w:szCs w:val="24"/>
        </w:rPr>
        <w:t xml:space="preserve">This requirement was initially introduced to the EEIS to </w:t>
      </w:r>
      <w:r w:rsidR="00B949FE">
        <w:rPr>
          <w:szCs w:val="24"/>
        </w:rPr>
        <w:t>harmonise with existing activities under the then South Australian Retailer Energy Efficiency Scheme. The requirement is not applied under any other approved activity of the EEIS.</w:t>
      </w:r>
    </w:p>
    <w:p w14:paraId="280AECF9" w14:textId="09E45028" w:rsidR="00FA5925" w:rsidRDefault="00FA5925" w:rsidP="00AD4382">
      <w:pPr>
        <w:spacing w:after="120"/>
        <w:rPr>
          <w:szCs w:val="24"/>
        </w:rPr>
      </w:pPr>
      <w:r>
        <w:rPr>
          <w:szCs w:val="24"/>
        </w:rPr>
        <w:t>Ensuring insulation activities can continue to be delivered through the EEIS, including if required by law, will reinstate the activity as an eligible option for retailers to select to meet their energy efficiency obligations.</w:t>
      </w:r>
    </w:p>
    <w:p w14:paraId="6CD88045" w14:textId="36C5CA31" w:rsidR="00FA5925" w:rsidRDefault="00FA5925" w:rsidP="00AD4382">
      <w:pPr>
        <w:spacing w:after="120"/>
        <w:rPr>
          <w:szCs w:val="24"/>
        </w:rPr>
      </w:pPr>
      <w:r>
        <w:rPr>
          <w:szCs w:val="24"/>
        </w:rPr>
        <w:t xml:space="preserve">Delivery of insulation activities under the EEIS may support the transition of rental homes to become increasingly energy </w:t>
      </w:r>
      <w:r w:rsidR="00B949FE">
        <w:rPr>
          <w:szCs w:val="24"/>
        </w:rPr>
        <w:t>efficien</w:t>
      </w:r>
      <w:r w:rsidR="002E6C96">
        <w:rPr>
          <w:szCs w:val="24"/>
        </w:rPr>
        <w:t>t</w:t>
      </w:r>
      <w:r>
        <w:rPr>
          <w:szCs w:val="24"/>
        </w:rPr>
        <w:t xml:space="preserve">, noting delivery of this activity is a business decision for retailers. </w:t>
      </w:r>
    </w:p>
    <w:p w14:paraId="3B52D8DA" w14:textId="479F8FF5" w:rsidR="00065D60" w:rsidRDefault="00E30DF6" w:rsidP="00AD4382">
      <w:pPr>
        <w:spacing w:after="120"/>
      </w:pPr>
      <w:r>
        <w:t>The amendment</w:t>
      </w:r>
      <w:r w:rsidR="00065D60">
        <w:t xml:space="preserve"> has positive impacts on obligated retailers </w:t>
      </w:r>
      <w:r w:rsidR="00EB6346">
        <w:t xml:space="preserve">that are </w:t>
      </w:r>
      <w:r w:rsidR="00065D60">
        <w:t xml:space="preserve">delivering activities by reinstating the eligibility of </w:t>
      </w:r>
      <w:r w:rsidR="00FA5925">
        <w:t>ceiling insulation activities</w:t>
      </w:r>
      <w:r w:rsidR="00065D60">
        <w:t xml:space="preserve">. This </w:t>
      </w:r>
      <w:r>
        <w:t>avoids</w:t>
      </w:r>
      <w:r w:rsidR="00065D60">
        <w:t xml:space="preserve"> restricting </w:t>
      </w:r>
      <w:r>
        <w:t>retailers’</w:t>
      </w:r>
      <w:r w:rsidR="00065D60">
        <w:t xml:space="preserve"> opportunities to meet </w:t>
      </w:r>
      <w:r>
        <w:t>their</w:t>
      </w:r>
      <w:r w:rsidR="00065D60">
        <w:t xml:space="preserve"> obligations</w:t>
      </w:r>
      <w:r>
        <w:t xml:space="preserve"> under the Scheme</w:t>
      </w:r>
      <w:r w:rsidR="00065D60">
        <w:t>.</w:t>
      </w:r>
      <w:r w:rsidR="005A2970">
        <w:t xml:space="preserve"> Further, it increases opportunities and pathways for ACT residents to upgrade insulation within their homes, increasing thermal comfort and reducing energy needs.</w:t>
      </w:r>
    </w:p>
    <w:p w14:paraId="7C7B5659" w14:textId="1F4F28B8" w:rsidR="00EB6346" w:rsidRDefault="00EB6346" w:rsidP="00AD4382">
      <w:pPr>
        <w:spacing w:after="120"/>
        <w:rPr>
          <w:bCs/>
        </w:rPr>
      </w:pPr>
      <w:r>
        <w:rPr>
          <w:bCs/>
        </w:rPr>
        <w:lastRenderedPageBreak/>
        <w:t xml:space="preserve">The Determination does not affect any Tier 2 retailers as none of these are currently delivering activities under the EEIS. </w:t>
      </w:r>
      <w:r w:rsidRPr="00EB6346">
        <w:rPr>
          <w:bCs/>
        </w:rPr>
        <w:t>However, th</w:t>
      </w:r>
      <w:r>
        <w:rPr>
          <w:bCs/>
        </w:rPr>
        <w:t>e</w:t>
      </w:r>
      <w:r w:rsidRPr="00EB6346">
        <w:rPr>
          <w:bCs/>
        </w:rPr>
        <w:t xml:space="preserve"> amendment will provide Tier 2 retailers the possibility to deliver </w:t>
      </w:r>
      <w:r w:rsidR="005A2970">
        <w:rPr>
          <w:bCs/>
        </w:rPr>
        <w:t>all insulation</w:t>
      </w:r>
      <w:r w:rsidRPr="00EB6346">
        <w:rPr>
          <w:bCs/>
        </w:rPr>
        <w:t xml:space="preserve"> activit</w:t>
      </w:r>
      <w:r w:rsidR="002379F1">
        <w:rPr>
          <w:bCs/>
        </w:rPr>
        <w:t>ies</w:t>
      </w:r>
      <w:r w:rsidRPr="00EB6346">
        <w:rPr>
          <w:bCs/>
        </w:rPr>
        <w:t xml:space="preserve"> to meet their </w:t>
      </w:r>
      <w:r w:rsidR="005A2970">
        <w:rPr>
          <w:bCs/>
        </w:rPr>
        <w:t>obligations</w:t>
      </w:r>
      <w:r w:rsidRPr="00EB6346">
        <w:rPr>
          <w:bCs/>
        </w:rPr>
        <w:t xml:space="preserve"> if they should choose to do so.</w:t>
      </w:r>
    </w:p>
    <w:p w14:paraId="37A8205C" w14:textId="77777777" w:rsidR="0076257F" w:rsidRPr="002B712A" w:rsidRDefault="0076257F" w:rsidP="0076257F">
      <w:pPr>
        <w:pStyle w:val="NormalWeb"/>
        <w:shd w:val="clear" w:color="auto" w:fill="FFFFFF"/>
        <w:spacing w:before="120" w:beforeAutospacing="0" w:after="120" w:afterAutospacing="0"/>
        <w:rPr>
          <w:color w:val="000000"/>
        </w:rPr>
      </w:pPr>
      <w:bookmarkStart w:id="1" w:name="_Hlk113624304"/>
      <w:r w:rsidRPr="002B712A">
        <w:rPr>
          <w:b/>
          <w:bCs/>
          <w:color w:val="000000"/>
        </w:rPr>
        <w:t>Regulatory impact statement (</w:t>
      </w:r>
      <w:r w:rsidRPr="002B712A">
        <w:rPr>
          <w:b/>
          <w:bCs/>
          <w:i/>
          <w:iCs/>
          <w:color w:val="000000"/>
        </w:rPr>
        <w:t>RIS</w:t>
      </w:r>
      <w:r w:rsidRPr="002B712A">
        <w:rPr>
          <w:b/>
          <w:bCs/>
          <w:color w:val="000000"/>
        </w:rPr>
        <w:t>)</w:t>
      </w:r>
    </w:p>
    <w:p w14:paraId="47EE4B5A" w14:textId="77777777" w:rsidR="0076257F" w:rsidRDefault="0076257F" w:rsidP="0076257F">
      <w:pPr>
        <w:pStyle w:val="NormalWeb"/>
        <w:shd w:val="clear" w:color="auto" w:fill="FFFFFF"/>
        <w:spacing w:before="120" w:beforeAutospacing="0" w:after="120" w:afterAutospacing="0"/>
        <w:rPr>
          <w:color w:val="000000"/>
        </w:rPr>
      </w:pPr>
      <w:r>
        <w:rPr>
          <w:color w:val="000000"/>
        </w:rPr>
        <w:t>A RIS is not required for this determination due to section 36(1)(b) of the </w:t>
      </w:r>
      <w:r>
        <w:rPr>
          <w:i/>
          <w:iCs/>
          <w:color w:val="000000"/>
        </w:rPr>
        <w:t>Legislation Act 2001</w:t>
      </w:r>
      <w:r>
        <w:rPr>
          <w:color w:val="000000"/>
        </w:rPr>
        <w:t>, which provides that a RIS need not be prepared for a matter that does not operate to the disadvantage of anyone. This determination does not impose appreciable costs on the community, or part of the community.</w:t>
      </w:r>
    </w:p>
    <w:bookmarkEnd w:id="1"/>
    <w:p w14:paraId="1BCDA50C" w14:textId="77777777" w:rsidR="0076257F" w:rsidRPr="002B712A" w:rsidRDefault="0076257F" w:rsidP="0076257F">
      <w:pPr>
        <w:spacing w:after="120"/>
        <w:rPr>
          <w:b/>
          <w:bCs/>
        </w:rPr>
      </w:pPr>
      <w:r w:rsidRPr="002B712A">
        <w:rPr>
          <w:b/>
          <w:bCs/>
        </w:rPr>
        <w:t>Human Rights</w:t>
      </w:r>
    </w:p>
    <w:p w14:paraId="633D5D62" w14:textId="7A42F573" w:rsidR="00D84BEB" w:rsidRPr="00D84BEB" w:rsidRDefault="00D84BEB" w:rsidP="00AD4382">
      <w:pPr>
        <w:spacing w:after="120"/>
        <w:rPr>
          <w:szCs w:val="24"/>
        </w:rPr>
      </w:pPr>
      <w:r w:rsidRPr="00D84BEB">
        <w:rPr>
          <w:szCs w:val="24"/>
        </w:rPr>
        <w:t xml:space="preserve">The Determination does not engage the </w:t>
      </w:r>
      <w:r w:rsidRPr="00D84BEB">
        <w:rPr>
          <w:i/>
          <w:iCs/>
          <w:szCs w:val="24"/>
        </w:rPr>
        <w:t>Human Rights Act 2004</w:t>
      </w:r>
      <w:r w:rsidRPr="00D84BEB">
        <w:rPr>
          <w:szCs w:val="24"/>
        </w:rPr>
        <w:t xml:space="preserve">. </w:t>
      </w:r>
    </w:p>
    <w:p w14:paraId="3B293370" w14:textId="77777777" w:rsidR="002B712A" w:rsidRDefault="002B712A">
      <w:pPr>
        <w:rPr>
          <w:b/>
          <w:bCs/>
          <w:szCs w:val="24"/>
        </w:rPr>
      </w:pPr>
      <w:r>
        <w:rPr>
          <w:b/>
          <w:bCs/>
          <w:szCs w:val="24"/>
        </w:rPr>
        <w:br w:type="page"/>
      </w:r>
    </w:p>
    <w:p w14:paraId="2A509C6D" w14:textId="665DE50E" w:rsidR="00D84BEB" w:rsidRPr="00D84BEB" w:rsidRDefault="00D84BEB" w:rsidP="002D4855">
      <w:pPr>
        <w:spacing w:after="200"/>
        <w:rPr>
          <w:b/>
          <w:bCs/>
          <w:szCs w:val="24"/>
        </w:rPr>
      </w:pPr>
      <w:r w:rsidRPr="00D84BEB">
        <w:rPr>
          <w:b/>
          <w:bCs/>
          <w:szCs w:val="24"/>
        </w:rPr>
        <w:lastRenderedPageBreak/>
        <w:t>Clause Notes</w:t>
      </w:r>
    </w:p>
    <w:p w14:paraId="3FC44234" w14:textId="491FEEDE" w:rsidR="00D84BEB" w:rsidRPr="00D84BEB" w:rsidRDefault="00D84BEB" w:rsidP="00D84BEB">
      <w:pPr>
        <w:rPr>
          <w:szCs w:val="24"/>
        </w:rPr>
      </w:pPr>
      <w:r w:rsidRPr="00D84BEB">
        <w:rPr>
          <w:b/>
          <w:bCs/>
          <w:szCs w:val="24"/>
        </w:rPr>
        <w:t>Clause 1</w:t>
      </w:r>
      <w:r w:rsidRPr="00D84BEB">
        <w:rPr>
          <w:szCs w:val="24"/>
        </w:rPr>
        <w:t xml:space="preserve"> names the instrument.</w:t>
      </w:r>
    </w:p>
    <w:p w14:paraId="3431705C" w14:textId="10CD307E" w:rsidR="00D84BEB" w:rsidRPr="00D84BEB" w:rsidRDefault="00D84BEB" w:rsidP="00E529A0">
      <w:pPr>
        <w:spacing w:before="200"/>
        <w:rPr>
          <w:szCs w:val="24"/>
        </w:rPr>
      </w:pPr>
      <w:r w:rsidRPr="00D84BEB">
        <w:rPr>
          <w:b/>
          <w:bCs/>
          <w:szCs w:val="24"/>
        </w:rPr>
        <w:t>Clause 2</w:t>
      </w:r>
      <w:r w:rsidRPr="00D84BEB">
        <w:rPr>
          <w:szCs w:val="24"/>
        </w:rPr>
        <w:t xml:space="preserve"> </w:t>
      </w:r>
      <w:r w:rsidR="00291FFB">
        <w:rPr>
          <w:szCs w:val="24"/>
        </w:rPr>
        <w:t>provides</w:t>
      </w:r>
      <w:r w:rsidR="004E2D23">
        <w:rPr>
          <w:szCs w:val="24"/>
        </w:rPr>
        <w:t xml:space="preserve"> for the commencement of the instrument</w:t>
      </w:r>
      <w:r w:rsidRPr="008A1B28">
        <w:rPr>
          <w:szCs w:val="24"/>
        </w:rPr>
        <w:t>.</w:t>
      </w:r>
    </w:p>
    <w:p w14:paraId="4B6525DC" w14:textId="3476CB04" w:rsidR="00D84BEB" w:rsidRPr="00D84BEB" w:rsidRDefault="00D84BEB" w:rsidP="00E529A0">
      <w:pPr>
        <w:spacing w:before="200"/>
        <w:rPr>
          <w:szCs w:val="24"/>
        </w:rPr>
      </w:pPr>
      <w:r w:rsidRPr="00D84BEB">
        <w:rPr>
          <w:b/>
          <w:bCs/>
          <w:szCs w:val="24"/>
        </w:rPr>
        <w:t>Clause 3</w:t>
      </w:r>
      <w:r w:rsidRPr="00D84BEB">
        <w:rPr>
          <w:szCs w:val="24"/>
        </w:rPr>
        <w:t xml:space="preserve"> </w:t>
      </w:r>
      <w:r w:rsidR="00291FFB">
        <w:rPr>
          <w:szCs w:val="24"/>
        </w:rPr>
        <w:t>determines</w:t>
      </w:r>
      <w:r w:rsidR="00291FFB" w:rsidRPr="00D84BEB">
        <w:rPr>
          <w:szCs w:val="24"/>
        </w:rPr>
        <w:t xml:space="preserve"> </w:t>
      </w:r>
      <w:r w:rsidRPr="00D84BEB">
        <w:rPr>
          <w:szCs w:val="24"/>
        </w:rPr>
        <w:t>the eligible activities</w:t>
      </w:r>
      <w:r w:rsidR="00291FFB">
        <w:rPr>
          <w:szCs w:val="24"/>
        </w:rPr>
        <w:t>, in the schedule,</w:t>
      </w:r>
      <w:r w:rsidRPr="00D84BEB">
        <w:rPr>
          <w:szCs w:val="24"/>
        </w:rPr>
        <w:t xml:space="preserve"> that can be undertaken by electricity retailers and approved </w:t>
      </w:r>
      <w:r w:rsidR="00CE29AE">
        <w:rPr>
          <w:szCs w:val="24"/>
        </w:rPr>
        <w:t>energy savings</w:t>
      </w:r>
      <w:r w:rsidRPr="00D84BEB">
        <w:rPr>
          <w:szCs w:val="24"/>
        </w:rPr>
        <w:t xml:space="preserve"> providers to meet the </w:t>
      </w:r>
      <w:r w:rsidR="000B50EC">
        <w:rPr>
          <w:szCs w:val="24"/>
        </w:rPr>
        <w:t>EST</w:t>
      </w:r>
      <w:r w:rsidRPr="00D84BEB">
        <w:rPr>
          <w:szCs w:val="24"/>
        </w:rPr>
        <w:t>.</w:t>
      </w:r>
    </w:p>
    <w:p w14:paraId="3EC0C9AE" w14:textId="7DE83B5E" w:rsidR="00D84BEB" w:rsidRPr="00D84BEB" w:rsidRDefault="00D84BEB" w:rsidP="002D4855">
      <w:pPr>
        <w:spacing w:before="120" w:after="120"/>
        <w:rPr>
          <w:szCs w:val="24"/>
        </w:rPr>
      </w:pPr>
      <w:r w:rsidRPr="00D84BEB">
        <w:rPr>
          <w:szCs w:val="24"/>
        </w:rPr>
        <w:t>In summary, the schedule of the Determination</w:t>
      </w:r>
      <w:r w:rsidR="00291FFB">
        <w:rPr>
          <w:szCs w:val="24"/>
        </w:rPr>
        <w:t xml:space="preserve"> </w:t>
      </w:r>
      <w:r w:rsidRPr="00D84BEB">
        <w:rPr>
          <w:szCs w:val="24"/>
        </w:rPr>
        <w:t>defines the eligible activities</w:t>
      </w:r>
      <w:r w:rsidR="00291FFB">
        <w:rPr>
          <w:szCs w:val="24"/>
        </w:rPr>
        <w:t xml:space="preserve">, </w:t>
      </w:r>
      <w:r w:rsidRPr="00D84BEB">
        <w:rPr>
          <w:szCs w:val="24"/>
        </w:rPr>
        <w:t>and for each activity:</w:t>
      </w:r>
    </w:p>
    <w:p w14:paraId="0505EEC2" w14:textId="77777777" w:rsidR="00D84BEB" w:rsidRPr="00D84BEB" w:rsidRDefault="00D84BEB" w:rsidP="00D84BEB">
      <w:pPr>
        <w:numPr>
          <w:ilvl w:val="0"/>
          <w:numId w:val="10"/>
        </w:numPr>
        <w:spacing w:before="80"/>
        <w:ind w:left="714" w:hanging="357"/>
        <w:contextualSpacing/>
        <w:rPr>
          <w:szCs w:val="24"/>
        </w:rPr>
      </w:pPr>
      <w:r w:rsidRPr="00D84BEB">
        <w:rPr>
          <w:szCs w:val="24"/>
        </w:rPr>
        <w:t>sets minimum performance specifications;</w:t>
      </w:r>
    </w:p>
    <w:p w14:paraId="4FA53416" w14:textId="77777777" w:rsidR="00D84BEB" w:rsidRPr="00D84BEB" w:rsidRDefault="00D84BEB" w:rsidP="00D84BEB">
      <w:pPr>
        <w:numPr>
          <w:ilvl w:val="0"/>
          <w:numId w:val="10"/>
        </w:numPr>
        <w:spacing w:before="80"/>
        <w:ind w:left="714" w:hanging="357"/>
        <w:contextualSpacing/>
        <w:rPr>
          <w:szCs w:val="24"/>
        </w:rPr>
      </w:pPr>
      <w:r w:rsidRPr="00D84BEB">
        <w:rPr>
          <w:szCs w:val="24"/>
        </w:rPr>
        <w:t xml:space="preserve">outlines installed product requirements; </w:t>
      </w:r>
    </w:p>
    <w:p w14:paraId="0FCBFEE5" w14:textId="77777777" w:rsidR="00D84BEB" w:rsidRPr="00D84BEB" w:rsidRDefault="00D84BEB" w:rsidP="00D84BEB">
      <w:pPr>
        <w:numPr>
          <w:ilvl w:val="0"/>
          <w:numId w:val="10"/>
        </w:numPr>
        <w:spacing w:before="80"/>
        <w:ind w:left="714" w:hanging="357"/>
        <w:contextualSpacing/>
        <w:rPr>
          <w:szCs w:val="24"/>
        </w:rPr>
      </w:pPr>
      <w:r w:rsidRPr="00D84BEB">
        <w:rPr>
          <w:szCs w:val="24"/>
        </w:rPr>
        <w:t xml:space="preserve">specifies when activities are complete; and </w:t>
      </w:r>
    </w:p>
    <w:p w14:paraId="7B0D2212" w14:textId="5F5C302F" w:rsidR="00D84BEB" w:rsidRPr="00F0239B" w:rsidRDefault="00D84BEB" w:rsidP="00F0239B">
      <w:pPr>
        <w:numPr>
          <w:ilvl w:val="0"/>
          <w:numId w:val="10"/>
        </w:numPr>
        <w:spacing w:before="80"/>
        <w:ind w:left="714" w:hanging="357"/>
        <w:contextualSpacing/>
        <w:rPr>
          <w:szCs w:val="24"/>
        </w:rPr>
      </w:pPr>
      <w:r w:rsidRPr="00D84BEB">
        <w:rPr>
          <w:szCs w:val="24"/>
        </w:rPr>
        <w:t xml:space="preserve">sets out how the energy savings factor is calculated for each activity. </w:t>
      </w:r>
    </w:p>
    <w:p w14:paraId="734234DE" w14:textId="6EB16D43" w:rsidR="00D84BEB" w:rsidRPr="00D84BEB" w:rsidRDefault="00D84BEB" w:rsidP="00F0239B">
      <w:pPr>
        <w:spacing w:before="120" w:after="120"/>
        <w:rPr>
          <w:szCs w:val="24"/>
        </w:rPr>
      </w:pPr>
      <w:r w:rsidRPr="00D84BEB">
        <w:rPr>
          <w:szCs w:val="24"/>
        </w:rPr>
        <w:t>The eligible activities described in the Determination are categorised as:</w:t>
      </w:r>
    </w:p>
    <w:p w14:paraId="4DF31299" w14:textId="77777777" w:rsidR="00D84BEB" w:rsidRPr="00D84BEB" w:rsidRDefault="00D84BEB" w:rsidP="00291FFB">
      <w:pPr>
        <w:numPr>
          <w:ilvl w:val="0"/>
          <w:numId w:val="11"/>
        </w:numPr>
        <w:spacing w:before="80"/>
        <w:ind w:left="714" w:hanging="357"/>
        <w:contextualSpacing/>
        <w:rPr>
          <w:iCs/>
          <w:color w:val="000000"/>
          <w:szCs w:val="24"/>
        </w:rPr>
      </w:pPr>
      <w:r w:rsidRPr="00D84BEB">
        <w:rPr>
          <w:noProof/>
          <w:szCs w:val="24"/>
        </w:rPr>
        <w:t>Residential building envelope activities</w:t>
      </w:r>
      <w:r w:rsidRPr="00D84BEB">
        <w:rPr>
          <w:iCs/>
          <w:color w:val="000000"/>
          <w:szCs w:val="24"/>
        </w:rPr>
        <w:t xml:space="preserve"> </w:t>
      </w:r>
    </w:p>
    <w:p w14:paraId="011D4B6E" w14:textId="77777777" w:rsidR="00D84BEB" w:rsidRPr="00D84BEB" w:rsidRDefault="00D84BEB">
      <w:pPr>
        <w:numPr>
          <w:ilvl w:val="0"/>
          <w:numId w:val="11"/>
        </w:numPr>
        <w:spacing w:before="80"/>
        <w:ind w:left="714" w:hanging="357"/>
        <w:contextualSpacing/>
        <w:rPr>
          <w:iCs/>
          <w:color w:val="000000"/>
          <w:szCs w:val="24"/>
        </w:rPr>
      </w:pPr>
      <w:r w:rsidRPr="00D84BEB">
        <w:rPr>
          <w:noProof/>
          <w:szCs w:val="24"/>
        </w:rPr>
        <w:t>Space heating and cooling activities</w:t>
      </w:r>
    </w:p>
    <w:p w14:paraId="5BE37840" w14:textId="77777777" w:rsidR="00D84BEB" w:rsidRPr="00D84BEB" w:rsidRDefault="00D84BEB">
      <w:pPr>
        <w:numPr>
          <w:ilvl w:val="0"/>
          <w:numId w:val="11"/>
        </w:numPr>
        <w:spacing w:before="80"/>
        <w:ind w:left="714" w:hanging="357"/>
        <w:contextualSpacing/>
        <w:rPr>
          <w:iCs/>
          <w:color w:val="000000"/>
          <w:szCs w:val="24"/>
        </w:rPr>
      </w:pPr>
      <w:r w:rsidRPr="00D84BEB">
        <w:rPr>
          <w:noProof/>
          <w:szCs w:val="24"/>
        </w:rPr>
        <w:t>Hot water service activities</w:t>
      </w:r>
    </w:p>
    <w:p w14:paraId="40891F6B" w14:textId="77777777" w:rsidR="00D84BEB" w:rsidRPr="00D84BEB" w:rsidRDefault="00D84BEB">
      <w:pPr>
        <w:numPr>
          <w:ilvl w:val="0"/>
          <w:numId w:val="11"/>
        </w:numPr>
        <w:spacing w:before="80"/>
        <w:ind w:left="714" w:hanging="357"/>
        <w:contextualSpacing/>
        <w:rPr>
          <w:iCs/>
          <w:color w:val="000000"/>
          <w:szCs w:val="24"/>
        </w:rPr>
      </w:pPr>
      <w:r w:rsidRPr="00D84BEB">
        <w:rPr>
          <w:noProof/>
          <w:szCs w:val="24"/>
        </w:rPr>
        <w:t>Lighting activities</w:t>
      </w:r>
    </w:p>
    <w:p w14:paraId="6F95182F" w14:textId="2B89BA0C" w:rsidR="00F0239B" w:rsidRDefault="00D84BEB" w:rsidP="00291FFB">
      <w:pPr>
        <w:numPr>
          <w:ilvl w:val="0"/>
          <w:numId w:val="11"/>
        </w:numPr>
        <w:spacing w:before="80" w:after="120"/>
        <w:ind w:left="714" w:hanging="357"/>
        <w:contextualSpacing/>
        <w:rPr>
          <w:noProof/>
          <w:szCs w:val="24"/>
        </w:rPr>
      </w:pPr>
      <w:r w:rsidRPr="00D84BEB">
        <w:rPr>
          <w:noProof/>
          <w:szCs w:val="24"/>
        </w:rPr>
        <w:t>Appliance activities</w:t>
      </w:r>
    </w:p>
    <w:p w14:paraId="5DB31F8C" w14:textId="77777777" w:rsidR="00291FFB" w:rsidRDefault="00291FFB" w:rsidP="002D4855">
      <w:pPr>
        <w:spacing w:before="80" w:after="120"/>
        <w:ind w:left="714"/>
        <w:contextualSpacing/>
        <w:rPr>
          <w:noProof/>
          <w:szCs w:val="24"/>
        </w:rPr>
      </w:pPr>
    </w:p>
    <w:p w14:paraId="79139E75" w14:textId="2F51F88D" w:rsidR="00D84BEB" w:rsidRPr="00D84BEB" w:rsidRDefault="00D84BEB" w:rsidP="00291FFB">
      <w:pPr>
        <w:spacing w:before="200"/>
        <w:rPr>
          <w:iCs/>
          <w:color w:val="000000"/>
          <w:szCs w:val="24"/>
        </w:rPr>
      </w:pPr>
      <w:r w:rsidRPr="00D84BEB">
        <w:rPr>
          <w:b/>
          <w:bCs/>
          <w:iCs/>
          <w:color w:val="000000"/>
          <w:szCs w:val="24"/>
        </w:rPr>
        <w:t>Clause 4</w:t>
      </w:r>
      <w:r w:rsidRPr="00D84BEB">
        <w:rPr>
          <w:iCs/>
          <w:color w:val="000000"/>
          <w:szCs w:val="24"/>
        </w:rPr>
        <w:t xml:space="preserve"> disapplies </w:t>
      </w:r>
      <w:r w:rsidR="00681BAF">
        <w:rPr>
          <w:color w:val="000000"/>
          <w:szCs w:val="24"/>
          <w:lang w:eastAsia="en-AU"/>
        </w:rPr>
        <w:t>t</w:t>
      </w:r>
      <w:r w:rsidRPr="00681BAF">
        <w:rPr>
          <w:color w:val="000000"/>
          <w:szCs w:val="24"/>
          <w:lang w:eastAsia="en-AU"/>
        </w:rPr>
        <w:t>he</w:t>
      </w:r>
      <w:r w:rsidRPr="00D84BEB">
        <w:rPr>
          <w:i/>
          <w:iCs/>
          <w:color w:val="000000"/>
          <w:szCs w:val="24"/>
          <w:lang w:eastAsia="en-AU"/>
        </w:rPr>
        <w:t xml:space="preserve"> Legislation Act 2001, </w:t>
      </w:r>
      <w:r w:rsidRPr="00D84BEB">
        <w:rPr>
          <w:color w:val="000000"/>
          <w:szCs w:val="24"/>
          <w:lang w:eastAsia="en-AU"/>
        </w:rPr>
        <w:t xml:space="preserve">section 47 (5) and (6). </w:t>
      </w:r>
      <w:r w:rsidR="00A42521" w:rsidRPr="00D84BEB">
        <w:rPr>
          <w:iCs/>
          <w:color w:val="000000"/>
          <w:szCs w:val="24"/>
        </w:rPr>
        <w:t>Th</w:t>
      </w:r>
      <w:r w:rsidR="00A42521">
        <w:rPr>
          <w:iCs/>
          <w:color w:val="000000"/>
          <w:szCs w:val="24"/>
        </w:rPr>
        <w:t>is</w:t>
      </w:r>
      <w:r w:rsidR="00A42521" w:rsidRPr="00D84BEB">
        <w:rPr>
          <w:iCs/>
          <w:color w:val="000000"/>
          <w:szCs w:val="24"/>
        </w:rPr>
        <w:t xml:space="preserve"> </w:t>
      </w:r>
      <w:r w:rsidRPr="00D84BEB">
        <w:rPr>
          <w:iCs/>
          <w:color w:val="000000"/>
          <w:szCs w:val="24"/>
        </w:rPr>
        <w:t xml:space="preserve">section </w:t>
      </w:r>
      <w:r w:rsidR="00A42521">
        <w:rPr>
          <w:iCs/>
          <w:color w:val="000000"/>
          <w:szCs w:val="24"/>
        </w:rPr>
        <w:t>is</w:t>
      </w:r>
      <w:r w:rsidR="00A42521" w:rsidRPr="00D84BEB">
        <w:rPr>
          <w:iCs/>
          <w:color w:val="000000"/>
          <w:szCs w:val="24"/>
        </w:rPr>
        <w:t xml:space="preserve"> </w:t>
      </w:r>
      <w:r w:rsidRPr="00D84BEB">
        <w:rPr>
          <w:iCs/>
          <w:color w:val="000000"/>
          <w:szCs w:val="24"/>
        </w:rPr>
        <w:t xml:space="preserve">disapplied because </w:t>
      </w:r>
      <w:r w:rsidR="00A42521">
        <w:rPr>
          <w:iCs/>
          <w:color w:val="000000"/>
          <w:szCs w:val="24"/>
        </w:rPr>
        <w:t>it</w:t>
      </w:r>
      <w:r w:rsidR="00A42521" w:rsidRPr="00D84BEB">
        <w:rPr>
          <w:iCs/>
          <w:color w:val="000000"/>
          <w:szCs w:val="24"/>
        </w:rPr>
        <w:t xml:space="preserve"> </w:t>
      </w:r>
      <w:r w:rsidRPr="00D84BEB">
        <w:rPr>
          <w:iCs/>
          <w:color w:val="000000"/>
          <w:szCs w:val="24"/>
        </w:rPr>
        <w:t>stipulate</w:t>
      </w:r>
      <w:r w:rsidR="00A42521">
        <w:rPr>
          <w:iCs/>
          <w:color w:val="000000"/>
          <w:szCs w:val="24"/>
        </w:rPr>
        <w:t>s</w:t>
      </w:r>
      <w:r w:rsidRPr="00D84BEB">
        <w:rPr>
          <w:iCs/>
          <w:color w:val="000000"/>
          <w:szCs w:val="24"/>
        </w:rPr>
        <w:t xml:space="preserve"> that any external text which is to be applied as law in the ACT needs to be republished as a notifiable instrument. It is not possible to republish text contained in Australian Standards documents as they are protected by copyright. It is not practical to republish information in the National Construction Code as it contains over 400 pages of information across 4 volumes. </w:t>
      </w:r>
    </w:p>
    <w:p w14:paraId="425194F3" w14:textId="4F62777B" w:rsidR="00D84BEB" w:rsidRPr="00D84BEB" w:rsidRDefault="00D84BEB" w:rsidP="00E529A0">
      <w:pPr>
        <w:spacing w:before="200" w:after="60"/>
        <w:rPr>
          <w:szCs w:val="24"/>
        </w:rPr>
      </w:pPr>
      <w:r w:rsidRPr="00D84BEB">
        <w:rPr>
          <w:b/>
          <w:bCs/>
          <w:szCs w:val="24"/>
        </w:rPr>
        <w:t xml:space="preserve">Clause </w:t>
      </w:r>
      <w:r w:rsidR="00507065">
        <w:rPr>
          <w:b/>
          <w:bCs/>
          <w:szCs w:val="24"/>
        </w:rPr>
        <w:t>5</w:t>
      </w:r>
      <w:r w:rsidRPr="00D84BEB">
        <w:rPr>
          <w:szCs w:val="24"/>
        </w:rPr>
        <w:t xml:space="preserve"> revokes the </w:t>
      </w:r>
      <w:r w:rsidR="00507065" w:rsidRPr="002C5217">
        <w:rPr>
          <w:i/>
          <w:color w:val="000000"/>
          <w:szCs w:val="24"/>
        </w:rPr>
        <w:t>Energy Efficiency (Cost of Living) Improvement (Eligible Activities) Determination 202</w:t>
      </w:r>
      <w:r w:rsidR="005A2970">
        <w:rPr>
          <w:i/>
          <w:color w:val="000000"/>
          <w:szCs w:val="24"/>
        </w:rPr>
        <w:t>2</w:t>
      </w:r>
      <w:r w:rsidR="00507065" w:rsidRPr="00E970A1">
        <w:rPr>
          <w:iCs/>
          <w:color w:val="000000"/>
          <w:szCs w:val="24"/>
        </w:rPr>
        <w:t xml:space="preserve"> (</w:t>
      </w:r>
      <w:r w:rsidR="00507065">
        <w:rPr>
          <w:iCs/>
          <w:color w:val="000000"/>
          <w:szCs w:val="24"/>
        </w:rPr>
        <w:t>DI202</w:t>
      </w:r>
      <w:r w:rsidR="00B949FE">
        <w:rPr>
          <w:iCs/>
          <w:color w:val="000000"/>
          <w:szCs w:val="24"/>
        </w:rPr>
        <w:t>2</w:t>
      </w:r>
      <w:r w:rsidR="00507065">
        <w:rPr>
          <w:iCs/>
          <w:color w:val="000000"/>
          <w:szCs w:val="24"/>
        </w:rPr>
        <w:t>-</w:t>
      </w:r>
      <w:r w:rsidR="00B949FE">
        <w:rPr>
          <w:iCs/>
          <w:color w:val="000000"/>
          <w:szCs w:val="24"/>
        </w:rPr>
        <w:t>181</w:t>
      </w:r>
      <w:r w:rsidR="00507065">
        <w:rPr>
          <w:iCs/>
          <w:color w:val="000000"/>
          <w:szCs w:val="24"/>
        </w:rPr>
        <w:t>)</w:t>
      </w:r>
      <w:r w:rsidRPr="00D84BEB">
        <w:rPr>
          <w:szCs w:val="24"/>
        </w:rPr>
        <w:t xml:space="preserve">. </w:t>
      </w:r>
    </w:p>
    <w:p w14:paraId="5B0D256B" w14:textId="77777777" w:rsidR="00C17FAB" w:rsidRDefault="00C17FAB"/>
    <w:sectPr w:rsidR="00C17FAB"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321DD" w14:textId="77777777" w:rsidR="00AB2935" w:rsidRDefault="00AB2935" w:rsidP="00C17FAB">
      <w:r>
        <w:separator/>
      </w:r>
    </w:p>
  </w:endnote>
  <w:endnote w:type="continuationSeparator" w:id="0">
    <w:p w14:paraId="2848ECFC" w14:textId="77777777" w:rsidR="00AB2935" w:rsidRDefault="00AB293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8EEE" w14:textId="77777777" w:rsidR="0008223D" w:rsidRDefault="0008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9042" w14:textId="5C5F7C69" w:rsidR="00DA3B00" w:rsidRPr="00AC6106" w:rsidRDefault="00AC6106" w:rsidP="00AC6106">
    <w:pPr>
      <w:pStyle w:val="Footer"/>
      <w:jc w:val="center"/>
      <w:rPr>
        <w:rFonts w:cs="Arial"/>
        <w:sz w:val="14"/>
      </w:rPr>
    </w:pPr>
    <w:r w:rsidRPr="00AC610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2FFD" w14:textId="77777777" w:rsidR="0008223D" w:rsidRDefault="0008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9122" w14:textId="77777777" w:rsidR="00AB2935" w:rsidRDefault="00AB2935" w:rsidP="00C17FAB">
      <w:r>
        <w:separator/>
      </w:r>
    </w:p>
  </w:footnote>
  <w:footnote w:type="continuationSeparator" w:id="0">
    <w:p w14:paraId="08E3D271" w14:textId="77777777" w:rsidR="00AB2935" w:rsidRDefault="00AB293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4982" w14:textId="77777777" w:rsidR="0008223D" w:rsidRDefault="0008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0A28" w14:textId="77777777" w:rsidR="0008223D" w:rsidRDefault="00082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1C64" w14:textId="77777777" w:rsidR="0008223D" w:rsidRDefault="0008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A4065B"/>
    <w:multiLevelType w:val="hybridMultilevel"/>
    <w:tmpl w:val="55E0D37E"/>
    <w:lvl w:ilvl="0" w:tplc="3E640176">
      <w:start w:val="14"/>
      <w:numFmt w:val="bullet"/>
      <w:lvlText w:val="-"/>
      <w:lvlJc w:val="left"/>
      <w:pPr>
        <w:ind w:left="360" w:hanging="360"/>
      </w:pPr>
      <w:rPr>
        <w:rFonts w:ascii="Arial" w:eastAsia="SimSu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4E2635"/>
    <w:multiLevelType w:val="hybridMultilevel"/>
    <w:tmpl w:val="DB248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9118D2"/>
    <w:multiLevelType w:val="hybridMultilevel"/>
    <w:tmpl w:val="2F785D8C"/>
    <w:lvl w:ilvl="0" w:tplc="D2F238D8">
      <w:start w:val="14"/>
      <w:numFmt w:val="bullet"/>
      <w:lvlText w:val="-"/>
      <w:lvlJc w:val="left"/>
      <w:pPr>
        <w:ind w:left="1800" w:hanging="360"/>
      </w:pPr>
      <w:rPr>
        <w:rFonts w:ascii="Arial" w:eastAsia="SimSu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66E4D16"/>
    <w:multiLevelType w:val="hybridMultilevel"/>
    <w:tmpl w:val="EF067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C8B5584"/>
    <w:multiLevelType w:val="hybridMultilevel"/>
    <w:tmpl w:val="7C52EFF4"/>
    <w:lvl w:ilvl="0" w:tplc="9F26130E">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BDC5FAA"/>
    <w:multiLevelType w:val="hybridMultilevel"/>
    <w:tmpl w:val="7D00D4EE"/>
    <w:lvl w:ilvl="0" w:tplc="41C448B2">
      <w:start w:val="1"/>
      <w:numFmt w:val="lowerRoman"/>
      <w:pStyle w:val="Subdetailssecondindent"/>
      <w:lvlText w:val="%1."/>
      <w:lvlJc w:val="right"/>
      <w:pPr>
        <w:ind w:left="1854" w:hanging="360"/>
      </w:pPr>
      <w:rPr>
        <w:b w:val="0"/>
        <w:bCs/>
        <w:i w:val="0"/>
        <w:iCs/>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605441AA"/>
    <w:multiLevelType w:val="hybridMultilevel"/>
    <w:tmpl w:val="80F83DB0"/>
    <w:lvl w:ilvl="0" w:tplc="A582DA5C">
      <w:start w:val="1"/>
      <w:numFmt w:val="lowerLetter"/>
      <w:lvlText w:val="(%1)"/>
      <w:lvlJc w:val="left"/>
      <w:pPr>
        <w:ind w:left="72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79910371"/>
    <w:multiLevelType w:val="hybridMultilevel"/>
    <w:tmpl w:val="5E3A5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032462547">
    <w:abstractNumId w:val="3"/>
  </w:num>
  <w:num w:numId="2" w16cid:durableId="602962292">
    <w:abstractNumId w:val="0"/>
  </w:num>
  <w:num w:numId="3" w16cid:durableId="940994840">
    <w:abstractNumId w:val="4"/>
  </w:num>
  <w:num w:numId="4" w16cid:durableId="33624401">
    <w:abstractNumId w:val="10"/>
  </w:num>
  <w:num w:numId="5" w16cid:durableId="1198423940">
    <w:abstractNumId w:val="14"/>
  </w:num>
  <w:num w:numId="6" w16cid:durableId="1562986741">
    <w:abstractNumId w:val="2"/>
  </w:num>
  <w:num w:numId="7" w16cid:durableId="92360089">
    <w:abstractNumId w:val="7"/>
  </w:num>
  <w:num w:numId="8" w16cid:durableId="1154493665">
    <w:abstractNumId w:val="8"/>
  </w:num>
  <w:num w:numId="9" w16cid:durableId="1434862274">
    <w:abstractNumId w:val="16"/>
  </w:num>
  <w:num w:numId="10" w16cid:durableId="1173957633">
    <w:abstractNumId w:val="13"/>
  </w:num>
  <w:num w:numId="11" w16cid:durableId="161896239">
    <w:abstractNumId w:val="5"/>
  </w:num>
  <w:num w:numId="12" w16cid:durableId="1109279604">
    <w:abstractNumId w:val="15"/>
  </w:num>
  <w:num w:numId="13" w16cid:durableId="1767731610">
    <w:abstractNumId w:val="9"/>
  </w:num>
  <w:num w:numId="14" w16cid:durableId="176503397">
    <w:abstractNumId w:val="12"/>
    <w:lvlOverride w:ilvl="0">
      <w:startOverride w:val="1"/>
    </w:lvlOverride>
  </w:num>
  <w:num w:numId="15" w16cid:durableId="1320040683">
    <w:abstractNumId w:val="12"/>
  </w:num>
  <w:num w:numId="16" w16cid:durableId="232812960">
    <w:abstractNumId w:val="1"/>
  </w:num>
  <w:num w:numId="17" w16cid:durableId="585190070">
    <w:abstractNumId w:val="12"/>
    <w:lvlOverride w:ilvl="0">
      <w:startOverride w:val="1"/>
    </w:lvlOverride>
  </w:num>
  <w:num w:numId="18" w16cid:durableId="725565991">
    <w:abstractNumId w:val="12"/>
    <w:lvlOverride w:ilvl="0">
      <w:startOverride w:val="1"/>
    </w:lvlOverride>
  </w:num>
  <w:num w:numId="19" w16cid:durableId="860782389">
    <w:abstractNumId w:val="6"/>
  </w:num>
  <w:num w:numId="20" w16cid:durableId="74742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DEB"/>
    <w:rsid w:val="0004656E"/>
    <w:rsid w:val="00055369"/>
    <w:rsid w:val="00065D60"/>
    <w:rsid w:val="0008223D"/>
    <w:rsid w:val="0009624A"/>
    <w:rsid w:val="000B50EC"/>
    <w:rsid w:val="00103B66"/>
    <w:rsid w:val="00112AD6"/>
    <w:rsid w:val="00123B9A"/>
    <w:rsid w:val="00187C2D"/>
    <w:rsid w:val="001B23C5"/>
    <w:rsid w:val="001B72A9"/>
    <w:rsid w:val="001E2760"/>
    <w:rsid w:val="001F36A0"/>
    <w:rsid w:val="00207B7D"/>
    <w:rsid w:val="002379F1"/>
    <w:rsid w:val="00286658"/>
    <w:rsid w:val="00291FFB"/>
    <w:rsid w:val="002B712A"/>
    <w:rsid w:val="002D4855"/>
    <w:rsid w:val="002D7C60"/>
    <w:rsid w:val="002E6C96"/>
    <w:rsid w:val="00342FFA"/>
    <w:rsid w:val="0039242F"/>
    <w:rsid w:val="00405516"/>
    <w:rsid w:val="004214A7"/>
    <w:rsid w:val="00493331"/>
    <w:rsid w:val="004B31DE"/>
    <w:rsid w:val="004E2D23"/>
    <w:rsid w:val="004E4E59"/>
    <w:rsid w:val="004F547A"/>
    <w:rsid w:val="00502492"/>
    <w:rsid w:val="0050282B"/>
    <w:rsid w:val="005055D0"/>
    <w:rsid w:val="00507065"/>
    <w:rsid w:val="00516854"/>
    <w:rsid w:val="00534712"/>
    <w:rsid w:val="00586F68"/>
    <w:rsid w:val="005A2970"/>
    <w:rsid w:val="005A7F66"/>
    <w:rsid w:val="00604A55"/>
    <w:rsid w:val="00606C33"/>
    <w:rsid w:val="00681BAF"/>
    <w:rsid w:val="00686F94"/>
    <w:rsid w:val="006A66F3"/>
    <w:rsid w:val="006B7885"/>
    <w:rsid w:val="006E1FCF"/>
    <w:rsid w:val="00717376"/>
    <w:rsid w:val="007259E6"/>
    <w:rsid w:val="007346AC"/>
    <w:rsid w:val="0076257F"/>
    <w:rsid w:val="007A3C08"/>
    <w:rsid w:val="007D1AE9"/>
    <w:rsid w:val="007F53AA"/>
    <w:rsid w:val="0081726E"/>
    <w:rsid w:val="00825A94"/>
    <w:rsid w:val="008416BA"/>
    <w:rsid w:val="00886730"/>
    <w:rsid w:val="008A1B28"/>
    <w:rsid w:val="008A5978"/>
    <w:rsid w:val="008D3BF0"/>
    <w:rsid w:val="00913146"/>
    <w:rsid w:val="009508A5"/>
    <w:rsid w:val="00952AAC"/>
    <w:rsid w:val="00954973"/>
    <w:rsid w:val="009B4E42"/>
    <w:rsid w:val="009E74C0"/>
    <w:rsid w:val="00A124AD"/>
    <w:rsid w:val="00A361C7"/>
    <w:rsid w:val="00A42521"/>
    <w:rsid w:val="00A4409E"/>
    <w:rsid w:val="00A813CF"/>
    <w:rsid w:val="00AA6670"/>
    <w:rsid w:val="00AB2935"/>
    <w:rsid w:val="00AB3B7A"/>
    <w:rsid w:val="00AC5430"/>
    <w:rsid w:val="00AC6106"/>
    <w:rsid w:val="00AD4382"/>
    <w:rsid w:val="00AE48FD"/>
    <w:rsid w:val="00B949FE"/>
    <w:rsid w:val="00BC271C"/>
    <w:rsid w:val="00BD337F"/>
    <w:rsid w:val="00C17FAB"/>
    <w:rsid w:val="00C6612A"/>
    <w:rsid w:val="00CB08D5"/>
    <w:rsid w:val="00CE29AE"/>
    <w:rsid w:val="00CE599C"/>
    <w:rsid w:val="00D6193E"/>
    <w:rsid w:val="00D65AE1"/>
    <w:rsid w:val="00D84BEB"/>
    <w:rsid w:val="00DA3B00"/>
    <w:rsid w:val="00DE0EDB"/>
    <w:rsid w:val="00E03313"/>
    <w:rsid w:val="00E30DF6"/>
    <w:rsid w:val="00E529A0"/>
    <w:rsid w:val="00E64A30"/>
    <w:rsid w:val="00EA2E5B"/>
    <w:rsid w:val="00EB6346"/>
    <w:rsid w:val="00EC760F"/>
    <w:rsid w:val="00F0239B"/>
    <w:rsid w:val="00F1191E"/>
    <w:rsid w:val="00F75708"/>
    <w:rsid w:val="00FA5925"/>
    <w:rsid w:val="00FD5F3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9CDF1"/>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table" w:styleId="TableGrid">
    <w:name w:val="Table Grid"/>
    <w:basedOn w:val="TableNormal"/>
    <w:uiPriority w:val="39"/>
    <w:rsid w:val="00D84B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EEIS">
    <w:name w:val="Body text EEIS"/>
    <w:basedOn w:val="Normal"/>
    <w:qFormat/>
    <w:rsid w:val="006E1FCF"/>
    <w:pPr>
      <w:spacing w:before="120" w:after="120" w:line="264" w:lineRule="auto"/>
      <w:ind w:left="567"/>
    </w:pPr>
    <w:rPr>
      <w:rFonts w:ascii="Arial" w:eastAsia="SimSun" w:hAnsi="Arial" w:cs="Arial"/>
      <w:sz w:val="20"/>
      <w:lang w:eastAsia="zh-CN"/>
    </w:rPr>
  </w:style>
  <w:style w:type="character" w:styleId="CommentReference">
    <w:name w:val="annotation reference"/>
    <w:basedOn w:val="DefaultParagraphFont"/>
    <w:uiPriority w:val="99"/>
    <w:semiHidden/>
    <w:unhideWhenUsed/>
    <w:rsid w:val="007259E6"/>
    <w:rPr>
      <w:sz w:val="16"/>
      <w:szCs w:val="16"/>
    </w:rPr>
  </w:style>
  <w:style w:type="paragraph" w:styleId="CommentText">
    <w:name w:val="annotation text"/>
    <w:basedOn w:val="Normal"/>
    <w:link w:val="CommentTextChar"/>
    <w:uiPriority w:val="99"/>
    <w:semiHidden/>
    <w:unhideWhenUsed/>
    <w:rsid w:val="007259E6"/>
    <w:rPr>
      <w:sz w:val="20"/>
    </w:rPr>
  </w:style>
  <w:style w:type="character" w:customStyle="1" w:styleId="CommentTextChar">
    <w:name w:val="Comment Text Char"/>
    <w:basedOn w:val="DefaultParagraphFont"/>
    <w:link w:val="CommentText"/>
    <w:uiPriority w:val="99"/>
    <w:semiHidden/>
    <w:rsid w:val="007259E6"/>
    <w:rPr>
      <w:lang w:eastAsia="en-US"/>
    </w:rPr>
  </w:style>
  <w:style w:type="paragraph" w:styleId="CommentSubject">
    <w:name w:val="annotation subject"/>
    <w:basedOn w:val="CommentText"/>
    <w:next w:val="CommentText"/>
    <w:link w:val="CommentSubjectChar"/>
    <w:uiPriority w:val="99"/>
    <w:semiHidden/>
    <w:unhideWhenUsed/>
    <w:rsid w:val="007259E6"/>
    <w:rPr>
      <w:b/>
      <w:bCs/>
    </w:rPr>
  </w:style>
  <w:style w:type="character" w:customStyle="1" w:styleId="CommentSubjectChar">
    <w:name w:val="Comment Subject Char"/>
    <w:basedOn w:val="CommentTextChar"/>
    <w:link w:val="CommentSubject"/>
    <w:uiPriority w:val="99"/>
    <w:semiHidden/>
    <w:rsid w:val="007259E6"/>
    <w:rPr>
      <w:b/>
      <w:bCs/>
      <w:lang w:eastAsia="en-US"/>
    </w:rPr>
  </w:style>
  <w:style w:type="paragraph" w:customStyle="1" w:styleId="Subdetailssecondindent">
    <w:name w:val="Subdetails second indent"/>
    <w:basedOn w:val="Normal"/>
    <w:qFormat/>
    <w:rsid w:val="007F53AA"/>
    <w:pPr>
      <w:numPr>
        <w:numId w:val="14"/>
      </w:numPr>
      <w:spacing w:before="120" w:after="120" w:line="264" w:lineRule="auto"/>
    </w:pPr>
    <w:rPr>
      <w:rFonts w:ascii="Arial" w:eastAsia="SimSun" w:hAnsi="Arial" w:cs="Arial"/>
      <w:sz w:val="20"/>
      <w:lang w:eastAsia="zh-CN"/>
    </w:rPr>
  </w:style>
  <w:style w:type="paragraph" w:styleId="NormalWeb">
    <w:name w:val="Normal (Web)"/>
    <w:basedOn w:val="Normal"/>
    <w:uiPriority w:val="99"/>
    <w:semiHidden/>
    <w:unhideWhenUsed/>
    <w:rsid w:val="002B712A"/>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86512">
      <w:bodyDiv w:val="1"/>
      <w:marLeft w:val="0"/>
      <w:marRight w:val="0"/>
      <w:marTop w:val="0"/>
      <w:marBottom w:val="0"/>
      <w:divBdr>
        <w:top w:val="none" w:sz="0" w:space="0" w:color="auto"/>
        <w:left w:val="none" w:sz="0" w:space="0" w:color="auto"/>
        <w:bottom w:val="none" w:sz="0" w:space="0" w:color="auto"/>
        <w:right w:val="none" w:sz="0" w:space="0" w:color="auto"/>
      </w:divBdr>
    </w:div>
    <w:div w:id="19691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8B47-2F29-446B-8914-02E3B81E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5400</Characters>
  <Application>Microsoft Office Word</Application>
  <DocSecurity>0</DocSecurity>
  <Lines>115</Lines>
  <Paragraphs>56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2022-11-15T01:45:00Z</dcterms:created>
  <dcterms:modified xsi:type="dcterms:W3CDTF">2022-11-15T01:45:00Z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A36702212</vt:lpwstr>
  </property>
  <property fmtid="{D5CDD505-2E9C-101B-9397-08002B2CF9AE}" pid="4" name="Objective-Title">
    <vt:lpwstr>Att B - Determination Explanatory Statement</vt:lpwstr>
  </property>
  <property fmtid="{D5CDD505-2E9C-101B-9397-08002B2CF9AE}" pid="5" name="Objective-Comment">
    <vt:lpwstr/>
  </property>
  <property fmtid="{D5CDD505-2E9C-101B-9397-08002B2CF9AE}" pid="6" name="Objective-CreationStamp">
    <vt:filetime>2022-08-05T04:56:10Z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2022-11-10T20:46:13Z</vt:filetime>
  </property>
  <property fmtid="{D5CDD505-2E9C-101B-9397-08002B2CF9AE}" pid="10" name="Objective-ModificationStamp">
    <vt:filetime>2022-11-10T20:46:13Z</vt:filetime>
  </property>
  <property fmtid="{D5CDD505-2E9C-101B-9397-08002B2CF9AE}" pid="11" name="Objective-Owner">
    <vt:lpwstr>Mhairin Hilliker</vt:lpwstr>
  </property>
  <property fmtid="{D5CDD505-2E9C-101B-9397-08002B2CF9AE}" pid="12" name="Objective-Path">
    <vt:lpwstr>Whole of ACT Government:EPSDD - Environment Planning and Sustainable Development Directorate:07. Ministerial, Cabinet and Government Relations:06. Ministerials:2022 - Ministerial and Chief Ministerial Briefs / Correspondence:Climate Change &amp; Energy:07. July:22/86515 Ministerial-Information Brief - Rattenbury - Energy Efficiency Improvement Scheme - Administrative Activity Updates:</vt:lpwstr>
  </property>
  <property fmtid="{D5CDD505-2E9C-101B-9397-08002B2CF9AE}" pid="13" name="Objective-Parent">
    <vt:lpwstr>22/86515 Ministerial-Information Brief - Rattenbury - Energy Efficiency Improvement Scheme - Administrative Activity Updates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1-2022/86515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