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8C3B92" w:rsidRDefault="00790FE4" w:rsidP="007F3D56">
      <w:pPr>
        <w:spacing w:after="0"/>
        <w:rPr>
          <w:rFonts w:ascii="Arial" w:hAnsi="Arial" w:cs="Arial"/>
          <w:b/>
          <w:bCs/>
          <w:sz w:val="24"/>
          <w:szCs w:val="24"/>
        </w:rPr>
      </w:pPr>
    </w:p>
    <w:p w14:paraId="42440CF1" w14:textId="77777777" w:rsidR="00790FE4" w:rsidRPr="008C3B92" w:rsidRDefault="00790FE4" w:rsidP="007F3D56">
      <w:pPr>
        <w:spacing w:after="0"/>
        <w:rPr>
          <w:rFonts w:ascii="Arial" w:hAnsi="Arial" w:cs="Arial"/>
          <w:b/>
          <w:bCs/>
          <w:sz w:val="24"/>
          <w:szCs w:val="24"/>
        </w:rPr>
      </w:pPr>
    </w:p>
    <w:p w14:paraId="47B146F4" w14:textId="018EAEC8" w:rsidR="00BB387E" w:rsidRPr="00BB387E" w:rsidRDefault="0009567D"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22</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69918477" w14:textId="5B06435D" w:rsidR="00741C4A" w:rsidRPr="00741C4A" w:rsidRDefault="00153FBB" w:rsidP="00741C4A">
      <w:pPr>
        <w:spacing w:after="0"/>
        <w:jc w:val="center"/>
        <w:rPr>
          <w:rFonts w:ascii="Arial" w:hAnsi="Arial" w:cs="Arial"/>
          <w:b/>
          <w:bCs/>
          <w:sz w:val="24"/>
          <w:szCs w:val="24"/>
        </w:rPr>
      </w:pPr>
      <w:r>
        <w:rPr>
          <w:rFonts w:ascii="Arial" w:hAnsi="Arial" w:cs="Arial"/>
          <w:b/>
          <w:bCs/>
          <w:sz w:val="24"/>
          <w:szCs w:val="24"/>
        </w:rPr>
        <w:t xml:space="preserve">RESIDENTIAL TENANCIES </w:t>
      </w:r>
      <w:r w:rsidR="00264F34">
        <w:rPr>
          <w:rFonts w:ascii="Arial" w:hAnsi="Arial" w:cs="Arial"/>
          <w:b/>
          <w:bCs/>
          <w:sz w:val="24"/>
          <w:szCs w:val="24"/>
        </w:rPr>
        <w:t xml:space="preserve">LEGISLATION </w:t>
      </w:r>
      <w:r>
        <w:rPr>
          <w:rFonts w:ascii="Arial" w:hAnsi="Arial" w:cs="Arial"/>
          <w:b/>
          <w:bCs/>
          <w:sz w:val="24"/>
          <w:szCs w:val="24"/>
        </w:rPr>
        <w:t xml:space="preserve">AMENDMENT </w:t>
      </w:r>
      <w:r w:rsidR="00741C4A" w:rsidRPr="00741C4A">
        <w:rPr>
          <w:rFonts w:ascii="Arial" w:hAnsi="Arial" w:cs="Arial"/>
          <w:b/>
          <w:bCs/>
          <w:sz w:val="24"/>
          <w:szCs w:val="24"/>
        </w:rPr>
        <w:t xml:space="preserve">BILL </w:t>
      </w:r>
      <w:r w:rsidRPr="00741C4A">
        <w:rPr>
          <w:rFonts w:ascii="Arial" w:hAnsi="Arial" w:cs="Arial"/>
          <w:b/>
          <w:bCs/>
          <w:sz w:val="24"/>
          <w:szCs w:val="24"/>
        </w:rPr>
        <w:t>20</w:t>
      </w:r>
      <w:r>
        <w:rPr>
          <w:rFonts w:ascii="Arial" w:hAnsi="Arial" w:cs="Arial"/>
          <w:b/>
          <w:bCs/>
          <w:sz w:val="24"/>
          <w:szCs w:val="24"/>
        </w:rPr>
        <w:t>22</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205B5016" w14:textId="77777777" w:rsidR="00F478ED" w:rsidRDefault="00F478ED" w:rsidP="00F478ED">
      <w:pPr>
        <w:spacing w:after="0"/>
        <w:jc w:val="center"/>
        <w:rPr>
          <w:rFonts w:ascii="Arial" w:hAnsi="Arial" w:cs="Arial"/>
          <w:b/>
          <w:bCs/>
          <w:sz w:val="24"/>
          <w:szCs w:val="24"/>
        </w:rPr>
      </w:pPr>
      <w:r>
        <w:rPr>
          <w:rFonts w:ascii="Arial" w:hAnsi="Arial" w:cs="Arial"/>
          <w:b/>
          <w:bCs/>
          <w:sz w:val="24"/>
          <w:szCs w:val="24"/>
        </w:rPr>
        <w:t>and</w:t>
      </w:r>
    </w:p>
    <w:p w14:paraId="6A1C2951" w14:textId="77777777" w:rsidR="00F478ED" w:rsidRDefault="00F478ED" w:rsidP="00F478ED">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5569F3A6" w14:textId="77777777" w:rsidR="00F478ED" w:rsidRPr="00BB387E" w:rsidRDefault="00F478ED" w:rsidP="00F478ED">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6329A549" w:rsidR="00BB387E" w:rsidRPr="00BB387E" w:rsidRDefault="00153FBB" w:rsidP="00BB387E">
      <w:pPr>
        <w:spacing w:after="0"/>
        <w:ind w:right="686"/>
        <w:jc w:val="right"/>
        <w:rPr>
          <w:rFonts w:ascii="Arial" w:hAnsi="Arial" w:cs="Arial"/>
          <w:b/>
          <w:bCs/>
          <w:sz w:val="24"/>
          <w:szCs w:val="24"/>
        </w:rPr>
      </w:pPr>
      <w:r>
        <w:rPr>
          <w:rFonts w:ascii="Arial" w:hAnsi="Arial" w:cs="Arial"/>
          <w:b/>
          <w:bCs/>
          <w:sz w:val="24"/>
          <w:szCs w:val="24"/>
        </w:rPr>
        <w:t xml:space="preserve"> Shane Rattenbury </w:t>
      </w:r>
      <w:r w:rsidR="00E954A1">
        <w:rPr>
          <w:rFonts w:ascii="Arial" w:hAnsi="Arial" w:cs="Arial"/>
          <w:b/>
          <w:bCs/>
          <w:sz w:val="24"/>
          <w:szCs w:val="24"/>
        </w:rPr>
        <w:t>MLA</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770E33A7" w14:textId="6802964B" w:rsidR="00153FBB" w:rsidRPr="00BB387E" w:rsidRDefault="000B1F5C" w:rsidP="00153FBB">
      <w:pPr>
        <w:spacing w:after="0"/>
        <w:jc w:val="center"/>
        <w:rPr>
          <w:rFonts w:ascii="Arial" w:hAnsi="Arial" w:cs="Arial"/>
          <w:b/>
          <w:sz w:val="24"/>
          <w:szCs w:val="24"/>
        </w:rPr>
      </w:pPr>
      <w:r>
        <w:rPr>
          <w:rFonts w:ascii="Arial" w:hAnsi="Arial" w:cs="Arial"/>
          <w:b/>
          <w:sz w:val="24"/>
          <w:szCs w:val="24"/>
        </w:rPr>
        <w:lastRenderedPageBreak/>
        <w:t xml:space="preserve"> </w:t>
      </w:r>
    </w:p>
    <w:p w14:paraId="00ACAF6A" w14:textId="2B7B2668" w:rsidR="00ED3B77" w:rsidRPr="00BB387E" w:rsidRDefault="00153FBB" w:rsidP="00153FBB">
      <w:pPr>
        <w:pStyle w:val="Heading1"/>
        <w:jc w:val="center"/>
      </w:pPr>
      <w:r>
        <w:rPr>
          <w:rFonts w:cs="Arial"/>
          <w:b w:val="0"/>
          <w:bCs w:val="0"/>
          <w:sz w:val="24"/>
          <w:szCs w:val="24"/>
        </w:rPr>
        <w:t xml:space="preserve">RESIDENTIAL TENANCIES </w:t>
      </w:r>
      <w:r w:rsidR="00264F34">
        <w:rPr>
          <w:rFonts w:cs="Arial"/>
          <w:b w:val="0"/>
          <w:bCs w:val="0"/>
          <w:sz w:val="24"/>
          <w:szCs w:val="24"/>
        </w:rPr>
        <w:t xml:space="preserve">LEGISLATION </w:t>
      </w:r>
      <w:r>
        <w:rPr>
          <w:rFonts w:cs="Arial"/>
          <w:b w:val="0"/>
          <w:bCs w:val="0"/>
          <w:sz w:val="24"/>
          <w:szCs w:val="24"/>
        </w:rPr>
        <w:t>AMENDMENT</w:t>
      </w:r>
      <w:r w:rsidDel="00153FBB">
        <w:t xml:space="preserve"> </w:t>
      </w:r>
      <w:r w:rsidR="00ED3B77" w:rsidRPr="009F7992">
        <w:rPr>
          <w:b w:val="0"/>
          <w:bCs w:val="0"/>
          <w:sz w:val="24"/>
          <w:szCs w:val="24"/>
        </w:rPr>
        <w:t xml:space="preserve">BILL </w:t>
      </w:r>
      <w:r w:rsidRPr="009F7992">
        <w:rPr>
          <w:b w:val="0"/>
          <w:bCs w:val="0"/>
          <w:sz w:val="24"/>
          <w:szCs w:val="24"/>
        </w:rPr>
        <w:t>2022</w:t>
      </w:r>
    </w:p>
    <w:p w14:paraId="2612AE1F" w14:textId="77777777" w:rsidR="00834FC9" w:rsidRDefault="00834FC9" w:rsidP="007F3D56">
      <w:pPr>
        <w:spacing w:after="0"/>
        <w:contextualSpacing/>
        <w:rPr>
          <w:rFonts w:ascii="Arial" w:hAnsi="Arial" w:cs="Arial"/>
          <w:bCs/>
          <w:sz w:val="24"/>
          <w:szCs w:val="24"/>
        </w:rPr>
      </w:pPr>
    </w:p>
    <w:p w14:paraId="1C55190C" w14:textId="77540C09" w:rsidR="00790FE4" w:rsidRDefault="00834FC9" w:rsidP="007F3D56">
      <w:pPr>
        <w:spacing w:after="0"/>
        <w:contextualSpacing/>
        <w:rPr>
          <w:rFonts w:ascii="Arial" w:hAnsi="Arial" w:cs="Arial"/>
          <w:bCs/>
          <w:sz w:val="24"/>
          <w:szCs w:val="24"/>
        </w:rPr>
      </w:pPr>
      <w:r w:rsidRPr="00834FC9">
        <w:rPr>
          <w:rFonts w:ascii="Arial" w:hAnsi="Arial" w:cs="Arial"/>
          <w:bCs/>
          <w:sz w:val="24"/>
          <w:szCs w:val="24"/>
        </w:rPr>
        <w:t xml:space="preserve">The Bill </w:t>
      </w:r>
      <w:r w:rsidRPr="00834FC9">
        <w:rPr>
          <w:rFonts w:ascii="Arial" w:hAnsi="Arial" w:cs="Arial"/>
          <w:b/>
          <w:sz w:val="24"/>
          <w:szCs w:val="24"/>
        </w:rPr>
        <w:t>is</w:t>
      </w:r>
      <w:r w:rsidR="005B7158">
        <w:rPr>
          <w:rFonts w:ascii="Arial" w:hAnsi="Arial" w:cs="Arial"/>
          <w:bCs/>
          <w:sz w:val="24"/>
          <w:szCs w:val="24"/>
        </w:rPr>
        <w:t xml:space="preserve"> </w:t>
      </w:r>
      <w:r w:rsidRPr="00834FC9">
        <w:rPr>
          <w:rFonts w:ascii="Arial" w:hAnsi="Arial" w:cs="Arial"/>
          <w:bCs/>
          <w:sz w:val="24"/>
          <w:szCs w:val="24"/>
        </w:rPr>
        <w:t xml:space="preserve">a Significant Bill.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hyperlink r:id="rId15" w:history="1">
        <w:r w:rsidRPr="00D659A9">
          <w:rPr>
            <w:rStyle w:val="Hyperlink"/>
            <w:rFonts w:ascii="Arial" w:hAnsi="Arial" w:cs="Arial"/>
            <w:bCs/>
            <w:i/>
            <w:iCs/>
            <w:sz w:val="24"/>
            <w:szCs w:val="24"/>
          </w:rPr>
          <w:t>Human Rights Act 2004</w:t>
        </w:r>
      </w:hyperlink>
      <w:r w:rsidR="00264F34">
        <w:rPr>
          <w:rFonts w:ascii="Arial" w:hAnsi="Arial" w:cs="Arial"/>
          <w:bCs/>
          <w:i/>
          <w:iCs/>
          <w:sz w:val="24"/>
          <w:szCs w:val="24"/>
        </w:rPr>
        <w:t xml:space="preserve"> (</w:t>
      </w:r>
      <w:r w:rsidR="00264F34" w:rsidRPr="00264F34">
        <w:rPr>
          <w:rFonts w:ascii="Arial" w:hAnsi="Arial" w:cs="Arial"/>
          <w:b/>
          <w:sz w:val="24"/>
          <w:szCs w:val="24"/>
        </w:rPr>
        <w:t>HRA</w:t>
      </w:r>
      <w:r w:rsidR="00264F34">
        <w:rPr>
          <w:rFonts w:ascii="Arial" w:hAnsi="Arial" w:cs="Arial"/>
          <w:bCs/>
          <w:i/>
          <w:iCs/>
          <w:sz w:val="24"/>
          <w:szCs w:val="24"/>
        </w:rPr>
        <w:t>)</w:t>
      </w:r>
      <w:r w:rsidRPr="00834FC9">
        <w:rPr>
          <w:rFonts w:ascii="Arial" w:hAnsi="Arial" w:cs="Arial"/>
          <w:bCs/>
          <w:sz w:val="24"/>
          <w:szCs w:val="24"/>
        </w:rPr>
        <w:t>.</w:t>
      </w:r>
    </w:p>
    <w:p w14:paraId="6E5EB804" w14:textId="42C6704F" w:rsidR="0079771A" w:rsidRDefault="0079771A" w:rsidP="007F3D56">
      <w:pPr>
        <w:spacing w:after="0"/>
        <w:contextualSpacing/>
        <w:rPr>
          <w:rFonts w:ascii="Arial" w:hAnsi="Arial" w:cs="Arial"/>
          <w:bCs/>
          <w:sz w:val="24"/>
          <w:szCs w:val="24"/>
        </w:rPr>
      </w:pPr>
    </w:p>
    <w:p w14:paraId="2A431A94" w14:textId="77777777" w:rsidR="0079771A" w:rsidRDefault="0079771A" w:rsidP="007F3D56">
      <w:pPr>
        <w:spacing w:after="0"/>
        <w:contextualSpacing/>
        <w:rPr>
          <w:rFonts w:ascii="Arial" w:hAnsi="Arial" w:cs="Arial"/>
          <w:bCs/>
          <w:sz w:val="24"/>
          <w:szCs w:val="24"/>
        </w:rPr>
      </w:pPr>
      <w:r w:rsidRPr="00F43AF2">
        <w:rPr>
          <w:rFonts w:ascii="Arial" w:hAnsi="Arial" w:cs="Arial"/>
          <w:bCs/>
          <w:sz w:val="24"/>
          <w:szCs w:val="24"/>
        </w:rPr>
        <w:t xml:space="preserve">This explanatory statement relates to the Residential Tenancies </w:t>
      </w:r>
      <w:r>
        <w:rPr>
          <w:rFonts w:ascii="Arial" w:hAnsi="Arial" w:cs="Arial"/>
          <w:bCs/>
          <w:sz w:val="24"/>
          <w:szCs w:val="24"/>
        </w:rPr>
        <w:t xml:space="preserve">Legislation </w:t>
      </w:r>
      <w:r w:rsidRPr="00F43AF2">
        <w:rPr>
          <w:rFonts w:ascii="Arial" w:hAnsi="Arial" w:cs="Arial"/>
          <w:bCs/>
          <w:sz w:val="24"/>
          <w:szCs w:val="24"/>
        </w:rPr>
        <w:t>Amendment Bill 202</w:t>
      </w:r>
      <w:r>
        <w:rPr>
          <w:rFonts w:ascii="Arial" w:hAnsi="Arial" w:cs="Arial"/>
          <w:bCs/>
          <w:sz w:val="24"/>
          <w:szCs w:val="24"/>
        </w:rPr>
        <w:t>2</w:t>
      </w:r>
      <w:r w:rsidRPr="00F43AF2">
        <w:rPr>
          <w:rFonts w:ascii="Arial" w:hAnsi="Arial" w:cs="Arial"/>
          <w:bCs/>
          <w:sz w:val="24"/>
          <w:szCs w:val="24"/>
        </w:rPr>
        <w:t xml:space="preserve">. It has been prepared in order to assist the reader of the Bill and to help inform debate on it. It does not form part of the Bill. </w:t>
      </w:r>
    </w:p>
    <w:p w14:paraId="45B2848C" w14:textId="77777777" w:rsidR="0079771A" w:rsidRDefault="0079771A" w:rsidP="007F3D56">
      <w:pPr>
        <w:spacing w:after="0"/>
        <w:contextualSpacing/>
        <w:rPr>
          <w:rFonts w:ascii="Arial" w:hAnsi="Arial" w:cs="Arial"/>
          <w:bCs/>
          <w:sz w:val="24"/>
          <w:szCs w:val="24"/>
        </w:rPr>
      </w:pPr>
    </w:p>
    <w:p w14:paraId="51CF4E1B" w14:textId="6B5F64FF" w:rsidR="0079771A" w:rsidRPr="00834FC9" w:rsidRDefault="0079771A" w:rsidP="007F3D56">
      <w:pPr>
        <w:spacing w:after="0"/>
        <w:contextualSpacing/>
        <w:rPr>
          <w:rFonts w:ascii="Arial" w:hAnsi="Arial" w:cs="Arial"/>
          <w:bCs/>
          <w:sz w:val="24"/>
          <w:szCs w:val="24"/>
        </w:rPr>
      </w:pPr>
      <w:r w:rsidRPr="00F43AF2">
        <w:rPr>
          <w:rFonts w:ascii="Arial" w:hAnsi="Arial" w:cs="Arial"/>
          <w:bCs/>
          <w:sz w:val="24"/>
          <w:szCs w:val="24"/>
        </w:rPr>
        <w:t>The statement is to be read in conjunction with the Bill. It is not, and is not meant to be, a comprehensive description of the Bill.</w:t>
      </w:r>
    </w:p>
    <w:p w14:paraId="3F20865D" w14:textId="77777777" w:rsidR="0052127F" w:rsidRPr="00F43AF2" w:rsidRDefault="0052127F" w:rsidP="007F3D56">
      <w:pPr>
        <w:spacing w:after="0"/>
        <w:contextualSpacing/>
        <w:rPr>
          <w:rFonts w:ascii="Arial" w:hAnsi="Arial" w:cs="Arial"/>
          <w:bCs/>
          <w:sz w:val="24"/>
          <w:szCs w:val="24"/>
        </w:rPr>
      </w:pPr>
    </w:p>
    <w:p w14:paraId="29C29316" w14:textId="56470B09" w:rsidR="007B6A78" w:rsidRPr="00264F34" w:rsidRDefault="003323FA" w:rsidP="008C225D">
      <w:pPr>
        <w:pStyle w:val="Heading2"/>
        <w:rPr>
          <w:rFonts w:cs="Arial"/>
          <w:szCs w:val="24"/>
        </w:rPr>
      </w:pPr>
      <w:r w:rsidRPr="00264F34">
        <w:rPr>
          <w:rFonts w:cs="Arial"/>
          <w:szCs w:val="24"/>
        </w:rPr>
        <w:t>OVERVIEW OF THE BILL</w:t>
      </w:r>
    </w:p>
    <w:p w14:paraId="1CCE5CE8" w14:textId="68CDF409" w:rsidR="00264F34" w:rsidRPr="00264F34" w:rsidRDefault="00264F34" w:rsidP="00264F34">
      <w:pPr>
        <w:pStyle w:val="Recommendation2"/>
        <w:numPr>
          <w:ilvl w:val="0"/>
          <w:numId w:val="0"/>
        </w:numPr>
        <w:tabs>
          <w:tab w:val="clear" w:pos="851"/>
          <w:tab w:val="left" w:pos="1276"/>
        </w:tabs>
        <w:rPr>
          <w:rFonts w:ascii="Arial" w:hAnsi="Arial" w:cs="Arial"/>
        </w:rPr>
      </w:pPr>
      <w:r>
        <w:rPr>
          <w:rFonts w:ascii="Arial" w:hAnsi="Arial" w:cs="Arial"/>
        </w:rPr>
        <w:t xml:space="preserve">This </w:t>
      </w:r>
      <w:r w:rsidR="00D65F0F">
        <w:rPr>
          <w:rFonts w:ascii="Arial" w:hAnsi="Arial" w:cs="Arial"/>
        </w:rPr>
        <w:t>Bill</w:t>
      </w:r>
      <w:r w:rsidRPr="00264F34">
        <w:rPr>
          <w:rFonts w:ascii="Arial" w:hAnsi="Arial" w:cs="Arial"/>
        </w:rPr>
        <w:t xml:space="preserve"> amend</w:t>
      </w:r>
      <w:r w:rsidR="00D65F0F">
        <w:rPr>
          <w:rFonts w:ascii="Arial" w:hAnsi="Arial" w:cs="Arial"/>
        </w:rPr>
        <w:t>s</w:t>
      </w:r>
      <w:r w:rsidRPr="00264F34">
        <w:rPr>
          <w:rFonts w:ascii="Arial" w:hAnsi="Arial" w:cs="Arial"/>
        </w:rPr>
        <w:t xml:space="preserve"> the </w:t>
      </w:r>
      <w:hyperlink r:id="rId16" w:history="1">
        <w:r w:rsidRPr="00D659A9">
          <w:rPr>
            <w:rStyle w:val="Hyperlink"/>
            <w:rFonts w:ascii="Arial" w:hAnsi="Arial" w:cs="Arial"/>
            <w:i/>
            <w:iCs/>
          </w:rPr>
          <w:t>Residential Tenancies Act 1997</w:t>
        </w:r>
      </w:hyperlink>
      <w:r w:rsidRPr="00264F34">
        <w:rPr>
          <w:rFonts w:ascii="Arial" w:hAnsi="Arial" w:cs="Arial"/>
          <w:i/>
          <w:iCs/>
        </w:rPr>
        <w:t xml:space="preserve"> </w:t>
      </w:r>
      <w:r w:rsidRPr="00264F34">
        <w:rPr>
          <w:rFonts w:ascii="Arial" w:hAnsi="Arial" w:cs="Arial"/>
        </w:rPr>
        <w:t>(</w:t>
      </w:r>
      <w:r w:rsidRPr="00D65F0F">
        <w:rPr>
          <w:rFonts w:ascii="Arial" w:hAnsi="Arial" w:cs="Arial"/>
          <w:b/>
          <w:bCs/>
        </w:rPr>
        <w:t>RTA</w:t>
      </w:r>
      <w:r w:rsidRPr="00264F34">
        <w:rPr>
          <w:rFonts w:ascii="Arial" w:hAnsi="Arial" w:cs="Arial"/>
        </w:rPr>
        <w:t>)</w:t>
      </w:r>
      <w:r w:rsidR="00D65F0F">
        <w:rPr>
          <w:rFonts w:ascii="Arial" w:hAnsi="Arial" w:cs="Arial"/>
        </w:rPr>
        <w:t xml:space="preserve"> and the </w:t>
      </w:r>
      <w:r w:rsidR="00D65F0F" w:rsidRPr="00D65F0F">
        <w:rPr>
          <w:rFonts w:ascii="Arial" w:hAnsi="Arial" w:cs="Arial"/>
          <w:i/>
          <w:iCs/>
        </w:rPr>
        <w:t xml:space="preserve">Residential </w:t>
      </w:r>
      <w:hyperlink r:id="rId17" w:history="1">
        <w:r w:rsidR="00D65F0F" w:rsidRPr="00D659A9">
          <w:rPr>
            <w:rStyle w:val="Hyperlink"/>
            <w:rFonts w:ascii="Arial" w:hAnsi="Arial" w:cs="Arial"/>
            <w:i/>
            <w:iCs/>
          </w:rPr>
          <w:t>Tenancies Regulation 1998</w:t>
        </w:r>
      </w:hyperlink>
      <w:r w:rsidR="00D65F0F">
        <w:rPr>
          <w:rFonts w:ascii="Arial" w:hAnsi="Arial" w:cs="Arial"/>
          <w:i/>
          <w:iCs/>
        </w:rPr>
        <w:t xml:space="preserve"> </w:t>
      </w:r>
      <w:r w:rsidR="00D65F0F">
        <w:rPr>
          <w:rFonts w:ascii="Arial" w:hAnsi="Arial" w:cs="Arial"/>
        </w:rPr>
        <w:t>(</w:t>
      </w:r>
      <w:r w:rsidR="00D65F0F" w:rsidRPr="00D65F0F">
        <w:rPr>
          <w:rFonts w:ascii="Arial" w:hAnsi="Arial" w:cs="Arial"/>
          <w:b/>
          <w:bCs/>
        </w:rPr>
        <w:t>RTR</w:t>
      </w:r>
      <w:r w:rsidR="00D65F0F">
        <w:rPr>
          <w:rFonts w:ascii="Arial" w:hAnsi="Arial" w:cs="Arial"/>
        </w:rPr>
        <w:t>)</w:t>
      </w:r>
      <w:r w:rsidRPr="00264F34">
        <w:rPr>
          <w:rFonts w:ascii="Arial" w:hAnsi="Arial" w:cs="Arial"/>
          <w:i/>
          <w:iCs/>
        </w:rPr>
        <w:t xml:space="preserve"> </w:t>
      </w:r>
      <w:r w:rsidRPr="00264F34">
        <w:rPr>
          <w:rFonts w:ascii="Arial" w:hAnsi="Arial" w:cs="Arial"/>
        </w:rPr>
        <w:t xml:space="preserve">to: </w:t>
      </w:r>
    </w:p>
    <w:p w14:paraId="33CEE1E3" w14:textId="52C0F879" w:rsidR="00264F34" w:rsidRPr="00264F34" w:rsidRDefault="00264F34" w:rsidP="00264F34">
      <w:pPr>
        <w:pStyle w:val="Recommendation2"/>
        <w:numPr>
          <w:ilvl w:val="0"/>
          <w:numId w:val="16"/>
        </w:numPr>
        <w:tabs>
          <w:tab w:val="clear" w:pos="851"/>
          <w:tab w:val="left" w:pos="1276"/>
        </w:tabs>
        <w:rPr>
          <w:rFonts w:ascii="Arial" w:hAnsi="Arial" w:cs="Arial"/>
        </w:rPr>
      </w:pPr>
      <w:r w:rsidRPr="00264F34">
        <w:rPr>
          <w:rFonts w:ascii="Arial" w:hAnsi="Arial" w:cs="Arial"/>
        </w:rPr>
        <w:t xml:space="preserve">remove </w:t>
      </w:r>
      <w:r w:rsidR="009E649A">
        <w:rPr>
          <w:rFonts w:ascii="Arial" w:hAnsi="Arial" w:cs="Arial"/>
        </w:rPr>
        <w:t xml:space="preserve">the </w:t>
      </w:r>
      <w:r w:rsidR="004D78EF">
        <w:rPr>
          <w:rFonts w:ascii="Arial" w:hAnsi="Arial" w:cs="Arial"/>
        </w:rPr>
        <w:t>‘without</w:t>
      </w:r>
      <w:r w:rsidRPr="00264F34">
        <w:rPr>
          <w:rFonts w:ascii="Arial" w:hAnsi="Arial" w:cs="Arial"/>
        </w:rPr>
        <w:t xml:space="preserve"> cause</w:t>
      </w:r>
      <w:r w:rsidR="004D78EF">
        <w:rPr>
          <w:rFonts w:ascii="Arial" w:hAnsi="Arial" w:cs="Arial"/>
        </w:rPr>
        <w:t>’</w:t>
      </w:r>
      <w:r w:rsidRPr="00264F34">
        <w:rPr>
          <w:rFonts w:ascii="Arial" w:hAnsi="Arial" w:cs="Arial"/>
        </w:rPr>
        <w:t xml:space="preserve"> </w:t>
      </w:r>
      <w:r w:rsidR="009E649A">
        <w:rPr>
          <w:rFonts w:ascii="Arial" w:hAnsi="Arial" w:cs="Arial"/>
        </w:rPr>
        <w:t xml:space="preserve">tenancy </w:t>
      </w:r>
      <w:r w:rsidRPr="00264F34">
        <w:rPr>
          <w:rFonts w:ascii="Arial" w:hAnsi="Arial" w:cs="Arial"/>
        </w:rPr>
        <w:t>termination</w:t>
      </w:r>
      <w:r w:rsidR="009E649A">
        <w:rPr>
          <w:rFonts w:ascii="Arial" w:hAnsi="Arial" w:cs="Arial"/>
        </w:rPr>
        <w:t xml:space="preserve"> provision</w:t>
      </w:r>
      <w:r w:rsidRPr="00264F34">
        <w:rPr>
          <w:rFonts w:ascii="Arial" w:hAnsi="Arial" w:cs="Arial"/>
        </w:rPr>
        <w:t>;</w:t>
      </w:r>
    </w:p>
    <w:p w14:paraId="22BC7E62" w14:textId="2C723AEC" w:rsidR="00264F34" w:rsidRDefault="00264F34" w:rsidP="00264F34">
      <w:pPr>
        <w:pStyle w:val="Recommendation2"/>
        <w:numPr>
          <w:ilvl w:val="0"/>
          <w:numId w:val="16"/>
        </w:numPr>
        <w:tabs>
          <w:tab w:val="clear" w:pos="851"/>
          <w:tab w:val="left" w:pos="1276"/>
        </w:tabs>
        <w:rPr>
          <w:rFonts w:ascii="Arial" w:hAnsi="Arial" w:cs="Arial"/>
        </w:rPr>
      </w:pPr>
      <w:r w:rsidRPr="00264F34">
        <w:rPr>
          <w:rFonts w:ascii="Arial" w:hAnsi="Arial" w:cs="Arial"/>
        </w:rPr>
        <w:t xml:space="preserve">introduce new termination provisions to allow landlords to continue to manage their properties effectively </w:t>
      </w:r>
      <w:r w:rsidR="00D65F0F">
        <w:rPr>
          <w:rFonts w:ascii="Arial" w:hAnsi="Arial" w:cs="Arial"/>
        </w:rPr>
        <w:t>and to allow</w:t>
      </w:r>
      <w:r w:rsidRPr="00264F34">
        <w:rPr>
          <w:rFonts w:ascii="Arial" w:hAnsi="Arial" w:cs="Arial"/>
        </w:rPr>
        <w:t xml:space="preserve"> the Commissioner for Social Housing</w:t>
      </w:r>
      <w:r w:rsidR="00D65F0F">
        <w:rPr>
          <w:rFonts w:ascii="Arial" w:hAnsi="Arial" w:cs="Arial"/>
        </w:rPr>
        <w:t xml:space="preserve"> </w:t>
      </w:r>
      <w:r w:rsidR="004D78EF">
        <w:rPr>
          <w:rFonts w:ascii="Arial" w:hAnsi="Arial" w:cs="Arial"/>
        </w:rPr>
        <w:t>(</w:t>
      </w:r>
      <w:r w:rsidR="004D78EF" w:rsidRPr="004D78EF">
        <w:rPr>
          <w:rFonts w:ascii="Arial" w:hAnsi="Arial" w:cs="Arial"/>
          <w:b/>
          <w:bCs/>
        </w:rPr>
        <w:t>the Housing Commissioner</w:t>
      </w:r>
      <w:r w:rsidR="004D78EF">
        <w:rPr>
          <w:rFonts w:ascii="Arial" w:hAnsi="Arial" w:cs="Arial"/>
        </w:rPr>
        <w:t xml:space="preserve">) </w:t>
      </w:r>
      <w:r w:rsidR="00D65F0F">
        <w:rPr>
          <w:rFonts w:ascii="Arial" w:hAnsi="Arial" w:cs="Arial"/>
        </w:rPr>
        <w:t xml:space="preserve">and non-Government </w:t>
      </w:r>
      <w:r w:rsidR="00480D5F">
        <w:rPr>
          <w:rFonts w:ascii="Arial" w:hAnsi="Arial" w:cs="Arial"/>
        </w:rPr>
        <w:t>subsidised</w:t>
      </w:r>
      <w:r w:rsidR="00D62992">
        <w:rPr>
          <w:rFonts w:ascii="Arial" w:hAnsi="Arial" w:cs="Arial"/>
        </w:rPr>
        <w:t xml:space="preserve"> </w:t>
      </w:r>
      <w:r w:rsidR="00D65F0F">
        <w:rPr>
          <w:rFonts w:ascii="Arial" w:hAnsi="Arial" w:cs="Arial"/>
        </w:rPr>
        <w:t>accommodation providers to continue to provide targeted accommodation assistance programs</w:t>
      </w:r>
      <w:r w:rsidRPr="00264F34">
        <w:rPr>
          <w:rFonts w:ascii="Arial" w:hAnsi="Arial" w:cs="Arial"/>
        </w:rPr>
        <w:t>;</w:t>
      </w:r>
    </w:p>
    <w:p w14:paraId="7E37B37D" w14:textId="2DCB01F0" w:rsidR="00226270" w:rsidRPr="00226270" w:rsidRDefault="00226270" w:rsidP="00480D5F">
      <w:pPr>
        <w:pStyle w:val="Recommendation2"/>
        <w:numPr>
          <w:ilvl w:val="1"/>
          <w:numId w:val="16"/>
        </w:numPr>
        <w:tabs>
          <w:tab w:val="clear" w:pos="851"/>
          <w:tab w:val="left" w:pos="1276"/>
        </w:tabs>
        <w:ind w:left="709" w:hanging="283"/>
        <w:rPr>
          <w:rFonts w:ascii="Arial" w:hAnsi="Arial" w:cs="Arial"/>
        </w:rPr>
      </w:pPr>
      <w:r w:rsidRPr="00480D5F">
        <w:rPr>
          <w:rFonts w:ascii="Arial" w:hAnsi="Arial" w:cs="Arial"/>
        </w:rPr>
        <w:t>introduce a reasonable and proportionate test for tenancy termination which applies to the newly introduced termination provisions for the Commissioner for Social Housing and community housing providers;</w:t>
      </w:r>
    </w:p>
    <w:p w14:paraId="344942EE" w14:textId="77777777" w:rsidR="00264F34" w:rsidRPr="00264F34" w:rsidRDefault="00264F34" w:rsidP="00264F34">
      <w:pPr>
        <w:pStyle w:val="Recommendation2"/>
        <w:numPr>
          <w:ilvl w:val="0"/>
          <w:numId w:val="16"/>
        </w:numPr>
        <w:tabs>
          <w:tab w:val="clear" w:pos="851"/>
          <w:tab w:val="left" w:pos="1276"/>
        </w:tabs>
        <w:rPr>
          <w:rFonts w:ascii="Arial" w:hAnsi="Arial" w:cs="Arial"/>
        </w:rPr>
      </w:pPr>
      <w:r w:rsidRPr="00264F34">
        <w:rPr>
          <w:rFonts w:ascii="Arial" w:hAnsi="Arial" w:cs="Arial"/>
        </w:rPr>
        <w:t>introduce associated protections for tenants to ensure new and existing termination provisions are not misused;</w:t>
      </w:r>
    </w:p>
    <w:p w14:paraId="79996951" w14:textId="0AE4BB87" w:rsidR="00264F34" w:rsidRPr="00264F34" w:rsidRDefault="00264F34" w:rsidP="004D78EF">
      <w:pPr>
        <w:pStyle w:val="Recommendation2"/>
        <w:numPr>
          <w:ilvl w:val="0"/>
          <w:numId w:val="16"/>
        </w:numPr>
        <w:tabs>
          <w:tab w:val="clear" w:pos="851"/>
          <w:tab w:val="left" w:pos="1276"/>
        </w:tabs>
        <w:rPr>
          <w:rFonts w:ascii="Arial" w:hAnsi="Arial" w:cs="Arial"/>
        </w:rPr>
      </w:pPr>
      <w:r w:rsidRPr="00264F34">
        <w:rPr>
          <w:rFonts w:ascii="Arial" w:hAnsi="Arial" w:cs="Arial"/>
        </w:rPr>
        <w:t>make other minor and technical changes related to references to approved forms under the RTA (to reflect that there are currently no approved forms);</w:t>
      </w:r>
    </w:p>
    <w:p w14:paraId="0D6A45DC" w14:textId="387440AB" w:rsidR="00264F34" w:rsidRPr="00264F34" w:rsidRDefault="00264F34" w:rsidP="00264F34">
      <w:pPr>
        <w:pStyle w:val="Recommendation2"/>
        <w:numPr>
          <w:ilvl w:val="0"/>
          <w:numId w:val="16"/>
        </w:numPr>
        <w:tabs>
          <w:tab w:val="clear" w:pos="851"/>
          <w:tab w:val="left" w:pos="1276"/>
        </w:tabs>
        <w:rPr>
          <w:rFonts w:ascii="Arial" w:hAnsi="Arial" w:cs="Arial"/>
        </w:rPr>
      </w:pPr>
      <w:r w:rsidRPr="00264F34">
        <w:rPr>
          <w:rFonts w:ascii="Arial" w:hAnsi="Arial" w:cs="Arial"/>
        </w:rPr>
        <w:t xml:space="preserve">make it an offence for landlords or agents to </w:t>
      </w:r>
      <w:r w:rsidR="00327F3B">
        <w:rPr>
          <w:rFonts w:ascii="Arial" w:hAnsi="Arial" w:cs="Arial"/>
        </w:rPr>
        <w:t xml:space="preserve">advertise a rental property without a fixed rental rate and also make it an offence to </w:t>
      </w:r>
      <w:r w:rsidRPr="00264F34">
        <w:rPr>
          <w:rFonts w:ascii="Arial" w:hAnsi="Arial" w:cs="Arial"/>
        </w:rPr>
        <w:t xml:space="preserve">solicit rent bids; </w:t>
      </w:r>
    </w:p>
    <w:p w14:paraId="4106BF18" w14:textId="354B3CE9" w:rsidR="00264F34" w:rsidRPr="00264F34" w:rsidRDefault="00264F34" w:rsidP="00264F34">
      <w:pPr>
        <w:pStyle w:val="Recommendation2"/>
        <w:numPr>
          <w:ilvl w:val="0"/>
          <w:numId w:val="16"/>
        </w:numPr>
        <w:tabs>
          <w:tab w:val="clear" w:pos="851"/>
          <w:tab w:val="left" w:pos="1276"/>
        </w:tabs>
        <w:rPr>
          <w:rFonts w:ascii="Arial" w:hAnsi="Arial" w:cs="Arial"/>
        </w:rPr>
      </w:pPr>
      <w:r w:rsidRPr="00264F34">
        <w:rPr>
          <w:rFonts w:ascii="Arial" w:hAnsi="Arial" w:cs="Arial"/>
        </w:rPr>
        <w:t>introduce provisions to support the introduction of minimum standards</w:t>
      </w:r>
      <w:r w:rsidR="005E5F7B">
        <w:rPr>
          <w:rFonts w:ascii="Arial" w:hAnsi="Arial" w:cs="Arial"/>
        </w:rPr>
        <w:t>,</w:t>
      </w:r>
      <w:r w:rsidRPr="00264F34">
        <w:rPr>
          <w:rFonts w:ascii="Arial" w:hAnsi="Arial" w:cs="Arial"/>
        </w:rPr>
        <w:t xml:space="preserve"> including changes to advertising and information disclosure requirements, access provisions, tenancy termination, rent reduction and compensation provisions; and</w:t>
      </w:r>
    </w:p>
    <w:p w14:paraId="3ADDE212" w14:textId="4D47C5F4" w:rsidR="00264F34" w:rsidRDefault="00264F34" w:rsidP="00264F34">
      <w:pPr>
        <w:pStyle w:val="Recommendation2"/>
        <w:numPr>
          <w:ilvl w:val="0"/>
          <w:numId w:val="16"/>
        </w:numPr>
        <w:tabs>
          <w:tab w:val="clear" w:pos="851"/>
          <w:tab w:val="left" w:pos="1276"/>
        </w:tabs>
        <w:rPr>
          <w:rFonts w:ascii="Arial" w:hAnsi="Arial" w:cs="Arial"/>
        </w:rPr>
      </w:pPr>
      <w:r w:rsidRPr="00264F34">
        <w:rPr>
          <w:rFonts w:ascii="Arial" w:hAnsi="Arial" w:cs="Arial"/>
        </w:rPr>
        <w:t xml:space="preserve">clarify, by way of regulation, what gardening activities to grow food and compost fall within the scope of the minor modifications provision in the RTA. </w:t>
      </w:r>
    </w:p>
    <w:p w14:paraId="5581F27D" w14:textId="0CD4F42A" w:rsidR="00D65F0F" w:rsidRDefault="00D65F0F" w:rsidP="0064040A">
      <w:pPr>
        <w:pStyle w:val="Recommendation2"/>
        <w:keepNext/>
        <w:numPr>
          <w:ilvl w:val="0"/>
          <w:numId w:val="0"/>
        </w:numPr>
        <w:tabs>
          <w:tab w:val="clear" w:pos="851"/>
          <w:tab w:val="left" w:pos="1276"/>
        </w:tabs>
        <w:rPr>
          <w:rFonts w:ascii="Arial" w:hAnsi="Arial" w:cs="Arial"/>
        </w:rPr>
      </w:pPr>
      <w:r>
        <w:rPr>
          <w:rFonts w:ascii="Arial" w:hAnsi="Arial" w:cs="Arial"/>
        </w:rPr>
        <w:lastRenderedPageBreak/>
        <w:t xml:space="preserve">The Bill also amends the </w:t>
      </w:r>
      <w:hyperlink r:id="rId18" w:history="1">
        <w:r w:rsidRPr="00C34FC5">
          <w:rPr>
            <w:rStyle w:val="Hyperlink"/>
            <w:rFonts w:ascii="Arial" w:hAnsi="Arial" w:cs="Arial"/>
            <w:i/>
            <w:iCs/>
          </w:rPr>
          <w:t>Housing Assistance Act 2004</w:t>
        </w:r>
      </w:hyperlink>
      <w:r>
        <w:rPr>
          <w:rFonts w:ascii="Arial" w:hAnsi="Arial" w:cs="Arial"/>
        </w:rPr>
        <w:t xml:space="preserve"> (</w:t>
      </w:r>
      <w:r w:rsidRPr="00D65F0F">
        <w:rPr>
          <w:rFonts w:ascii="Arial" w:hAnsi="Arial" w:cs="Arial"/>
          <w:b/>
          <w:bCs/>
        </w:rPr>
        <w:t>HAA</w:t>
      </w:r>
      <w:r>
        <w:rPr>
          <w:rFonts w:ascii="Arial" w:hAnsi="Arial" w:cs="Arial"/>
        </w:rPr>
        <w:t>) to:</w:t>
      </w:r>
    </w:p>
    <w:p w14:paraId="2BEA6ADF" w14:textId="302F492C" w:rsidR="00B510F5" w:rsidRPr="00327F3B" w:rsidRDefault="00B510F5" w:rsidP="00D65F0F">
      <w:pPr>
        <w:pStyle w:val="Recommendation2"/>
        <w:numPr>
          <w:ilvl w:val="0"/>
          <w:numId w:val="17"/>
        </w:numPr>
        <w:tabs>
          <w:tab w:val="clear" w:pos="851"/>
          <w:tab w:val="left" w:pos="1276"/>
        </w:tabs>
        <w:rPr>
          <w:rFonts w:ascii="Arial" w:hAnsi="Arial" w:cs="Arial"/>
        </w:rPr>
      </w:pPr>
      <w:r w:rsidRPr="00327F3B">
        <w:rPr>
          <w:rFonts w:ascii="Arial" w:hAnsi="Arial" w:cs="Arial"/>
        </w:rPr>
        <w:t>modify</w:t>
      </w:r>
      <w:r w:rsidR="00DA6700" w:rsidRPr="000E496F">
        <w:rPr>
          <w:rFonts w:ascii="Arial" w:hAnsi="Arial" w:cs="Arial"/>
        </w:rPr>
        <w:t xml:space="preserve"> sections 20 and 21 to require that any determinations or operational guidelines </w:t>
      </w:r>
      <w:r w:rsidR="00327F3B" w:rsidRPr="002838EC">
        <w:rPr>
          <w:rFonts w:ascii="Arial" w:hAnsi="Arial" w:cs="Arial"/>
        </w:rPr>
        <w:t xml:space="preserve">which relate to decisions to review a person’s eligibility for housing assistance, require a transfer or provide temporary housing assistance be made </w:t>
      </w:r>
      <w:r w:rsidR="00DA6700" w:rsidRPr="00327F3B">
        <w:rPr>
          <w:rFonts w:ascii="Arial" w:hAnsi="Arial" w:cs="Arial"/>
        </w:rPr>
        <w:t>disallowable instruments (rather than notifiable instruments)</w:t>
      </w:r>
      <w:r w:rsidRPr="00327F3B">
        <w:rPr>
          <w:rFonts w:ascii="Arial" w:hAnsi="Arial" w:cs="Arial"/>
        </w:rPr>
        <w:t xml:space="preserve">; </w:t>
      </w:r>
    </w:p>
    <w:p w14:paraId="5655B5C8" w14:textId="07D795EB" w:rsidR="00327F3B" w:rsidRPr="002838EC" w:rsidRDefault="004D78EF" w:rsidP="004D78EF">
      <w:pPr>
        <w:pStyle w:val="Recommendation2"/>
        <w:numPr>
          <w:ilvl w:val="0"/>
          <w:numId w:val="17"/>
        </w:numPr>
        <w:tabs>
          <w:tab w:val="clear" w:pos="851"/>
          <w:tab w:val="left" w:pos="1276"/>
        </w:tabs>
        <w:rPr>
          <w:rFonts w:ascii="Arial" w:hAnsi="Arial" w:cs="Arial"/>
        </w:rPr>
      </w:pPr>
      <w:r w:rsidRPr="00327F3B">
        <w:rPr>
          <w:rFonts w:ascii="Arial" w:hAnsi="Arial" w:cs="Arial"/>
        </w:rPr>
        <w:t xml:space="preserve">introduce a transitional provision which deems the existing </w:t>
      </w:r>
      <w:r w:rsidRPr="005E5F7B">
        <w:rPr>
          <w:rFonts w:ascii="Arial" w:hAnsi="Arial" w:cs="Arial"/>
          <w:i/>
          <w:iCs/>
        </w:rPr>
        <w:t>Housing Assistance Public Rental Housing Assistance Program (Review of Entitlement to Housing Assistance) Determination 2020 (No 1)</w:t>
      </w:r>
      <w:r w:rsidRPr="005E5F7B">
        <w:rPr>
          <w:rFonts w:ascii="Arial" w:hAnsi="Arial" w:cs="Arial"/>
        </w:rPr>
        <w:t xml:space="preserve"> (NI2020-658) to be a disallowable instrument</w:t>
      </w:r>
      <w:r w:rsidR="00327F3B" w:rsidRPr="005E5F7B">
        <w:rPr>
          <w:rFonts w:ascii="Arial" w:hAnsi="Arial" w:cs="Arial"/>
        </w:rPr>
        <w:t>;</w:t>
      </w:r>
    </w:p>
    <w:p w14:paraId="312B936C" w14:textId="01210192" w:rsidR="00327F3B" w:rsidRPr="002838EC" w:rsidRDefault="00327F3B" w:rsidP="005E5F7B">
      <w:pPr>
        <w:pStyle w:val="Recommendation2"/>
        <w:numPr>
          <w:ilvl w:val="0"/>
          <w:numId w:val="17"/>
        </w:numPr>
        <w:tabs>
          <w:tab w:val="clear" w:pos="851"/>
          <w:tab w:val="left" w:pos="1276"/>
        </w:tabs>
        <w:rPr>
          <w:rFonts w:ascii="Arial" w:hAnsi="Arial" w:cs="Arial"/>
        </w:rPr>
      </w:pPr>
      <w:r w:rsidRPr="005E5F7B">
        <w:rPr>
          <w:rFonts w:ascii="Arial" w:hAnsi="Arial" w:cs="Arial"/>
        </w:rPr>
        <w:t xml:space="preserve">introduce other minor and technical </w:t>
      </w:r>
      <w:r w:rsidRPr="002838EC">
        <w:rPr>
          <w:rFonts w:ascii="Arial" w:hAnsi="Arial" w:cs="Arial"/>
        </w:rPr>
        <w:t>transitional provisions related to the deeming of existing legislative instruments under the HAA;</w:t>
      </w:r>
    </w:p>
    <w:p w14:paraId="25F41BB7" w14:textId="27AC8356" w:rsidR="00226270" w:rsidRPr="005E5F7B" w:rsidRDefault="00327F3B" w:rsidP="005E5F7B">
      <w:pPr>
        <w:pStyle w:val="Recommendation2"/>
        <w:numPr>
          <w:ilvl w:val="0"/>
          <w:numId w:val="17"/>
        </w:numPr>
        <w:tabs>
          <w:tab w:val="clear" w:pos="851"/>
          <w:tab w:val="left" w:pos="1276"/>
        </w:tabs>
        <w:rPr>
          <w:rFonts w:ascii="Arial" w:hAnsi="Arial" w:cs="Arial"/>
        </w:rPr>
      </w:pPr>
      <w:r w:rsidRPr="002838EC">
        <w:rPr>
          <w:rFonts w:ascii="Arial" w:hAnsi="Arial" w:cs="Arial"/>
        </w:rPr>
        <w:t xml:space="preserve">insert a new definition </w:t>
      </w:r>
      <w:r w:rsidR="005E5F7B">
        <w:rPr>
          <w:rFonts w:ascii="Arial" w:hAnsi="Arial" w:cs="Arial"/>
        </w:rPr>
        <w:t>of</w:t>
      </w:r>
      <w:r w:rsidRPr="002838EC">
        <w:rPr>
          <w:rFonts w:ascii="Arial" w:hAnsi="Arial" w:cs="Arial"/>
        </w:rPr>
        <w:t xml:space="preserve"> temporary housing assistance to support a new tenancy termination provision for housing assistance provided on a temporary basis</w:t>
      </w:r>
      <w:r w:rsidR="00226270">
        <w:rPr>
          <w:rFonts w:ascii="Arial" w:hAnsi="Arial" w:cs="Arial"/>
        </w:rPr>
        <w:t xml:space="preserve">; and </w:t>
      </w:r>
    </w:p>
    <w:p w14:paraId="4DC33434" w14:textId="6F472040" w:rsidR="00DA6700" w:rsidRPr="005E5F7B" w:rsidRDefault="00226270" w:rsidP="005E5F7B">
      <w:pPr>
        <w:pStyle w:val="Recommendation2"/>
        <w:numPr>
          <w:ilvl w:val="0"/>
          <w:numId w:val="17"/>
        </w:numPr>
        <w:tabs>
          <w:tab w:val="clear" w:pos="851"/>
          <w:tab w:val="left" w:pos="1276"/>
        </w:tabs>
        <w:rPr>
          <w:rFonts w:ascii="Arial" w:hAnsi="Arial" w:cs="Arial"/>
        </w:rPr>
      </w:pPr>
      <w:r w:rsidRPr="005E5F7B">
        <w:rPr>
          <w:rFonts w:ascii="Arial" w:hAnsi="Arial" w:cs="Arial"/>
        </w:rPr>
        <w:t xml:space="preserve">alter the </w:t>
      </w:r>
      <w:r w:rsidR="00992DCA" w:rsidRPr="005E5F7B">
        <w:rPr>
          <w:rFonts w:ascii="Arial" w:hAnsi="Arial" w:cs="Arial"/>
        </w:rPr>
        <w:t xml:space="preserve">Housing </w:t>
      </w:r>
      <w:r w:rsidRPr="005E5F7B">
        <w:rPr>
          <w:rFonts w:ascii="Arial" w:hAnsi="Arial" w:cs="Arial"/>
        </w:rPr>
        <w:t>Commissioner</w:t>
      </w:r>
      <w:r w:rsidR="00992DCA" w:rsidRPr="005E5F7B">
        <w:rPr>
          <w:rFonts w:ascii="Arial" w:hAnsi="Arial" w:cs="Arial"/>
        </w:rPr>
        <w:t>’s</w:t>
      </w:r>
      <w:r w:rsidRPr="005E5F7B">
        <w:rPr>
          <w:rFonts w:ascii="Arial" w:hAnsi="Arial" w:cs="Arial"/>
        </w:rPr>
        <w:t xml:space="preserve"> current obligation under the HAA to always charge market rent for a property to instead allow the </w:t>
      </w:r>
      <w:r w:rsidR="005E5F7B">
        <w:rPr>
          <w:rFonts w:ascii="Arial" w:hAnsi="Arial" w:cs="Arial"/>
        </w:rPr>
        <w:t>H</w:t>
      </w:r>
      <w:r w:rsidRPr="005E5F7B">
        <w:rPr>
          <w:rFonts w:ascii="Arial" w:hAnsi="Arial" w:cs="Arial"/>
        </w:rPr>
        <w:t xml:space="preserve">ousing </w:t>
      </w:r>
      <w:r w:rsidR="005E5F7B">
        <w:rPr>
          <w:rFonts w:ascii="Arial" w:hAnsi="Arial" w:cs="Arial"/>
        </w:rPr>
        <w:t>C</w:t>
      </w:r>
      <w:r w:rsidRPr="005E5F7B">
        <w:rPr>
          <w:rFonts w:ascii="Arial" w:hAnsi="Arial" w:cs="Arial"/>
        </w:rPr>
        <w:t xml:space="preserve">ommissioner to decide to increase rent by an amount up to the prescribed amount for rent increases (as determined by the RTA and RTR) in circumstances where charging the market rent would result in a rent increase that is above the prescribed amount.  </w:t>
      </w:r>
      <w:r w:rsidR="00327F3B" w:rsidRPr="00226270">
        <w:rPr>
          <w:rFonts w:ascii="Arial" w:hAnsi="Arial" w:cs="Arial"/>
        </w:rPr>
        <w:t xml:space="preserve"> </w:t>
      </w:r>
    </w:p>
    <w:p w14:paraId="33592485" w14:textId="77777777" w:rsidR="0081132B" w:rsidRPr="00D65F0F" w:rsidRDefault="0081132B" w:rsidP="0081132B">
      <w:pPr>
        <w:pStyle w:val="Recommendation2"/>
        <w:numPr>
          <w:ilvl w:val="0"/>
          <w:numId w:val="0"/>
        </w:numPr>
        <w:tabs>
          <w:tab w:val="clear" w:pos="851"/>
          <w:tab w:val="left" w:pos="1276"/>
        </w:tabs>
        <w:ind w:left="720"/>
        <w:rPr>
          <w:rFonts w:ascii="Arial" w:hAnsi="Arial" w:cs="Arial"/>
          <w:highlight w:val="yellow"/>
        </w:rPr>
      </w:pPr>
    </w:p>
    <w:p w14:paraId="5D5C6C0D" w14:textId="6D5714C2" w:rsidR="00E65AA5" w:rsidRPr="00264F34" w:rsidRDefault="00AC59DF" w:rsidP="00414921">
      <w:pPr>
        <w:rPr>
          <w:rFonts w:ascii="Arial" w:hAnsi="Arial" w:cs="Arial"/>
          <w:b/>
          <w:sz w:val="24"/>
          <w:szCs w:val="24"/>
        </w:rPr>
      </w:pPr>
      <w:r w:rsidRPr="00264F34">
        <w:rPr>
          <w:rFonts w:ascii="Arial" w:hAnsi="Arial" w:cs="Arial"/>
          <w:b/>
          <w:sz w:val="24"/>
          <w:szCs w:val="24"/>
        </w:rPr>
        <w:t>CONSULTATION ON THE PROPOSED APPROACH</w:t>
      </w:r>
    </w:p>
    <w:p w14:paraId="26D1B970" w14:textId="70CD80A3" w:rsidR="00D65F0F" w:rsidRPr="004E0C69" w:rsidRDefault="004E0C69" w:rsidP="00D65F0F">
      <w:pPr>
        <w:tabs>
          <w:tab w:val="left" w:pos="425"/>
        </w:tabs>
        <w:spacing w:before="240"/>
        <w:rPr>
          <w:rFonts w:ascii="Arial" w:hAnsi="Arial" w:cs="Arial"/>
          <w:sz w:val="24"/>
          <w:szCs w:val="24"/>
        </w:rPr>
      </w:pPr>
      <w:r>
        <w:rPr>
          <w:rFonts w:ascii="Arial" w:hAnsi="Arial" w:cs="Arial"/>
          <w:sz w:val="24"/>
          <w:szCs w:val="24"/>
        </w:rPr>
        <w:t>The ACT Government</w:t>
      </w:r>
      <w:r w:rsidR="00D65F0F" w:rsidRPr="004E0C69">
        <w:rPr>
          <w:rFonts w:ascii="Arial" w:hAnsi="Arial" w:cs="Arial"/>
          <w:sz w:val="24"/>
          <w:szCs w:val="24"/>
        </w:rPr>
        <w:t xml:space="preserve"> conducted initial </w:t>
      </w:r>
      <w:r>
        <w:rPr>
          <w:rFonts w:ascii="Arial" w:hAnsi="Arial" w:cs="Arial"/>
          <w:sz w:val="24"/>
          <w:szCs w:val="24"/>
        </w:rPr>
        <w:t xml:space="preserve">targeted </w:t>
      </w:r>
      <w:r w:rsidR="00D65F0F" w:rsidRPr="004E0C69">
        <w:rPr>
          <w:rFonts w:ascii="Arial" w:hAnsi="Arial" w:cs="Arial"/>
          <w:sz w:val="24"/>
          <w:szCs w:val="24"/>
        </w:rPr>
        <w:t xml:space="preserve">consultation with key residential tenancy stakeholders in March 2021. Early consultation meetings were conducted with the Real Estate Institute of the ACT, Legal Aid ACT, Canberra Community Law, ACT Shelter, Better Renting, Community Housing Canberra, and YWCA Canberra. </w:t>
      </w:r>
    </w:p>
    <w:p w14:paraId="1CEF0087" w14:textId="334071FA" w:rsidR="004E0C69" w:rsidRDefault="00D65F0F" w:rsidP="00D65F0F">
      <w:pPr>
        <w:tabs>
          <w:tab w:val="left" w:pos="425"/>
        </w:tabs>
        <w:spacing w:before="240"/>
        <w:rPr>
          <w:rFonts w:ascii="Arial" w:hAnsi="Arial" w:cs="Arial"/>
          <w:sz w:val="24"/>
          <w:szCs w:val="24"/>
        </w:rPr>
      </w:pPr>
      <w:r w:rsidRPr="004E0C69">
        <w:rPr>
          <w:rFonts w:ascii="Arial" w:hAnsi="Arial" w:cs="Arial"/>
          <w:sz w:val="24"/>
          <w:szCs w:val="24"/>
        </w:rPr>
        <w:t>These early meetings were followed by</w:t>
      </w:r>
      <w:r w:rsidR="004E0C69">
        <w:rPr>
          <w:rFonts w:ascii="Arial" w:hAnsi="Arial" w:cs="Arial"/>
          <w:sz w:val="24"/>
          <w:szCs w:val="24"/>
        </w:rPr>
        <w:t xml:space="preserve"> a</w:t>
      </w:r>
      <w:r w:rsidRPr="004E0C69">
        <w:rPr>
          <w:rFonts w:ascii="Arial" w:hAnsi="Arial" w:cs="Arial"/>
          <w:sz w:val="24"/>
          <w:szCs w:val="24"/>
        </w:rPr>
        <w:t xml:space="preserve"> public consultation </w:t>
      </w:r>
      <w:r w:rsidR="004E0C69">
        <w:rPr>
          <w:rFonts w:ascii="Arial" w:hAnsi="Arial" w:cs="Arial"/>
          <w:sz w:val="24"/>
          <w:szCs w:val="24"/>
        </w:rPr>
        <w:t xml:space="preserve">process in the form of a public consultation paper and a short survey </w:t>
      </w:r>
      <w:r w:rsidRPr="004E0C69">
        <w:rPr>
          <w:rFonts w:ascii="Arial" w:hAnsi="Arial" w:cs="Arial"/>
          <w:sz w:val="24"/>
          <w:szCs w:val="24"/>
        </w:rPr>
        <w:t xml:space="preserve">via the Your Say website from 6 August to 15 October 2021. </w:t>
      </w:r>
      <w:r w:rsidR="004E0C69">
        <w:rPr>
          <w:rFonts w:ascii="Arial" w:hAnsi="Arial" w:cs="Arial"/>
          <w:sz w:val="24"/>
          <w:szCs w:val="24"/>
        </w:rPr>
        <w:t xml:space="preserve">The Government </w:t>
      </w:r>
      <w:r w:rsidRPr="004E0C69">
        <w:rPr>
          <w:rFonts w:ascii="Arial" w:hAnsi="Arial" w:cs="Arial"/>
          <w:sz w:val="24"/>
          <w:szCs w:val="24"/>
        </w:rPr>
        <w:t xml:space="preserve">received 49 submissions and 256 survey responses. </w:t>
      </w:r>
      <w:r w:rsidR="004E0C69">
        <w:rPr>
          <w:rFonts w:ascii="Arial" w:hAnsi="Arial" w:cs="Arial"/>
          <w:sz w:val="24"/>
          <w:szCs w:val="24"/>
        </w:rPr>
        <w:t xml:space="preserve">A listening report about the feedback received from the consultation was also release on the Your Say website: </w:t>
      </w:r>
      <w:hyperlink r:id="rId19" w:history="1">
        <w:r w:rsidR="004E0C69" w:rsidRPr="00B530C9">
          <w:rPr>
            <w:rStyle w:val="Hyperlink"/>
            <w:rFonts w:ascii="Arial" w:hAnsi="Arial" w:cs="Arial"/>
            <w:sz w:val="24"/>
            <w:szCs w:val="24"/>
          </w:rPr>
          <w:t>https://yoursayconversations.act.gov.au/expanding-rights-renters</w:t>
        </w:r>
      </w:hyperlink>
      <w:r w:rsidR="004E0C69">
        <w:rPr>
          <w:rFonts w:ascii="Arial" w:hAnsi="Arial" w:cs="Arial"/>
          <w:sz w:val="24"/>
          <w:szCs w:val="24"/>
        </w:rPr>
        <w:t xml:space="preserve"> </w:t>
      </w:r>
    </w:p>
    <w:p w14:paraId="43D81311" w14:textId="39E0646A" w:rsidR="004E0C69" w:rsidRDefault="00226270" w:rsidP="00226270">
      <w:pPr>
        <w:tabs>
          <w:tab w:val="left" w:pos="425"/>
        </w:tabs>
        <w:spacing w:before="240"/>
        <w:rPr>
          <w:rFonts w:ascii="Arial" w:hAnsi="Arial" w:cs="Arial"/>
          <w:sz w:val="24"/>
          <w:szCs w:val="24"/>
        </w:rPr>
      </w:pPr>
      <w:r>
        <w:rPr>
          <w:rFonts w:ascii="Arial" w:hAnsi="Arial" w:cs="Arial"/>
          <w:sz w:val="24"/>
          <w:szCs w:val="24"/>
        </w:rPr>
        <w:t xml:space="preserve">A second round of community consultation was then undertaken on a </w:t>
      </w:r>
      <w:r w:rsidR="004E0C69">
        <w:rPr>
          <w:rFonts w:ascii="Arial" w:hAnsi="Arial" w:cs="Arial"/>
          <w:sz w:val="24"/>
          <w:szCs w:val="24"/>
        </w:rPr>
        <w:t xml:space="preserve">Public Exposure Draft </w:t>
      </w:r>
      <w:r>
        <w:rPr>
          <w:rFonts w:ascii="Arial" w:hAnsi="Arial" w:cs="Arial"/>
          <w:sz w:val="24"/>
          <w:szCs w:val="24"/>
        </w:rPr>
        <w:t xml:space="preserve">of the </w:t>
      </w:r>
      <w:r w:rsidR="004E0C69">
        <w:rPr>
          <w:rFonts w:ascii="Arial" w:hAnsi="Arial" w:cs="Arial"/>
          <w:sz w:val="24"/>
          <w:szCs w:val="24"/>
        </w:rPr>
        <w:t>Bill</w:t>
      </w:r>
      <w:r w:rsidR="005E5F7B">
        <w:rPr>
          <w:rFonts w:ascii="Arial" w:hAnsi="Arial" w:cs="Arial"/>
          <w:sz w:val="24"/>
          <w:szCs w:val="24"/>
        </w:rPr>
        <w:t xml:space="preserve"> </w:t>
      </w:r>
      <w:r>
        <w:rPr>
          <w:rFonts w:ascii="Arial" w:hAnsi="Arial" w:cs="Arial"/>
          <w:sz w:val="24"/>
          <w:szCs w:val="24"/>
        </w:rPr>
        <w:t xml:space="preserve">(the </w:t>
      </w:r>
      <w:r w:rsidRPr="005E5F7B">
        <w:rPr>
          <w:rFonts w:ascii="Arial" w:hAnsi="Arial" w:cs="Arial"/>
          <w:b/>
          <w:bCs/>
          <w:sz w:val="24"/>
          <w:szCs w:val="24"/>
        </w:rPr>
        <w:t>PED Bill</w:t>
      </w:r>
      <w:r>
        <w:rPr>
          <w:rFonts w:ascii="Arial" w:hAnsi="Arial" w:cs="Arial"/>
          <w:sz w:val="24"/>
          <w:szCs w:val="24"/>
        </w:rPr>
        <w:t>)</w:t>
      </w:r>
      <w:r w:rsidR="004E0C69">
        <w:rPr>
          <w:rFonts w:ascii="Arial" w:hAnsi="Arial" w:cs="Arial"/>
          <w:sz w:val="24"/>
          <w:szCs w:val="24"/>
        </w:rPr>
        <w:t xml:space="preserve">. The purpose of </w:t>
      </w:r>
      <w:r w:rsidR="00DA6700">
        <w:rPr>
          <w:rFonts w:ascii="Arial" w:hAnsi="Arial" w:cs="Arial"/>
          <w:sz w:val="24"/>
          <w:szCs w:val="24"/>
        </w:rPr>
        <w:t xml:space="preserve">releasing </w:t>
      </w:r>
      <w:r w:rsidR="004E0C69">
        <w:rPr>
          <w:rFonts w:ascii="Arial" w:hAnsi="Arial" w:cs="Arial"/>
          <w:sz w:val="24"/>
          <w:szCs w:val="24"/>
        </w:rPr>
        <w:t>th</w:t>
      </w:r>
      <w:r>
        <w:rPr>
          <w:rFonts w:ascii="Arial" w:hAnsi="Arial" w:cs="Arial"/>
          <w:sz w:val="24"/>
          <w:szCs w:val="24"/>
        </w:rPr>
        <w:t>e</w:t>
      </w:r>
      <w:r w:rsidR="004E0C69">
        <w:rPr>
          <w:rFonts w:ascii="Arial" w:hAnsi="Arial" w:cs="Arial"/>
          <w:sz w:val="24"/>
          <w:szCs w:val="24"/>
        </w:rPr>
        <w:t xml:space="preserve"> Public Exposure Draft </w:t>
      </w:r>
      <w:r>
        <w:rPr>
          <w:rFonts w:ascii="Arial" w:hAnsi="Arial" w:cs="Arial"/>
          <w:sz w:val="24"/>
          <w:szCs w:val="24"/>
        </w:rPr>
        <w:t>was</w:t>
      </w:r>
      <w:r w:rsidR="004E0C69">
        <w:rPr>
          <w:rFonts w:ascii="Arial" w:hAnsi="Arial" w:cs="Arial"/>
          <w:sz w:val="24"/>
          <w:szCs w:val="24"/>
        </w:rPr>
        <w:t xml:space="preserve"> to provide the ACT community with a further opportunity to comment on the specific provisions of the Bill before the Bill </w:t>
      </w:r>
      <w:r>
        <w:rPr>
          <w:rFonts w:ascii="Arial" w:hAnsi="Arial" w:cs="Arial"/>
          <w:sz w:val="24"/>
          <w:szCs w:val="24"/>
        </w:rPr>
        <w:t xml:space="preserve">was </w:t>
      </w:r>
      <w:r w:rsidR="004E0C69">
        <w:rPr>
          <w:rFonts w:ascii="Arial" w:hAnsi="Arial" w:cs="Arial"/>
          <w:sz w:val="24"/>
          <w:szCs w:val="24"/>
        </w:rPr>
        <w:t xml:space="preserve">introduced into the </w:t>
      </w:r>
      <w:r w:rsidR="00DA6700">
        <w:rPr>
          <w:rFonts w:ascii="Arial" w:hAnsi="Arial" w:cs="Arial"/>
          <w:sz w:val="24"/>
          <w:szCs w:val="24"/>
        </w:rPr>
        <w:t xml:space="preserve">Legislative </w:t>
      </w:r>
      <w:r w:rsidR="004E0C69">
        <w:rPr>
          <w:rFonts w:ascii="Arial" w:hAnsi="Arial" w:cs="Arial"/>
          <w:sz w:val="24"/>
          <w:szCs w:val="24"/>
        </w:rPr>
        <w:t xml:space="preserve">Assembly. </w:t>
      </w:r>
      <w:r>
        <w:rPr>
          <w:rFonts w:ascii="Arial" w:hAnsi="Arial" w:cs="Arial"/>
          <w:sz w:val="24"/>
          <w:szCs w:val="24"/>
        </w:rPr>
        <w:t xml:space="preserve">The PED Bill consultation has </w:t>
      </w:r>
      <w:r w:rsidR="004E0C69">
        <w:rPr>
          <w:rFonts w:ascii="Arial" w:hAnsi="Arial" w:cs="Arial"/>
          <w:sz w:val="24"/>
          <w:szCs w:val="24"/>
        </w:rPr>
        <w:t>allow</w:t>
      </w:r>
      <w:r>
        <w:rPr>
          <w:rFonts w:ascii="Arial" w:hAnsi="Arial" w:cs="Arial"/>
          <w:sz w:val="24"/>
          <w:szCs w:val="24"/>
        </w:rPr>
        <w:t xml:space="preserve">ed </w:t>
      </w:r>
      <w:r w:rsidR="004E0C69">
        <w:rPr>
          <w:rFonts w:ascii="Arial" w:hAnsi="Arial" w:cs="Arial"/>
          <w:sz w:val="24"/>
          <w:szCs w:val="24"/>
        </w:rPr>
        <w:t xml:space="preserve">for further refinement of the Bill </w:t>
      </w:r>
      <w:r w:rsidR="00DA6700">
        <w:rPr>
          <w:rFonts w:ascii="Arial" w:hAnsi="Arial" w:cs="Arial"/>
          <w:sz w:val="24"/>
          <w:szCs w:val="24"/>
        </w:rPr>
        <w:t>in response to community feedback</w:t>
      </w:r>
      <w:r w:rsidR="004E0C69">
        <w:rPr>
          <w:rFonts w:ascii="Arial" w:hAnsi="Arial" w:cs="Arial"/>
          <w:sz w:val="24"/>
          <w:szCs w:val="24"/>
        </w:rPr>
        <w:t xml:space="preserve">. </w:t>
      </w:r>
      <w:r>
        <w:rPr>
          <w:rFonts w:ascii="Arial" w:hAnsi="Arial" w:cs="Arial"/>
          <w:sz w:val="24"/>
          <w:szCs w:val="24"/>
        </w:rPr>
        <w:t xml:space="preserve">The PED Bill was available for consultation on the YourSay website </w:t>
      </w:r>
      <w:r w:rsidR="008D195A">
        <w:rPr>
          <w:rFonts w:ascii="Arial" w:hAnsi="Arial" w:cs="Arial"/>
          <w:sz w:val="24"/>
          <w:szCs w:val="24"/>
        </w:rPr>
        <w:t xml:space="preserve">(listed above) </w:t>
      </w:r>
      <w:r>
        <w:rPr>
          <w:rFonts w:ascii="Arial" w:hAnsi="Arial" w:cs="Arial"/>
          <w:sz w:val="24"/>
          <w:szCs w:val="24"/>
        </w:rPr>
        <w:t xml:space="preserve">from 25 July to 26 August 2022. </w:t>
      </w:r>
    </w:p>
    <w:p w14:paraId="433AAE1A" w14:textId="57D8B68D" w:rsidR="00992DCA" w:rsidRPr="004E0C69" w:rsidRDefault="00992DCA" w:rsidP="00226270">
      <w:pPr>
        <w:tabs>
          <w:tab w:val="left" w:pos="425"/>
        </w:tabs>
        <w:spacing w:before="240"/>
        <w:rPr>
          <w:rFonts w:ascii="Arial" w:hAnsi="Arial" w:cs="Arial"/>
          <w:sz w:val="24"/>
          <w:szCs w:val="24"/>
        </w:rPr>
      </w:pPr>
      <w:r>
        <w:rPr>
          <w:rFonts w:ascii="Arial" w:hAnsi="Arial" w:cs="Arial"/>
          <w:sz w:val="24"/>
          <w:szCs w:val="24"/>
        </w:rPr>
        <w:lastRenderedPageBreak/>
        <w:t>Following the closure of the PED Bill consultation, additional targeted consultation was undertaken with key residential tenancy stakeholders to clarify feedback received during the public consultation process</w:t>
      </w:r>
      <w:r w:rsidR="00480D5F">
        <w:rPr>
          <w:rFonts w:ascii="Arial" w:hAnsi="Arial" w:cs="Arial"/>
          <w:sz w:val="24"/>
          <w:szCs w:val="24"/>
        </w:rPr>
        <w:t xml:space="preserve"> and to support the further refinement of the Bill</w:t>
      </w:r>
      <w:r>
        <w:rPr>
          <w:rFonts w:ascii="Arial" w:hAnsi="Arial" w:cs="Arial"/>
          <w:sz w:val="24"/>
          <w:szCs w:val="24"/>
        </w:rPr>
        <w:t xml:space="preserve">. </w:t>
      </w:r>
    </w:p>
    <w:p w14:paraId="1A2BA5E1" w14:textId="6E3769AB" w:rsidR="00790FE4" w:rsidRPr="00264F34" w:rsidRDefault="00503AAB" w:rsidP="008C225D">
      <w:pPr>
        <w:pStyle w:val="Heading2"/>
        <w:rPr>
          <w:rFonts w:cs="Arial"/>
          <w:szCs w:val="24"/>
        </w:rPr>
      </w:pPr>
      <w:r w:rsidRPr="00264F34">
        <w:rPr>
          <w:rFonts w:cs="Arial"/>
          <w:szCs w:val="24"/>
        </w:rPr>
        <w:t xml:space="preserve">CONSISTENCY WITH </w:t>
      </w:r>
      <w:r w:rsidR="00790FE4" w:rsidRPr="00264F34">
        <w:rPr>
          <w:rFonts w:cs="Arial"/>
          <w:szCs w:val="24"/>
        </w:rPr>
        <w:t>HUMAN RIGHTS</w:t>
      </w:r>
    </w:p>
    <w:p w14:paraId="40528FD9" w14:textId="77777777" w:rsidR="00687ABF" w:rsidRPr="00264F34" w:rsidRDefault="00687ABF" w:rsidP="00687ABF">
      <w:pPr>
        <w:jc w:val="both"/>
        <w:rPr>
          <w:rFonts w:ascii="Arial" w:hAnsi="Arial" w:cs="Arial"/>
          <w:b/>
          <w:bCs/>
          <w:iCs/>
          <w:sz w:val="24"/>
          <w:szCs w:val="24"/>
        </w:rPr>
      </w:pPr>
      <w:r w:rsidRPr="00264F34">
        <w:rPr>
          <w:rFonts w:ascii="Arial" w:hAnsi="Arial" w:cs="Arial"/>
          <w:b/>
          <w:bCs/>
          <w:iCs/>
          <w:sz w:val="24"/>
          <w:szCs w:val="24"/>
        </w:rPr>
        <w:t>Rights engaged</w:t>
      </w:r>
    </w:p>
    <w:p w14:paraId="3A655D96" w14:textId="18C22E5F" w:rsidR="00687ABF" w:rsidRPr="00264F34" w:rsidRDefault="00687ABF" w:rsidP="00DA6700">
      <w:pPr>
        <w:rPr>
          <w:rFonts w:ascii="Arial" w:hAnsi="Arial" w:cs="Arial"/>
          <w:iCs/>
          <w:sz w:val="24"/>
          <w:szCs w:val="24"/>
        </w:rPr>
      </w:pPr>
      <w:r w:rsidRPr="00264F34">
        <w:rPr>
          <w:rFonts w:ascii="Arial" w:hAnsi="Arial" w:cs="Arial"/>
          <w:iCs/>
          <w:sz w:val="24"/>
          <w:szCs w:val="24"/>
        </w:rPr>
        <w:t>The Bill engages the following rights under the HRA:</w:t>
      </w:r>
    </w:p>
    <w:p w14:paraId="5DC41098" w14:textId="23963B99" w:rsidR="00687ABF" w:rsidRPr="00264F34" w:rsidRDefault="00687ABF" w:rsidP="00DA6700">
      <w:pPr>
        <w:pStyle w:val="ListParagraph"/>
        <w:numPr>
          <w:ilvl w:val="0"/>
          <w:numId w:val="10"/>
        </w:numPr>
        <w:rPr>
          <w:rFonts w:ascii="Arial" w:hAnsi="Arial" w:cs="Arial"/>
          <w:iCs/>
          <w:sz w:val="24"/>
          <w:szCs w:val="24"/>
        </w:rPr>
      </w:pPr>
      <w:r w:rsidRPr="00264F34">
        <w:rPr>
          <w:rFonts w:ascii="Arial" w:hAnsi="Arial" w:cs="Arial"/>
          <w:iCs/>
          <w:sz w:val="24"/>
          <w:szCs w:val="24"/>
        </w:rPr>
        <w:t>Right to privacy and reputation (Section 12</w:t>
      </w:r>
      <w:r w:rsidR="00FF7AB6">
        <w:rPr>
          <w:rFonts w:ascii="Arial" w:hAnsi="Arial" w:cs="Arial"/>
          <w:iCs/>
          <w:sz w:val="24"/>
          <w:szCs w:val="24"/>
        </w:rPr>
        <w:t>, Section 47</w:t>
      </w:r>
      <w:r w:rsidRPr="00264F34">
        <w:rPr>
          <w:rFonts w:ascii="Arial" w:hAnsi="Arial" w:cs="Arial"/>
          <w:iCs/>
          <w:sz w:val="24"/>
          <w:szCs w:val="24"/>
        </w:rPr>
        <w:t>)</w:t>
      </w:r>
    </w:p>
    <w:p w14:paraId="45BD6D89" w14:textId="77777777" w:rsidR="00687ABF" w:rsidRPr="00264F34" w:rsidRDefault="00687ABF" w:rsidP="00DA6700">
      <w:pPr>
        <w:pStyle w:val="ListParagraph"/>
        <w:numPr>
          <w:ilvl w:val="0"/>
          <w:numId w:val="10"/>
        </w:numPr>
        <w:rPr>
          <w:rFonts w:ascii="Arial" w:hAnsi="Arial" w:cs="Arial"/>
          <w:iCs/>
          <w:sz w:val="24"/>
          <w:szCs w:val="24"/>
        </w:rPr>
      </w:pPr>
      <w:r w:rsidRPr="00264F34">
        <w:rPr>
          <w:rFonts w:ascii="Arial" w:hAnsi="Arial" w:cs="Arial"/>
          <w:iCs/>
          <w:sz w:val="24"/>
          <w:szCs w:val="24"/>
        </w:rPr>
        <w:t>Right to recognition and equality before the law (Section 8)</w:t>
      </w:r>
    </w:p>
    <w:p w14:paraId="0F200434" w14:textId="77777777" w:rsidR="00687ABF" w:rsidRPr="00264F34" w:rsidRDefault="00687ABF" w:rsidP="00DA6700">
      <w:pPr>
        <w:pStyle w:val="ListParagraph"/>
        <w:numPr>
          <w:ilvl w:val="0"/>
          <w:numId w:val="10"/>
        </w:numPr>
        <w:rPr>
          <w:rFonts w:ascii="Arial" w:hAnsi="Arial" w:cs="Arial"/>
          <w:iCs/>
          <w:sz w:val="24"/>
          <w:szCs w:val="24"/>
        </w:rPr>
      </w:pPr>
      <w:r w:rsidRPr="00264F34">
        <w:rPr>
          <w:rFonts w:ascii="Arial" w:hAnsi="Arial" w:cs="Arial"/>
          <w:iCs/>
          <w:sz w:val="24"/>
          <w:szCs w:val="24"/>
        </w:rPr>
        <w:t>Right to a fair hearing and procedural fairness (Section 21 (1))</w:t>
      </w:r>
    </w:p>
    <w:p w14:paraId="7B8E6F5C" w14:textId="01424A4B" w:rsidR="00687ABF" w:rsidRPr="00480D5F" w:rsidRDefault="00687ABF" w:rsidP="00480D5F">
      <w:pPr>
        <w:pStyle w:val="ListParagraph"/>
        <w:numPr>
          <w:ilvl w:val="0"/>
          <w:numId w:val="10"/>
        </w:numPr>
        <w:rPr>
          <w:rFonts w:ascii="Arial" w:hAnsi="Arial" w:cs="Arial"/>
          <w:iCs/>
          <w:sz w:val="24"/>
          <w:szCs w:val="24"/>
        </w:rPr>
      </w:pPr>
      <w:r w:rsidRPr="00264F34">
        <w:rPr>
          <w:rFonts w:ascii="Arial" w:hAnsi="Arial" w:cs="Arial"/>
          <w:iCs/>
          <w:sz w:val="24"/>
          <w:szCs w:val="24"/>
        </w:rPr>
        <w:t>Right to be innocent until proven guilty (Section 22 (1))</w:t>
      </w:r>
      <w:r w:rsidR="006D2698">
        <w:rPr>
          <w:rFonts w:ascii="Arial" w:hAnsi="Arial" w:cs="Arial"/>
          <w:iCs/>
          <w:sz w:val="24"/>
          <w:szCs w:val="24"/>
        </w:rPr>
        <w:br/>
      </w:r>
    </w:p>
    <w:p w14:paraId="22531A9A" w14:textId="77777777" w:rsidR="00687ABF" w:rsidRPr="00264F34" w:rsidRDefault="00687ABF" w:rsidP="00DA6700">
      <w:pPr>
        <w:rPr>
          <w:rFonts w:ascii="Arial" w:hAnsi="Arial" w:cs="Arial"/>
          <w:b/>
          <w:bCs/>
          <w:i/>
          <w:sz w:val="24"/>
          <w:szCs w:val="24"/>
        </w:rPr>
      </w:pPr>
      <w:r w:rsidRPr="00264F34">
        <w:rPr>
          <w:rFonts w:ascii="Arial" w:hAnsi="Arial" w:cs="Arial"/>
          <w:b/>
          <w:bCs/>
          <w:i/>
          <w:sz w:val="24"/>
          <w:szCs w:val="24"/>
        </w:rPr>
        <w:t>Rights Promoted</w:t>
      </w:r>
    </w:p>
    <w:p w14:paraId="69305B49" w14:textId="6670D8CC" w:rsidR="00687ABF" w:rsidRPr="00264F34" w:rsidRDefault="00687ABF" w:rsidP="00DA6700">
      <w:pPr>
        <w:rPr>
          <w:rFonts w:ascii="Arial" w:hAnsi="Arial" w:cs="Arial"/>
          <w:iCs/>
          <w:sz w:val="24"/>
          <w:szCs w:val="24"/>
        </w:rPr>
      </w:pPr>
      <w:r w:rsidRPr="00264F34">
        <w:rPr>
          <w:rFonts w:ascii="Arial" w:hAnsi="Arial" w:cs="Arial"/>
          <w:iCs/>
          <w:sz w:val="24"/>
          <w:szCs w:val="24"/>
        </w:rPr>
        <w:t xml:space="preserve">This Bill will promote the right to privacy and the right to </w:t>
      </w:r>
      <w:r w:rsidR="005E5F7B">
        <w:rPr>
          <w:rFonts w:ascii="Arial" w:hAnsi="Arial" w:cs="Arial"/>
          <w:iCs/>
          <w:sz w:val="24"/>
          <w:szCs w:val="24"/>
        </w:rPr>
        <w:t xml:space="preserve">a </w:t>
      </w:r>
      <w:r w:rsidRPr="00264F34">
        <w:rPr>
          <w:rFonts w:ascii="Arial" w:hAnsi="Arial" w:cs="Arial"/>
          <w:iCs/>
          <w:sz w:val="24"/>
          <w:szCs w:val="24"/>
        </w:rPr>
        <w:t xml:space="preserve">fair hearing and procedural fairness. </w:t>
      </w:r>
    </w:p>
    <w:p w14:paraId="7F2AFB73" w14:textId="77777777" w:rsidR="00687ABF" w:rsidRPr="00264F34" w:rsidRDefault="00687ABF" w:rsidP="00DA6700">
      <w:pPr>
        <w:rPr>
          <w:rFonts w:ascii="Arial" w:hAnsi="Arial" w:cs="Arial"/>
          <w:b/>
          <w:bCs/>
          <w:i/>
          <w:sz w:val="24"/>
          <w:szCs w:val="24"/>
        </w:rPr>
      </w:pPr>
      <w:r w:rsidRPr="00264F34">
        <w:rPr>
          <w:rFonts w:ascii="Arial" w:hAnsi="Arial" w:cs="Arial"/>
          <w:b/>
          <w:bCs/>
          <w:i/>
          <w:sz w:val="24"/>
          <w:szCs w:val="24"/>
        </w:rPr>
        <w:t>Right to privacy</w:t>
      </w:r>
    </w:p>
    <w:p w14:paraId="4AED825A" w14:textId="6EC15C2F" w:rsidR="00247DC5" w:rsidRDefault="00687ABF" w:rsidP="00DA6700">
      <w:pPr>
        <w:rPr>
          <w:rFonts w:ascii="Arial" w:hAnsi="Arial" w:cs="Arial"/>
          <w:iCs/>
          <w:sz w:val="24"/>
          <w:szCs w:val="24"/>
        </w:rPr>
      </w:pPr>
      <w:r w:rsidRPr="00264F34">
        <w:rPr>
          <w:rFonts w:ascii="Arial" w:hAnsi="Arial" w:cs="Arial"/>
          <w:iCs/>
          <w:sz w:val="24"/>
          <w:szCs w:val="24"/>
        </w:rPr>
        <w:t>The right to privacy includes the right not to have one’s home interfered with unlawfully or arbitrarily. Th</w:t>
      </w:r>
      <w:r w:rsidR="005E5F7B">
        <w:rPr>
          <w:rFonts w:ascii="Arial" w:hAnsi="Arial" w:cs="Arial"/>
          <w:iCs/>
          <w:sz w:val="24"/>
          <w:szCs w:val="24"/>
        </w:rPr>
        <w:t>e</w:t>
      </w:r>
      <w:r w:rsidRPr="00264F34">
        <w:rPr>
          <w:rFonts w:ascii="Arial" w:hAnsi="Arial" w:cs="Arial"/>
          <w:iCs/>
          <w:sz w:val="24"/>
          <w:szCs w:val="24"/>
        </w:rPr>
        <w:t xml:space="preserve"> Bill amends the </w:t>
      </w:r>
      <w:r w:rsidR="00D65F0F" w:rsidRPr="00D65F0F">
        <w:rPr>
          <w:rFonts w:ascii="Arial" w:hAnsi="Arial" w:cs="Arial"/>
          <w:iCs/>
          <w:sz w:val="24"/>
          <w:szCs w:val="24"/>
        </w:rPr>
        <w:t>RTA</w:t>
      </w:r>
      <w:r w:rsidRPr="00264F34">
        <w:rPr>
          <w:rFonts w:ascii="Arial" w:hAnsi="Arial" w:cs="Arial"/>
          <w:iCs/>
          <w:sz w:val="24"/>
          <w:szCs w:val="24"/>
        </w:rPr>
        <w:t xml:space="preserve"> to prevent the termination of tenancies without cause. </w:t>
      </w:r>
      <w:r w:rsidR="00247DC5" w:rsidRPr="00264F34">
        <w:rPr>
          <w:rFonts w:ascii="Arial" w:hAnsi="Arial" w:cs="Arial"/>
          <w:iCs/>
          <w:sz w:val="24"/>
          <w:szCs w:val="24"/>
        </w:rPr>
        <w:t>Removing the ‘</w:t>
      </w:r>
      <w:r w:rsidR="00465521">
        <w:rPr>
          <w:rFonts w:ascii="Arial" w:hAnsi="Arial" w:cs="Arial"/>
          <w:iCs/>
          <w:sz w:val="24"/>
          <w:szCs w:val="24"/>
        </w:rPr>
        <w:t>without</w:t>
      </w:r>
      <w:r w:rsidR="00247DC5" w:rsidRPr="00264F34">
        <w:rPr>
          <w:rFonts w:ascii="Arial" w:hAnsi="Arial" w:cs="Arial"/>
          <w:iCs/>
          <w:sz w:val="24"/>
          <w:szCs w:val="24"/>
        </w:rPr>
        <w:t xml:space="preserve"> cause’ termination </w:t>
      </w:r>
      <w:r w:rsidR="004D78EF">
        <w:rPr>
          <w:rFonts w:ascii="Arial" w:hAnsi="Arial" w:cs="Arial"/>
          <w:iCs/>
          <w:sz w:val="24"/>
          <w:szCs w:val="24"/>
        </w:rPr>
        <w:t xml:space="preserve">provision </w:t>
      </w:r>
      <w:r w:rsidR="00247DC5" w:rsidRPr="00264F34">
        <w:rPr>
          <w:rFonts w:ascii="Arial" w:hAnsi="Arial" w:cs="Arial"/>
          <w:iCs/>
          <w:sz w:val="24"/>
          <w:szCs w:val="24"/>
        </w:rPr>
        <w:t>significantly strengthens the right to privacy by making tenancy terminations less arbitrary – it ensures that a tenancy may only be terminated for an identified reason, that is, in accordance with a prescribed ‘with cause’ ground under the RTA.</w:t>
      </w:r>
    </w:p>
    <w:p w14:paraId="1A32AFBC" w14:textId="20E1BE44" w:rsidR="009F7992" w:rsidRDefault="00687ABF" w:rsidP="00DA6700">
      <w:pPr>
        <w:rPr>
          <w:rFonts w:ascii="Arial" w:hAnsi="Arial" w:cs="Arial"/>
          <w:iCs/>
          <w:sz w:val="24"/>
          <w:szCs w:val="24"/>
        </w:rPr>
      </w:pPr>
      <w:r w:rsidRPr="00264F34">
        <w:rPr>
          <w:rFonts w:ascii="Arial" w:hAnsi="Arial" w:cs="Arial"/>
          <w:iCs/>
          <w:sz w:val="24"/>
          <w:szCs w:val="24"/>
        </w:rPr>
        <w:t>The Bill also engages and promotes the right not to have one’s home interfered with unlawfully or arbitrarily by providing additional protections for tenants who believe they have received a retaliatory notice to vacate</w:t>
      </w:r>
      <w:r w:rsidR="003B727B">
        <w:rPr>
          <w:rFonts w:ascii="Arial" w:hAnsi="Arial" w:cs="Arial"/>
          <w:iCs/>
          <w:sz w:val="24"/>
          <w:szCs w:val="24"/>
        </w:rPr>
        <w:t xml:space="preserve"> (</w:t>
      </w:r>
      <w:r w:rsidR="003B727B" w:rsidRPr="004D78EF">
        <w:rPr>
          <w:rFonts w:ascii="Arial" w:hAnsi="Arial" w:cs="Arial"/>
          <w:b/>
          <w:bCs/>
          <w:iCs/>
          <w:sz w:val="24"/>
          <w:szCs w:val="24"/>
        </w:rPr>
        <w:t>NTV</w:t>
      </w:r>
      <w:r w:rsidR="003B727B">
        <w:rPr>
          <w:rFonts w:ascii="Arial" w:hAnsi="Arial" w:cs="Arial"/>
          <w:iCs/>
          <w:sz w:val="24"/>
          <w:szCs w:val="24"/>
        </w:rPr>
        <w:t>)</w:t>
      </w:r>
      <w:r w:rsidRPr="00264F34">
        <w:rPr>
          <w:rFonts w:ascii="Arial" w:hAnsi="Arial" w:cs="Arial"/>
          <w:iCs/>
          <w:sz w:val="24"/>
          <w:szCs w:val="24"/>
        </w:rPr>
        <w:t xml:space="preserve">. This has been done by allowing the tenant to challenge the proposed tenancy termination at the point of receiving the </w:t>
      </w:r>
      <w:r w:rsidR="003B727B">
        <w:rPr>
          <w:rFonts w:ascii="Arial" w:hAnsi="Arial" w:cs="Arial"/>
          <w:iCs/>
          <w:sz w:val="24"/>
          <w:szCs w:val="24"/>
        </w:rPr>
        <w:t xml:space="preserve">NTV </w:t>
      </w:r>
      <w:r w:rsidRPr="00264F34">
        <w:rPr>
          <w:rFonts w:ascii="Arial" w:hAnsi="Arial" w:cs="Arial"/>
          <w:iCs/>
          <w:sz w:val="24"/>
          <w:szCs w:val="24"/>
        </w:rPr>
        <w:t xml:space="preserve">rather than having to wait until the termination and possession order </w:t>
      </w:r>
      <w:r w:rsidR="009D65D8">
        <w:rPr>
          <w:rFonts w:ascii="Arial" w:hAnsi="Arial" w:cs="Arial"/>
          <w:iCs/>
          <w:sz w:val="24"/>
          <w:szCs w:val="24"/>
        </w:rPr>
        <w:t>(</w:t>
      </w:r>
      <w:r w:rsidR="009D65D8" w:rsidRPr="009D65D8">
        <w:rPr>
          <w:rFonts w:ascii="Arial" w:hAnsi="Arial" w:cs="Arial"/>
          <w:b/>
          <w:bCs/>
          <w:iCs/>
          <w:sz w:val="24"/>
          <w:szCs w:val="24"/>
        </w:rPr>
        <w:t>TPO</w:t>
      </w:r>
      <w:r w:rsidR="009D65D8">
        <w:rPr>
          <w:rFonts w:ascii="Arial" w:hAnsi="Arial" w:cs="Arial"/>
          <w:iCs/>
          <w:sz w:val="24"/>
          <w:szCs w:val="24"/>
        </w:rPr>
        <w:t xml:space="preserve">) </w:t>
      </w:r>
      <w:r w:rsidRPr="00264F34">
        <w:rPr>
          <w:rFonts w:ascii="Arial" w:hAnsi="Arial" w:cs="Arial"/>
          <w:iCs/>
          <w:sz w:val="24"/>
          <w:szCs w:val="24"/>
        </w:rPr>
        <w:t>hearing</w:t>
      </w:r>
      <w:r w:rsidR="005E5F7B">
        <w:rPr>
          <w:rFonts w:ascii="Arial" w:hAnsi="Arial" w:cs="Arial"/>
          <w:iCs/>
          <w:sz w:val="24"/>
          <w:szCs w:val="24"/>
        </w:rPr>
        <w:t xml:space="preserve"> in the </w:t>
      </w:r>
      <w:r w:rsidR="00B44899">
        <w:rPr>
          <w:rFonts w:ascii="Arial" w:hAnsi="Arial" w:cs="Arial"/>
          <w:iCs/>
          <w:sz w:val="24"/>
          <w:szCs w:val="24"/>
        </w:rPr>
        <w:t>ACT Civil and Administrative Tribunal (</w:t>
      </w:r>
      <w:r w:rsidR="00B44899" w:rsidRPr="00465521">
        <w:rPr>
          <w:rFonts w:ascii="Arial" w:hAnsi="Arial" w:cs="Arial"/>
          <w:b/>
          <w:bCs/>
          <w:iCs/>
          <w:sz w:val="24"/>
          <w:szCs w:val="24"/>
        </w:rPr>
        <w:t>ACAT</w:t>
      </w:r>
      <w:r w:rsidR="00B44899">
        <w:rPr>
          <w:rFonts w:ascii="Arial" w:hAnsi="Arial" w:cs="Arial"/>
          <w:iCs/>
          <w:sz w:val="24"/>
          <w:szCs w:val="24"/>
        </w:rPr>
        <w:t>)</w:t>
      </w:r>
      <w:r w:rsidR="00B44899" w:rsidRPr="00264F34">
        <w:rPr>
          <w:rFonts w:ascii="Arial" w:hAnsi="Arial" w:cs="Arial"/>
          <w:iCs/>
          <w:sz w:val="24"/>
          <w:szCs w:val="24"/>
        </w:rPr>
        <w:t xml:space="preserve"> </w:t>
      </w:r>
      <w:r w:rsidRPr="00264F34">
        <w:rPr>
          <w:rFonts w:ascii="Arial" w:hAnsi="Arial" w:cs="Arial"/>
          <w:iCs/>
          <w:sz w:val="24"/>
          <w:szCs w:val="24"/>
        </w:rPr>
        <w:t>to make the argument</w:t>
      </w:r>
      <w:r w:rsidR="009F7992">
        <w:rPr>
          <w:rFonts w:ascii="Arial" w:hAnsi="Arial" w:cs="Arial"/>
          <w:iCs/>
          <w:sz w:val="24"/>
          <w:szCs w:val="24"/>
        </w:rPr>
        <w:t xml:space="preserve"> that</w:t>
      </w:r>
      <w:r w:rsidRPr="00264F34">
        <w:rPr>
          <w:rFonts w:ascii="Arial" w:hAnsi="Arial" w:cs="Arial"/>
          <w:iCs/>
          <w:sz w:val="24"/>
          <w:szCs w:val="24"/>
        </w:rPr>
        <w:t xml:space="preserve"> the eviction is retaliatory (as is currently the case). This change will give both lessors and tenants greater certainty about whether the proposed termination will be considered retaliatory ahead of the proposed termination date. </w:t>
      </w:r>
    </w:p>
    <w:p w14:paraId="4C64F11D" w14:textId="008214C7" w:rsidR="0002422D" w:rsidRPr="00264F34" w:rsidRDefault="00687ABF" w:rsidP="00DA6700">
      <w:pPr>
        <w:rPr>
          <w:rFonts w:ascii="Arial" w:hAnsi="Arial" w:cs="Arial"/>
          <w:iCs/>
          <w:sz w:val="24"/>
          <w:szCs w:val="24"/>
        </w:rPr>
      </w:pPr>
      <w:r w:rsidRPr="00264F34">
        <w:rPr>
          <w:rFonts w:ascii="Arial" w:hAnsi="Arial" w:cs="Arial"/>
          <w:iCs/>
          <w:sz w:val="24"/>
          <w:szCs w:val="24"/>
        </w:rPr>
        <w:t xml:space="preserve">The Bill also institutes an additional ground under which a </w:t>
      </w:r>
      <w:r w:rsidR="004D78EF">
        <w:rPr>
          <w:rFonts w:ascii="Arial" w:hAnsi="Arial" w:cs="Arial"/>
          <w:iCs/>
          <w:sz w:val="24"/>
          <w:szCs w:val="24"/>
        </w:rPr>
        <w:t xml:space="preserve">NTV </w:t>
      </w:r>
      <w:r w:rsidRPr="00264F34">
        <w:rPr>
          <w:rFonts w:ascii="Arial" w:hAnsi="Arial" w:cs="Arial"/>
          <w:iCs/>
          <w:sz w:val="24"/>
          <w:szCs w:val="24"/>
        </w:rPr>
        <w:t xml:space="preserve">may be considered retaliatory – where the tenant publishes information or discloses information that is published about the premises, the residential tenancy agreement, or the lessor. This new ground will provide tenants with protection from retaliatory eviction if they speak to the media or post on social media reasonable or truthful statements about their tenancy. The changes to the retaliatory eviction provision guard against arbitrary interference </w:t>
      </w:r>
      <w:r w:rsidR="0037782C">
        <w:rPr>
          <w:rFonts w:ascii="Arial" w:hAnsi="Arial" w:cs="Arial"/>
          <w:iCs/>
          <w:sz w:val="24"/>
          <w:szCs w:val="24"/>
        </w:rPr>
        <w:t xml:space="preserve">with a person’s home </w:t>
      </w:r>
      <w:r w:rsidRPr="00264F34">
        <w:rPr>
          <w:rFonts w:ascii="Arial" w:hAnsi="Arial" w:cs="Arial"/>
          <w:iCs/>
          <w:sz w:val="24"/>
          <w:szCs w:val="24"/>
        </w:rPr>
        <w:t xml:space="preserve">by ensuring a lessor’s reliance on a termination provision is lawful and genuine. </w:t>
      </w:r>
    </w:p>
    <w:p w14:paraId="1F4CC687" w14:textId="063BD759" w:rsidR="00687ABF" w:rsidRPr="00264F34" w:rsidRDefault="00687ABF" w:rsidP="00DA6700">
      <w:pPr>
        <w:rPr>
          <w:rFonts w:ascii="Arial" w:hAnsi="Arial" w:cs="Arial"/>
          <w:b/>
          <w:bCs/>
          <w:i/>
          <w:sz w:val="24"/>
          <w:szCs w:val="24"/>
        </w:rPr>
      </w:pPr>
      <w:r w:rsidRPr="00264F34">
        <w:rPr>
          <w:rFonts w:ascii="Arial" w:hAnsi="Arial" w:cs="Arial"/>
          <w:b/>
          <w:bCs/>
          <w:i/>
          <w:sz w:val="24"/>
          <w:szCs w:val="24"/>
        </w:rPr>
        <w:lastRenderedPageBreak/>
        <w:t xml:space="preserve">Right to </w:t>
      </w:r>
      <w:r w:rsidR="00B44899">
        <w:rPr>
          <w:rFonts w:ascii="Arial" w:hAnsi="Arial" w:cs="Arial"/>
          <w:b/>
          <w:bCs/>
          <w:i/>
          <w:sz w:val="24"/>
          <w:szCs w:val="24"/>
        </w:rPr>
        <w:t xml:space="preserve">a </w:t>
      </w:r>
      <w:r w:rsidRPr="00264F34">
        <w:rPr>
          <w:rFonts w:ascii="Arial" w:hAnsi="Arial" w:cs="Arial"/>
          <w:b/>
          <w:bCs/>
          <w:i/>
          <w:sz w:val="24"/>
          <w:szCs w:val="24"/>
        </w:rPr>
        <w:t xml:space="preserve">fair trial </w:t>
      </w:r>
    </w:p>
    <w:p w14:paraId="5F68F997" w14:textId="77777777" w:rsidR="00687ABF" w:rsidRPr="00264F34" w:rsidRDefault="00687ABF" w:rsidP="00DA6700">
      <w:pPr>
        <w:rPr>
          <w:rFonts w:ascii="Arial" w:hAnsi="Arial" w:cs="Arial"/>
          <w:iCs/>
          <w:sz w:val="24"/>
          <w:szCs w:val="24"/>
        </w:rPr>
      </w:pPr>
      <w:r w:rsidRPr="00264F34">
        <w:rPr>
          <w:rFonts w:ascii="Arial" w:hAnsi="Arial" w:cs="Arial"/>
          <w:iCs/>
          <w:sz w:val="24"/>
          <w:szCs w:val="24"/>
        </w:rPr>
        <w:t>The right to a fair trial includes the right to a fair hearing and procedural fairness. The Bill engages and promotes these rights by providing procedural safeguards requiring tenancy terminations to satisfy legislative criteria and providing mechanisms for tenants to seek review of decision making in certain circumstances where the lessor purports to terminate the tenancy.</w:t>
      </w:r>
    </w:p>
    <w:p w14:paraId="593BF9CF" w14:textId="3C82A4DD" w:rsidR="00687ABF" w:rsidRDefault="00687ABF" w:rsidP="00DA6700">
      <w:pPr>
        <w:rPr>
          <w:rFonts w:ascii="Arial" w:hAnsi="Arial" w:cs="Arial"/>
          <w:iCs/>
          <w:sz w:val="24"/>
          <w:szCs w:val="24"/>
        </w:rPr>
      </w:pPr>
      <w:r w:rsidRPr="00264F34">
        <w:rPr>
          <w:rFonts w:ascii="Arial" w:hAnsi="Arial" w:cs="Arial"/>
          <w:iCs/>
          <w:sz w:val="24"/>
          <w:szCs w:val="24"/>
        </w:rPr>
        <w:t>Th</w:t>
      </w:r>
      <w:r w:rsidR="00B44899">
        <w:rPr>
          <w:rFonts w:ascii="Arial" w:hAnsi="Arial" w:cs="Arial"/>
          <w:iCs/>
          <w:sz w:val="24"/>
          <w:szCs w:val="24"/>
        </w:rPr>
        <w:t>e</w:t>
      </w:r>
      <w:r w:rsidRPr="00264F34">
        <w:rPr>
          <w:rFonts w:ascii="Arial" w:hAnsi="Arial" w:cs="Arial"/>
          <w:iCs/>
          <w:sz w:val="24"/>
          <w:szCs w:val="24"/>
        </w:rPr>
        <w:t xml:space="preserve"> Bill introduces provisions which grant the </w:t>
      </w:r>
      <w:r w:rsidR="0037782C">
        <w:rPr>
          <w:rFonts w:ascii="Arial" w:hAnsi="Arial" w:cs="Arial"/>
          <w:iCs/>
          <w:sz w:val="24"/>
          <w:szCs w:val="24"/>
        </w:rPr>
        <w:t xml:space="preserve">Housing </w:t>
      </w:r>
      <w:r w:rsidRPr="00264F34">
        <w:rPr>
          <w:rFonts w:ascii="Arial" w:hAnsi="Arial" w:cs="Arial"/>
          <w:iCs/>
          <w:sz w:val="24"/>
          <w:szCs w:val="24"/>
        </w:rPr>
        <w:t>Commissioner the right to terminate a tenancy where th</w:t>
      </w:r>
      <w:r w:rsidR="00B44899">
        <w:rPr>
          <w:rFonts w:ascii="Arial" w:hAnsi="Arial" w:cs="Arial"/>
          <w:iCs/>
          <w:sz w:val="24"/>
          <w:szCs w:val="24"/>
        </w:rPr>
        <w:t>e Commissioner</w:t>
      </w:r>
      <w:r w:rsidRPr="00264F34">
        <w:rPr>
          <w:rFonts w:ascii="Arial" w:hAnsi="Arial" w:cs="Arial"/>
          <w:iCs/>
          <w:sz w:val="24"/>
          <w:szCs w:val="24"/>
        </w:rPr>
        <w:t xml:space="preserve"> ha</w:t>
      </w:r>
      <w:r w:rsidR="00B44899">
        <w:rPr>
          <w:rFonts w:ascii="Arial" w:hAnsi="Arial" w:cs="Arial"/>
          <w:iCs/>
          <w:sz w:val="24"/>
          <w:szCs w:val="24"/>
        </w:rPr>
        <w:t>s</w:t>
      </w:r>
      <w:r w:rsidRPr="00264F34">
        <w:rPr>
          <w:rFonts w:ascii="Arial" w:hAnsi="Arial" w:cs="Arial"/>
          <w:iCs/>
          <w:sz w:val="24"/>
          <w:szCs w:val="24"/>
        </w:rPr>
        <w:t xml:space="preserve"> made a decision under the </w:t>
      </w:r>
      <w:r w:rsidR="004D78EF" w:rsidRPr="004D78EF">
        <w:rPr>
          <w:rFonts w:ascii="Arial" w:hAnsi="Arial" w:cs="Arial"/>
          <w:iCs/>
          <w:sz w:val="24"/>
          <w:szCs w:val="24"/>
        </w:rPr>
        <w:t>HAA</w:t>
      </w:r>
      <w:r w:rsidRPr="00264F34">
        <w:rPr>
          <w:rFonts w:ascii="Arial" w:hAnsi="Arial" w:cs="Arial"/>
          <w:i/>
          <w:sz w:val="24"/>
          <w:szCs w:val="24"/>
        </w:rPr>
        <w:t xml:space="preserve"> </w:t>
      </w:r>
      <w:r w:rsidR="00B44899">
        <w:rPr>
          <w:rFonts w:ascii="Arial" w:hAnsi="Arial" w:cs="Arial"/>
          <w:iCs/>
          <w:sz w:val="24"/>
          <w:szCs w:val="24"/>
        </w:rPr>
        <w:t>or</w:t>
      </w:r>
      <w:r w:rsidRPr="00264F34">
        <w:rPr>
          <w:rFonts w:ascii="Arial" w:hAnsi="Arial" w:cs="Arial"/>
          <w:iCs/>
          <w:sz w:val="24"/>
          <w:szCs w:val="24"/>
        </w:rPr>
        <w:t xml:space="preserve"> its subordinate legislation (</w:t>
      </w:r>
      <w:r w:rsidRPr="00264F34">
        <w:rPr>
          <w:rFonts w:ascii="Arial" w:hAnsi="Arial" w:cs="Arial"/>
          <w:b/>
          <w:bCs/>
          <w:iCs/>
          <w:sz w:val="24"/>
          <w:szCs w:val="24"/>
        </w:rPr>
        <w:t>Housing Assistance legislation</w:t>
      </w:r>
      <w:r w:rsidRPr="00264F34">
        <w:rPr>
          <w:rFonts w:ascii="Arial" w:hAnsi="Arial" w:cs="Arial"/>
          <w:i/>
          <w:sz w:val="24"/>
          <w:szCs w:val="24"/>
        </w:rPr>
        <w:t xml:space="preserve">) </w:t>
      </w:r>
      <w:r w:rsidRPr="00264F34">
        <w:rPr>
          <w:rFonts w:ascii="Arial" w:hAnsi="Arial" w:cs="Arial"/>
          <w:iCs/>
          <w:sz w:val="24"/>
          <w:szCs w:val="24"/>
        </w:rPr>
        <w:t xml:space="preserve">to </w:t>
      </w:r>
      <w:r w:rsidR="00217C94">
        <w:rPr>
          <w:rFonts w:ascii="Arial" w:hAnsi="Arial" w:cs="Arial"/>
          <w:iCs/>
          <w:sz w:val="24"/>
          <w:szCs w:val="24"/>
        </w:rPr>
        <w:t xml:space="preserve">cancel or </w:t>
      </w:r>
      <w:r w:rsidRPr="00264F34">
        <w:rPr>
          <w:rFonts w:ascii="Arial" w:hAnsi="Arial" w:cs="Arial"/>
          <w:iCs/>
          <w:sz w:val="24"/>
          <w:szCs w:val="24"/>
        </w:rPr>
        <w:t>withdraw housing assistance</w:t>
      </w:r>
      <w:r w:rsidR="003B727B">
        <w:rPr>
          <w:rFonts w:ascii="Arial" w:hAnsi="Arial" w:cs="Arial"/>
          <w:iCs/>
          <w:sz w:val="24"/>
          <w:szCs w:val="24"/>
        </w:rPr>
        <w:t xml:space="preserve"> following a review of eligibility</w:t>
      </w:r>
      <w:r w:rsidRPr="00264F34">
        <w:rPr>
          <w:rFonts w:ascii="Arial" w:hAnsi="Arial" w:cs="Arial"/>
          <w:iCs/>
          <w:sz w:val="24"/>
          <w:szCs w:val="24"/>
        </w:rPr>
        <w:t>, to require a transfer</w:t>
      </w:r>
      <w:r w:rsidR="00217C94">
        <w:rPr>
          <w:rFonts w:ascii="Arial" w:hAnsi="Arial" w:cs="Arial"/>
          <w:iCs/>
          <w:sz w:val="24"/>
          <w:szCs w:val="24"/>
        </w:rPr>
        <w:t xml:space="preserve">, where the tenant holds two tenancies </w:t>
      </w:r>
      <w:r w:rsidR="00480D5F">
        <w:rPr>
          <w:rFonts w:ascii="Arial" w:hAnsi="Arial" w:cs="Arial"/>
          <w:iCs/>
          <w:sz w:val="24"/>
          <w:szCs w:val="24"/>
        </w:rPr>
        <w:t>simultaneously</w:t>
      </w:r>
      <w:r w:rsidRPr="00264F34">
        <w:rPr>
          <w:rFonts w:ascii="Arial" w:hAnsi="Arial" w:cs="Arial"/>
          <w:iCs/>
          <w:sz w:val="24"/>
          <w:szCs w:val="24"/>
        </w:rPr>
        <w:t xml:space="preserve"> or where they have</w:t>
      </w:r>
      <w:r w:rsidR="00B44899">
        <w:rPr>
          <w:rFonts w:ascii="Arial" w:hAnsi="Arial" w:cs="Arial"/>
          <w:iCs/>
          <w:sz w:val="24"/>
          <w:szCs w:val="24"/>
        </w:rPr>
        <w:t xml:space="preserve"> been</w:t>
      </w:r>
      <w:r w:rsidRPr="00264F34">
        <w:rPr>
          <w:rFonts w:ascii="Arial" w:hAnsi="Arial" w:cs="Arial"/>
          <w:iCs/>
          <w:sz w:val="24"/>
          <w:szCs w:val="24"/>
        </w:rPr>
        <w:t xml:space="preserve"> provided a short-term period of assistance following a breakdown of tenancy situation. In each of these circumstances, the right to terminate the tenancy under the RTA is connected to the </w:t>
      </w:r>
      <w:r w:rsidR="003B727B">
        <w:rPr>
          <w:rFonts w:ascii="Arial" w:hAnsi="Arial" w:cs="Arial"/>
          <w:iCs/>
          <w:sz w:val="24"/>
          <w:szCs w:val="24"/>
        </w:rPr>
        <w:t xml:space="preserve">Housing </w:t>
      </w:r>
      <w:r w:rsidRPr="00264F34">
        <w:rPr>
          <w:rFonts w:ascii="Arial" w:hAnsi="Arial" w:cs="Arial"/>
          <w:iCs/>
          <w:sz w:val="24"/>
          <w:szCs w:val="24"/>
        </w:rPr>
        <w:t xml:space="preserve">Commissioner’s powers under Housing Assistance legislation. This means that there are clear and legislated criteria for the exercise of the termination provision. Further, in some circumstances where the Housing Commissioner makes decisions to </w:t>
      </w:r>
      <w:r w:rsidR="00217C94">
        <w:rPr>
          <w:rFonts w:ascii="Arial" w:hAnsi="Arial" w:cs="Arial"/>
          <w:iCs/>
          <w:sz w:val="24"/>
          <w:szCs w:val="24"/>
        </w:rPr>
        <w:t xml:space="preserve">cancel or </w:t>
      </w:r>
      <w:r w:rsidRPr="00264F34">
        <w:rPr>
          <w:rFonts w:ascii="Arial" w:hAnsi="Arial" w:cs="Arial"/>
          <w:iCs/>
          <w:sz w:val="24"/>
          <w:szCs w:val="24"/>
        </w:rPr>
        <w:t>withdraw assistance or require a transfer, tenants will have administrative review rights under Housing Assistance legislation before the tenancy can be terminated. This provides additional procedural safeguards before the right of tenancy termination can be exercised by the lessor</w:t>
      </w:r>
      <w:r w:rsidR="00465521">
        <w:rPr>
          <w:rFonts w:ascii="Arial" w:hAnsi="Arial" w:cs="Arial"/>
          <w:iCs/>
          <w:sz w:val="24"/>
          <w:szCs w:val="24"/>
        </w:rPr>
        <w:t>, promoting the right to fair trial</w:t>
      </w:r>
      <w:r w:rsidRPr="00264F34">
        <w:rPr>
          <w:rFonts w:ascii="Arial" w:hAnsi="Arial" w:cs="Arial"/>
          <w:iCs/>
          <w:sz w:val="24"/>
          <w:szCs w:val="24"/>
        </w:rPr>
        <w:t xml:space="preserve">.  </w:t>
      </w:r>
    </w:p>
    <w:p w14:paraId="3F2DAD5C" w14:textId="0D6B64CD" w:rsidR="006D2698" w:rsidRDefault="006D2698" w:rsidP="006D2698">
      <w:pPr>
        <w:rPr>
          <w:rFonts w:ascii="Arial" w:hAnsi="Arial" w:cs="Arial"/>
          <w:iCs/>
          <w:sz w:val="24"/>
          <w:szCs w:val="24"/>
        </w:rPr>
      </w:pPr>
      <w:r>
        <w:rPr>
          <w:rFonts w:ascii="Arial" w:hAnsi="Arial" w:cs="Arial"/>
          <w:iCs/>
          <w:sz w:val="24"/>
          <w:szCs w:val="24"/>
        </w:rPr>
        <w:t>T</w:t>
      </w:r>
      <w:r w:rsidRPr="00264F34">
        <w:rPr>
          <w:rFonts w:ascii="Arial" w:hAnsi="Arial" w:cs="Arial"/>
          <w:iCs/>
          <w:sz w:val="24"/>
          <w:szCs w:val="24"/>
        </w:rPr>
        <w:t>he removal of the ‘</w:t>
      </w:r>
      <w:r>
        <w:rPr>
          <w:rFonts w:ascii="Arial" w:hAnsi="Arial" w:cs="Arial"/>
          <w:iCs/>
          <w:sz w:val="24"/>
          <w:szCs w:val="24"/>
        </w:rPr>
        <w:t>without</w:t>
      </w:r>
      <w:r w:rsidRPr="00264F34">
        <w:rPr>
          <w:rFonts w:ascii="Arial" w:hAnsi="Arial" w:cs="Arial"/>
          <w:iCs/>
          <w:sz w:val="24"/>
          <w:szCs w:val="24"/>
        </w:rPr>
        <w:t xml:space="preserve"> cause’ termination provision means that any circumstances for tenancy termination need to be recognised as standalone grounds for termination under the RTA.</w:t>
      </w:r>
      <w:r>
        <w:rPr>
          <w:rFonts w:ascii="Arial" w:hAnsi="Arial" w:cs="Arial"/>
          <w:iCs/>
          <w:sz w:val="24"/>
          <w:szCs w:val="24"/>
        </w:rPr>
        <w:t xml:space="preserve"> </w:t>
      </w:r>
      <w:r w:rsidRPr="00264F34">
        <w:rPr>
          <w:rFonts w:ascii="Arial" w:hAnsi="Arial" w:cs="Arial"/>
          <w:iCs/>
          <w:sz w:val="24"/>
          <w:szCs w:val="24"/>
        </w:rPr>
        <w:t>The purpose of introducing new tenancy termination provisions into the RTA is to facilitate the removal of the more arbitrary ‘</w:t>
      </w:r>
      <w:r>
        <w:rPr>
          <w:rFonts w:ascii="Arial" w:hAnsi="Arial" w:cs="Arial"/>
          <w:iCs/>
          <w:sz w:val="24"/>
          <w:szCs w:val="24"/>
        </w:rPr>
        <w:t>without</w:t>
      </w:r>
      <w:r w:rsidRPr="00264F34">
        <w:rPr>
          <w:rFonts w:ascii="Arial" w:hAnsi="Arial" w:cs="Arial"/>
          <w:iCs/>
          <w:sz w:val="24"/>
          <w:szCs w:val="24"/>
        </w:rPr>
        <w:t xml:space="preserve"> cause’ ground for tenancy termination which currently permits lessors to end a tenancy without providing the tenant any reason for doing so.</w:t>
      </w:r>
      <w:r w:rsidR="00104500">
        <w:rPr>
          <w:rFonts w:ascii="Arial" w:hAnsi="Arial" w:cs="Arial"/>
          <w:iCs/>
          <w:sz w:val="24"/>
          <w:szCs w:val="24"/>
        </w:rPr>
        <w:t xml:space="preserve"> </w:t>
      </w:r>
      <w:r w:rsidR="00B44899">
        <w:rPr>
          <w:rFonts w:ascii="Arial" w:hAnsi="Arial" w:cs="Arial"/>
          <w:iCs/>
          <w:sz w:val="24"/>
          <w:szCs w:val="24"/>
        </w:rPr>
        <w:t>To</w:t>
      </w:r>
      <w:r w:rsidR="00104500">
        <w:rPr>
          <w:rFonts w:ascii="Arial" w:hAnsi="Arial" w:cs="Arial"/>
          <w:iCs/>
          <w:sz w:val="24"/>
          <w:szCs w:val="24"/>
        </w:rPr>
        <w:t xml:space="preserve"> ensure that the new termination grounds are only used as intended, the Bill requires landlords to evidence the genuineness of their</w:t>
      </w:r>
      <w:r w:rsidR="00217C94">
        <w:rPr>
          <w:rFonts w:ascii="Arial" w:hAnsi="Arial" w:cs="Arial"/>
          <w:iCs/>
          <w:sz w:val="24"/>
          <w:szCs w:val="24"/>
        </w:rPr>
        <w:t xml:space="preserve"> reliance on the termination ground. </w:t>
      </w:r>
    </w:p>
    <w:p w14:paraId="6CEB5FE0" w14:textId="77777777" w:rsidR="00687ABF" w:rsidRPr="00264F34" w:rsidRDefault="00687ABF" w:rsidP="00DA6700">
      <w:pPr>
        <w:rPr>
          <w:rFonts w:ascii="Arial" w:hAnsi="Arial" w:cs="Arial"/>
          <w:b/>
          <w:bCs/>
          <w:i/>
          <w:sz w:val="24"/>
          <w:szCs w:val="24"/>
        </w:rPr>
      </w:pPr>
      <w:r w:rsidRPr="00264F34">
        <w:rPr>
          <w:rFonts w:ascii="Arial" w:hAnsi="Arial" w:cs="Arial"/>
          <w:b/>
          <w:bCs/>
          <w:i/>
          <w:sz w:val="24"/>
          <w:szCs w:val="24"/>
        </w:rPr>
        <w:t>Rights Limited</w:t>
      </w:r>
    </w:p>
    <w:p w14:paraId="1CCA00E0" w14:textId="77777777" w:rsidR="00687ABF" w:rsidRPr="00264F34" w:rsidRDefault="00687ABF" w:rsidP="00DA6700">
      <w:pPr>
        <w:rPr>
          <w:rFonts w:ascii="Arial" w:hAnsi="Arial" w:cs="Arial"/>
          <w:iCs/>
          <w:sz w:val="24"/>
          <w:szCs w:val="24"/>
        </w:rPr>
      </w:pPr>
      <w:r w:rsidRPr="00264F34">
        <w:rPr>
          <w:rFonts w:ascii="Arial" w:hAnsi="Arial" w:cs="Arial"/>
          <w:iCs/>
          <w:sz w:val="24"/>
          <w:szCs w:val="24"/>
        </w:rPr>
        <w:t>The preamble to the HRA notes that few rights are absolute and that they may be subject to reasonable limits in law that can be demonstrably justified in a free and democratic society. Section 28 (2) of the HRA contains the framework that is used to determine the acceptable limitations that may be placed on human rights.</w:t>
      </w:r>
    </w:p>
    <w:p w14:paraId="0C904574" w14:textId="6BE70E88" w:rsidR="00687ABF" w:rsidRPr="00264F34" w:rsidRDefault="00687ABF" w:rsidP="00DA6700">
      <w:pPr>
        <w:rPr>
          <w:rFonts w:ascii="Arial" w:hAnsi="Arial" w:cs="Arial"/>
          <w:iCs/>
          <w:sz w:val="24"/>
          <w:szCs w:val="24"/>
        </w:rPr>
      </w:pPr>
      <w:r w:rsidRPr="00264F34">
        <w:rPr>
          <w:rFonts w:ascii="Arial" w:hAnsi="Arial" w:cs="Arial"/>
          <w:iCs/>
          <w:sz w:val="24"/>
          <w:szCs w:val="24"/>
        </w:rPr>
        <w:t xml:space="preserve">Section 28 of the HRA requires that any limitation on a human right be authorised by a Territory law, be based on evidence, and be reasonable to achieve a legitimate aim. Whether a limitation is reasonable depends on whether it is proportionate. Proportionality can be understood and assessed as explained in </w:t>
      </w:r>
      <w:r w:rsidR="00C75B38" w:rsidRPr="00D4599F">
        <w:rPr>
          <w:rFonts w:ascii="Arial" w:hAnsi="Arial" w:cs="Arial"/>
          <w:i/>
          <w:iCs/>
          <w:color w:val="3A3A3A"/>
          <w:spacing w:val="-3"/>
          <w:sz w:val="24"/>
          <w:szCs w:val="24"/>
          <w:shd w:val="clear" w:color="auto" w:fill="FFFFFF"/>
        </w:rPr>
        <w:t>R. v. Oakes</w:t>
      </w:r>
      <w:r w:rsidR="00C75B38" w:rsidRPr="00D4599F">
        <w:rPr>
          <w:rFonts w:ascii="Arial" w:hAnsi="Arial" w:cs="Arial"/>
          <w:color w:val="3A3A3A"/>
          <w:spacing w:val="-3"/>
          <w:sz w:val="24"/>
          <w:szCs w:val="24"/>
          <w:shd w:val="clear" w:color="auto" w:fill="FFFFFF"/>
        </w:rPr>
        <w:t>, [1986] 1 S.C.R. 103</w:t>
      </w:r>
      <w:r w:rsidR="00C75B38">
        <w:rPr>
          <w:rFonts w:ascii="Arial" w:hAnsi="Arial" w:cs="Arial"/>
          <w:iCs/>
          <w:sz w:val="24"/>
          <w:szCs w:val="24"/>
        </w:rPr>
        <w:t xml:space="preserve"> at 70</w:t>
      </w:r>
      <w:r w:rsidRPr="00264F34">
        <w:rPr>
          <w:rFonts w:ascii="Arial" w:hAnsi="Arial" w:cs="Arial"/>
          <w:iCs/>
          <w:sz w:val="24"/>
          <w:szCs w:val="24"/>
        </w:rPr>
        <w:t>. A party must show:</w:t>
      </w:r>
    </w:p>
    <w:p w14:paraId="15C52FD6" w14:textId="77777777" w:rsidR="00687ABF" w:rsidRPr="00264F34" w:rsidRDefault="00687ABF" w:rsidP="00DA6700">
      <w:pPr>
        <w:ind w:left="567" w:right="521"/>
        <w:rPr>
          <w:rFonts w:ascii="Arial" w:hAnsi="Arial" w:cs="Arial"/>
          <w:i/>
          <w:sz w:val="24"/>
          <w:szCs w:val="24"/>
        </w:rPr>
      </w:pPr>
      <w:r w:rsidRPr="00264F34">
        <w:rPr>
          <w:rFonts w:ascii="Arial" w:hAnsi="Arial" w:cs="Arial"/>
          <w:i/>
          <w:sz w:val="24"/>
          <w:szCs w:val="24"/>
        </w:rPr>
        <w:lastRenderedPageBreak/>
        <w:t xml:space="preserve">“… [f]irst, the measures adopted must be carefully designed to achieve the objective in question. They must not be arbitrary, unfair or based on irrational considerations. In short, they must be rationally connected to the objective. Second, the means, even if rationally connected to the objective in this first sense, should impair “as little as possible” the right or freedom in question. Third, there must be a proportionality between the effects of the measures which are responsible for limiting the Charter right or freedom, and the objective which has been identified as of “sufficient importance”. </w:t>
      </w:r>
    </w:p>
    <w:p w14:paraId="48C8DD2A" w14:textId="77777777" w:rsidR="00687ABF" w:rsidRPr="00264F34" w:rsidRDefault="00687ABF" w:rsidP="00DA6700">
      <w:pPr>
        <w:rPr>
          <w:rFonts w:ascii="Arial" w:hAnsi="Arial" w:cs="Arial"/>
          <w:iCs/>
          <w:sz w:val="24"/>
          <w:szCs w:val="24"/>
        </w:rPr>
      </w:pPr>
      <w:r w:rsidRPr="00264F34">
        <w:rPr>
          <w:rFonts w:ascii="Arial" w:hAnsi="Arial" w:cs="Arial"/>
          <w:iCs/>
          <w:sz w:val="24"/>
          <w:szCs w:val="24"/>
        </w:rPr>
        <w:t>The Bill engages and may limit:</w:t>
      </w:r>
    </w:p>
    <w:p w14:paraId="5CD9657B" w14:textId="77777777" w:rsidR="00687ABF" w:rsidRPr="00264F34" w:rsidRDefault="00687ABF" w:rsidP="00DA6700">
      <w:pPr>
        <w:pStyle w:val="ListParagraph"/>
        <w:numPr>
          <w:ilvl w:val="0"/>
          <w:numId w:val="10"/>
        </w:numPr>
        <w:rPr>
          <w:rFonts w:ascii="Arial" w:hAnsi="Arial" w:cs="Arial"/>
          <w:iCs/>
          <w:sz w:val="24"/>
          <w:szCs w:val="24"/>
        </w:rPr>
      </w:pPr>
      <w:r w:rsidRPr="00264F34">
        <w:rPr>
          <w:rFonts w:ascii="Arial" w:hAnsi="Arial" w:cs="Arial"/>
          <w:iCs/>
          <w:sz w:val="24"/>
          <w:szCs w:val="24"/>
        </w:rPr>
        <w:t>Right to privacy and reputation (Section 12)</w:t>
      </w:r>
    </w:p>
    <w:p w14:paraId="1B16F5A1" w14:textId="77777777" w:rsidR="00687ABF" w:rsidRPr="00264F34" w:rsidRDefault="00687ABF" w:rsidP="00DA6700">
      <w:pPr>
        <w:pStyle w:val="ListParagraph"/>
        <w:numPr>
          <w:ilvl w:val="0"/>
          <w:numId w:val="10"/>
        </w:numPr>
        <w:rPr>
          <w:rFonts w:ascii="Arial" w:hAnsi="Arial" w:cs="Arial"/>
          <w:iCs/>
          <w:sz w:val="24"/>
          <w:szCs w:val="24"/>
        </w:rPr>
      </w:pPr>
      <w:r w:rsidRPr="00264F34">
        <w:rPr>
          <w:rFonts w:ascii="Arial" w:hAnsi="Arial" w:cs="Arial"/>
          <w:iCs/>
          <w:sz w:val="24"/>
          <w:szCs w:val="24"/>
        </w:rPr>
        <w:t>Right to recognition and equality before the law (Section 8)</w:t>
      </w:r>
    </w:p>
    <w:p w14:paraId="5AD9E213" w14:textId="77777777" w:rsidR="00687ABF" w:rsidRPr="00264F34" w:rsidRDefault="00687ABF" w:rsidP="00DA6700">
      <w:pPr>
        <w:pStyle w:val="ListParagraph"/>
        <w:numPr>
          <w:ilvl w:val="0"/>
          <w:numId w:val="10"/>
        </w:numPr>
        <w:rPr>
          <w:rFonts w:ascii="Arial" w:hAnsi="Arial" w:cs="Arial"/>
          <w:iCs/>
          <w:sz w:val="24"/>
          <w:szCs w:val="24"/>
        </w:rPr>
      </w:pPr>
      <w:r w:rsidRPr="00264F34">
        <w:rPr>
          <w:rFonts w:ascii="Arial" w:hAnsi="Arial" w:cs="Arial"/>
          <w:iCs/>
          <w:sz w:val="24"/>
          <w:szCs w:val="24"/>
        </w:rPr>
        <w:t>Right to a fair hearing and procedural fairness (Section 21 (1))</w:t>
      </w:r>
    </w:p>
    <w:p w14:paraId="73C2E2C4" w14:textId="77777777" w:rsidR="00687ABF" w:rsidRPr="00264F34" w:rsidRDefault="00687ABF" w:rsidP="00DA6700">
      <w:pPr>
        <w:pStyle w:val="ListParagraph"/>
        <w:numPr>
          <w:ilvl w:val="0"/>
          <w:numId w:val="10"/>
        </w:numPr>
        <w:rPr>
          <w:rFonts w:ascii="Arial" w:hAnsi="Arial" w:cs="Arial"/>
          <w:iCs/>
          <w:sz w:val="24"/>
          <w:szCs w:val="24"/>
        </w:rPr>
      </w:pPr>
      <w:r w:rsidRPr="00264F34">
        <w:rPr>
          <w:rFonts w:ascii="Arial" w:hAnsi="Arial" w:cs="Arial"/>
          <w:iCs/>
          <w:sz w:val="24"/>
          <w:szCs w:val="24"/>
        </w:rPr>
        <w:t>Right to be innocent until proven guilty (Section 22 (1))</w:t>
      </w:r>
    </w:p>
    <w:p w14:paraId="168280AD" w14:textId="0B1D0EAE" w:rsidR="00687ABF" w:rsidRPr="00264F34" w:rsidRDefault="00687ABF" w:rsidP="00DA6700">
      <w:pPr>
        <w:pStyle w:val="normalweb0"/>
        <w:shd w:val="clear" w:color="auto" w:fill="FFFFFF"/>
        <w:spacing w:before="240" w:beforeAutospacing="0" w:after="120" w:afterAutospacing="0" w:line="276" w:lineRule="auto"/>
        <w:rPr>
          <w:rFonts w:ascii="Arial" w:hAnsi="Arial" w:cs="Arial"/>
          <w:color w:val="000000"/>
        </w:rPr>
      </w:pPr>
      <w:r w:rsidRPr="00264F34">
        <w:rPr>
          <w:rFonts w:ascii="Arial" w:hAnsi="Arial" w:cs="Arial"/>
          <w:color w:val="000000"/>
        </w:rPr>
        <w:t xml:space="preserve">The ways in which the Bill does this are set out below. </w:t>
      </w:r>
    </w:p>
    <w:p w14:paraId="278F2FE9" w14:textId="77777777" w:rsidR="00687ABF" w:rsidRPr="00264F34" w:rsidRDefault="00687ABF" w:rsidP="00DA6700">
      <w:pPr>
        <w:pStyle w:val="normalweb0"/>
        <w:shd w:val="clear" w:color="auto" w:fill="FFFFFF"/>
        <w:spacing w:before="240" w:beforeAutospacing="0" w:after="200" w:afterAutospacing="0" w:line="276" w:lineRule="auto"/>
        <w:rPr>
          <w:rFonts w:ascii="Arial" w:hAnsi="Arial" w:cs="Arial"/>
          <w:b/>
          <w:bCs/>
          <w:color w:val="000000"/>
        </w:rPr>
      </w:pPr>
      <w:r w:rsidRPr="00264F34">
        <w:rPr>
          <w:rFonts w:ascii="Arial" w:hAnsi="Arial" w:cs="Arial"/>
          <w:b/>
          <w:bCs/>
          <w:color w:val="000000"/>
        </w:rPr>
        <w:t>Right to privacy and home</w:t>
      </w:r>
    </w:p>
    <w:p w14:paraId="3B2DC6ED" w14:textId="764C9C4F" w:rsidR="00687ABF" w:rsidRPr="00264F34" w:rsidRDefault="00687ABF" w:rsidP="00DA6700">
      <w:pPr>
        <w:rPr>
          <w:rFonts w:ascii="Arial" w:hAnsi="Arial" w:cs="Arial"/>
          <w:iCs/>
          <w:sz w:val="24"/>
          <w:szCs w:val="24"/>
        </w:rPr>
      </w:pPr>
      <w:r w:rsidRPr="00264F34">
        <w:rPr>
          <w:rFonts w:ascii="Arial" w:hAnsi="Arial" w:cs="Arial"/>
          <w:iCs/>
          <w:sz w:val="24"/>
          <w:szCs w:val="24"/>
          <w:lang w:eastAsia="en-AU"/>
        </w:rPr>
        <w:t xml:space="preserve">Section 12 (a) of the HRA provides for the right to privacy and the right not to have one’s home interfered with unlawfully or arbitrarily. </w:t>
      </w:r>
      <w:r w:rsidRPr="00264F34">
        <w:rPr>
          <w:rFonts w:ascii="Arial" w:hAnsi="Arial" w:cs="Arial"/>
          <w:iCs/>
          <w:sz w:val="24"/>
          <w:szCs w:val="24"/>
        </w:rPr>
        <w:t>The Bill will introduce a number of amendments that will engage and may limit the right to privacy and home for both tenants and lessors. The Bill will introduce:</w:t>
      </w:r>
    </w:p>
    <w:p w14:paraId="66353E4C" w14:textId="7998CF10" w:rsidR="00687ABF" w:rsidRPr="00264F34" w:rsidRDefault="00687ABF" w:rsidP="00DA6700">
      <w:pPr>
        <w:pStyle w:val="ListParagraph"/>
        <w:numPr>
          <w:ilvl w:val="0"/>
          <w:numId w:val="11"/>
        </w:numPr>
        <w:rPr>
          <w:rFonts w:ascii="Arial" w:hAnsi="Arial" w:cs="Arial"/>
          <w:iCs/>
          <w:sz w:val="24"/>
          <w:szCs w:val="24"/>
        </w:rPr>
      </w:pPr>
      <w:r w:rsidRPr="00264F34">
        <w:rPr>
          <w:rFonts w:ascii="Arial" w:hAnsi="Arial" w:cs="Arial"/>
          <w:iCs/>
          <w:sz w:val="24"/>
          <w:szCs w:val="24"/>
        </w:rPr>
        <w:t>new tenancy termination provisions</w:t>
      </w:r>
      <w:r w:rsidR="00B44899">
        <w:rPr>
          <w:rFonts w:ascii="Arial" w:hAnsi="Arial" w:cs="Arial"/>
          <w:iCs/>
          <w:sz w:val="24"/>
          <w:szCs w:val="24"/>
        </w:rPr>
        <w:t>;</w:t>
      </w:r>
    </w:p>
    <w:p w14:paraId="23A3DF66" w14:textId="43A14D0B" w:rsidR="00687ABF" w:rsidRPr="00264F34" w:rsidRDefault="00687ABF" w:rsidP="00DA6700">
      <w:pPr>
        <w:pStyle w:val="ListParagraph"/>
        <w:numPr>
          <w:ilvl w:val="0"/>
          <w:numId w:val="11"/>
        </w:numPr>
        <w:rPr>
          <w:rFonts w:ascii="Arial" w:hAnsi="Arial" w:cs="Arial"/>
          <w:iCs/>
          <w:sz w:val="24"/>
          <w:szCs w:val="24"/>
        </w:rPr>
      </w:pPr>
      <w:r w:rsidRPr="00264F34">
        <w:rPr>
          <w:rFonts w:ascii="Arial" w:hAnsi="Arial" w:cs="Arial"/>
          <w:iCs/>
          <w:sz w:val="24"/>
          <w:szCs w:val="24"/>
        </w:rPr>
        <w:t>mandatory disclosure requirements for</w:t>
      </w:r>
      <w:r w:rsidR="0065585C">
        <w:rPr>
          <w:rFonts w:ascii="Arial" w:hAnsi="Arial" w:cs="Arial"/>
          <w:iCs/>
          <w:sz w:val="24"/>
          <w:szCs w:val="24"/>
        </w:rPr>
        <w:t xml:space="preserve"> tenants and</w:t>
      </w:r>
      <w:r w:rsidRPr="00264F34">
        <w:rPr>
          <w:rFonts w:ascii="Arial" w:hAnsi="Arial" w:cs="Arial"/>
          <w:iCs/>
          <w:sz w:val="24"/>
          <w:szCs w:val="24"/>
        </w:rPr>
        <w:t xml:space="preserve"> lessors; and </w:t>
      </w:r>
    </w:p>
    <w:p w14:paraId="60BE1435" w14:textId="05E79DE4" w:rsidR="00687ABF" w:rsidRDefault="00687ABF" w:rsidP="00DA6700">
      <w:pPr>
        <w:pStyle w:val="ListParagraph"/>
        <w:numPr>
          <w:ilvl w:val="0"/>
          <w:numId w:val="11"/>
        </w:numPr>
        <w:rPr>
          <w:rFonts w:ascii="Arial" w:hAnsi="Arial" w:cs="Arial"/>
          <w:iCs/>
          <w:sz w:val="24"/>
          <w:szCs w:val="24"/>
        </w:rPr>
      </w:pPr>
      <w:r w:rsidRPr="00264F34">
        <w:rPr>
          <w:rFonts w:ascii="Arial" w:hAnsi="Arial" w:cs="Arial"/>
          <w:iCs/>
          <w:sz w:val="24"/>
          <w:szCs w:val="24"/>
        </w:rPr>
        <w:t>expand</w:t>
      </w:r>
      <w:r w:rsidR="0037782C">
        <w:rPr>
          <w:rFonts w:ascii="Arial" w:hAnsi="Arial" w:cs="Arial"/>
          <w:iCs/>
          <w:sz w:val="24"/>
          <w:szCs w:val="24"/>
        </w:rPr>
        <w:t>ed</w:t>
      </w:r>
      <w:r w:rsidRPr="00264F34">
        <w:rPr>
          <w:rFonts w:ascii="Arial" w:hAnsi="Arial" w:cs="Arial"/>
          <w:iCs/>
          <w:sz w:val="24"/>
          <w:szCs w:val="24"/>
        </w:rPr>
        <w:t xml:space="preserve"> </w:t>
      </w:r>
      <w:r w:rsidR="0037782C">
        <w:rPr>
          <w:rFonts w:ascii="Arial" w:hAnsi="Arial" w:cs="Arial"/>
          <w:iCs/>
          <w:sz w:val="24"/>
          <w:szCs w:val="24"/>
        </w:rPr>
        <w:t xml:space="preserve">circumstances in which </w:t>
      </w:r>
      <w:r w:rsidRPr="00264F34">
        <w:rPr>
          <w:rFonts w:ascii="Arial" w:hAnsi="Arial" w:cs="Arial"/>
          <w:iCs/>
          <w:sz w:val="24"/>
          <w:szCs w:val="24"/>
        </w:rPr>
        <w:t xml:space="preserve">lessors </w:t>
      </w:r>
      <w:r w:rsidR="0037782C">
        <w:rPr>
          <w:rFonts w:ascii="Arial" w:hAnsi="Arial" w:cs="Arial"/>
          <w:iCs/>
          <w:sz w:val="24"/>
          <w:szCs w:val="24"/>
        </w:rPr>
        <w:t xml:space="preserve">can </w:t>
      </w:r>
      <w:r w:rsidRPr="00264F34">
        <w:rPr>
          <w:rFonts w:ascii="Arial" w:hAnsi="Arial" w:cs="Arial"/>
          <w:iCs/>
          <w:sz w:val="24"/>
          <w:szCs w:val="24"/>
        </w:rPr>
        <w:t xml:space="preserve">access a rental premises to comply with the minimum housing standards.  </w:t>
      </w:r>
    </w:p>
    <w:p w14:paraId="21A0E788" w14:textId="77777777" w:rsidR="00465521" w:rsidRPr="00264F34" w:rsidRDefault="00465521" w:rsidP="00465521">
      <w:pPr>
        <w:pStyle w:val="ListParagraph"/>
        <w:ind w:left="780"/>
        <w:rPr>
          <w:rFonts w:ascii="Arial" w:hAnsi="Arial" w:cs="Arial"/>
          <w:iCs/>
          <w:sz w:val="24"/>
          <w:szCs w:val="24"/>
        </w:rPr>
      </w:pPr>
    </w:p>
    <w:p w14:paraId="771A3262" w14:textId="24A4D770" w:rsidR="00687ABF" w:rsidRPr="00264F34" w:rsidRDefault="00687ABF" w:rsidP="00DA6700">
      <w:pPr>
        <w:rPr>
          <w:rFonts w:ascii="Arial" w:hAnsi="Arial" w:cs="Arial"/>
          <w:iCs/>
          <w:sz w:val="24"/>
          <w:szCs w:val="24"/>
        </w:rPr>
      </w:pPr>
      <w:r w:rsidRPr="00264F34">
        <w:rPr>
          <w:rFonts w:ascii="Arial" w:hAnsi="Arial" w:cs="Arial"/>
          <w:iCs/>
          <w:sz w:val="24"/>
          <w:szCs w:val="24"/>
        </w:rPr>
        <w:t xml:space="preserve">These issues will be addressed in turn. </w:t>
      </w:r>
    </w:p>
    <w:p w14:paraId="430BC07A" w14:textId="5150E0A3" w:rsidR="00687ABF" w:rsidRPr="00264F34" w:rsidRDefault="00687ABF" w:rsidP="00D4599F">
      <w:pPr>
        <w:keepNext/>
        <w:keepLines/>
        <w:rPr>
          <w:rFonts w:ascii="Arial" w:hAnsi="Arial" w:cs="Arial"/>
          <w:b/>
          <w:bCs/>
          <w:i/>
          <w:sz w:val="24"/>
          <w:szCs w:val="24"/>
        </w:rPr>
      </w:pPr>
      <w:r w:rsidRPr="00264F34">
        <w:rPr>
          <w:rFonts w:ascii="Arial" w:hAnsi="Arial" w:cs="Arial"/>
          <w:b/>
          <w:bCs/>
          <w:i/>
          <w:sz w:val="24"/>
          <w:szCs w:val="24"/>
        </w:rPr>
        <w:t>Right to privacy and home – introduction of new tenancy termination provision</w:t>
      </w:r>
      <w:r w:rsidR="00501270">
        <w:rPr>
          <w:rFonts w:ascii="Arial" w:hAnsi="Arial" w:cs="Arial"/>
          <w:b/>
          <w:bCs/>
          <w:i/>
          <w:sz w:val="24"/>
          <w:szCs w:val="24"/>
        </w:rPr>
        <w:t>s</w:t>
      </w:r>
      <w:r w:rsidRPr="00264F34">
        <w:rPr>
          <w:rFonts w:ascii="Arial" w:hAnsi="Arial" w:cs="Arial"/>
          <w:b/>
          <w:bCs/>
          <w:i/>
          <w:sz w:val="24"/>
          <w:szCs w:val="24"/>
        </w:rPr>
        <w:t xml:space="preserve"> generally </w:t>
      </w:r>
    </w:p>
    <w:p w14:paraId="34E3F14C" w14:textId="77777777" w:rsidR="00687ABF" w:rsidRPr="00264F34" w:rsidRDefault="00687ABF" w:rsidP="00DA6700">
      <w:pPr>
        <w:ind w:firstLine="720"/>
        <w:rPr>
          <w:rFonts w:ascii="Arial" w:hAnsi="Arial" w:cs="Arial"/>
          <w:iCs/>
          <w:sz w:val="24"/>
          <w:szCs w:val="24"/>
        </w:rPr>
      </w:pPr>
      <w:r w:rsidRPr="00264F34">
        <w:rPr>
          <w:rFonts w:ascii="Arial" w:hAnsi="Arial" w:cs="Arial"/>
          <w:i/>
          <w:sz w:val="24"/>
          <w:szCs w:val="24"/>
          <w:u w:val="single"/>
          <w:lang w:eastAsia="en-AU"/>
        </w:rPr>
        <w:t>Nature of the right and the limitation (ss 28 (2) (a) and (c))</w:t>
      </w:r>
    </w:p>
    <w:p w14:paraId="27ACB672" w14:textId="74157A82" w:rsidR="00687ABF" w:rsidRPr="00264F34" w:rsidRDefault="00247DC5" w:rsidP="00DA6700">
      <w:pPr>
        <w:rPr>
          <w:rFonts w:ascii="Arial" w:hAnsi="Arial" w:cs="Arial"/>
          <w:iCs/>
          <w:sz w:val="24"/>
          <w:szCs w:val="24"/>
        </w:rPr>
      </w:pPr>
      <w:r>
        <w:rPr>
          <w:rFonts w:ascii="Arial" w:hAnsi="Arial" w:cs="Arial"/>
          <w:iCs/>
          <w:sz w:val="24"/>
          <w:szCs w:val="24"/>
        </w:rPr>
        <w:t>T</w:t>
      </w:r>
      <w:r w:rsidR="00687ABF" w:rsidRPr="00264F34">
        <w:rPr>
          <w:rFonts w:ascii="Arial" w:hAnsi="Arial" w:cs="Arial"/>
          <w:iCs/>
          <w:sz w:val="24"/>
          <w:szCs w:val="24"/>
        </w:rPr>
        <w:t>he removal of the ‘</w:t>
      </w:r>
      <w:r w:rsidR="00465521">
        <w:rPr>
          <w:rFonts w:ascii="Arial" w:hAnsi="Arial" w:cs="Arial"/>
          <w:iCs/>
          <w:sz w:val="24"/>
          <w:szCs w:val="24"/>
        </w:rPr>
        <w:t>without</w:t>
      </w:r>
      <w:r w:rsidR="00687ABF" w:rsidRPr="00264F34">
        <w:rPr>
          <w:rFonts w:ascii="Arial" w:hAnsi="Arial" w:cs="Arial"/>
          <w:iCs/>
          <w:sz w:val="24"/>
          <w:szCs w:val="24"/>
        </w:rPr>
        <w:t xml:space="preserve"> cause’ termination provision means that any legitimate circumstances for tenancy termination need to be recognised as standalone grounds for termination under the RTA. The introduction of new prescribed grounds for tenancy termination will engage and may limit the right to privacy as they create additional grounds on which a lessor may seek to end a tenancy. </w:t>
      </w:r>
    </w:p>
    <w:p w14:paraId="27DFF1FB" w14:textId="77777777" w:rsidR="00687ABF" w:rsidRPr="00264F34" w:rsidRDefault="00687ABF" w:rsidP="00DA6700">
      <w:pPr>
        <w:pStyle w:val="ListParagraph"/>
        <w:rPr>
          <w:rFonts w:ascii="Arial" w:hAnsi="Arial" w:cs="Arial"/>
          <w:i/>
          <w:sz w:val="24"/>
          <w:szCs w:val="24"/>
          <w:u w:val="single"/>
        </w:rPr>
      </w:pPr>
      <w:r w:rsidRPr="00264F34">
        <w:rPr>
          <w:rFonts w:ascii="Arial" w:hAnsi="Arial" w:cs="Arial"/>
          <w:i/>
          <w:sz w:val="24"/>
          <w:szCs w:val="24"/>
          <w:u w:val="single"/>
        </w:rPr>
        <w:t>Legitimate purpose (s 28 (2) (b))</w:t>
      </w:r>
    </w:p>
    <w:p w14:paraId="5552F75C" w14:textId="77777777" w:rsidR="00687ABF" w:rsidRPr="00264F34" w:rsidRDefault="00687ABF" w:rsidP="00DA6700">
      <w:pPr>
        <w:pStyle w:val="ListParagraph"/>
        <w:rPr>
          <w:rFonts w:ascii="Arial" w:hAnsi="Arial" w:cs="Arial"/>
          <w:i/>
          <w:sz w:val="24"/>
          <w:szCs w:val="24"/>
          <w:u w:val="single"/>
        </w:rPr>
      </w:pPr>
    </w:p>
    <w:p w14:paraId="6AE861B5" w14:textId="2EB2070A" w:rsidR="00687ABF" w:rsidRPr="00264F34" w:rsidRDefault="00687ABF" w:rsidP="00DA6700">
      <w:pPr>
        <w:rPr>
          <w:rFonts w:ascii="Arial" w:hAnsi="Arial" w:cs="Arial"/>
          <w:iCs/>
          <w:sz w:val="24"/>
          <w:szCs w:val="24"/>
        </w:rPr>
      </w:pPr>
      <w:r w:rsidRPr="00264F34">
        <w:rPr>
          <w:rFonts w:ascii="Arial" w:hAnsi="Arial" w:cs="Arial"/>
          <w:iCs/>
          <w:sz w:val="24"/>
          <w:szCs w:val="24"/>
        </w:rPr>
        <w:t>The purpose of introducing new tenancy termination provisions into the RTA is to facilitate the removal of the more arbitrary ‘</w:t>
      </w:r>
      <w:r w:rsidR="00465521">
        <w:rPr>
          <w:rFonts w:ascii="Arial" w:hAnsi="Arial" w:cs="Arial"/>
          <w:iCs/>
          <w:sz w:val="24"/>
          <w:szCs w:val="24"/>
        </w:rPr>
        <w:t>without</w:t>
      </w:r>
      <w:r w:rsidRPr="00264F34">
        <w:rPr>
          <w:rFonts w:ascii="Arial" w:hAnsi="Arial" w:cs="Arial"/>
          <w:iCs/>
          <w:sz w:val="24"/>
          <w:szCs w:val="24"/>
        </w:rPr>
        <w:t xml:space="preserve"> cause’ ground for tenancy termination which currently permits lessors to end a tenancy without providing the </w:t>
      </w:r>
      <w:r w:rsidRPr="00264F34">
        <w:rPr>
          <w:rFonts w:ascii="Arial" w:hAnsi="Arial" w:cs="Arial"/>
          <w:iCs/>
          <w:sz w:val="24"/>
          <w:szCs w:val="24"/>
        </w:rPr>
        <w:lastRenderedPageBreak/>
        <w:t>tenant any reason for doing so. Further, the introduction of new termination provisions recognises that there are legitimate grounds on which a lessor may need to end a tenancy which are not currently recognised as prescribed grounds under the RTA. The</w:t>
      </w:r>
      <w:r w:rsidR="00247DC5">
        <w:rPr>
          <w:rFonts w:ascii="Arial" w:hAnsi="Arial" w:cs="Arial"/>
          <w:iCs/>
          <w:sz w:val="24"/>
          <w:szCs w:val="24"/>
        </w:rPr>
        <w:t xml:space="preserve"> new terminations provisions</w:t>
      </w:r>
      <w:r w:rsidRPr="00264F34">
        <w:rPr>
          <w:rFonts w:ascii="Arial" w:hAnsi="Arial" w:cs="Arial"/>
          <w:iCs/>
          <w:sz w:val="24"/>
          <w:szCs w:val="24"/>
        </w:rPr>
        <w:t xml:space="preserve"> support private landlords to utilise their property assets </w:t>
      </w:r>
      <w:r w:rsidR="00247DC5">
        <w:rPr>
          <w:rFonts w:ascii="Arial" w:hAnsi="Arial" w:cs="Arial"/>
          <w:iCs/>
          <w:sz w:val="24"/>
          <w:szCs w:val="24"/>
        </w:rPr>
        <w:t>for lawful purposes</w:t>
      </w:r>
      <w:r w:rsidRPr="00264F34">
        <w:rPr>
          <w:rFonts w:ascii="Arial" w:hAnsi="Arial" w:cs="Arial"/>
          <w:iCs/>
          <w:sz w:val="24"/>
          <w:szCs w:val="24"/>
        </w:rPr>
        <w:t xml:space="preserve"> </w:t>
      </w:r>
      <w:r w:rsidR="00247DC5">
        <w:rPr>
          <w:rFonts w:ascii="Arial" w:hAnsi="Arial" w:cs="Arial"/>
          <w:iCs/>
          <w:sz w:val="24"/>
          <w:szCs w:val="24"/>
        </w:rPr>
        <w:t xml:space="preserve">other than as rental accommodation </w:t>
      </w:r>
      <w:r w:rsidRPr="00264F34">
        <w:rPr>
          <w:rFonts w:ascii="Arial" w:hAnsi="Arial" w:cs="Arial"/>
          <w:iCs/>
          <w:sz w:val="24"/>
          <w:szCs w:val="24"/>
        </w:rPr>
        <w:t xml:space="preserve">and </w:t>
      </w:r>
      <w:r w:rsidR="00247DC5">
        <w:rPr>
          <w:rFonts w:ascii="Arial" w:hAnsi="Arial" w:cs="Arial"/>
          <w:iCs/>
          <w:sz w:val="24"/>
          <w:szCs w:val="24"/>
        </w:rPr>
        <w:t xml:space="preserve">also </w:t>
      </w:r>
      <w:r w:rsidRPr="00264F34">
        <w:rPr>
          <w:rFonts w:ascii="Arial" w:hAnsi="Arial" w:cs="Arial"/>
          <w:iCs/>
          <w:sz w:val="24"/>
          <w:szCs w:val="24"/>
        </w:rPr>
        <w:t xml:space="preserve">support </w:t>
      </w:r>
      <w:r w:rsidR="00501270">
        <w:rPr>
          <w:rFonts w:ascii="Arial" w:hAnsi="Arial" w:cs="Arial"/>
          <w:iCs/>
          <w:sz w:val="24"/>
          <w:szCs w:val="24"/>
        </w:rPr>
        <w:t>public</w:t>
      </w:r>
      <w:r w:rsidRPr="00264F34">
        <w:rPr>
          <w:rFonts w:ascii="Arial" w:hAnsi="Arial" w:cs="Arial"/>
          <w:iCs/>
          <w:sz w:val="24"/>
          <w:szCs w:val="24"/>
        </w:rPr>
        <w:t xml:space="preserve"> and community landlords to provide </w:t>
      </w:r>
      <w:r w:rsidR="00B21FF4">
        <w:rPr>
          <w:rFonts w:ascii="Arial" w:hAnsi="Arial" w:cs="Arial"/>
          <w:iCs/>
          <w:sz w:val="24"/>
          <w:szCs w:val="24"/>
        </w:rPr>
        <w:t xml:space="preserve">subsidised accommodation </w:t>
      </w:r>
      <w:r w:rsidRPr="00264F34">
        <w:rPr>
          <w:rFonts w:ascii="Arial" w:hAnsi="Arial" w:cs="Arial"/>
          <w:iCs/>
          <w:sz w:val="24"/>
          <w:szCs w:val="24"/>
        </w:rPr>
        <w:t xml:space="preserve">programs that are effectively targeted towards eligible tenants. </w:t>
      </w:r>
    </w:p>
    <w:p w14:paraId="6FF93C0F" w14:textId="77777777" w:rsidR="00687ABF" w:rsidRPr="00264F34" w:rsidRDefault="00687ABF" w:rsidP="00DA6700">
      <w:pPr>
        <w:pStyle w:val="ListParagraph"/>
        <w:rPr>
          <w:rFonts w:ascii="Arial" w:hAnsi="Arial" w:cs="Arial"/>
          <w:i/>
          <w:sz w:val="24"/>
          <w:szCs w:val="24"/>
          <w:u w:val="single"/>
        </w:rPr>
      </w:pPr>
      <w:r w:rsidRPr="00264F34">
        <w:rPr>
          <w:rFonts w:ascii="Arial" w:hAnsi="Arial" w:cs="Arial"/>
          <w:i/>
          <w:sz w:val="24"/>
          <w:szCs w:val="24"/>
          <w:u w:val="single"/>
        </w:rPr>
        <w:t>Rational connection between the limitation and the purpose (s 28 (2) (d))</w:t>
      </w:r>
    </w:p>
    <w:p w14:paraId="47820D73" w14:textId="77777777" w:rsidR="00687ABF" w:rsidRPr="00264F34" w:rsidRDefault="00687ABF" w:rsidP="00DA6700">
      <w:pPr>
        <w:pStyle w:val="ListParagraph"/>
        <w:rPr>
          <w:rFonts w:ascii="Arial" w:hAnsi="Arial" w:cs="Arial"/>
          <w:i/>
          <w:sz w:val="24"/>
          <w:szCs w:val="24"/>
          <w:u w:val="single"/>
        </w:rPr>
      </w:pPr>
    </w:p>
    <w:p w14:paraId="634AD44F" w14:textId="2F522785" w:rsidR="00687ABF" w:rsidRPr="00264F34" w:rsidRDefault="00687ABF" w:rsidP="00DA6700">
      <w:pPr>
        <w:rPr>
          <w:rFonts w:ascii="Arial" w:hAnsi="Arial" w:cs="Arial"/>
          <w:iCs/>
          <w:sz w:val="24"/>
          <w:szCs w:val="24"/>
        </w:rPr>
      </w:pPr>
      <w:r w:rsidRPr="00264F34">
        <w:rPr>
          <w:rFonts w:ascii="Arial" w:hAnsi="Arial" w:cs="Arial"/>
          <w:iCs/>
          <w:sz w:val="24"/>
          <w:szCs w:val="24"/>
        </w:rPr>
        <w:t>The introduction of new prescribed termination grounds which engage and may limit the right to privacy is rationally connected to the overarching goal of removing the ‘</w:t>
      </w:r>
      <w:r w:rsidR="00465521">
        <w:rPr>
          <w:rFonts w:ascii="Arial" w:hAnsi="Arial" w:cs="Arial"/>
          <w:iCs/>
          <w:sz w:val="24"/>
          <w:szCs w:val="24"/>
        </w:rPr>
        <w:t>without</w:t>
      </w:r>
      <w:r w:rsidRPr="00264F34">
        <w:rPr>
          <w:rFonts w:ascii="Arial" w:hAnsi="Arial" w:cs="Arial"/>
          <w:iCs/>
          <w:sz w:val="24"/>
          <w:szCs w:val="24"/>
        </w:rPr>
        <w:t xml:space="preserve"> cause’ tenancy termination provision. This is because the introduction of a limited number of new and narrowly circumscribed termination provisions which recognise the legitimate circumstances in which a tenancy may need to be ended, facilitate the removal of the open</w:t>
      </w:r>
      <w:r w:rsidR="00B44899">
        <w:rPr>
          <w:rFonts w:ascii="Arial" w:hAnsi="Arial" w:cs="Arial"/>
          <w:iCs/>
          <w:sz w:val="24"/>
          <w:szCs w:val="24"/>
        </w:rPr>
        <w:t>-</w:t>
      </w:r>
      <w:r w:rsidRPr="00264F34">
        <w:rPr>
          <w:rFonts w:ascii="Arial" w:hAnsi="Arial" w:cs="Arial"/>
          <w:iCs/>
          <w:sz w:val="24"/>
          <w:szCs w:val="24"/>
        </w:rPr>
        <w:t>ended and arbitrary ‘</w:t>
      </w:r>
      <w:r w:rsidR="00465521">
        <w:rPr>
          <w:rFonts w:ascii="Arial" w:hAnsi="Arial" w:cs="Arial"/>
          <w:iCs/>
          <w:sz w:val="24"/>
          <w:szCs w:val="24"/>
        </w:rPr>
        <w:t>without</w:t>
      </w:r>
      <w:r w:rsidRPr="00264F34">
        <w:rPr>
          <w:rFonts w:ascii="Arial" w:hAnsi="Arial" w:cs="Arial"/>
          <w:iCs/>
          <w:sz w:val="24"/>
          <w:szCs w:val="24"/>
        </w:rPr>
        <w:t xml:space="preserve"> cause’ termination provision. </w:t>
      </w:r>
    </w:p>
    <w:p w14:paraId="48BFCB3E" w14:textId="77777777" w:rsidR="00687ABF" w:rsidRPr="00264F34" w:rsidRDefault="00687ABF" w:rsidP="00DA6700">
      <w:pPr>
        <w:pStyle w:val="ListParagraph"/>
        <w:rPr>
          <w:rFonts w:ascii="Arial" w:hAnsi="Arial" w:cs="Arial"/>
          <w:i/>
          <w:sz w:val="24"/>
          <w:szCs w:val="24"/>
          <w:u w:val="single"/>
        </w:rPr>
      </w:pPr>
      <w:r w:rsidRPr="00264F34">
        <w:rPr>
          <w:rFonts w:ascii="Arial" w:hAnsi="Arial" w:cs="Arial"/>
          <w:i/>
          <w:sz w:val="24"/>
          <w:szCs w:val="24"/>
          <w:u w:val="single"/>
        </w:rPr>
        <w:t>Proportionality (s 28 (2) (e))</w:t>
      </w:r>
    </w:p>
    <w:p w14:paraId="00E4DCA0" w14:textId="77777777" w:rsidR="00687ABF" w:rsidRPr="00264F34" w:rsidRDefault="00687ABF" w:rsidP="00DA6700">
      <w:pPr>
        <w:pStyle w:val="ListParagraph"/>
        <w:rPr>
          <w:rFonts w:ascii="Arial" w:hAnsi="Arial" w:cs="Arial"/>
          <w:i/>
          <w:sz w:val="24"/>
          <w:szCs w:val="24"/>
          <w:u w:val="single"/>
        </w:rPr>
      </w:pPr>
    </w:p>
    <w:p w14:paraId="66F08418" w14:textId="57F2E88D" w:rsidR="00687ABF" w:rsidRPr="00264F34" w:rsidRDefault="00687ABF" w:rsidP="00DA6700">
      <w:pPr>
        <w:rPr>
          <w:rFonts w:ascii="Arial" w:hAnsi="Arial" w:cs="Arial"/>
          <w:iCs/>
          <w:sz w:val="24"/>
          <w:szCs w:val="24"/>
        </w:rPr>
      </w:pPr>
      <w:r w:rsidRPr="00264F34">
        <w:rPr>
          <w:rFonts w:ascii="Arial" w:hAnsi="Arial" w:cs="Arial"/>
          <w:iCs/>
          <w:sz w:val="24"/>
          <w:szCs w:val="24"/>
        </w:rPr>
        <w:t xml:space="preserve">Each of the new termination provisions contain safeguards to ensure any potential limitations on the right to privacy are reasonable and justified. The provisions are narrowly targeted so that they </w:t>
      </w:r>
      <w:r w:rsidR="00247DC5">
        <w:rPr>
          <w:rFonts w:ascii="Arial" w:hAnsi="Arial" w:cs="Arial"/>
          <w:iCs/>
          <w:sz w:val="24"/>
          <w:szCs w:val="24"/>
        </w:rPr>
        <w:t xml:space="preserve">only </w:t>
      </w:r>
      <w:r w:rsidRPr="00264F34">
        <w:rPr>
          <w:rFonts w:ascii="Arial" w:hAnsi="Arial" w:cs="Arial"/>
          <w:iCs/>
          <w:sz w:val="24"/>
          <w:szCs w:val="24"/>
        </w:rPr>
        <w:t xml:space="preserve">apply in limited circumstances. Further, each provision requires the lessor to provide the tenant with a reason for the tenancy termination. Providing a reason in line with a prescribed ground for termination guards against the termination of the tenancy being arbitrary. </w:t>
      </w:r>
    </w:p>
    <w:p w14:paraId="34087FBC" w14:textId="33C3A2D3" w:rsidR="00687ABF" w:rsidRPr="00264F34" w:rsidRDefault="00247DC5" w:rsidP="00DA6700">
      <w:pPr>
        <w:rPr>
          <w:rFonts w:ascii="Arial" w:hAnsi="Arial" w:cs="Arial"/>
          <w:iCs/>
          <w:sz w:val="24"/>
          <w:szCs w:val="24"/>
        </w:rPr>
      </w:pPr>
      <w:r>
        <w:rPr>
          <w:rFonts w:ascii="Arial" w:hAnsi="Arial" w:cs="Arial"/>
          <w:iCs/>
          <w:sz w:val="24"/>
          <w:szCs w:val="24"/>
        </w:rPr>
        <w:t>In addition</w:t>
      </w:r>
      <w:r w:rsidR="00687ABF" w:rsidRPr="00264F34">
        <w:rPr>
          <w:rFonts w:ascii="Arial" w:hAnsi="Arial" w:cs="Arial"/>
          <w:iCs/>
          <w:sz w:val="24"/>
          <w:szCs w:val="24"/>
        </w:rPr>
        <w:t>, each of the new tenancy termination provisions will operate within the existing framework of protections for tenancy termination in the RTA. That is, unless a tenant vacates a tenancy in accordance with a notice to vacate, a tenancy will only terminate in accordance with an</w:t>
      </w:r>
      <w:r w:rsidR="00687ABF" w:rsidRPr="00B44899">
        <w:rPr>
          <w:rFonts w:ascii="Arial" w:hAnsi="Arial" w:cs="Arial"/>
          <w:iCs/>
          <w:sz w:val="24"/>
          <w:szCs w:val="24"/>
        </w:rPr>
        <w:t xml:space="preserve"> ACAT</w:t>
      </w:r>
      <w:r w:rsidR="00687ABF" w:rsidRPr="00264F34">
        <w:rPr>
          <w:rFonts w:ascii="Arial" w:hAnsi="Arial" w:cs="Arial"/>
          <w:iCs/>
          <w:sz w:val="24"/>
          <w:szCs w:val="24"/>
        </w:rPr>
        <w:t xml:space="preserve"> order. In the case of each of the new termination provisions, ACAT will retain a discretion as to whether to make the termination order. This safeguard ensures ACAT is permitted to consider all the circumstances of a case when mak</w:t>
      </w:r>
      <w:r w:rsidR="00414C79">
        <w:rPr>
          <w:rFonts w:ascii="Arial" w:hAnsi="Arial" w:cs="Arial"/>
          <w:iCs/>
          <w:sz w:val="24"/>
          <w:szCs w:val="24"/>
        </w:rPr>
        <w:t>ing</w:t>
      </w:r>
      <w:r w:rsidR="00687ABF" w:rsidRPr="00264F34">
        <w:rPr>
          <w:rFonts w:ascii="Arial" w:hAnsi="Arial" w:cs="Arial"/>
          <w:iCs/>
          <w:sz w:val="24"/>
          <w:szCs w:val="24"/>
        </w:rPr>
        <w:t xml:space="preserve"> an order and may decline to make a termination order where appropriate. </w:t>
      </w:r>
    </w:p>
    <w:p w14:paraId="45192DA2" w14:textId="2229D1F7" w:rsidR="00687ABF" w:rsidRPr="00264F34" w:rsidRDefault="00687ABF" w:rsidP="00DA6700">
      <w:pPr>
        <w:rPr>
          <w:rFonts w:ascii="Arial" w:hAnsi="Arial" w:cs="Arial"/>
          <w:iCs/>
          <w:sz w:val="24"/>
          <w:szCs w:val="24"/>
        </w:rPr>
      </w:pPr>
      <w:r w:rsidRPr="00264F34">
        <w:rPr>
          <w:rFonts w:ascii="Arial" w:hAnsi="Arial" w:cs="Arial"/>
          <w:iCs/>
          <w:sz w:val="24"/>
          <w:szCs w:val="24"/>
        </w:rPr>
        <w:t xml:space="preserve">In addition, the Bill will broaden the application of the existing retaliatory eviction provisions to provide greater protections for tenants. The current retaliatory eviction provision requires the tenant to wait until the </w:t>
      </w:r>
      <w:r w:rsidR="009D65D8">
        <w:rPr>
          <w:rFonts w:ascii="Arial" w:hAnsi="Arial" w:cs="Arial"/>
          <w:iCs/>
          <w:sz w:val="24"/>
          <w:szCs w:val="24"/>
        </w:rPr>
        <w:t>TPO</w:t>
      </w:r>
      <w:r w:rsidRPr="00264F34">
        <w:rPr>
          <w:rFonts w:ascii="Arial" w:hAnsi="Arial" w:cs="Arial"/>
          <w:iCs/>
          <w:sz w:val="24"/>
          <w:szCs w:val="24"/>
        </w:rPr>
        <w:t xml:space="preserve"> hearing</w:t>
      </w:r>
      <w:r w:rsidR="00B44899">
        <w:rPr>
          <w:rFonts w:ascii="Arial" w:hAnsi="Arial" w:cs="Arial"/>
          <w:iCs/>
          <w:sz w:val="24"/>
          <w:szCs w:val="24"/>
        </w:rPr>
        <w:t xml:space="preserve"> in ACAT</w:t>
      </w:r>
      <w:r w:rsidRPr="00264F34">
        <w:rPr>
          <w:rFonts w:ascii="Arial" w:hAnsi="Arial" w:cs="Arial"/>
          <w:iCs/>
          <w:sz w:val="24"/>
          <w:szCs w:val="24"/>
        </w:rPr>
        <w:t xml:space="preserve"> before making the argument that the termination being sought is retaliatory.  The proposed amendments will allow tenants to apply to the ACAT to seek review of </w:t>
      </w:r>
      <w:r w:rsidR="00E33307">
        <w:rPr>
          <w:rFonts w:ascii="Arial" w:hAnsi="Arial" w:cs="Arial"/>
          <w:iCs/>
          <w:sz w:val="24"/>
          <w:szCs w:val="24"/>
        </w:rPr>
        <w:t xml:space="preserve">a </w:t>
      </w:r>
      <w:r w:rsidRPr="00264F34">
        <w:rPr>
          <w:rFonts w:ascii="Arial" w:hAnsi="Arial" w:cs="Arial"/>
          <w:iCs/>
          <w:sz w:val="24"/>
          <w:szCs w:val="24"/>
        </w:rPr>
        <w:t>purported NTV at the time the notice is received</w:t>
      </w:r>
      <w:r w:rsidR="00E33307">
        <w:rPr>
          <w:rFonts w:ascii="Arial" w:hAnsi="Arial" w:cs="Arial"/>
          <w:iCs/>
          <w:sz w:val="24"/>
          <w:szCs w:val="24"/>
        </w:rPr>
        <w:t>,</w:t>
      </w:r>
      <w:r w:rsidRPr="00264F34">
        <w:rPr>
          <w:rFonts w:ascii="Arial" w:hAnsi="Arial" w:cs="Arial"/>
          <w:iCs/>
          <w:sz w:val="24"/>
          <w:szCs w:val="24"/>
        </w:rPr>
        <w:t xml:space="preserve"> rather than </w:t>
      </w:r>
      <w:r w:rsidR="00E33307">
        <w:rPr>
          <w:rFonts w:ascii="Arial" w:hAnsi="Arial" w:cs="Arial"/>
          <w:iCs/>
          <w:sz w:val="24"/>
          <w:szCs w:val="24"/>
        </w:rPr>
        <w:t>at</w:t>
      </w:r>
      <w:r w:rsidRPr="00264F34">
        <w:rPr>
          <w:rFonts w:ascii="Arial" w:hAnsi="Arial" w:cs="Arial"/>
          <w:iCs/>
          <w:sz w:val="24"/>
          <w:szCs w:val="24"/>
        </w:rPr>
        <w:t xml:space="preserve"> the tenancy termination hearing. This gives tenants greater certainty as to whether their tenancy will end on the proposed end date and allows them time to prepare to move if necessary. Additionally, the amendment will introduce an additional ground on which an eviction </w:t>
      </w:r>
      <w:r w:rsidRPr="00264F34">
        <w:rPr>
          <w:rFonts w:ascii="Arial" w:hAnsi="Arial" w:cs="Arial"/>
          <w:iCs/>
          <w:sz w:val="24"/>
          <w:szCs w:val="24"/>
        </w:rPr>
        <w:lastRenderedPageBreak/>
        <w:t xml:space="preserve">may be considered retaliatory, that is, where a tenant has spoken in the media or posted on social media about their tenancy experience. </w:t>
      </w:r>
    </w:p>
    <w:p w14:paraId="3FB4A80A" w14:textId="4A1F27A1" w:rsidR="00501270" w:rsidRPr="00264F34" w:rsidRDefault="00687ABF" w:rsidP="00DA6700">
      <w:pPr>
        <w:rPr>
          <w:rFonts w:ascii="Arial" w:hAnsi="Arial" w:cs="Arial"/>
          <w:iCs/>
          <w:sz w:val="24"/>
          <w:szCs w:val="24"/>
        </w:rPr>
      </w:pPr>
      <w:r w:rsidRPr="00264F34">
        <w:rPr>
          <w:rFonts w:ascii="Arial" w:hAnsi="Arial" w:cs="Arial"/>
          <w:iCs/>
          <w:sz w:val="24"/>
          <w:szCs w:val="24"/>
        </w:rPr>
        <w:t>The retaliatory eviction provisions act as an additional safeguard by ensuring that a lessor’s reliance on a proposed termination ground is genuine</w:t>
      </w:r>
      <w:r w:rsidR="00414C79">
        <w:rPr>
          <w:rFonts w:ascii="Arial" w:hAnsi="Arial" w:cs="Arial"/>
          <w:iCs/>
          <w:sz w:val="24"/>
          <w:szCs w:val="24"/>
        </w:rPr>
        <w:t xml:space="preserve">, </w:t>
      </w:r>
      <w:r w:rsidRPr="00264F34">
        <w:rPr>
          <w:rFonts w:ascii="Arial" w:hAnsi="Arial" w:cs="Arial"/>
          <w:iCs/>
          <w:sz w:val="24"/>
          <w:szCs w:val="24"/>
        </w:rPr>
        <w:t>ensur</w:t>
      </w:r>
      <w:r w:rsidR="00414C79">
        <w:rPr>
          <w:rFonts w:ascii="Arial" w:hAnsi="Arial" w:cs="Arial"/>
          <w:iCs/>
          <w:sz w:val="24"/>
          <w:szCs w:val="24"/>
        </w:rPr>
        <w:t>ing</w:t>
      </w:r>
      <w:r w:rsidRPr="00264F34">
        <w:rPr>
          <w:rFonts w:ascii="Arial" w:hAnsi="Arial" w:cs="Arial"/>
          <w:iCs/>
          <w:sz w:val="24"/>
          <w:szCs w:val="24"/>
        </w:rPr>
        <w:t xml:space="preserve"> new and existing termination provisions are not misused by lessors. </w:t>
      </w:r>
    </w:p>
    <w:p w14:paraId="629281CB" w14:textId="77777777" w:rsidR="00687ABF" w:rsidRPr="00264F34" w:rsidRDefault="00687ABF" w:rsidP="00DA6700">
      <w:pPr>
        <w:rPr>
          <w:rFonts w:ascii="Arial" w:hAnsi="Arial" w:cs="Arial"/>
          <w:iCs/>
          <w:sz w:val="24"/>
          <w:szCs w:val="24"/>
        </w:rPr>
      </w:pPr>
      <w:r w:rsidRPr="00264F34">
        <w:rPr>
          <w:rFonts w:ascii="Arial" w:hAnsi="Arial" w:cs="Arial"/>
          <w:iCs/>
          <w:sz w:val="24"/>
          <w:szCs w:val="24"/>
        </w:rPr>
        <w:t xml:space="preserve">Additional safeguards specific to each new termination provision have also been incorporated and are discussed further below. </w:t>
      </w:r>
    </w:p>
    <w:p w14:paraId="298A2D87" w14:textId="77A21248" w:rsidR="00687ABF" w:rsidRPr="00264F34" w:rsidRDefault="00687ABF" w:rsidP="00DA6700">
      <w:pPr>
        <w:rPr>
          <w:rFonts w:ascii="Arial" w:hAnsi="Arial" w:cs="Arial"/>
          <w:b/>
          <w:bCs/>
          <w:i/>
          <w:sz w:val="24"/>
          <w:szCs w:val="24"/>
        </w:rPr>
      </w:pPr>
      <w:r w:rsidRPr="00264F34">
        <w:rPr>
          <w:rFonts w:ascii="Arial" w:hAnsi="Arial" w:cs="Arial"/>
          <w:b/>
          <w:bCs/>
          <w:i/>
          <w:sz w:val="24"/>
          <w:szCs w:val="24"/>
        </w:rPr>
        <w:t xml:space="preserve">Right to privacy and home – new tenancy termination provision on the ground the </w:t>
      </w:r>
      <w:r w:rsidR="003B727B">
        <w:rPr>
          <w:rFonts w:ascii="Arial" w:hAnsi="Arial" w:cs="Arial"/>
          <w:b/>
          <w:bCs/>
          <w:i/>
          <w:sz w:val="24"/>
          <w:szCs w:val="24"/>
        </w:rPr>
        <w:t>lessor requires the premises for a lawful use other than as a home</w:t>
      </w:r>
    </w:p>
    <w:p w14:paraId="35015349" w14:textId="41F84DB1" w:rsidR="00687ABF" w:rsidRDefault="00687ABF" w:rsidP="00DA6700">
      <w:pPr>
        <w:pStyle w:val="ListParagraph"/>
        <w:rPr>
          <w:rFonts w:ascii="Arial" w:hAnsi="Arial" w:cs="Arial"/>
          <w:i/>
          <w:sz w:val="24"/>
          <w:szCs w:val="24"/>
          <w:u w:val="single"/>
        </w:rPr>
      </w:pPr>
      <w:r w:rsidRPr="00264F34">
        <w:rPr>
          <w:rFonts w:ascii="Arial" w:hAnsi="Arial" w:cs="Arial"/>
          <w:i/>
          <w:sz w:val="24"/>
          <w:szCs w:val="24"/>
          <w:u w:val="single"/>
        </w:rPr>
        <w:t>Nature of the right and the limitation (ss 28 (2) (a) and (c))</w:t>
      </w:r>
    </w:p>
    <w:p w14:paraId="6DC95517" w14:textId="77777777" w:rsidR="00E33307" w:rsidRPr="00264F34" w:rsidRDefault="00E33307" w:rsidP="00DA6700">
      <w:pPr>
        <w:pStyle w:val="ListParagraph"/>
        <w:rPr>
          <w:rFonts w:ascii="Arial" w:hAnsi="Arial" w:cs="Arial"/>
          <w:i/>
          <w:sz w:val="24"/>
          <w:szCs w:val="24"/>
          <w:u w:val="single"/>
        </w:rPr>
      </w:pPr>
    </w:p>
    <w:p w14:paraId="7C0CD621" w14:textId="2D149DD6" w:rsidR="00687ABF" w:rsidRPr="00264F34" w:rsidRDefault="00687ABF" w:rsidP="00DA6700">
      <w:pPr>
        <w:rPr>
          <w:rFonts w:ascii="Arial" w:hAnsi="Arial" w:cs="Arial"/>
          <w:iCs/>
          <w:sz w:val="24"/>
          <w:szCs w:val="24"/>
        </w:rPr>
      </w:pPr>
      <w:r w:rsidRPr="00264F34">
        <w:rPr>
          <w:rFonts w:ascii="Arial" w:hAnsi="Arial" w:cs="Arial"/>
          <w:iCs/>
          <w:sz w:val="24"/>
          <w:szCs w:val="24"/>
        </w:rPr>
        <w:t xml:space="preserve">The Bill will introduce </w:t>
      </w:r>
      <w:r w:rsidR="00E33307">
        <w:rPr>
          <w:rFonts w:ascii="Arial" w:hAnsi="Arial" w:cs="Arial"/>
          <w:iCs/>
          <w:sz w:val="24"/>
          <w:szCs w:val="24"/>
        </w:rPr>
        <w:t xml:space="preserve">a </w:t>
      </w:r>
      <w:r w:rsidRPr="00264F34">
        <w:rPr>
          <w:rFonts w:ascii="Arial" w:hAnsi="Arial" w:cs="Arial"/>
          <w:iCs/>
          <w:sz w:val="24"/>
          <w:szCs w:val="24"/>
        </w:rPr>
        <w:t>new tenancy</w:t>
      </w:r>
      <w:r w:rsidR="00E33307">
        <w:rPr>
          <w:rFonts w:ascii="Arial" w:hAnsi="Arial" w:cs="Arial"/>
          <w:iCs/>
          <w:sz w:val="24"/>
          <w:szCs w:val="24"/>
        </w:rPr>
        <w:t xml:space="preserve"> termination ground</w:t>
      </w:r>
      <w:r w:rsidRPr="00264F34">
        <w:rPr>
          <w:rFonts w:ascii="Arial" w:hAnsi="Arial" w:cs="Arial"/>
          <w:iCs/>
          <w:sz w:val="24"/>
          <w:szCs w:val="24"/>
        </w:rPr>
        <w:t xml:space="preserve"> where the </w:t>
      </w:r>
      <w:r w:rsidR="000E496F">
        <w:rPr>
          <w:rFonts w:ascii="Arial" w:hAnsi="Arial" w:cs="Arial"/>
          <w:iCs/>
          <w:sz w:val="24"/>
          <w:szCs w:val="24"/>
        </w:rPr>
        <w:t xml:space="preserve">lessor requires the </w:t>
      </w:r>
      <w:r w:rsidRPr="00264F34">
        <w:rPr>
          <w:rFonts w:ascii="Arial" w:hAnsi="Arial" w:cs="Arial"/>
          <w:iCs/>
          <w:sz w:val="24"/>
          <w:szCs w:val="24"/>
        </w:rPr>
        <w:t xml:space="preserve">premises for a </w:t>
      </w:r>
      <w:r w:rsidR="003B727B">
        <w:rPr>
          <w:rFonts w:ascii="Arial" w:hAnsi="Arial" w:cs="Arial"/>
          <w:iCs/>
          <w:sz w:val="24"/>
          <w:szCs w:val="24"/>
        </w:rPr>
        <w:t xml:space="preserve">lawful </w:t>
      </w:r>
      <w:r w:rsidR="000E496F">
        <w:rPr>
          <w:rFonts w:ascii="Arial" w:hAnsi="Arial" w:cs="Arial"/>
          <w:iCs/>
          <w:sz w:val="24"/>
          <w:szCs w:val="24"/>
        </w:rPr>
        <w:t>use other than as a home</w:t>
      </w:r>
      <w:r w:rsidRPr="00264F34">
        <w:rPr>
          <w:rFonts w:ascii="Arial" w:hAnsi="Arial" w:cs="Arial"/>
          <w:iCs/>
          <w:sz w:val="24"/>
          <w:szCs w:val="24"/>
        </w:rPr>
        <w:t>. This provision engage</w:t>
      </w:r>
      <w:r w:rsidR="000E496F">
        <w:rPr>
          <w:rFonts w:ascii="Arial" w:hAnsi="Arial" w:cs="Arial"/>
          <w:iCs/>
          <w:sz w:val="24"/>
          <w:szCs w:val="24"/>
        </w:rPr>
        <w:t>s</w:t>
      </w:r>
      <w:r w:rsidRPr="00264F34">
        <w:rPr>
          <w:rFonts w:ascii="Arial" w:hAnsi="Arial" w:cs="Arial"/>
          <w:iCs/>
          <w:sz w:val="24"/>
          <w:szCs w:val="24"/>
        </w:rPr>
        <w:t xml:space="preserve"> and may limit the right to privacy as it create</w:t>
      </w:r>
      <w:r w:rsidR="000E496F">
        <w:rPr>
          <w:rFonts w:ascii="Arial" w:hAnsi="Arial" w:cs="Arial"/>
          <w:iCs/>
          <w:sz w:val="24"/>
          <w:szCs w:val="24"/>
        </w:rPr>
        <w:t>s</w:t>
      </w:r>
      <w:r w:rsidRPr="00264F34">
        <w:rPr>
          <w:rFonts w:ascii="Arial" w:hAnsi="Arial" w:cs="Arial"/>
          <w:iCs/>
          <w:sz w:val="24"/>
          <w:szCs w:val="24"/>
        </w:rPr>
        <w:t xml:space="preserve"> an additional circumstance in which a lessor may seek to end a tenancy. </w:t>
      </w:r>
    </w:p>
    <w:p w14:paraId="137FB909" w14:textId="22BCC80C" w:rsidR="00687ABF" w:rsidRDefault="00687ABF" w:rsidP="00DA6700">
      <w:pPr>
        <w:pStyle w:val="ListParagraph"/>
        <w:rPr>
          <w:rFonts w:ascii="Arial" w:hAnsi="Arial" w:cs="Arial"/>
          <w:i/>
          <w:sz w:val="24"/>
          <w:szCs w:val="24"/>
          <w:u w:val="single"/>
        </w:rPr>
      </w:pPr>
      <w:r w:rsidRPr="00264F34">
        <w:rPr>
          <w:rFonts w:ascii="Arial" w:hAnsi="Arial" w:cs="Arial"/>
          <w:i/>
          <w:sz w:val="24"/>
          <w:szCs w:val="24"/>
          <w:u w:val="single"/>
        </w:rPr>
        <w:t>Legitimate purpose (s 28 (2) (b))</w:t>
      </w:r>
    </w:p>
    <w:p w14:paraId="3F532E5B" w14:textId="77777777" w:rsidR="00E33307" w:rsidRPr="00264F34" w:rsidRDefault="00E33307" w:rsidP="00DA6700">
      <w:pPr>
        <w:pStyle w:val="ListParagraph"/>
        <w:rPr>
          <w:rFonts w:ascii="Arial" w:hAnsi="Arial" w:cs="Arial"/>
          <w:i/>
          <w:sz w:val="24"/>
          <w:szCs w:val="24"/>
          <w:u w:val="single"/>
        </w:rPr>
      </w:pPr>
    </w:p>
    <w:p w14:paraId="2830BF51" w14:textId="67CC155D" w:rsidR="00687ABF" w:rsidRPr="00264F34" w:rsidRDefault="00687ABF" w:rsidP="00DA6700">
      <w:pPr>
        <w:rPr>
          <w:rFonts w:ascii="Arial" w:hAnsi="Arial" w:cs="Arial"/>
          <w:iCs/>
          <w:sz w:val="24"/>
          <w:szCs w:val="24"/>
          <w:lang w:eastAsia="en-AU"/>
        </w:rPr>
      </w:pPr>
      <w:r w:rsidRPr="00264F34">
        <w:rPr>
          <w:rFonts w:ascii="Arial" w:hAnsi="Arial" w:cs="Arial"/>
          <w:iCs/>
          <w:sz w:val="24"/>
          <w:szCs w:val="24"/>
        </w:rPr>
        <w:t xml:space="preserve">The purpose of this tenancy termination provision </w:t>
      </w:r>
      <w:r w:rsidRPr="00264F34">
        <w:rPr>
          <w:rFonts w:ascii="Arial" w:hAnsi="Arial" w:cs="Arial"/>
          <w:iCs/>
          <w:sz w:val="24"/>
          <w:szCs w:val="24"/>
          <w:lang w:eastAsia="en-AU"/>
        </w:rPr>
        <w:t xml:space="preserve">is to preserve the </w:t>
      </w:r>
      <w:r w:rsidR="006D6C87">
        <w:rPr>
          <w:rFonts w:ascii="Arial" w:hAnsi="Arial" w:cs="Arial"/>
          <w:iCs/>
          <w:sz w:val="24"/>
          <w:szCs w:val="24"/>
          <w:lang w:eastAsia="en-AU"/>
        </w:rPr>
        <w:t>ability</w:t>
      </w:r>
      <w:r w:rsidRPr="00264F34">
        <w:rPr>
          <w:rFonts w:ascii="Arial" w:hAnsi="Arial" w:cs="Arial"/>
          <w:iCs/>
          <w:sz w:val="24"/>
          <w:szCs w:val="24"/>
          <w:lang w:eastAsia="en-AU"/>
        </w:rPr>
        <w:t xml:space="preserve"> of lessors to manage their private property and utilise it as they see fit, within legal boundaries.  This includes the</w:t>
      </w:r>
      <w:r w:rsidR="006D6C87">
        <w:rPr>
          <w:rFonts w:ascii="Arial" w:hAnsi="Arial" w:cs="Arial"/>
          <w:iCs/>
          <w:sz w:val="24"/>
          <w:szCs w:val="24"/>
          <w:lang w:eastAsia="en-AU"/>
        </w:rPr>
        <w:t xml:space="preserve"> lessor’s entitlement</w:t>
      </w:r>
      <w:r w:rsidRPr="00264F34">
        <w:rPr>
          <w:rFonts w:ascii="Arial" w:hAnsi="Arial" w:cs="Arial"/>
          <w:iCs/>
          <w:sz w:val="24"/>
          <w:szCs w:val="24"/>
          <w:lang w:eastAsia="en-AU"/>
        </w:rPr>
        <w:t xml:space="preserve"> to recover possession of the property to convert its use to a purpose </w:t>
      </w:r>
      <w:r w:rsidR="000E496F">
        <w:rPr>
          <w:rFonts w:ascii="Arial" w:hAnsi="Arial" w:cs="Arial"/>
          <w:iCs/>
          <w:sz w:val="24"/>
          <w:szCs w:val="24"/>
          <w:lang w:eastAsia="en-AU"/>
        </w:rPr>
        <w:t xml:space="preserve">other than a home </w:t>
      </w:r>
      <w:r w:rsidRPr="00264F34">
        <w:rPr>
          <w:rFonts w:ascii="Arial" w:hAnsi="Arial" w:cs="Arial"/>
          <w:iCs/>
          <w:sz w:val="24"/>
          <w:szCs w:val="24"/>
          <w:lang w:eastAsia="en-AU"/>
        </w:rPr>
        <w:t xml:space="preserve">(such as operating a business). There are existing provisions in the RTA which </w:t>
      </w:r>
      <w:r w:rsidR="00F04E9D">
        <w:rPr>
          <w:rFonts w:ascii="Arial" w:hAnsi="Arial" w:cs="Arial"/>
          <w:iCs/>
          <w:sz w:val="24"/>
          <w:szCs w:val="24"/>
          <w:lang w:eastAsia="en-AU"/>
        </w:rPr>
        <w:t>support</w:t>
      </w:r>
      <w:r w:rsidRPr="00264F34">
        <w:rPr>
          <w:rFonts w:ascii="Arial" w:hAnsi="Arial" w:cs="Arial"/>
          <w:iCs/>
          <w:sz w:val="24"/>
          <w:szCs w:val="24"/>
          <w:lang w:eastAsia="en-AU"/>
        </w:rPr>
        <w:t xml:space="preserve"> lessors to regain possession of the premises when they want to utilise their property in a different way, including where they want to sell, renovate, reconstruct, or live in the property. The introduction of this new provision is consistent with the purpose of these existing provisions, providing for an additional circumstance where a lessor may have cause to terminate a tenancy to utilise their private property for a</w:t>
      </w:r>
      <w:r w:rsidR="00313FBE">
        <w:rPr>
          <w:rFonts w:ascii="Arial" w:hAnsi="Arial" w:cs="Arial"/>
          <w:iCs/>
          <w:sz w:val="24"/>
          <w:szCs w:val="24"/>
          <w:lang w:eastAsia="en-AU"/>
        </w:rPr>
        <w:t>ny lawful</w:t>
      </w:r>
      <w:r w:rsidRPr="00264F34">
        <w:rPr>
          <w:rFonts w:ascii="Arial" w:hAnsi="Arial" w:cs="Arial"/>
          <w:iCs/>
          <w:sz w:val="24"/>
          <w:szCs w:val="24"/>
          <w:lang w:eastAsia="en-AU"/>
        </w:rPr>
        <w:t xml:space="preserve"> purpose other than a residential lease. </w:t>
      </w:r>
    </w:p>
    <w:p w14:paraId="7128565F" w14:textId="77777777" w:rsidR="00687ABF" w:rsidRPr="00264F34" w:rsidRDefault="00687ABF" w:rsidP="00DA6700">
      <w:pPr>
        <w:pStyle w:val="ListParagraph"/>
        <w:rPr>
          <w:rFonts w:ascii="Arial" w:hAnsi="Arial" w:cs="Arial"/>
          <w:i/>
          <w:sz w:val="24"/>
          <w:szCs w:val="24"/>
          <w:u w:val="single"/>
        </w:rPr>
      </w:pPr>
      <w:r w:rsidRPr="00264F34">
        <w:rPr>
          <w:rFonts w:ascii="Arial" w:hAnsi="Arial" w:cs="Arial"/>
          <w:i/>
          <w:sz w:val="24"/>
          <w:szCs w:val="24"/>
          <w:u w:val="single"/>
        </w:rPr>
        <w:t>Rational connection between the limitation and the purpose (s 28 (2) (d))</w:t>
      </w:r>
    </w:p>
    <w:p w14:paraId="33867372" w14:textId="77777777" w:rsidR="00687ABF" w:rsidRPr="00264F34" w:rsidRDefault="00687ABF" w:rsidP="00D4599F">
      <w:pPr>
        <w:spacing w:after="0"/>
        <w:rPr>
          <w:rFonts w:ascii="Arial" w:hAnsi="Arial" w:cs="Arial"/>
          <w:iCs/>
          <w:sz w:val="24"/>
          <w:szCs w:val="24"/>
          <w:lang w:eastAsia="en-AU"/>
        </w:rPr>
      </w:pPr>
    </w:p>
    <w:p w14:paraId="4807BCD9" w14:textId="043AD750" w:rsidR="00687ABF" w:rsidRPr="00264F34" w:rsidRDefault="00687ABF" w:rsidP="00DA6700">
      <w:pPr>
        <w:rPr>
          <w:rFonts w:ascii="Arial" w:hAnsi="Arial" w:cs="Arial"/>
          <w:iCs/>
          <w:sz w:val="24"/>
          <w:szCs w:val="24"/>
          <w:lang w:eastAsia="en-AU"/>
        </w:rPr>
      </w:pPr>
      <w:r w:rsidRPr="00264F34">
        <w:rPr>
          <w:rFonts w:ascii="Arial" w:hAnsi="Arial" w:cs="Arial"/>
          <w:iCs/>
          <w:sz w:val="24"/>
          <w:szCs w:val="24"/>
          <w:lang w:eastAsia="en-AU"/>
        </w:rPr>
        <w:t>The limitation on the tenant’s right to privacy which may arise from the introduction of this new termination provision is rationally connected to the purpose of the provision as it allows a lessor to recover possession of the</w:t>
      </w:r>
      <w:r w:rsidR="00D659A9">
        <w:rPr>
          <w:rFonts w:ascii="Arial" w:hAnsi="Arial" w:cs="Arial"/>
          <w:iCs/>
          <w:sz w:val="24"/>
          <w:szCs w:val="24"/>
          <w:lang w:eastAsia="en-AU"/>
        </w:rPr>
        <w:t>ir</w:t>
      </w:r>
      <w:r w:rsidRPr="00264F34">
        <w:rPr>
          <w:rFonts w:ascii="Arial" w:hAnsi="Arial" w:cs="Arial"/>
          <w:iCs/>
          <w:sz w:val="24"/>
          <w:szCs w:val="24"/>
          <w:lang w:eastAsia="en-AU"/>
        </w:rPr>
        <w:t xml:space="preserve"> property to use it for a lawful alternative purpose. </w:t>
      </w:r>
    </w:p>
    <w:p w14:paraId="6BE4A1E7" w14:textId="77777777" w:rsidR="00687ABF" w:rsidRPr="00264F34" w:rsidRDefault="00687ABF" w:rsidP="00DA6700">
      <w:pPr>
        <w:pStyle w:val="ListParagraph"/>
        <w:rPr>
          <w:rFonts w:ascii="Arial" w:hAnsi="Arial" w:cs="Arial"/>
          <w:i/>
          <w:sz w:val="24"/>
          <w:szCs w:val="24"/>
          <w:u w:val="single"/>
        </w:rPr>
      </w:pPr>
      <w:r w:rsidRPr="00264F34">
        <w:rPr>
          <w:rFonts w:ascii="Arial" w:hAnsi="Arial" w:cs="Arial"/>
          <w:i/>
          <w:sz w:val="24"/>
          <w:szCs w:val="24"/>
          <w:u w:val="single"/>
        </w:rPr>
        <w:t>Proportionality (s 28 (2) (e))</w:t>
      </w:r>
    </w:p>
    <w:p w14:paraId="3D24094A" w14:textId="77777777" w:rsidR="00687ABF" w:rsidRPr="00264F34" w:rsidRDefault="00687ABF" w:rsidP="00D4599F">
      <w:pPr>
        <w:spacing w:after="0"/>
        <w:rPr>
          <w:rFonts w:ascii="Arial" w:hAnsi="Arial" w:cs="Arial"/>
          <w:iCs/>
          <w:sz w:val="24"/>
          <w:szCs w:val="24"/>
          <w:lang w:eastAsia="en-AU"/>
        </w:rPr>
      </w:pPr>
    </w:p>
    <w:p w14:paraId="3A81F4BC" w14:textId="7A1AA596" w:rsidR="00F527FF" w:rsidRDefault="00687ABF" w:rsidP="00DA6700">
      <w:pPr>
        <w:rPr>
          <w:rFonts w:ascii="Arial" w:hAnsi="Arial" w:cs="Arial"/>
          <w:iCs/>
          <w:sz w:val="24"/>
          <w:szCs w:val="24"/>
          <w:lang w:eastAsia="en-AU"/>
        </w:rPr>
      </w:pPr>
      <w:r w:rsidRPr="00264F34">
        <w:rPr>
          <w:rFonts w:ascii="Arial" w:hAnsi="Arial" w:cs="Arial"/>
          <w:iCs/>
          <w:sz w:val="24"/>
          <w:szCs w:val="24"/>
          <w:lang w:eastAsia="en-AU"/>
        </w:rPr>
        <w:t xml:space="preserve">This provision contains a number of safeguards to ensure any potential interference with a tenant’s right to privacy is reasonable and justified. First, the provision is drafted to apply only in narrow circumstances – that is, where the lessor wants to convert the use of the premises to a non-residential purpose. Second, the </w:t>
      </w:r>
      <w:r w:rsidRPr="00264F34">
        <w:rPr>
          <w:rFonts w:ascii="Arial" w:hAnsi="Arial" w:cs="Arial"/>
          <w:iCs/>
          <w:sz w:val="24"/>
          <w:szCs w:val="24"/>
          <w:lang w:eastAsia="en-AU"/>
        </w:rPr>
        <w:lastRenderedPageBreak/>
        <w:t xml:space="preserve">termination provision can only be used during a periodic tenancy, not during a fixed term. This preserves the nature of a fixed term tenancy and narrows the operation of the provision. Third, the provision requires the lessor to provide the tenant with significant notice of the proposed tenancy termination – a 26 week notice period.  This notice period provides the tenant with time to prepare for a move and to source alternative accommodation. </w:t>
      </w:r>
      <w:r w:rsidR="00F527FF">
        <w:rPr>
          <w:rFonts w:ascii="Arial" w:hAnsi="Arial" w:cs="Arial"/>
          <w:iCs/>
          <w:sz w:val="24"/>
          <w:szCs w:val="24"/>
          <w:lang w:eastAsia="en-AU"/>
        </w:rPr>
        <w:t>Fourthly</w:t>
      </w:r>
      <w:r w:rsidRPr="00264F34">
        <w:rPr>
          <w:rFonts w:ascii="Arial" w:hAnsi="Arial" w:cs="Arial"/>
          <w:iCs/>
          <w:sz w:val="24"/>
          <w:szCs w:val="24"/>
          <w:lang w:eastAsia="en-AU"/>
        </w:rPr>
        <w:t xml:space="preserve">, the lessor must provide evidence that their reliance on the ground is genuine, such as having lodged a development application for the proposed conversion of use for the premises. Further, the termination provision requires that the proposed alternative use of the premises be lawful. This means, for example, that the proposed use must comply with zoning and unit titles rules. This would mean a property could not be converted to a commercial use if it was in a residential zone that prohibited a commercial venture of the nature proposed. </w:t>
      </w:r>
    </w:p>
    <w:p w14:paraId="2A8524CA" w14:textId="3A145EB4" w:rsidR="00687ABF" w:rsidRPr="00264F34" w:rsidRDefault="00687ABF" w:rsidP="00DA6700">
      <w:pPr>
        <w:rPr>
          <w:rFonts w:ascii="Arial" w:hAnsi="Arial" w:cs="Arial"/>
          <w:iCs/>
          <w:sz w:val="24"/>
          <w:szCs w:val="24"/>
        </w:rPr>
      </w:pPr>
      <w:r w:rsidRPr="00264F34">
        <w:rPr>
          <w:rFonts w:ascii="Arial" w:hAnsi="Arial" w:cs="Arial"/>
          <w:iCs/>
          <w:sz w:val="24"/>
          <w:szCs w:val="24"/>
        </w:rPr>
        <w:t xml:space="preserve">These safeguards prevent arbitrary interference with the home by limiting the extent to which lessors may misuse the provision and terminate a tenancy without genuinely satisfying the prescribed ground for termination.  </w:t>
      </w:r>
    </w:p>
    <w:p w14:paraId="6A4A54DE" w14:textId="568E220F" w:rsidR="00BC3565" w:rsidRDefault="00BC3565" w:rsidP="00DA6700">
      <w:pPr>
        <w:rPr>
          <w:rFonts w:ascii="Arial" w:hAnsi="Arial" w:cs="Arial"/>
          <w:b/>
          <w:bCs/>
          <w:i/>
          <w:sz w:val="24"/>
          <w:szCs w:val="24"/>
        </w:rPr>
      </w:pPr>
      <w:r>
        <w:rPr>
          <w:rFonts w:ascii="Arial" w:hAnsi="Arial" w:cs="Arial"/>
          <w:b/>
          <w:bCs/>
          <w:i/>
          <w:sz w:val="24"/>
          <w:szCs w:val="24"/>
        </w:rPr>
        <w:t>Right to privacy and home – new termination provisions that impact public housing, community housing, subsidised accommodation and temporary housing assistance tenancies</w:t>
      </w:r>
      <w:r w:rsidR="005E2C04">
        <w:rPr>
          <w:rFonts w:ascii="Arial" w:hAnsi="Arial" w:cs="Arial"/>
          <w:b/>
          <w:bCs/>
          <w:i/>
          <w:sz w:val="24"/>
          <w:szCs w:val="24"/>
        </w:rPr>
        <w:t xml:space="preserve"> </w:t>
      </w:r>
      <w:r w:rsidR="009D65D8">
        <w:rPr>
          <w:rFonts w:ascii="Arial" w:hAnsi="Arial" w:cs="Arial"/>
          <w:b/>
          <w:bCs/>
          <w:i/>
          <w:sz w:val="24"/>
          <w:szCs w:val="24"/>
        </w:rPr>
        <w:t xml:space="preserve">– overarching analysis </w:t>
      </w:r>
    </w:p>
    <w:p w14:paraId="69A35413" w14:textId="56B05A8C" w:rsidR="00BC3565" w:rsidRDefault="00BC3565" w:rsidP="00DA6700">
      <w:pPr>
        <w:rPr>
          <w:rFonts w:ascii="Arial" w:hAnsi="Arial" w:cs="Arial"/>
          <w:i/>
          <w:sz w:val="24"/>
          <w:szCs w:val="24"/>
        </w:rPr>
      </w:pPr>
      <w:r>
        <w:rPr>
          <w:rFonts w:ascii="Arial" w:hAnsi="Arial" w:cs="Arial"/>
          <w:i/>
          <w:sz w:val="24"/>
          <w:szCs w:val="24"/>
        </w:rPr>
        <w:tab/>
        <w:t>Nature of the right and the limitation (ss 28 (2) (a) and (c))</w:t>
      </w:r>
    </w:p>
    <w:p w14:paraId="164C6982" w14:textId="30511EF2" w:rsidR="00BC3565" w:rsidRPr="00F6657C" w:rsidRDefault="00BC3565" w:rsidP="00BC3565">
      <w:pPr>
        <w:rPr>
          <w:rFonts w:ascii="Arial" w:hAnsi="Arial" w:cs="Arial"/>
          <w:iCs/>
          <w:sz w:val="24"/>
          <w:szCs w:val="24"/>
        </w:rPr>
      </w:pPr>
      <w:r w:rsidRPr="00313FBE">
        <w:rPr>
          <w:rFonts w:ascii="Arial" w:hAnsi="Arial" w:cs="Arial"/>
          <w:iCs/>
          <w:sz w:val="24"/>
          <w:szCs w:val="24"/>
        </w:rPr>
        <w:t xml:space="preserve">The Bill introduces </w:t>
      </w:r>
      <w:r w:rsidR="007A63FC" w:rsidRPr="00313FBE">
        <w:rPr>
          <w:rFonts w:ascii="Arial" w:hAnsi="Arial" w:cs="Arial"/>
          <w:iCs/>
          <w:sz w:val="24"/>
          <w:szCs w:val="24"/>
        </w:rPr>
        <w:t>new</w:t>
      </w:r>
      <w:r w:rsidRPr="00313FBE">
        <w:rPr>
          <w:rFonts w:ascii="Arial" w:hAnsi="Arial" w:cs="Arial"/>
          <w:iCs/>
          <w:sz w:val="24"/>
          <w:szCs w:val="24"/>
        </w:rPr>
        <w:t xml:space="preserve"> termination provisions that are specific to public housing, community housing, subsidised accommodation and temporary housing assistance</w:t>
      </w:r>
      <w:r w:rsidR="007B6417" w:rsidRPr="00313FBE">
        <w:rPr>
          <w:rFonts w:ascii="Arial" w:hAnsi="Arial" w:cs="Arial"/>
          <w:iCs/>
          <w:sz w:val="24"/>
          <w:szCs w:val="24"/>
        </w:rPr>
        <w:t xml:space="preserve"> tenancies</w:t>
      </w:r>
      <w:r w:rsidR="007A63FC" w:rsidRPr="00313FBE">
        <w:rPr>
          <w:rFonts w:ascii="Arial" w:hAnsi="Arial" w:cs="Arial"/>
          <w:iCs/>
          <w:sz w:val="24"/>
          <w:szCs w:val="24"/>
        </w:rPr>
        <w:t xml:space="preserve"> (</w:t>
      </w:r>
      <w:r w:rsidR="007A63FC" w:rsidRPr="00F6657C">
        <w:rPr>
          <w:rFonts w:ascii="Arial" w:hAnsi="Arial" w:cs="Arial"/>
          <w:iCs/>
          <w:sz w:val="24"/>
          <w:szCs w:val="24"/>
        </w:rPr>
        <w:t>see</w:t>
      </w:r>
      <w:r w:rsidR="00B25DF4" w:rsidRPr="00F6657C">
        <w:rPr>
          <w:rFonts w:ascii="Arial" w:hAnsi="Arial" w:cs="Arial"/>
          <w:iCs/>
          <w:sz w:val="24"/>
          <w:szCs w:val="24"/>
        </w:rPr>
        <w:t xml:space="preserve"> clause </w:t>
      </w:r>
      <w:r w:rsidR="00791A34" w:rsidRPr="00F6657C">
        <w:rPr>
          <w:rFonts w:ascii="Arial" w:hAnsi="Arial" w:cs="Arial"/>
          <w:iCs/>
          <w:sz w:val="24"/>
          <w:szCs w:val="24"/>
        </w:rPr>
        <w:t>5</w:t>
      </w:r>
      <w:r w:rsidR="00B25DF4" w:rsidRPr="00F6657C">
        <w:rPr>
          <w:rFonts w:ascii="Arial" w:hAnsi="Arial" w:cs="Arial"/>
          <w:iCs/>
          <w:sz w:val="24"/>
          <w:szCs w:val="24"/>
        </w:rPr>
        <w:t xml:space="preserve"> and</w:t>
      </w:r>
      <w:r w:rsidR="007A63FC" w:rsidRPr="00F6657C">
        <w:rPr>
          <w:rFonts w:ascii="Arial" w:hAnsi="Arial" w:cs="Arial"/>
          <w:iCs/>
          <w:sz w:val="24"/>
          <w:szCs w:val="24"/>
        </w:rPr>
        <w:t xml:space="preserve"> schedule 2</w:t>
      </w:r>
      <w:r w:rsidR="00313FBE" w:rsidRPr="00F6657C">
        <w:rPr>
          <w:rFonts w:ascii="Arial" w:hAnsi="Arial" w:cs="Arial"/>
          <w:iCs/>
          <w:sz w:val="24"/>
          <w:szCs w:val="24"/>
        </w:rPr>
        <w:t>)</w:t>
      </w:r>
      <w:r w:rsidR="003D1FB9" w:rsidRPr="00F6657C">
        <w:rPr>
          <w:rFonts w:ascii="Arial" w:hAnsi="Arial" w:cs="Arial"/>
          <w:iCs/>
          <w:sz w:val="24"/>
          <w:szCs w:val="24"/>
        </w:rPr>
        <w:t>.</w:t>
      </w:r>
    </w:p>
    <w:p w14:paraId="75C0675A" w14:textId="5A0CED5B" w:rsidR="007A63FC" w:rsidRDefault="00BC3565" w:rsidP="00BC3565">
      <w:pPr>
        <w:rPr>
          <w:rFonts w:ascii="Arial" w:hAnsi="Arial" w:cs="Arial"/>
          <w:iCs/>
          <w:sz w:val="24"/>
          <w:szCs w:val="24"/>
        </w:rPr>
      </w:pPr>
      <w:r w:rsidRPr="00F6657C">
        <w:rPr>
          <w:rFonts w:ascii="Arial" w:hAnsi="Arial" w:cs="Arial"/>
          <w:iCs/>
          <w:sz w:val="24"/>
          <w:szCs w:val="24"/>
        </w:rPr>
        <w:t>Each of these termination provisions</w:t>
      </w:r>
      <w:r w:rsidRPr="00313FBE">
        <w:rPr>
          <w:rFonts w:ascii="Arial" w:hAnsi="Arial" w:cs="Arial"/>
          <w:iCs/>
          <w:sz w:val="24"/>
          <w:szCs w:val="24"/>
        </w:rPr>
        <w:t xml:space="preserve"> engage and may limit a tenant’s right to privacy by creating </w:t>
      </w:r>
      <w:r w:rsidR="005A3E1C" w:rsidRPr="00313FBE">
        <w:rPr>
          <w:rFonts w:ascii="Arial" w:hAnsi="Arial" w:cs="Arial"/>
          <w:iCs/>
          <w:sz w:val="24"/>
          <w:szCs w:val="24"/>
        </w:rPr>
        <w:t xml:space="preserve">additional </w:t>
      </w:r>
      <w:r w:rsidRPr="00313FBE">
        <w:rPr>
          <w:rFonts w:ascii="Arial" w:hAnsi="Arial" w:cs="Arial"/>
          <w:iCs/>
          <w:sz w:val="24"/>
          <w:szCs w:val="24"/>
        </w:rPr>
        <w:t>grounds on which a tenancy may be terminated.</w:t>
      </w:r>
      <w:r w:rsidR="00313FBE">
        <w:rPr>
          <w:rFonts w:ascii="Arial" w:hAnsi="Arial" w:cs="Arial"/>
          <w:iCs/>
          <w:sz w:val="24"/>
          <w:szCs w:val="24"/>
        </w:rPr>
        <w:t xml:space="preserve"> </w:t>
      </w:r>
    </w:p>
    <w:p w14:paraId="3CFA961F" w14:textId="2FC5268F" w:rsidR="009D65D8" w:rsidRPr="00313FBE" w:rsidRDefault="009D65D8" w:rsidP="00BC3565">
      <w:pPr>
        <w:rPr>
          <w:rFonts w:ascii="Arial" w:hAnsi="Arial" w:cs="Arial"/>
          <w:iCs/>
          <w:sz w:val="24"/>
          <w:szCs w:val="24"/>
        </w:rPr>
      </w:pPr>
      <w:r>
        <w:rPr>
          <w:rFonts w:ascii="Arial" w:hAnsi="Arial" w:cs="Arial"/>
          <w:iCs/>
          <w:sz w:val="24"/>
          <w:szCs w:val="24"/>
        </w:rPr>
        <w:t>The overarching human rights impacts of this group of termination provisions as a whole is considered first</w:t>
      </w:r>
      <w:r w:rsidR="00C83F6B">
        <w:rPr>
          <w:rFonts w:ascii="Arial" w:hAnsi="Arial" w:cs="Arial"/>
          <w:iCs/>
          <w:sz w:val="24"/>
          <w:szCs w:val="24"/>
        </w:rPr>
        <w:t>. This is</w:t>
      </w:r>
      <w:r>
        <w:rPr>
          <w:rFonts w:ascii="Arial" w:hAnsi="Arial" w:cs="Arial"/>
          <w:iCs/>
          <w:sz w:val="24"/>
          <w:szCs w:val="24"/>
        </w:rPr>
        <w:t xml:space="preserve"> followed by analysis specific to terminations by the Housing Commissioner, community housing providers and subsidised accommodation providers</w:t>
      </w:r>
      <w:r w:rsidR="00C83F6B">
        <w:rPr>
          <w:rFonts w:ascii="Arial" w:hAnsi="Arial" w:cs="Arial"/>
          <w:iCs/>
          <w:sz w:val="24"/>
          <w:szCs w:val="24"/>
        </w:rPr>
        <w:t xml:space="preserve"> (other than the Housing Commissioner).</w:t>
      </w:r>
    </w:p>
    <w:p w14:paraId="74D961EC" w14:textId="32795C31" w:rsidR="00BC3565" w:rsidRDefault="00BC3565" w:rsidP="00DA6700">
      <w:pPr>
        <w:rPr>
          <w:rFonts w:ascii="Arial" w:hAnsi="Arial" w:cs="Arial"/>
          <w:i/>
          <w:sz w:val="24"/>
          <w:szCs w:val="24"/>
          <w:u w:val="single"/>
        </w:rPr>
      </w:pPr>
      <w:r>
        <w:rPr>
          <w:rFonts w:ascii="Arial" w:hAnsi="Arial" w:cs="Arial"/>
          <w:b/>
          <w:bCs/>
          <w:i/>
          <w:sz w:val="24"/>
          <w:szCs w:val="24"/>
        </w:rPr>
        <w:tab/>
      </w:r>
      <w:r>
        <w:rPr>
          <w:rFonts w:ascii="Arial" w:hAnsi="Arial" w:cs="Arial"/>
          <w:i/>
          <w:sz w:val="24"/>
          <w:szCs w:val="24"/>
          <w:u w:val="single"/>
        </w:rPr>
        <w:t>Legitimate purpose (s 28 (2) (b))</w:t>
      </w:r>
    </w:p>
    <w:p w14:paraId="74D28D4D" w14:textId="1BE5BD85" w:rsidR="00BC3565" w:rsidRDefault="00DF1D70" w:rsidP="00DA6700">
      <w:pPr>
        <w:rPr>
          <w:rFonts w:ascii="Arial" w:hAnsi="Arial" w:cs="Arial"/>
          <w:iCs/>
          <w:sz w:val="24"/>
          <w:szCs w:val="24"/>
        </w:rPr>
      </w:pPr>
      <w:r>
        <w:rPr>
          <w:rFonts w:ascii="Arial" w:hAnsi="Arial" w:cs="Arial"/>
          <w:iCs/>
          <w:sz w:val="24"/>
          <w:szCs w:val="24"/>
        </w:rPr>
        <w:t xml:space="preserve">Public housing, community housing, subsidised accommodation and temporary housing assistance </w:t>
      </w:r>
      <w:r w:rsidR="007B6417">
        <w:rPr>
          <w:rFonts w:ascii="Arial" w:hAnsi="Arial" w:cs="Arial"/>
          <w:iCs/>
          <w:sz w:val="24"/>
          <w:szCs w:val="24"/>
        </w:rPr>
        <w:t xml:space="preserve">programs </w:t>
      </w:r>
      <w:r>
        <w:rPr>
          <w:rFonts w:ascii="Arial" w:hAnsi="Arial" w:cs="Arial"/>
          <w:iCs/>
          <w:sz w:val="24"/>
          <w:szCs w:val="24"/>
        </w:rPr>
        <w:t>provide targeted assistance</w:t>
      </w:r>
      <w:r w:rsidR="005A3E1C">
        <w:rPr>
          <w:rFonts w:ascii="Arial" w:hAnsi="Arial" w:cs="Arial"/>
          <w:iCs/>
          <w:sz w:val="24"/>
          <w:szCs w:val="24"/>
        </w:rPr>
        <w:t xml:space="preserve"> and accommodation</w:t>
      </w:r>
      <w:r>
        <w:rPr>
          <w:rFonts w:ascii="Arial" w:hAnsi="Arial" w:cs="Arial"/>
          <w:iCs/>
          <w:sz w:val="24"/>
          <w:szCs w:val="24"/>
        </w:rPr>
        <w:t xml:space="preserve"> to </w:t>
      </w:r>
      <w:r w:rsidR="00462F53">
        <w:rPr>
          <w:rFonts w:ascii="Arial" w:hAnsi="Arial" w:cs="Arial"/>
          <w:iCs/>
          <w:sz w:val="24"/>
          <w:szCs w:val="24"/>
        </w:rPr>
        <w:t xml:space="preserve">eligible </w:t>
      </w:r>
      <w:r>
        <w:rPr>
          <w:rFonts w:ascii="Arial" w:hAnsi="Arial" w:cs="Arial"/>
          <w:iCs/>
          <w:sz w:val="24"/>
          <w:szCs w:val="24"/>
        </w:rPr>
        <w:t>members</w:t>
      </w:r>
      <w:r w:rsidR="007B6417">
        <w:rPr>
          <w:rFonts w:ascii="Arial" w:hAnsi="Arial" w:cs="Arial"/>
          <w:iCs/>
          <w:sz w:val="24"/>
          <w:szCs w:val="24"/>
        </w:rPr>
        <w:t xml:space="preserve"> of the community</w:t>
      </w:r>
      <w:r>
        <w:rPr>
          <w:rFonts w:ascii="Arial" w:hAnsi="Arial" w:cs="Arial"/>
          <w:iCs/>
          <w:sz w:val="24"/>
          <w:szCs w:val="24"/>
        </w:rPr>
        <w:t xml:space="preserve">. </w:t>
      </w:r>
      <w:r w:rsidR="00043372">
        <w:rPr>
          <w:rFonts w:ascii="Arial" w:hAnsi="Arial" w:cs="Arial"/>
          <w:iCs/>
          <w:sz w:val="24"/>
          <w:szCs w:val="24"/>
        </w:rPr>
        <w:t>Indeed</w:t>
      </w:r>
      <w:r w:rsidR="005A3E1C">
        <w:rPr>
          <w:rFonts w:ascii="Arial" w:hAnsi="Arial" w:cs="Arial"/>
          <w:iCs/>
          <w:sz w:val="24"/>
          <w:szCs w:val="24"/>
        </w:rPr>
        <w:t>, t</w:t>
      </w:r>
      <w:r w:rsidR="007B6417">
        <w:rPr>
          <w:rFonts w:ascii="Arial" w:hAnsi="Arial" w:cs="Arial"/>
          <w:iCs/>
          <w:sz w:val="24"/>
          <w:szCs w:val="24"/>
        </w:rPr>
        <w:t>hese</w:t>
      </w:r>
      <w:r w:rsidR="00462F53">
        <w:rPr>
          <w:rFonts w:ascii="Arial" w:hAnsi="Arial" w:cs="Arial"/>
          <w:iCs/>
          <w:sz w:val="24"/>
          <w:szCs w:val="24"/>
        </w:rPr>
        <w:t xml:space="preserve"> programs </w:t>
      </w:r>
      <w:r w:rsidR="007B6417">
        <w:rPr>
          <w:rFonts w:ascii="Arial" w:hAnsi="Arial" w:cs="Arial"/>
          <w:iCs/>
          <w:sz w:val="24"/>
          <w:szCs w:val="24"/>
        </w:rPr>
        <w:t>have been</w:t>
      </w:r>
      <w:r w:rsidR="00462F53">
        <w:rPr>
          <w:rFonts w:ascii="Arial" w:hAnsi="Arial" w:cs="Arial"/>
          <w:iCs/>
          <w:sz w:val="24"/>
          <w:szCs w:val="24"/>
        </w:rPr>
        <w:t xml:space="preserve"> designed to protect and promote the </w:t>
      </w:r>
      <w:r w:rsidR="00043372">
        <w:rPr>
          <w:rFonts w:ascii="Arial" w:hAnsi="Arial" w:cs="Arial"/>
          <w:iCs/>
          <w:sz w:val="24"/>
          <w:szCs w:val="24"/>
        </w:rPr>
        <w:t xml:space="preserve">human </w:t>
      </w:r>
      <w:r w:rsidR="00462F53">
        <w:rPr>
          <w:rFonts w:ascii="Arial" w:hAnsi="Arial" w:cs="Arial"/>
          <w:iCs/>
          <w:sz w:val="24"/>
          <w:szCs w:val="24"/>
        </w:rPr>
        <w:t xml:space="preserve">rights of individuals experiencing complex and layered vulnerability, including people </w:t>
      </w:r>
      <w:r w:rsidR="00663E9B">
        <w:rPr>
          <w:rFonts w:ascii="Arial" w:hAnsi="Arial" w:cs="Arial"/>
          <w:iCs/>
          <w:sz w:val="24"/>
          <w:szCs w:val="24"/>
        </w:rPr>
        <w:t>facing</w:t>
      </w:r>
      <w:r w:rsidR="00462F53">
        <w:rPr>
          <w:rFonts w:ascii="Arial" w:hAnsi="Arial" w:cs="Arial"/>
          <w:iCs/>
          <w:sz w:val="24"/>
          <w:szCs w:val="24"/>
        </w:rPr>
        <w:t xml:space="preserve"> socio-economic disadvantage, living with chronic physical or mental illness or disability, or transitioning out of primary homelessness.</w:t>
      </w:r>
    </w:p>
    <w:p w14:paraId="3BF576A3" w14:textId="5E27270A" w:rsidR="00663E9B" w:rsidRDefault="00663E9B" w:rsidP="00DA6700">
      <w:pPr>
        <w:rPr>
          <w:rFonts w:ascii="Arial" w:hAnsi="Arial" w:cs="Arial"/>
          <w:iCs/>
          <w:sz w:val="24"/>
          <w:szCs w:val="24"/>
        </w:rPr>
      </w:pPr>
      <w:r>
        <w:rPr>
          <w:rFonts w:ascii="Arial" w:hAnsi="Arial" w:cs="Arial"/>
          <w:iCs/>
          <w:sz w:val="24"/>
          <w:szCs w:val="24"/>
        </w:rPr>
        <w:lastRenderedPageBreak/>
        <w:t>The effectiveness of these housing assistance programs is dependent on the relevant public or community lessor being able to</w:t>
      </w:r>
      <w:r w:rsidR="00043372">
        <w:rPr>
          <w:rFonts w:ascii="Arial" w:hAnsi="Arial" w:cs="Arial"/>
          <w:iCs/>
          <w:sz w:val="24"/>
          <w:szCs w:val="24"/>
        </w:rPr>
        <w:t xml:space="preserve"> both</w:t>
      </w:r>
      <w:r>
        <w:rPr>
          <w:rFonts w:ascii="Arial" w:hAnsi="Arial" w:cs="Arial"/>
          <w:iCs/>
          <w:sz w:val="24"/>
          <w:szCs w:val="24"/>
        </w:rPr>
        <w:t xml:space="preserve"> manage resources effectively</w:t>
      </w:r>
      <w:r w:rsidR="00043372">
        <w:rPr>
          <w:rFonts w:ascii="Arial" w:hAnsi="Arial" w:cs="Arial"/>
          <w:iCs/>
          <w:sz w:val="24"/>
          <w:szCs w:val="24"/>
        </w:rPr>
        <w:t xml:space="preserve"> and</w:t>
      </w:r>
      <w:r>
        <w:rPr>
          <w:rFonts w:ascii="Arial" w:hAnsi="Arial" w:cs="Arial"/>
          <w:iCs/>
          <w:sz w:val="24"/>
          <w:szCs w:val="24"/>
        </w:rPr>
        <w:t xml:space="preserve"> to ensure that tenancies offered under the program achieve their intended purpose. For example, if a tenant was previously eligible for community housing, but has </w:t>
      </w:r>
      <w:r w:rsidR="00043372">
        <w:rPr>
          <w:rFonts w:ascii="Arial" w:hAnsi="Arial" w:cs="Arial"/>
          <w:iCs/>
          <w:sz w:val="24"/>
          <w:szCs w:val="24"/>
        </w:rPr>
        <w:t>now found greater financial security and can</w:t>
      </w:r>
      <w:r>
        <w:rPr>
          <w:rFonts w:ascii="Arial" w:hAnsi="Arial" w:cs="Arial"/>
          <w:iCs/>
          <w:sz w:val="24"/>
          <w:szCs w:val="24"/>
        </w:rPr>
        <w:t xml:space="preserve"> secure </w:t>
      </w:r>
      <w:r w:rsidR="00043372">
        <w:rPr>
          <w:rFonts w:ascii="Arial" w:hAnsi="Arial" w:cs="Arial"/>
          <w:iCs/>
          <w:sz w:val="24"/>
          <w:szCs w:val="24"/>
        </w:rPr>
        <w:t xml:space="preserve">and maintain </w:t>
      </w:r>
      <w:r>
        <w:rPr>
          <w:rFonts w:ascii="Arial" w:hAnsi="Arial" w:cs="Arial"/>
          <w:iCs/>
          <w:sz w:val="24"/>
          <w:szCs w:val="24"/>
        </w:rPr>
        <w:t xml:space="preserve">a private rental, </w:t>
      </w:r>
      <w:r w:rsidR="00043372">
        <w:rPr>
          <w:rFonts w:ascii="Arial" w:hAnsi="Arial" w:cs="Arial"/>
          <w:iCs/>
          <w:sz w:val="24"/>
          <w:szCs w:val="24"/>
        </w:rPr>
        <w:t>allowing their</w:t>
      </w:r>
      <w:r>
        <w:rPr>
          <w:rFonts w:ascii="Arial" w:hAnsi="Arial" w:cs="Arial"/>
          <w:iCs/>
          <w:sz w:val="24"/>
          <w:szCs w:val="24"/>
        </w:rPr>
        <w:t xml:space="preserve"> </w:t>
      </w:r>
      <w:r w:rsidR="00043372">
        <w:rPr>
          <w:rFonts w:ascii="Arial" w:hAnsi="Arial" w:cs="Arial"/>
          <w:iCs/>
          <w:sz w:val="24"/>
          <w:szCs w:val="24"/>
        </w:rPr>
        <w:t xml:space="preserve">public or community housing </w:t>
      </w:r>
      <w:r>
        <w:rPr>
          <w:rFonts w:ascii="Arial" w:hAnsi="Arial" w:cs="Arial"/>
          <w:iCs/>
          <w:sz w:val="24"/>
          <w:szCs w:val="24"/>
        </w:rPr>
        <w:t xml:space="preserve">tenancy </w:t>
      </w:r>
      <w:r w:rsidR="00043372">
        <w:rPr>
          <w:rFonts w:ascii="Arial" w:hAnsi="Arial" w:cs="Arial"/>
          <w:iCs/>
          <w:sz w:val="24"/>
          <w:szCs w:val="24"/>
        </w:rPr>
        <w:t xml:space="preserve">to continue </w:t>
      </w:r>
      <w:r>
        <w:rPr>
          <w:rFonts w:ascii="Arial" w:hAnsi="Arial" w:cs="Arial"/>
          <w:iCs/>
          <w:sz w:val="24"/>
          <w:szCs w:val="24"/>
        </w:rPr>
        <w:t xml:space="preserve">would undermine the </w:t>
      </w:r>
      <w:r w:rsidR="00043372">
        <w:rPr>
          <w:rFonts w:ascii="Arial" w:hAnsi="Arial" w:cs="Arial"/>
          <w:iCs/>
          <w:sz w:val="24"/>
          <w:szCs w:val="24"/>
        </w:rPr>
        <w:t>objectives</w:t>
      </w:r>
      <w:r>
        <w:rPr>
          <w:rFonts w:ascii="Arial" w:hAnsi="Arial" w:cs="Arial"/>
          <w:iCs/>
          <w:sz w:val="24"/>
          <w:szCs w:val="24"/>
        </w:rPr>
        <w:t xml:space="preserve"> of the program</w:t>
      </w:r>
      <w:r w:rsidR="00043372">
        <w:rPr>
          <w:rFonts w:ascii="Arial" w:hAnsi="Arial" w:cs="Arial"/>
          <w:iCs/>
          <w:sz w:val="24"/>
          <w:szCs w:val="24"/>
        </w:rPr>
        <w:t xml:space="preserve"> and limit its effectiveness within the broader community.</w:t>
      </w:r>
    </w:p>
    <w:p w14:paraId="22C74A77" w14:textId="2A14AC3F" w:rsidR="00462F53" w:rsidRDefault="00462F53" w:rsidP="00DA6700">
      <w:pPr>
        <w:rPr>
          <w:rFonts w:ascii="Arial" w:hAnsi="Arial" w:cs="Arial"/>
          <w:iCs/>
          <w:sz w:val="24"/>
          <w:szCs w:val="24"/>
        </w:rPr>
      </w:pPr>
      <w:r>
        <w:rPr>
          <w:rFonts w:ascii="Arial" w:hAnsi="Arial" w:cs="Arial"/>
          <w:iCs/>
          <w:sz w:val="24"/>
          <w:szCs w:val="24"/>
        </w:rPr>
        <w:t>By introducing termination provisions</w:t>
      </w:r>
      <w:r w:rsidR="007A63FC">
        <w:rPr>
          <w:rFonts w:ascii="Arial" w:hAnsi="Arial" w:cs="Arial"/>
          <w:iCs/>
          <w:sz w:val="24"/>
          <w:szCs w:val="24"/>
        </w:rPr>
        <w:t xml:space="preserve"> that are specific to the objectives </w:t>
      </w:r>
      <w:r w:rsidR="005A3E1C">
        <w:rPr>
          <w:rFonts w:ascii="Arial" w:hAnsi="Arial" w:cs="Arial"/>
          <w:iCs/>
          <w:sz w:val="24"/>
          <w:szCs w:val="24"/>
        </w:rPr>
        <w:t xml:space="preserve">and management </w:t>
      </w:r>
      <w:r w:rsidR="007A63FC">
        <w:rPr>
          <w:rFonts w:ascii="Arial" w:hAnsi="Arial" w:cs="Arial"/>
          <w:iCs/>
          <w:sz w:val="24"/>
          <w:szCs w:val="24"/>
        </w:rPr>
        <w:t>of each program</w:t>
      </w:r>
      <w:r>
        <w:rPr>
          <w:rFonts w:ascii="Arial" w:hAnsi="Arial" w:cs="Arial"/>
          <w:iCs/>
          <w:sz w:val="24"/>
          <w:szCs w:val="24"/>
        </w:rPr>
        <w:t xml:space="preserve">, this Bill </w:t>
      </w:r>
      <w:r w:rsidR="005A3E1C">
        <w:rPr>
          <w:rFonts w:ascii="Arial" w:hAnsi="Arial" w:cs="Arial"/>
          <w:iCs/>
          <w:sz w:val="24"/>
          <w:szCs w:val="24"/>
        </w:rPr>
        <w:t xml:space="preserve">supports public and community lessors to manage </w:t>
      </w:r>
      <w:r w:rsidR="00663E9B">
        <w:rPr>
          <w:rFonts w:ascii="Arial" w:hAnsi="Arial" w:cs="Arial"/>
          <w:iCs/>
          <w:sz w:val="24"/>
          <w:szCs w:val="24"/>
        </w:rPr>
        <w:t>tenancies</w:t>
      </w:r>
      <w:r w:rsidR="005A3E1C">
        <w:rPr>
          <w:rFonts w:ascii="Arial" w:hAnsi="Arial" w:cs="Arial"/>
          <w:iCs/>
          <w:sz w:val="24"/>
          <w:szCs w:val="24"/>
        </w:rPr>
        <w:t xml:space="preserve"> effectively, and b</w:t>
      </w:r>
      <w:r>
        <w:rPr>
          <w:rFonts w:ascii="Arial" w:hAnsi="Arial" w:cs="Arial"/>
          <w:iCs/>
          <w:sz w:val="24"/>
          <w:szCs w:val="24"/>
        </w:rPr>
        <w:t>y doing so, ensure</w:t>
      </w:r>
      <w:r w:rsidR="005E2C04">
        <w:rPr>
          <w:rFonts w:ascii="Arial" w:hAnsi="Arial" w:cs="Arial"/>
          <w:iCs/>
          <w:sz w:val="24"/>
          <w:szCs w:val="24"/>
        </w:rPr>
        <w:t>s</w:t>
      </w:r>
      <w:r>
        <w:rPr>
          <w:rFonts w:ascii="Arial" w:hAnsi="Arial" w:cs="Arial"/>
          <w:iCs/>
          <w:sz w:val="24"/>
          <w:szCs w:val="24"/>
        </w:rPr>
        <w:t xml:space="preserve"> that </w:t>
      </w:r>
      <w:r w:rsidR="005A3E1C">
        <w:rPr>
          <w:rFonts w:ascii="Arial" w:hAnsi="Arial" w:cs="Arial"/>
          <w:iCs/>
          <w:sz w:val="24"/>
          <w:szCs w:val="24"/>
        </w:rPr>
        <w:t>these programs</w:t>
      </w:r>
      <w:r w:rsidR="007A63FC">
        <w:rPr>
          <w:rFonts w:ascii="Arial" w:hAnsi="Arial" w:cs="Arial"/>
          <w:iCs/>
          <w:sz w:val="24"/>
          <w:szCs w:val="24"/>
        </w:rPr>
        <w:t xml:space="preserve"> can</w:t>
      </w:r>
      <w:r>
        <w:rPr>
          <w:rFonts w:ascii="Arial" w:hAnsi="Arial" w:cs="Arial"/>
          <w:iCs/>
          <w:sz w:val="24"/>
          <w:szCs w:val="24"/>
        </w:rPr>
        <w:t xml:space="preserve"> continue to provide accommodation</w:t>
      </w:r>
      <w:r w:rsidR="007B6417">
        <w:rPr>
          <w:rFonts w:ascii="Arial" w:hAnsi="Arial" w:cs="Arial"/>
          <w:iCs/>
          <w:sz w:val="24"/>
          <w:szCs w:val="24"/>
        </w:rPr>
        <w:t xml:space="preserve"> and support</w:t>
      </w:r>
      <w:r>
        <w:rPr>
          <w:rFonts w:ascii="Arial" w:hAnsi="Arial" w:cs="Arial"/>
          <w:iCs/>
          <w:sz w:val="24"/>
          <w:szCs w:val="24"/>
        </w:rPr>
        <w:t xml:space="preserve"> to those within our community who are most in need of assistance.</w:t>
      </w:r>
    </w:p>
    <w:p w14:paraId="1444F889" w14:textId="75813C1C" w:rsidR="00462F53" w:rsidRDefault="00462F53" w:rsidP="00DA6700">
      <w:pPr>
        <w:rPr>
          <w:rFonts w:ascii="Arial" w:hAnsi="Arial" w:cs="Arial"/>
          <w:i/>
          <w:sz w:val="24"/>
          <w:szCs w:val="24"/>
          <w:u w:val="single"/>
        </w:rPr>
      </w:pPr>
      <w:r>
        <w:rPr>
          <w:rFonts w:ascii="Arial" w:hAnsi="Arial" w:cs="Arial"/>
          <w:iCs/>
          <w:sz w:val="24"/>
          <w:szCs w:val="24"/>
        </w:rPr>
        <w:tab/>
      </w:r>
      <w:r>
        <w:rPr>
          <w:rFonts w:ascii="Arial" w:hAnsi="Arial" w:cs="Arial"/>
          <w:i/>
          <w:sz w:val="24"/>
          <w:szCs w:val="24"/>
          <w:u w:val="single"/>
        </w:rPr>
        <w:t>Rational connection between the limitation and the purpose (s 28 (2) (d))</w:t>
      </w:r>
    </w:p>
    <w:p w14:paraId="400811FD" w14:textId="7FE04C91" w:rsidR="00462F53" w:rsidRDefault="00462F53" w:rsidP="00462F53">
      <w:pPr>
        <w:rPr>
          <w:rFonts w:ascii="Arial" w:hAnsi="Arial" w:cs="Arial"/>
          <w:iCs/>
          <w:sz w:val="24"/>
          <w:szCs w:val="24"/>
        </w:rPr>
      </w:pPr>
      <w:r w:rsidRPr="00264F34">
        <w:rPr>
          <w:rFonts w:ascii="Arial" w:hAnsi="Arial" w:cs="Arial"/>
          <w:iCs/>
          <w:sz w:val="24"/>
          <w:szCs w:val="24"/>
        </w:rPr>
        <w:t xml:space="preserve">There is a rational connection between allowing </w:t>
      </w:r>
      <w:r w:rsidR="005E2C04">
        <w:rPr>
          <w:rFonts w:ascii="Arial" w:hAnsi="Arial" w:cs="Arial"/>
          <w:iCs/>
          <w:sz w:val="24"/>
          <w:szCs w:val="24"/>
        </w:rPr>
        <w:t xml:space="preserve">a </w:t>
      </w:r>
      <w:r w:rsidR="005A3E1C">
        <w:rPr>
          <w:rFonts w:ascii="Arial" w:hAnsi="Arial" w:cs="Arial"/>
          <w:iCs/>
          <w:sz w:val="24"/>
          <w:szCs w:val="24"/>
        </w:rPr>
        <w:t>public or community housing lessor</w:t>
      </w:r>
      <w:r w:rsidR="005E2C04">
        <w:rPr>
          <w:rFonts w:ascii="Arial" w:hAnsi="Arial" w:cs="Arial"/>
          <w:iCs/>
          <w:sz w:val="24"/>
          <w:szCs w:val="24"/>
        </w:rPr>
        <w:t xml:space="preserve"> to terminate a tenancy</w:t>
      </w:r>
      <w:r>
        <w:rPr>
          <w:rFonts w:ascii="Arial" w:hAnsi="Arial" w:cs="Arial"/>
          <w:iCs/>
          <w:sz w:val="24"/>
          <w:szCs w:val="24"/>
        </w:rPr>
        <w:t xml:space="preserve"> </w:t>
      </w:r>
      <w:r w:rsidR="005A3E1C">
        <w:rPr>
          <w:rFonts w:ascii="Arial" w:hAnsi="Arial" w:cs="Arial"/>
          <w:iCs/>
          <w:sz w:val="24"/>
          <w:szCs w:val="24"/>
        </w:rPr>
        <w:t>under a housing assistance program</w:t>
      </w:r>
      <w:r w:rsidR="003B6551">
        <w:rPr>
          <w:rFonts w:ascii="Arial" w:hAnsi="Arial" w:cs="Arial"/>
          <w:iCs/>
          <w:sz w:val="24"/>
          <w:szCs w:val="24"/>
        </w:rPr>
        <w:t xml:space="preserve">, </w:t>
      </w:r>
      <w:r>
        <w:rPr>
          <w:rFonts w:ascii="Arial" w:hAnsi="Arial" w:cs="Arial"/>
          <w:iCs/>
          <w:sz w:val="24"/>
          <w:szCs w:val="24"/>
        </w:rPr>
        <w:t>and the legitimate purpose of</w:t>
      </w:r>
      <w:r w:rsidRPr="00264F34">
        <w:rPr>
          <w:rFonts w:ascii="Arial" w:hAnsi="Arial" w:cs="Arial"/>
          <w:iCs/>
          <w:sz w:val="24"/>
          <w:szCs w:val="24"/>
        </w:rPr>
        <w:t xml:space="preserve"> ensur</w:t>
      </w:r>
      <w:r>
        <w:rPr>
          <w:rFonts w:ascii="Arial" w:hAnsi="Arial" w:cs="Arial"/>
          <w:iCs/>
          <w:sz w:val="24"/>
          <w:szCs w:val="24"/>
        </w:rPr>
        <w:t>ing</w:t>
      </w:r>
      <w:r w:rsidRPr="00264F34">
        <w:rPr>
          <w:rFonts w:ascii="Arial" w:hAnsi="Arial" w:cs="Arial"/>
          <w:iCs/>
          <w:sz w:val="24"/>
          <w:szCs w:val="24"/>
        </w:rPr>
        <w:t xml:space="preserve"> that </w:t>
      </w:r>
      <w:r w:rsidR="003B6551">
        <w:rPr>
          <w:rFonts w:ascii="Arial" w:hAnsi="Arial" w:cs="Arial"/>
          <w:iCs/>
          <w:sz w:val="24"/>
          <w:szCs w:val="24"/>
        </w:rPr>
        <w:t xml:space="preserve">the </w:t>
      </w:r>
      <w:r w:rsidR="005E2C04">
        <w:rPr>
          <w:rFonts w:ascii="Arial" w:hAnsi="Arial" w:cs="Arial"/>
          <w:iCs/>
          <w:sz w:val="24"/>
          <w:szCs w:val="24"/>
        </w:rPr>
        <w:t>program can be managed effectively</w:t>
      </w:r>
      <w:r w:rsidR="007A63FC">
        <w:rPr>
          <w:rFonts w:ascii="Arial" w:hAnsi="Arial" w:cs="Arial"/>
          <w:iCs/>
          <w:sz w:val="24"/>
          <w:szCs w:val="24"/>
        </w:rPr>
        <w:t xml:space="preserve"> and for the benefit of members </w:t>
      </w:r>
      <w:r w:rsidR="00663E9B">
        <w:rPr>
          <w:rFonts w:ascii="Arial" w:hAnsi="Arial" w:cs="Arial"/>
          <w:iCs/>
          <w:sz w:val="24"/>
          <w:szCs w:val="24"/>
        </w:rPr>
        <w:t>of</w:t>
      </w:r>
      <w:r w:rsidR="007A63FC">
        <w:rPr>
          <w:rFonts w:ascii="Arial" w:hAnsi="Arial" w:cs="Arial"/>
          <w:iCs/>
          <w:sz w:val="24"/>
          <w:szCs w:val="24"/>
        </w:rPr>
        <w:t xml:space="preserve"> </w:t>
      </w:r>
      <w:r w:rsidR="003D645F">
        <w:rPr>
          <w:rFonts w:ascii="Arial" w:hAnsi="Arial" w:cs="Arial"/>
          <w:iCs/>
          <w:sz w:val="24"/>
          <w:szCs w:val="24"/>
        </w:rPr>
        <w:t>the</w:t>
      </w:r>
      <w:r w:rsidR="007A63FC">
        <w:rPr>
          <w:rFonts w:ascii="Arial" w:hAnsi="Arial" w:cs="Arial"/>
          <w:iCs/>
          <w:sz w:val="24"/>
          <w:szCs w:val="24"/>
        </w:rPr>
        <w:t xml:space="preserve"> community who are most in need of assistance.</w:t>
      </w:r>
    </w:p>
    <w:p w14:paraId="7D250741" w14:textId="26C94190" w:rsidR="005E2C04" w:rsidRDefault="005E2C04" w:rsidP="00462F53">
      <w:pPr>
        <w:rPr>
          <w:rFonts w:ascii="Arial" w:hAnsi="Arial" w:cs="Arial"/>
          <w:i/>
          <w:sz w:val="24"/>
          <w:szCs w:val="24"/>
          <w:u w:val="single"/>
        </w:rPr>
      </w:pPr>
      <w:r>
        <w:rPr>
          <w:rFonts w:ascii="Arial" w:hAnsi="Arial" w:cs="Arial"/>
          <w:iCs/>
          <w:sz w:val="24"/>
          <w:szCs w:val="24"/>
        </w:rPr>
        <w:tab/>
      </w:r>
      <w:r>
        <w:rPr>
          <w:rFonts w:ascii="Arial" w:hAnsi="Arial" w:cs="Arial"/>
          <w:i/>
          <w:sz w:val="24"/>
          <w:szCs w:val="24"/>
          <w:u w:val="single"/>
        </w:rPr>
        <w:t>Proportionality (s</w:t>
      </w:r>
      <w:r w:rsidR="007A63FC">
        <w:rPr>
          <w:rFonts w:ascii="Arial" w:hAnsi="Arial" w:cs="Arial"/>
          <w:i/>
          <w:sz w:val="24"/>
          <w:szCs w:val="24"/>
          <w:u w:val="single"/>
        </w:rPr>
        <w:t xml:space="preserve"> </w:t>
      </w:r>
      <w:r>
        <w:rPr>
          <w:rFonts w:ascii="Arial" w:hAnsi="Arial" w:cs="Arial"/>
          <w:i/>
          <w:sz w:val="24"/>
          <w:szCs w:val="24"/>
          <w:u w:val="single"/>
        </w:rPr>
        <w:t>28 (2) (e)</w:t>
      </w:r>
    </w:p>
    <w:p w14:paraId="05D82BD2" w14:textId="24DFBFF9" w:rsidR="005121AB" w:rsidRDefault="005121AB" w:rsidP="00462F53">
      <w:pPr>
        <w:rPr>
          <w:rFonts w:ascii="Arial" w:hAnsi="Arial" w:cs="Arial"/>
          <w:iCs/>
          <w:sz w:val="24"/>
          <w:szCs w:val="24"/>
        </w:rPr>
      </w:pPr>
      <w:r>
        <w:rPr>
          <w:rFonts w:ascii="Arial" w:hAnsi="Arial" w:cs="Arial"/>
          <w:iCs/>
          <w:sz w:val="24"/>
          <w:szCs w:val="24"/>
        </w:rPr>
        <w:t>For tenants reliant on public and community housing, security of tenure and</w:t>
      </w:r>
      <w:r w:rsidR="009D2072">
        <w:rPr>
          <w:rFonts w:ascii="Arial" w:hAnsi="Arial" w:cs="Arial"/>
          <w:iCs/>
          <w:sz w:val="24"/>
          <w:szCs w:val="24"/>
        </w:rPr>
        <w:t xml:space="preserve"> the</w:t>
      </w:r>
      <w:r>
        <w:rPr>
          <w:rFonts w:ascii="Arial" w:hAnsi="Arial" w:cs="Arial"/>
          <w:iCs/>
          <w:sz w:val="24"/>
          <w:szCs w:val="24"/>
        </w:rPr>
        <w:t xml:space="preserve"> right to freedom from arbitrary interference with home is limited by their lessor’s necessary ability to terminate tenancies </w:t>
      </w:r>
      <w:r w:rsidR="009D2072">
        <w:rPr>
          <w:rFonts w:ascii="Arial" w:hAnsi="Arial" w:cs="Arial"/>
          <w:iCs/>
          <w:sz w:val="24"/>
          <w:szCs w:val="24"/>
        </w:rPr>
        <w:t xml:space="preserve">for the benefit of the broader housing assistance program, rather than because of a </w:t>
      </w:r>
      <w:r>
        <w:rPr>
          <w:rFonts w:ascii="Arial" w:hAnsi="Arial" w:cs="Arial"/>
          <w:iCs/>
          <w:sz w:val="24"/>
          <w:szCs w:val="24"/>
        </w:rPr>
        <w:t>breach of the tenancy agreement</w:t>
      </w:r>
      <w:r w:rsidR="009D2072">
        <w:rPr>
          <w:rFonts w:ascii="Arial" w:hAnsi="Arial" w:cs="Arial"/>
          <w:iCs/>
          <w:sz w:val="24"/>
          <w:szCs w:val="24"/>
        </w:rPr>
        <w:t>.</w:t>
      </w:r>
    </w:p>
    <w:p w14:paraId="0FA4A5B0" w14:textId="67AA4993" w:rsidR="00124A6E" w:rsidRDefault="003D645F" w:rsidP="00462F53">
      <w:pPr>
        <w:rPr>
          <w:rFonts w:ascii="Arial" w:hAnsi="Arial" w:cs="Arial"/>
          <w:iCs/>
          <w:sz w:val="24"/>
          <w:szCs w:val="24"/>
        </w:rPr>
      </w:pPr>
      <w:r>
        <w:rPr>
          <w:rFonts w:ascii="Arial" w:hAnsi="Arial" w:cs="Arial"/>
          <w:iCs/>
          <w:sz w:val="24"/>
          <w:szCs w:val="24"/>
        </w:rPr>
        <w:t>Th</w:t>
      </w:r>
      <w:r w:rsidR="00663E9B">
        <w:rPr>
          <w:rFonts w:ascii="Arial" w:hAnsi="Arial" w:cs="Arial"/>
          <w:iCs/>
          <w:sz w:val="24"/>
          <w:szCs w:val="24"/>
        </w:rPr>
        <w:t>is</w:t>
      </w:r>
      <w:r>
        <w:rPr>
          <w:rFonts w:ascii="Arial" w:hAnsi="Arial" w:cs="Arial"/>
          <w:iCs/>
          <w:sz w:val="24"/>
          <w:szCs w:val="24"/>
        </w:rPr>
        <w:t xml:space="preserve"> Bill introduces several procedural protections to ensure that the new termination provisions </w:t>
      </w:r>
      <w:r w:rsidR="009D2072">
        <w:rPr>
          <w:rFonts w:ascii="Arial" w:hAnsi="Arial" w:cs="Arial"/>
          <w:iCs/>
          <w:sz w:val="24"/>
          <w:szCs w:val="24"/>
        </w:rPr>
        <w:t xml:space="preserve">that impact public and community housing tenants </w:t>
      </w:r>
      <w:r>
        <w:rPr>
          <w:rFonts w:ascii="Arial" w:hAnsi="Arial" w:cs="Arial"/>
          <w:iCs/>
          <w:sz w:val="24"/>
          <w:szCs w:val="24"/>
        </w:rPr>
        <w:t>are used in</w:t>
      </w:r>
      <w:r w:rsidR="00663E9B">
        <w:rPr>
          <w:rFonts w:ascii="Arial" w:hAnsi="Arial" w:cs="Arial"/>
          <w:iCs/>
          <w:sz w:val="24"/>
          <w:szCs w:val="24"/>
        </w:rPr>
        <w:t xml:space="preserve"> </w:t>
      </w:r>
      <w:r>
        <w:rPr>
          <w:rFonts w:ascii="Arial" w:hAnsi="Arial" w:cs="Arial"/>
          <w:iCs/>
          <w:sz w:val="24"/>
          <w:szCs w:val="24"/>
        </w:rPr>
        <w:t xml:space="preserve">limited </w:t>
      </w:r>
      <w:r w:rsidR="00663E9B">
        <w:rPr>
          <w:rFonts w:ascii="Arial" w:hAnsi="Arial" w:cs="Arial"/>
          <w:iCs/>
          <w:sz w:val="24"/>
          <w:szCs w:val="24"/>
        </w:rPr>
        <w:t xml:space="preserve">and intended </w:t>
      </w:r>
      <w:r>
        <w:rPr>
          <w:rFonts w:ascii="Arial" w:hAnsi="Arial" w:cs="Arial"/>
          <w:iCs/>
          <w:sz w:val="24"/>
          <w:szCs w:val="24"/>
        </w:rPr>
        <w:t xml:space="preserve">circumstances, rather than conferring a disproportionately broad discretion or power upon public and community lessors. </w:t>
      </w:r>
    </w:p>
    <w:p w14:paraId="66F6CF41" w14:textId="13DFE5B9" w:rsidR="009D2072" w:rsidRDefault="00124A6E" w:rsidP="00462F53">
      <w:pPr>
        <w:rPr>
          <w:rFonts w:ascii="Arial" w:hAnsi="Arial" w:cs="Arial"/>
          <w:iCs/>
          <w:sz w:val="24"/>
          <w:szCs w:val="24"/>
        </w:rPr>
      </w:pPr>
      <w:r>
        <w:rPr>
          <w:rFonts w:ascii="Arial" w:hAnsi="Arial" w:cs="Arial"/>
          <w:iCs/>
          <w:sz w:val="24"/>
          <w:szCs w:val="24"/>
        </w:rPr>
        <w:t xml:space="preserve">Currently, </w:t>
      </w:r>
      <w:r w:rsidR="0041670E">
        <w:rPr>
          <w:rFonts w:ascii="Arial" w:hAnsi="Arial" w:cs="Arial"/>
          <w:iCs/>
          <w:sz w:val="24"/>
          <w:szCs w:val="24"/>
        </w:rPr>
        <w:t xml:space="preserve">public and community housing lessors rely on without cause evictions to manage housing assistance programs and </w:t>
      </w:r>
      <w:r w:rsidR="00B62304">
        <w:rPr>
          <w:rFonts w:ascii="Arial" w:hAnsi="Arial" w:cs="Arial"/>
          <w:iCs/>
          <w:sz w:val="24"/>
          <w:szCs w:val="24"/>
        </w:rPr>
        <w:t xml:space="preserve">to </w:t>
      </w:r>
      <w:r w:rsidR="0041670E">
        <w:rPr>
          <w:rFonts w:ascii="Arial" w:hAnsi="Arial" w:cs="Arial"/>
          <w:iCs/>
          <w:sz w:val="24"/>
          <w:szCs w:val="24"/>
        </w:rPr>
        <w:t xml:space="preserve">ensure that </w:t>
      </w:r>
      <w:r w:rsidR="0090348F">
        <w:rPr>
          <w:rFonts w:ascii="Arial" w:hAnsi="Arial" w:cs="Arial"/>
          <w:iCs/>
          <w:sz w:val="24"/>
          <w:szCs w:val="24"/>
        </w:rPr>
        <w:t>they fulfil their</w:t>
      </w:r>
      <w:r w:rsidR="0041670E">
        <w:rPr>
          <w:rFonts w:ascii="Arial" w:hAnsi="Arial" w:cs="Arial"/>
          <w:iCs/>
          <w:sz w:val="24"/>
          <w:szCs w:val="24"/>
        </w:rPr>
        <w:t xml:space="preserve"> intended purpose. </w:t>
      </w:r>
      <w:r w:rsidR="009D2072">
        <w:rPr>
          <w:rFonts w:ascii="Arial" w:hAnsi="Arial" w:cs="Arial"/>
          <w:iCs/>
          <w:sz w:val="24"/>
          <w:szCs w:val="24"/>
        </w:rPr>
        <w:t xml:space="preserve">In these circumstances, there is no requirement </w:t>
      </w:r>
      <w:r w:rsidR="00B62304">
        <w:rPr>
          <w:rFonts w:ascii="Arial" w:hAnsi="Arial" w:cs="Arial"/>
          <w:iCs/>
          <w:sz w:val="24"/>
          <w:szCs w:val="24"/>
        </w:rPr>
        <w:t>for</w:t>
      </w:r>
      <w:r w:rsidR="009D2072">
        <w:rPr>
          <w:rFonts w:ascii="Arial" w:hAnsi="Arial" w:cs="Arial"/>
          <w:iCs/>
          <w:sz w:val="24"/>
          <w:szCs w:val="24"/>
        </w:rPr>
        <w:t xml:space="preserve"> the public or community housing lessor </w:t>
      </w:r>
      <w:r w:rsidR="00B62304">
        <w:rPr>
          <w:rFonts w:ascii="Arial" w:hAnsi="Arial" w:cs="Arial"/>
          <w:iCs/>
          <w:sz w:val="24"/>
          <w:szCs w:val="24"/>
        </w:rPr>
        <w:t xml:space="preserve">to </w:t>
      </w:r>
      <w:r w:rsidR="009D2072">
        <w:rPr>
          <w:rFonts w:ascii="Arial" w:hAnsi="Arial" w:cs="Arial"/>
          <w:iCs/>
          <w:sz w:val="24"/>
          <w:szCs w:val="24"/>
        </w:rPr>
        <w:t>communicate the reasons for the termination to the tenant or demonstrate that the termination was</w:t>
      </w:r>
      <w:r w:rsidR="00B62304">
        <w:rPr>
          <w:rFonts w:ascii="Arial" w:hAnsi="Arial" w:cs="Arial"/>
          <w:iCs/>
          <w:sz w:val="24"/>
          <w:szCs w:val="24"/>
        </w:rPr>
        <w:t xml:space="preserve"> reasonable or</w:t>
      </w:r>
      <w:r w:rsidR="009D2072">
        <w:rPr>
          <w:rFonts w:ascii="Arial" w:hAnsi="Arial" w:cs="Arial"/>
          <w:iCs/>
          <w:sz w:val="24"/>
          <w:szCs w:val="24"/>
        </w:rPr>
        <w:t xml:space="preserve"> necessary.</w:t>
      </w:r>
    </w:p>
    <w:p w14:paraId="7CF97171" w14:textId="6C0F1AEE" w:rsidR="00020704" w:rsidRDefault="0041670E" w:rsidP="00462F53">
      <w:pPr>
        <w:rPr>
          <w:rFonts w:ascii="Arial" w:hAnsi="Arial" w:cs="Arial"/>
          <w:iCs/>
          <w:sz w:val="24"/>
          <w:szCs w:val="24"/>
        </w:rPr>
      </w:pPr>
      <w:r>
        <w:rPr>
          <w:rFonts w:ascii="Arial" w:hAnsi="Arial" w:cs="Arial"/>
          <w:iCs/>
          <w:sz w:val="24"/>
          <w:szCs w:val="24"/>
        </w:rPr>
        <w:t>U</w:t>
      </w:r>
      <w:r w:rsidR="00124A6E">
        <w:rPr>
          <w:rFonts w:ascii="Arial" w:hAnsi="Arial" w:cs="Arial"/>
          <w:iCs/>
          <w:sz w:val="24"/>
          <w:szCs w:val="24"/>
        </w:rPr>
        <w:t xml:space="preserve">nder section 47 of the RTA, if a public or community </w:t>
      </w:r>
      <w:r w:rsidR="0090348F">
        <w:rPr>
          <w:rFonts w:ascii="Arial" w:hAnsi="Arial" w:cs="Arial"/>
          <w:iCs/>
          <w:sz w:val="24"/>
          <w:szCs w:val="24"/>
        </w:rPr>
        <w:t xml:space="preserve">housing </w:t>
      </w:r>
      <w:r w:rsidR="00124A6E">
        <w:rPr>
          <w:rFonts w:ascii="Arial" w:hAnsi="Arial" w:cs="Arial"/>
          <w:iCs/>
          <w:sz w:val="24"/>
          <w:szCs w:val="24"/>
        </w:rPr>
        <w:t xml:space="preserve">lessor demonstrates that </w:t>
      </w:r>
      <w:r w:rsidR="002F0AE9">
        <w:rPr>
          <w:rFonts w:ascii="Arial" w:hAnsi="Arial" w:cs="Arial"/>
          <w:iCs/>
          <w:sz w:val="24"/>
          <w:szCs w:val="24"/>
        </w:rPr>
        <w:t xml:space="preserve">– (i) </w:t>
      </w:r>
      <w:r w:rsidR="00124A6E">
        <w:rPr>
          <w:rFonts w:ascii="Arial" w:hAnsi="Arial" w:cs="Arial"/>
          <w:iCs/>
          <w:sz w:val="24"/>
          <w:szCs w:val="24"/>
        </w:rPr>
        <w:t>a ground for termination exists</w:t>
      </w:r>
      <w:r>
        <w:rPr>
          <w:rFonts w:ascii="Arial" w:hAnsi="Arial" w:cs="Arial"/>
          <w:iCs/>
          <w:sz w:val="24"/>
          <w:szCs w:val="24"/>
        </w:rPr>
        <w:t xml:space="preserve"> (including without grounds)</w:t>
      </w:r>
      <w:r w:rsidR="002F0AE9">
        <w:rPr>
          <w:rFonts w:ascii="Arial" w:hAnsi="Arial" w:cs="Arial"/>
          <w:iCs/>
          <w:sz w:val="24"/>
          <w:szCs w:val="24"/>
        </w:rPr>
        <w:t>; (ii)</w:t>
      </w:r>
      <w:r w:rsidR="00124A6E">
        <w:rPr>
          <w:rFonts w:ascii="Arial" w:hAnsi="Arial" w:cs="Arial"/>
          <w:iCs/>
          <w:sz w:val="24"/>
          <w:szCs w:val="24"/>
        </w:rPr>
        <w:t xml:space="preserve"> they</w:t>
      </w:r>
      <w:r w:rsidR="002F0AE9">
        <w:rPr>
          <w:rFonts w:ascii="Arial" w:hAnsi="Arial" w:cs="Arial"/>
          <w:iCs/>
          <w:sz w:val="24"/>
          <w:szCs w:val="24"/>
        </w:rPr>
        <w:t xml:space="preserve"> have</w:t>
      </w:r>
      <w:r w:rsidR="00124A6E">
        <w:rPr>
          <w:rFonts w:ascii="Arial" w:hAnsi="Arial" w:cs="Arial"/>
          <w:iCs/>
          <w:sz w:val="24"/>
          <w:szCs w:val="24"/>
        </w:rPr>
        <w:t xml:space="preserve"> issued a compliant termination notice on the basis of that termination ground</w:t>
      </w:r>
      <w:r w:rsidR="002F0AE9">
        <w:rPr>
          <w:rFonts w:ascii="Arial" w:hAnsi="Arial" w:cs="Arial"/>
          <w:iCs/>
          <w:sz w:val="24"/>
          <w:szCs w:val="24"/>
        </w:rPr>
        <w:t>; and (iii)</w:t>
      </w:r>
      <w:r w:rsidR="00124A6E">
        <w:rPr>
          <w:rFonts w:ascii="Arial" w:hAnsi="Arial" w:cs="Arial"/>
          <w:iCs/>
          <w:sz w:val="24"/>
          <w:szCs w:val="24"/>
        </w:rPr>
        <w:t xml:space="preserve"> the tenant has not vacated the property in accordance with that notice</w:t>
      </w:r>
      <w:r w:rsidR="002F0AE9">
        <w:rPr>
          <w:rFonts w:ascii="Arial" w:hAnsi="Arial" w:cs="Arial"/>
          <w:iCs/>
          <w:sz w:val="24"/>
          <w:szCs w:val="24"/>
        </w:rPr>
        <w:t xml:space="preserve"> - then</w:t>
      </w:r>
      <w:r w:rsidR="00124A6E">
        <w:rPr>
          <w:rFonts w:ascii="Arial" w:hAnsi="Arial" w:cs="Arial"/>
          <w:iCs/>
          <w:sz w:val="24"/>
          <w:szCs w:val="24"/>
        </w:rPr>
        <w:t xml:space="preserve"> ACAT </w:t>
      </w:r>
      <w:r w:rsidR="00124A6E" w:rsidRPr="0097628A">
        <w:rPr>
          <w:rFonts w:ascii="Arial" w:hAnsi="Arial" w:cs="Arial"/>
          <w:iCs/>
          <w:sz w:val="24"/>
          <w:szCs w:val="24"/>
        </w:rPr>
        <w:t>may</w:t>
      </w:r>
      <w:r w:rsidR="00124A6E">
        <w:rPr>
          <w:rFonts w:ascii="Arial" w:hAnsi="Arial" w:cs="Arial"/>
          <w:iCs/>
          <w:sz w:val="24"/>
          <w:szCs w:val="24"/>
        </w:rPr>
        <w:t xml:space="preserve"> make a </w:t>
      </w:r>
      <w:r w:rsidR="00313FBE">
        <w:rPr>
          <w:rFonts w:ascii="Arial" w:hAnsi="Arial" w:cs="Arial"/>
          <w:iCs/>
          <w:sz w:val="24"/>
          <w:szCs w:val="24"/>
        </w:rPr>
        <w:t>termination and possession order (resulting in the tenant’s eviction).</w:t>
      </w:r>
      <w:r>
        <w:rPr>
          <w:rFonts w:ascii="Arial" w:hAnsi="Arial" w:cs="Arial"/>
          <w:iCs/>
          <w:sz w:val="24"/>
          <w:szCs w:val="24"/>
        </w:rPr>
        <w:t xml:space="preserve"> </w:t>
      </w:r>
      <w:r w:rsidR="00020704">
        <w:rPr>
          <w:rFonts w:ascii="Arial" w:hAnsi="Arial" w:cs="Arial"/>
          <w:iCs/>
          <w:sz w:val="24"/>
          <w:szCs w:val="24"/>
        </w:rPr>
        <w:t xml:space="preserve">In the context of without grounds evictions, which are </w:t>
      </w:r>
      <w:r w:rsidR="00284547">
        <w:rPr>
          <w:rFonts w:ascii="Arial" w:hAnsi="Arial" w:cs="Arial"/>
          <w:iCs/>
          <w:sz w:val="24"/>
          <w:szCs w:val="24"/>
        </w:rPr>
        <w:t xml:space="preserve">by nature are arbitrary and </w:t>
      </w:r>
      <w:r w:rsidR="0097628A">
        <w:rPr>
          <w:rFonts w:ascii="Arial" w:hAnsi="Arial" w:cs="Arial"/>
          <w:iCs/>
          <w:sz w:val="24"/>
          <w:szCs w:val="24"/>
        </w:rPr>
        <w:t>undefined</w:t>
      </w:r>
      <w:r w:rsidR="00020704">
        <w:rPr>
          <w:rFonts w:ascii="Arial" w:hAnsi="Arial" w:cs="Arial"/>
          <w:iCs/>
          <w:sz w:val="24"/>
          <w:szCs w:val="24"/>
        </w:rPr>
        <w:t xml:space="preserve">, </w:t>
      </w:r>
      <w:r w:rsidR="00FF7AB6">
        <w:rPr>
          <w:rFonts w:ascii="Arial" w:hAnsi="Arial" w:cs="Arial"/>
          <w:iCs/>
          <w:sz w:val="24"/>
          <w:szCs w:val="24"/>
        </w:rPr>
        <w:t xml:space="preserve">ACAT has shown a willingness to use its discretion to afford </w:t>
      </w:r>
      <w:r w:rsidR="00FF7AB6">
        <w:rPr>
          <w:rFonts w:ascii="Arial" w:hAnsi="Arial" w:cs="Arial"/>
          <w:iCs/>
          <w:sz w:val="24"/>
          <w:szCs w:val="24"/>
        </w:rPr>
        <w:lastRenderedPageBreak/>
        <w:t>significant weight to the impact of forced eviction on the tenant. That is, notwithstanding a public or community housing lessor’s contractual right to terminate a tenancy without grounds, ACAT has been open to finding that a TPO is nevertheless inappropriate in the circumstances.</w:t>
      </w:r>
    </w:p>
    <w:p w14:paraId="3698F55B" w14:textId="25130121" w:rsidR="0041670E" w:rsidRDefault="0041670E" w:rsidP="00462F53">
      <w:pPr>
        <w:rPr>
          <w:rFonts w:ascii="Arial" w:hAnsi="Arial" w:cs="Arial"/>
          <w:iCs/>
          <w:sz w:val="24"/>
          <w:szCs w:val="24"/>
        </w:rPr>
      </w:pPr>
      <w:r>
        <w:rPr>
          <w:rFonts w:ascii="Arial" w:hAnsi="Arial" w:cs="Arial"/>
          <w:iCs/>
          <w:sz w:val="24"/>
          <w:szCs w:val="24"/>
        </w:rPr>
        <w:t xml:space="preserve">However, </w:t>
      </w:r>
      <w:r w:rsidR="0090348F">
        <w:rPr>
          <w:rFonts w:ascii="Arial" w:hAnsi="Arial" w:cs="Arial"/>
          <w:iCs/>
          <w:sz w:val="24"/>
          <w:szCs w:val="24"/>
        </w:rPr>
        <w:t>by</w:t>
      </w:r>
      <w:r>
        <w:rPr>
          <w:rFonts w:ascii="Arial" w:hAnsi="Arial" w:cs="Arial"/>
          <w:iCs/>
          <w:sz w:val="24"/>
          <w:szCs w:val="24"/>
        </w:rPr>
        <w:t xml:space="preserve"> introducing specific termination provisions,</w:t>
      </w:r>
      <w:r w:rsidR="00B62304">
        <w:rPr>
          <w:rFonts w:ascii="Arial" w:hAnsi="Arial" w:cs="Arial"/>
          <w:iCs/>
          <w:sz w:val="24"/>
          <w:szCs w:val="24"/>
        </w:rPr>
        <w:t xml:space="preserve"> w</w:t>
      </w:r>
      <w:r w:rsidR="0097628A">
        <w:rPr>
          <w:rFonts w:ascii="Arial" w:hAnsi="Arial" w:cs="Arial"/>
          <w:iCs/>
          <w:sz w:val="24"/>
          <w:szCs w:val="24"/>
        </w:rPr>
        <w:t>hich apply in narrowly defined circumstances</w:t>
      </w:r>
      <w:r w:rsidR="00273D81">
        <w:rPr>
          <w:rFonts w:ascii="Arial" w:hAnsi="Arial" w:cs="Arial"/>
          <w:iCs/>
          <w:sz w:val="24"/>
          <w:szCs w:val="24"/>
        </w:rPr>
        <w:t xml:space="preserve"> an</w:t>
      </w:r>
      <w:r w:rsidR="003D1FB9">
        <w:rPr>
          <w:rFonts w:ascii="Arial" w:hAnsi="Arial" w:cs="Arial"/>
          <w:iCs/>
          <w:sz w:val="24"/>
          <w:szCs w:val="24"/>
        </w:rPr>
        <w:t>d</w:t>
      </w:r>
      <w:r w:rsidR="00273D81">
        <w:rPr>
          <w:rFonts w:ascii="Arial" w:hAnsi="Arial" w:cs="Arial"/>
          <w:iCs/>
          <w:sz w:val="24"/>
          <w:szCs w:val="24"/>
        </w:rPr>
        <w:t xml:space="preserve"> explicitly contemplate scenarios in which a public or community housing lessor may need to terminate a tenancy to support the administrative management of the housing assistance program</w:t>
      </w:r>
      <w:r w:rsidR="0097628A">
        <w:rPr>
          <w:rFonts w:ascii="Arial" w:hAnsi="Arial" w:cs="Arial"/>
          <w:iCs/>
          <w:sz w:val="24"/>
          <w:szCs w:val="24"/>
        </w:rPr>
        <w:t xml:space="preserve">, </w:t>
      </w:r>
      <w:r w:rsidR="0090348F">
        <w:rPr>
          <w:rFonts w:ascii="Arial" w:hAnsi="Arial" w:cs="Arial"/>
          <w:iCs/>
          <w:sz w:val="24"/>
          <w:szCs w:val="24"/>
        </w:rPr>
        <w:t xml:space="preserve">there is a risk that </w:t>
      </w:r>
      <w:r>
        <w:rPr>
          <w:rFonts w:ascii="Arial" w:hAnsi="Arial" w:cs="Arial"/>
          <w:iCs/>
          <w:sz w:val="24"/>
          <w:szCs w:val="24"/>
        </w:rPr>
        <w:t xml:space="preserve">ACAT may </w:t>
      </w:r>
      <w:r w:rsidR="00273D81">
        <w:rPr>
          <w:rFonts w:ascii="Arial" w:hAnsi="Arial" w:cs="Arial"/>
          <w:iCs/>
          <w:sz w:val="24"/>
          <w:szCs w:val="24"/>
        </w:rPr>
        <w:t>interpret its discretion narrowly.</w:t>
      </w:r>
    </w:p>
    <w:p w14:paraId="1D11187D" w14:textId="72646DCC" w:rsidR="00B62304" w:rsidRDefault="00395342" w:rsidP="00462F53">
      <w:pPr>
        <w:rPr>
          <w:rFonts w:ascii="Arial" w:hAnsi="Arial" w:cs="Arial"/>
          <w:iCs/>
          <w:sz w:val="24"/>
          <w:szCs w:val="24"/>
        </w:rPr>
      </w:pPr>
      <w:r>
        <w:rPr>
          <w:rFonts w:ascii="Arial" w:hAnsi="Arial" w:cs="Arial"/>
          <w:iCs/>
          <w:sz w:val="24"/>
          <w:szCs w:val="24"/>
        </w:rPr>
        <w:t>To ensure that ACAT’s discretion is</w:t>
      </w:r>
      <w:r w:rsidR="00CD6BEC">
        <w:rPr>
          <w:rFonts w:ascii="Arial" w:hAnsi="Arial" w:cs="Arial"/>
          <w:iCs/>
          <w:sz w:val="24"/>
          <w:szCs w:val="24"/>
        </w:rPr>
        <w:t xml:space="preserve"> not only</w:t>
      </w:r>
      <w:r>
        <w:rPr>
          <w:rFonts w:ascii="Arial" w:hAnsi="Arial" w:cs="Arial"/>
          <w:iCs/>
          <w:sz w:val="24"/>
          <w:szCs w:val="24"/>
        </w:rPr>
        <w:t xml:space="preserve"> </w:t>
      </w:r>
      <w:r w:rsidR="00CD6BEC">
        <w:rPr>
          <w:rFonts w:ascii="Arial" w:hAnsi="Arial" w:cs="Arial"/>
          <w:iCs/>
          <w:sz w:val="24"/>
          <w:szCs w:val="24"/>
        </w:rPr>
        <w:t>retained</w:t>
      </w:r>
      <w:r w:rsidR="0090348F">
        <w:rPr>
          <w:rFonts w:ascii="Arial" w:hAnsi="Arial" w:cs="Arial"/>
          <w:iCs/>
          <w:sz w:val="24"/>
          <w:szCs w:val="24"/>
        </w:rPr>
        <w:t>,</w:t>
      </w:r>
      <w:r w:rsidR="00CD6BEC">
        <w:rPr>
          <w:rFonts w:ascii="Arial" w:hAnsi="Arial" w:cs="Arial"/>
          <w:iCs/>
          <w:sz w:val="24"/>
          <w:szCs w:val="24"/>
        </w:rPr>
        <w:t xml:space="preserve"> but is </w:t>
      </w:r>
      <w:r>
        <w:rPr>
          <w:rFonts w:ascii="Arial" w:hAnsi="Arial" w:cs="Arial"/>
          <w:iCs/>
          <w:sz w:val="24"/>
          <w:szCs w:val="24"/>
        </w:rPr>
        <w:t xml:space="preserve">expanded </w:t>
      </w:r>
      <w:r w:rsidR="00CD6BEC">
        <w:rPr>
          <w:rFonts w:ascii="Arial" w:hAnsi="Arial" w:cs="Arial"/>
          <w:iCs/>
          <w:sz w:val="24"/>
          <w:szCs w:val="24"/>
        </w:rPr>
        <w:t xml:space="preserve">to </w:t>
      </w:r>
      <w:r w:rsidR="0090348F" w:rsidRPr="00313FBE">
        <w:rPr>
          <w:rFonts w:ascii="Arial" w:hAnsi="Arial" w:cs="Arial"/>
          <w:iCs/>
          <w:sz w:val="24"/>
          <w:szCs w:val="24"/>
        </w:rPr>
        <w:t>protect</w:t>
      </w:r>
      <w:r w:rsidRPr="00313FBE">
        <w:rPr>
          <w:rFonts w:ascii="Arial" w:hAnsi="Arial" w:cs="Arial"/>
          <w:iCs/>
          <w:sz w:val="24"/>
          <w:szCs w:val="24"/>
        </w:rPr>
        <w:t xml:space="preserve"> </w:t>
      </w:r>
      <w:r w:rsidR="003D645F" w:rsidRPr="00313FBE">
        <w:rPr>
          <w:rFonts w:ascii="Arial" w:hAnsi="Arial" w:cs="Arial"/>
          <w:iCs/>
          <w:sz w:val="24"/>
          <w:szCs w:val="24"/>
        </w:rPr>
        <w:t>the rights of vulnerable tenants</w:t>
      </w:r>
      <w:r w:rsidR="00CD6BEC" w:rsidRPr="00313FBE">
        <w:rPr>
          <w:rFonts w:ascii="Arial" w:hAnsi="Arial" w:cs="Arial"/>
          <w:iCs/>
          <w:sz w:val="24"/>
          <w:szCs w:val="24"/>
        </w:rPr>
        <w:t xml:space="preserve"> </w:t>
      </w:r>
      <w:r w:rsidR="00214EBD" w:rsidRPr="00313FBE">
        <w:rPr>
          <w:rFonts w:ascii="Arial" w:hAnsi="Arial" w:cs="Arial"/>
          <w:iCs/>
          <w:sz w:val="24"/>
          <w:szCs w:val="24"/>
        </w:rPr>
        <w:t xml:space="preserve">following the introduction of </w:t>
      </w:r>
      <w:r w:rsidR="0062096B" w:rsidRPr="00313FBE">
        <w:rPr>
          <w:rFonts w:ascii="Arial" w:hAnsi="Arial" w:cs="Arial"/>
          <w:iCs/>
          <w:sz w:val="24"/>
          <w:szCs w:val="24"/>
        </w:rPr>
        <w:t xml:space="preserve">the </w:t>
      </w:r>
      <w:r w:rsidR="00CD6BEC" w:rsidRPr="00313FBE">
        <w:rPr>
          <w:rFonts w:ascii="Arial" w:hAnsi="Arial" w:cs="Arial"/>
          <w:iCs/>
          <w:sz w:val="24"/>
          <w:szCs w:val="24"/>
        </w:rPr>
        <w:t>new</w:t>
      </w:r>
      <w:r w:rsidR="00214EBD" w:rsidRPr="00313FBE">
        <w:rPr>
          <w:rFonts w:ascii="Arial" w:hAnsi="Arial" w:cs="Arial"/>
          <w:iCs/>
          <w:sz w:val="24"/>
          <w:szCs w:val="24"/>
        </w:rPr>
        <w:t xml:space="preserve"> termination</w:t>
      </w:r>
      <w:r w:rsidR="00214EBD">
        <w:rPr>
          <w:rFonts w:ascii="Arial" w:hAnsi="Arial" w:cs="Arial"/>
          <w:iCs/>
          <w:sz w:val="24"/>
          <w:szCs w:val="24"/>
        </w:rPr>
        <w:t xml:space="preserve"> provisions</w:t>
      </w:r>
      <w:r w:rsidR="002F0AE9">
        <w:rPr>
          <w:rFonts w:ascii="Arial" w:hAnsi="Arial" w:cs="Arial"/>
          <w:iCs/>
          <w:sz w:val="24"/>
          <w:szCs w:val="24"/>
        </w:rPr>
        <w:t xml:space="preserve">, </w:t>
      </w:r>
      <w:r w:rsidR="00214EBD">
        <w:rPr>
          <w:rFonts w:ascii="Arial" w:hAnsi="Arial" w:cs="Arial"/>
          <w:iCs/>
          <w:sz w:val="24"/>
          <w:szCs w:val="24"/>
        </w:rPr>
        <w:t>t</w:t>
      </w:r>
      <w:r w:rsidR="002F0AE9">
        <w:rPr>
          <w:rFonts w:ascii="Arial" w:hAnsi="Arial" w:cs="Arial"/>
          <w:iCs/>
          <w:sz w:val="24"/>
          <w:szCs w:val="24"/>
        </w:rPr>
        <w:t xml:space="preserve">he Bill </w:t>
      </w:r>
      <w:r w:rsidR="0041670E">
        <w:rPr>
          <w:rFonts w:ascii="Arial" w:hAnsi="Arial" w:cs="Arial"/>
          <w:iCs/>
          <w:sz w:val="24"/>
          <w:szCs w:val="24"/>
        </w:rPr>
        <w:t xml:space="preserve">provides that where </w:t>
      </w:r>
      <w:r w:rsidR="00273D81">
        <w:rPr>
          <w:rFonts w:ascii="Arial" w:hAnsi="Arial" w:cs="Arial"/>
          <w:iCs/>
          <w:sz w:val="24"/>
          <w:szCs w:val="24"/>
        </w:rPr>
        <w:t>an</w:t>
      </w:r>
      <w:r w:rsidR="0041670E">
        <w:rPr>
          <w:rFonts w:ascii="Arial" w:hAnsi="Arial" w:cs="Arial"/>
          <w:iCs/>
          <w:sz w:val="24"/>
          <w:szCs w:val="24"/>
        </w:rPr>
        <w:t xml:space="preserve"> application relates to a public housing, community housing, subsidised housing or temporary housing assistance termination clause,</w:t>
      </w:r>
      <w:r w:rsidR="00CD6BEC">
        <w:rPr>
          <w:rFonts w:ascii="Arial" w:hAnsi="Arial" w:cs="Arial"/>
          <w:iCs/>
          <w:sz w:val="24"/>
          <w:szCs w:val="24"/>
        </w:rPr>
        <w:t xml:space="preserve"> </w:t>
      </w:r>
      <w:r w:rsidR="002F0AE9">
        <w:rPr>
          <w:rFonts w:ascii="Arial" w:hAnsi="Arial" w:cs="Arial"/>
          <w:iCs/>
          <w:sz w:val="24"/>
          <w:szCs w:val="24"/>
        </w:rPr>
        <w:t xml:space="preserve">ACAT </w:t>
      </w:r>
      <w:r w:rsidR="00273D81">
        <w:rPr>
          <w:rFonts w:ascii="Arial" w:hAnsi="Arial" w:cs="Arial"/>
          <w:iCs/>
          <w:sz w:val="24"/>
          <w:szCs w:val="24"/>
        </w:rPr>
        <w:t>may only</w:t>
      </w:r>
      <w:r w:rsidR="0041670E">
        <w:rPr>
          <w:rFonts w:ascii="Arial" w:hAnsi="Arial" w:cs="Arial"/>
          <w:iCs/>
          <w:sz w:val="24"/>
          <w:szCs w:val="24"/>
        </w:rPr>
        <w:t xml:space="preserve"> make a</w:t>
      </w:r>
      <w:r w:rsidR="002F0AE9">
        <w:rPr>
          <w:rFonts w:ascii="Arial" w:hAnsi="Arial" w:cs="Arial"/>
          <w:iCs/>
          <w:sz w:val="24"/>
          <w:szCs w:val="24"/>
        </w:rPr>
        <w:t xml:space="preserve"> </w:t>
      </w:r>
      <w:r w:rsidR="009D65D8">
        <w:rPr>
          <w:rFonts w:ascii="Arial" w:hAnsi="Arial" w:cs="Arial"/>
          <w:iCs/>
          <w:sz w:val="24"/>
          <w:szCs w:val="24"/>
        </w:rPr>
        <w:t>TPO</w:t>
      </w:r>
      <w:r w:rsidR="0090348F">
        <w:rPr>
          <w:rFonts w:ascii="Arial" w:hAnsi="Arial" w:cs="Arial"/>
          <w:iCs/>
          <w:sz w:val="24"/>
          <w:szCs w:val="24"/>
        </w:rPr>
        <w:t xml:space="preserve"> if </w:t>
      </w:r>
      <w:r w:rsidR="00CD6BEC">
        <w:rPr>
          <w:rFonts w:ascii="Arial" w:hAnsi="Arial" w:cs="Arial"/>
          <w:iCs/>
          <w:sz w:val="24"/>
          <w:szCs w:val="24"/>
        </w:rPr>
        <w:t>it is satisfied that the termination</w:t>
      </w:r>
      <w:r w:rsidR="002F0AE9">
        <w:rPr>
          <w:rFonts w:ascii="Arial" w:hAnsi="Arial" w:cs="Arial"/>
          <w:iCs/>
          <w:sz w:val="24"/>
          <w:szCs w:val="24"/>
        </w:rPr>
        <w:t xml:space="preserve"> </w:t>
      </w:r>
      <w:r w:rsidR="00313FBE">
        <w:rPr>
          <w:rFonts w:ascii="Arial" w:hAnsi="Arial" w:cs="Arial"/>
          <w:iCs/>
          <w:sz w:val="24"/>
          <w:szCs w:val="24"/>
        </w:rPr>
        <w:t xml:space="preserve">is </w:t>
      </w:r>
      <w:r w:rsidR="002F0AE9">
        <w:rPr>
          <w:rFonts w:ascii="Arial" w:hAnsi="Arial" w:cs="Arial"/>
          <w:iCs/>
          <w:sz w:val="24"/>
          <w:szCs w:val="24"/>
        </w:rPr>
        <w:t>reasonable and proportionate</w:t>
      </w:r>
      <w:r w:rsidR="00633FCE">
        <w:rPr>
          <w:rFonts w:ascii="Arial" w:hAnsi="Arial" w:cs="Arial"/>
          <w:iCs/>
          <w:sz w:val="24"/>
          <w:szCs w:val="24"/>
        </w:rPr>
        <w:t xml:space="preserve"> in the unique and complex circumstances of the application before it.</w:t>
      </w:r>
      <w:r w:rsidR="00214EBD">
        <w:rPr>
          <w:rFonts w:ascii="Arial" w:hAnsi="Arial" w:cs="Arial"/>
          <w:iCs/>
          <w:sz w:val="24"/>
          <w:szCs w:val="24"/>
        </w:rPr>
        <w:t xml:space="preserve"> </w:t>
      </w:r>
    </w:p>
    <w:p w14:paraId="5B9FF079" w14:textId="59F5AE62" w:rsidR="00E961CD" w:rsidRDefault="00273D81" w:rsidP="00462F53">
      <w:pPr>
        <w:rPr>
          <w:rFonts w:ascii="Arial" w:hAnsi="Arial" w:cs="Arial"/>
          <w:iCs/>
          <w:sz w:val="24"/>
          <w:szCs w:val="24"/>
        </w:rPr>
      </w:pPr>
      <w:r>
        <w:rPr>
          <w:rFonts w:ascii="Arial" w:hAnsi="Arial" w:cs="Arial"/>
          <w:iCs/>
          <w:sz w:val="24"/>
          <w:szCs w:val="24"/>
        </w:rPr>
        <w:t>U</w:t>
      </w:r>
      <w:r w:rsidR="00B62304">
        <w:rPr>
          <w:rFonts w:ascii="Arial" w:hAnsi="Arial" w:cs="Arial"/>
          <w:iCs/>
          <w:sz w:val="24"/>
          <w:szCs w:val="24"/>
        </w:rPr>
        <w:t xml:space="preserve">nder current section 47, ACAT’s discretion is </w:t>
      </w:r>
      <w:r w:rsidR="00FF7AB6">
        <w:rPr>
          <w:rFonts w:ascii="Arial" w:hAnsi="Arial" w:cs="Arial"/>
          <w:iCs/>
          <w:sz w:val="24"/>
          <w:szCs w:val="24"/>
        </w:rPr>
        <w:t>largely unrestrained (except in so far as there is an implied limitation on the factors ACAT may consider having regard to the language, purpose and scope of the RTA)</w:t>
      </w:r>
      <w:r w:rsidR="00B62304">
        <w:rPr>
          <w:rFonts w:ascii="Arial" w:hAnsi="Arial" w:cs="Arial"/>
          <w:iCs/>
          <w:sz w:val="24"/>
          <w:szCs w:val="24"/>
        </w:rPr>
        <w:t>.</w:t>
      </w:r>
      <w:r>
        <w:rPr>
          <w:rFonts w:ascii="Arial" w:hAnsi="Arial" w:cs="Arial"/>
          <w:iCs/>
          <w:sz w:val="24"/>
          <w:szCs w:val="24"/>
        </w:rPr>
        <w:t xml:space="preserve"> </w:t>
      </w:r>
      <w:r w:rsidR="00B62304">
        <w:rPr>
          <w:rFonts w:ascii="Arial" w:hAnsi="Arial" w:cs="Arial"/>
          <w:iCs/>
          <w:sz w:val="24"/>
          <w:szCs w:val="24"/>
        </w:rPr>
        <w:t>To guide consistent and balanced decision making, the reasonable and proportionate test introduces several factors that ACAT must consider. These factors</w:t>
      </w:r>
      <w:r w:rsidR="00313FBE">
        <w:rPr>
          <w:rFonts w:ascii="Arial" w:hAnsi="Arial" w:cs="Arial"/>
          <w:iCs/>
          <w:sz w:val="24"/>
          <w:szCs w:val="24"/>
        </w:rPr>
        <w:t xml:space="preserve"> are</w:t>
      </w:r>
      <w:r w:rsidR="00B62304">
        <w:rPr>
          <w:rFonts w:ascii="Arial" w:hAnsi="Arial" w:cs="Arial"/>
          <w:iCs/>
          <w:sz w:val="24"/>
          <w:szCs w:val="24"/>
        </w:rPr>
        <w:t xml:space="preserve"> </w:t>
      </w:r>
      <w:r w:rsidR="0026309A">
        <w:rPr>
          <w:rFonts w:ascii="Arial" w:hAnsi="Arial" w:cs="Arial"/>
          <w:iCs/>
          <w:sz w:val="24"/>
          <w:szCs w:val="24"/>
        </w:rPr>
        <w:t>drawn</w:t>
      </w:r>
      <w:r w:rsidR="00B62304">
        <w:rPr>
          <w:rFonts w:ascii="Arial" w:hAnsi="Arial" w:cs="Arial"/>
          <w:iCs/>
          <w:sz w:val="24"/>
          <w:szCs w:val="24"/>
        </w:rPr>
        <w:t xml:space="preserve"> </w:t>
      </w:r>
      <w:r w:rsidR="00E961CD">
        <w:rPr>
          <w:rFonts w:ascii="Arial" w:hAnsi="Arial" w:cs="Arial"/>
          <w:iCs/>
          <w:sz w:val="24"/>
          <w:szCs w:val="24"/>
        </w:rPr>
        <w:t xml:space="preserve">from the </w:t>
      </w:r>
      <w:r w:rsidR="0026309A">
        <w:rPr>
          <w:rFonts w:ascii="Arial" w:hAnsi="Arial" w:cs="Arial"/>
          <w:iCs/>
          <w:sz w:val="24"/>
          <w:szCs w:val="24"/>
        </w:rPr>
        <w:t>ACAT</w:t>
      </w:r>
      <w:r w:rsidR="00E961CD">
        <w:rPr>
          <w:rFonts w:ascii="Arial" w:hAnsi="Arial" w:cs="Arial"/>
          <w:iCs/>
          <w:sz w:val="24"/>
          <w:szCs w:val="24"/>
        </w:rPr>
        <w:t xml:space="preserve"> decision of </w:t>
      </w:r>
      <w:r w:rsidR="00E961CD">
        <w:rPr>
          <w:rFonts w:ascii="Arial" w:hAnsi="Arial" w:cs="Arial"/>
          <w:i/>
          <w:sz w:val="24"/>
          <w:szCs w:val="24"/>
        </w:rPr>
        <w:t>Commissioner for Social Housing v Cook 2020 [ACAT] 36,</w:t>
      </w:r>
      <w:r w:rsidR="003C3EF2">
        <w:rPr>
          <w:rFonts w:ascii="Arial" w:hAnsi="Arial" w:cs="Arial"/>
          <w:iCs/>
          <w:sz w:val="24"/>
          <w:szCs w:val="24"/>
        </w:rPr>
        <w:t xml:space="preserve"> but also expand the factors for consideration from that decision. They</w:t>
      </w:r>
      <w:r w:rsidR="00E961CD">
        <w:rPr>
          <w:rFonts w:ascii="Arial" w:hAnsi="Arial" w:cs="Arial"/>
          <w:i/>
          <w:sz w:val="24"/>
          <w:szCs w:val="24"/>
        </w:rPr>
        <w:t xml:space="preserve"> </w:t>
      </w:r>
      <w:r w:rsidR="00B62304">
        <w:rPr>
          <w:rFonts w:ascii="Arial" w:hAnsi="Arial" w:cs="Arial"/>
          <w:iCs/>
          <w:sz w:val="24"/>
          <w:szCs w:val="24"/>
        </w:rPr>
        <w:t xml:space="preserve">include: </w:t>
      </w:r>
      <w:r w:rsidR="00E961CD">
        <w:rPr>
          <w:rFonts w:ascii="Arial" w:hAnsi="Arial" w:cs="Arial"/>
          <w:iCs/>
          <w:sz w:val="24"/>
          <w:szCs w:val="24"/>
        </w:rPr>
        <w:t xml:space="preserve">the history </w:t>
      </w:r>
      <w:r w:rsidR="003C3EF2">
        <w:rPr>
          <w:rFonts w:ascii="Arial" w:hAnsi="Arial" w:cs="Arial"/>
          <w:iCs/>
          <w:sz w:val="24"/>
          <w:szCs w:val="24"/>
        </w:rPr>
        <w:t xml:space="preserve">and length </w:t>
      </w:r>
      <w:r w:rsidR="00E961CD">
        <w:rPr>
          <w:rFonts w:ascii="Arial" w:hAnsi="Arial" w:cs="Arial"/>
          <w:iCs/>
          <w:sz w:val="24"/>
          <w:szCs w:val="24"/>
        </w:rPr>
        <w:t xml:space="preserve">of the tenancy; the powers and functions of the lessor as a provider of public or </w:t>
      </w:r>
      <w:r w:rsidR="003C3EF2">
        <w:rPr>
          <w:rFonts w:ascii="Arial" w:hAnsi="Arial" w:cs="Arial"/>
          <w:iCs/>
          <w:sz w:val="24"/>
          <w:szCs w:val="24"/>
        </w:rPr>
        <w:t xml:space="preserve">subsidised </w:t>
      </w:r>
      <w:r w:rsidR="00E961CD">
        <w:rPr>
          <w:rFonts w:ascii="Arial" w:hAnsi="Arial" w:cs="Arial"/>
          <w:iCs/>
          <w:sz w:val="24"/>
          <w:szCs w:val="24"/>
        </w:rPr>
        <w:t xml:space="preserve">housing; the conduct of the </w:t>
      </w:r>
      <w:r w:rsidR="003C3EF2">
        <w:rPr>
          <w:rFonts w:ascii="Arial" w:hAnsi="Arial" w:cs="Arial"/>
          <w:iCs/>
          <w:sz w:val="24"/>
          <w:szCs w:val="24"/>
        </w:rPr>
        <w:t xml:space="preserve">tenant and the lessor or owner </w:t>
      </w:r>
      <w:r w:rsidR="00E961CD">
        <w:rPr>
          <w:rFonts w:ascii="Arial" w:hAnsi="Arial" w:cs="Arial"/>
          <w:iCs/>
          <w:sz w:val="24"/>
          <w:szCs w:val="24"/>
        </w:rPr>
        <w:t xml:space="preserve">in the circumstances giving rise to the application for a </w:t>
      </w:r>
      <w:r w:rsidR="009D65D8">
        <w:rPr>
          <w:rFonts w:ascii="Arial" w:hAnsi="Arial" w:cs="Arial"/>
          <w:iCs/>
          <w:sz w:val="24"/>
          <w:szCs w:val="24"/>
        </w:rPr>
        <w:t>TPO</w:t>
      </w:r>
      <w:r w:rsidR="00E961CD">
        <w:rPr>
          <w:rFonts w:ascii="Arial" w:hAnsi="Arial" w:cs="Arial"/>
          <w:iCs/>
          <w:sz w:val="24"/>
          <w:szCs w:val="24"/>
        </w:rPr>
        <w:t xml:space="preserve">; hardship to </w:t>
      </w:r>
      <w:r w:rsidR="003C3EF2">
        <w:rPr>
          <w:rFonts w:ascii="Arial" w:hAnsi="Arial" w:cs="Arial"/>
          <w:iCs/>
          <w:sz w:val="24"/>
          <w:szCs w:val="24"/>
        </w:rPr>
        <w:t xml:space="preserve">the </w:t>
      </w:r>
      <w:r w:rsidR="00E961CD">
        <w:rPr>
          <w:rFonts w:ascii="Arial" w:hAnsi="Arial" w:cs="Arial"/>
          <w:iCs/>
          <w:sz w:val="24"/>
          <w:szCs w:val="24"/>
        </w:rPr>
        <w:t>tenant</w:t>
      </w:r>
      <w:r w:rsidR="003C3EF2">
        <w:rPr>
          <w:rFonts w:ascii="Arial" w:hAnsi="Arial" w:cs="Arial"/>
          <w:iCs/>
          <w:sz w:val="24"/>
          <w:szCs w:val="24"/>
        </w:rPr>
        <w:t xml:space="preserve"> and any other factors </w:t>
      </w:r>
      <w:r w:rsidR="009D65D8">
        <w:rPr>
          <w:rFonts w:ascii="Arial" w:hAnsi="Arial" w:cs="Arial"/>
          <w:iCs/>
          <w:sz w:val="24"/>
          <w:szCs w:val="24"/>
        </w:rPr>
        <w:t xml:space="preserve">that </w:t>
      </w:r>
      <w:r w:rsidR="003C3EF2">
        <w:rPr>
          <w:rFonts w:ascii="Arial" w:hAnsi="Arial" w:cs="Arial"/>
          <w:iCs/>
          <w:sz w:val="24"/>
          <w:szCs w:val="24"/>
        </w:rPr>
        <w:t>ACAT considers relevant</w:t>
      </w:r>
      <w:r w:rsidR="00E961CD">
        <w:rPr>
          <w:rFonts w:ascii="Arial" w:hAnsi="Arial" w:cs="Arial"/>
          <w:iCs/>
          <w:sz w:val="24"/>
          <w:szCs w:val="24"/>
        </w:rPr>
        <w:t>.</w:t>
      </w:r>
      <w:r w:rsidR="00480D5F">
        <w:rPr>
          <w:rFonts w:ascii="Arial" w:hAnsi="Arial" w:cs="Arial"/>
          <w:iCs/>
          <w:sz w:val="24"/>
          <w:szCs w:val="24"/>
        </w:rPr>
        <w:t xml:space="preserve"> </w:t>
      </w:r>
      <w:r w:rsidR="009D65D8">
        <w:rPr>
          <w:rFonts w:ascii="Arial" w:hAnsi="Arial" w:cs="Arial"/>
          <w:iCs/>
          <w:sz w:val="24"/>
          <w:szCs w:val="24"/>
        </w:rPr>
        <w:t>Further</w:t>
      </w:r>
      <w:r w:rsidR="00AA0CA0">
        <w:rPr>
          <w:rFonts w:ascii="Arial" w:hAnsi="Arial" w:cs="Arial"/>
          <w:iCs/>
          <w:sz w:val="24"/>
          <w:szCs w:val="24"/>
        </w:rPr>
        <w:t>, inclusion of these factors is not intended to curtail ACAT’s consideration of human rights under section 40 C (2) (b) of the HRA, which substituted section 47 explicitly confirms.</w:t>
      </w:r>
    </w:p>
    <w:p w14:paraId="7776FE70" w14:textId="7B4BA37C" w:rsidR="00CD6BEC" w:rsidRPr="005E2C04" w:rsidRDefault="0062096B" w:rsidP="00462F53">
      <w:pPr>
        <w:rPr>
          <w:rFonts w:ascii="Arial" w:hAnsi="Arial" w:cs="Arial"/>
          <w:iCs/>
          <w:sz w:val="24"/>
          <w:szCs w:val="24"/>
        </w:rPr>
      </w:pPr>
      <w:r w:rsidRPr="00264F34">
        <w:rPr>
          <w:rFonts w:ascii="Arial" w:hAnsi="Arial" w:cs="Arial"/>
          <w:iCs/>
          <w:sz w:val="24"/>
          <w:szCs w:val="24"/>
        </w:rPr>
        <w:t>Th</w:t>
      </w:r>
      <w:r w:rsidR="003D645F">
        <w:rPr>
          <w:rFonts w:ascii="Arial" w:hAnsi="Arial" w:cs="Arial"/>
          <w:iCs/>
          <w:sz w:val="24"/>
          <w:szCs w:val="24"/>
        </w:rPr>
        <w:t>is</w:t>
      </w:r>
      <w:r>
        <w:rPr>
          <w:rFonts w:ascii="Arial" w:hAnsi="Arial" w:cs="Arial"/>
          <w:iCs/>
          <w:sz w:val="24"/>
          <w:szCs w:val="24"/>
        </w:rPr>
        <w:t xml:space="preserve"> </w:t>
      </w:r>
      <w:r w:rsidRPr="00264F34">
        <w:rPr>
          <w:rFonts w:ascii="Arial" w:hAnsi="Arial" w:cs="Arial"/>
          <w:iCs/>
          <w:sz w:val="24"/>
          <w:szCs w:val="24"/>
        </w:rPr>
        <w:t>safeguard prevent</w:t>
      </w:r>
      <w:r w:rsidR="003D645F">
        <w:rPr>
          <w:rFonts w:ascii="Arial" w:hAnsi="Arial" w:cs="Arial"/>
          <w:iCs/>
          <w:sz w:val="24"/>
          <w:szCs w:val="24"/>
        </w:rPr>
        <w:t>s</w:t>
      </w:r>
      <w:r w:rsidRPr="00264F34">
        <w:rPr>
          <w:rFonts w:ascii="Arial" w:hAnsi="Arial" w:cs="Arial"/>
          <w:iCs/>
          <w:sz w:val="24"/>
          <w:szCs w:val="24"/>
        </w:rPr>
        <w:t xml:space="preserve"> arbitrary interference with the home by </w:t>
      </w:r>
      <w:r w:rsidR="005121AB">
        <w:rPr>
          <w:rFonts w:ascii="Arial" w:hAnsi="Arial" w:cs="Arial"/>
          <w:iCs/>
          <w:sz w:val="24"/>
          <w:szCs w:val="24"/>
        </w:rPr>
        <w:t xml:space="preserve">ensuring that terminations </w:t>
      </w:r>
      <w:r w:rsidR="0026309A">
        <w:rPr>
          <w:rFonts w:ascii="Arial" w:hAnsi="Arial" w:cs="Arial"/>
          <w:iCs/>
          <w:sz w:val="24"/>
          <w:szCs w:val="24"/>
        </w:rPr>
        <w:t>are not enforced without consideration of the tenant’s unique circumstances, including their experiences of vulnerability and disadvantage</w:t>
      </w:r>
      <w:r w:rsidR="00FF7AB6">
        <w:rPr>
          <w:rFonts w:ascii="Arial" w:hAnsi="Arial" w:cs="Arial"/>
          <w:iCs/>
          <w:sz w:val="24"/>
          <w:szCs w:val="24"/>
        </w:rPr>
        <w:t>. By doing so, the reasonable and proportion test limits the circumstances in which a public or community housing tenant may be forced to vacate their home.</w:t>
      </w:r>
    </w:p>
    <w:p w14:paraId="79EBEBDD" w14:textId="499B8042" w:rsidR="00462F53" w:rsidRPr="00480D5F" w:rsidRDefault="00124A6E" w:rsidP="00DA6700">
      <w:pPr>
        <w:rPr>
          <w:rFonts w:ascii="Arial" w:hAnsi="Arial" w:cs="Arial"/>
          <w:iCs/>
          <w:sz w:val="24"/>
          <w:szCs w:val="24"/>
          <w:lang w:eastAsia="en-AU"/>
        </w:rPr>
      </w:pPr>
      <w:r w:rsidRPr="00264F34">
        <w:rPr>
          <w:rFonts w:ascii="Arial" w:hAnsi="Arial" w:cs="Arial"/>
          <w:iCs/>
          <w:sz w:val="24"/>
          <w:szCs w:val="24"/>
          <w:lang w:eastAsia="en-AU"/>
        </w:rPr>
        <w:t xml:space="preserve">The </w:t>
      </w:r>
      <w:r>
        <w:rPr>
          <w:rFonts w:ascii="Arial" w:hAnsi="Arial" w:cs="Arial"/>
          <w:iCs/>
          <w:sz w:val="24"/>
          <w:szCs w:val="24"/>
          <w:lang w:eastAsia="en-AU"/>
        </w:rPr>
        <w:t xml:space="preserve">individual termination </w:t>
      </w:r>
      <w:r w:rsidRPr="00264F34">
        <w:rPr>
          <w:rFonts w:ascii="Arial" w:hAnsi="Arial" w:cs="Arial"/>
          <w:iCs/>
          <w:sz w:val="24"/>
          <w:szCs w:val="24"/>
          <w:lang w:eastAsia="en-AU"/>
        </w:rPr>
        <w:t xml:space="preserve">provisions </w:t>
      </w:r>
      <w:r>
        <w:rPr>
          <w:rFonts w:ascii="Arial" w:hAnsi="Arial" w:cs="Arial"/>
          <w:iCs/>
          <w:sz w:val="24"/>
          <w:szCs w:val="24"/>
          <w:lang w:eastAsia="en-AU"/>
        </w:rPr>
        <w:t xml:space="preserve">available to public and community lessors </w:t>
      </w:r>
      <w:r w:rsidRPr="00264F34">
        <w:rPr>
          <w:rFonts w:ascii="Arial" w:hAnsi="Arial" w:cs="Arial"/>
          <w:iCs/>
          <w:sz w:val="24"/>
          <w:szCs w:val="24"/>
          <w:lang w:eastAsia="en-AU"/>
        </w:rPr>
        <w:t>also contain additional safeguards to ensure the proportionality of any limitation on the right to privacy</w:t>
      </w:r>
      <w:r>
        <w:rPr>
          <w:rFonts w:ascii="Arial" w:hAnsi="Arial" w:cs="Arial"/>
          <w:iCs/>
          <w:sz w:val="24"/>
          <w:szCs w:val="24"/>
          <w:lang w:eastAsia="en-AU"/>
        </w:rPr>
        <w:t xml:space="preserve">. These </w:t>
      </w:r>
      <w:r w:rsidRPr="00264F34">
        <w:rPr>
          <w:rFonts w:ascii="Arial" w:hAnsi="Arial" w:cs="Arial"/>
          <w:iCs/>
          <w:sz w:val="24"/>
          <w:szCs w:val="24"/>
          <w:lang w:eastAsia="en-AU"/>
        </w:rPr>
        <w:t xml:space="preserve">are outlined </w:t>
      </w:r>
      <w:r>
        <w:rPr>
          <w:rFonts w:ascii="Arial" w:hAnsi="Arial" w:cs="Arial"/>
          <w:iCs/>
          <w:sz w:val="24"/>
          <w:szCs w:val="24"/>
          <w:lang w:eastAsia="en-AU"/>
        </w:rPr>
        <w:t>in detail</w:t>
      </w:r>
      <w:r w:rsidRPr="00264F34">
        <w:rPr>
          <w:rFonts w:ascii="Arial" w:hAnsi="Arial" w:cs="Arial"/>
          <w:iCs/>
          <w:sz w:val="24"/>
          <w:szCs w:val="24"/>
          <w:lang w:eastAsia="en-AU"/>
        </w:rPr>
        <w:t xml:space="preserve"> below.</w:t>
      </w:r>
    </w:p>
    <w:p w14:paraId="6975B8D7" w14:textId="77777777" w:rsidR="0064040A" w:rsidRDefault="0064040A">
      <w:pPr>
        <w:spacing w:after="0" w:line="240" w:lineRule="auto"/>
        <w:rPr>
          <w:rFonts w:ascii="Arial" w:hAnsi="Arial" w:cs="Arial"/>
          <w:b/>
          <w:bCs/>
          <w:i/>
          <w:sz w:val="24"/>
          <w:szCs w:val="24"/>
        </w:rPr>
      </w:pPr>
      <w:r>
        <w:rPr>
          <w:rFonts w:ascii="Arial" w:hAnsi="Arial" w:cs="Arial"/>
          <w:b/>
          <w:bCs/>
          <w:i/>
          <w:sz w:val="24"/>
          <w:szCs w:val="24"/>
        </w:rPr>
        <w:br w:type="page"/>
      </w:r>
    </w:p>
    <w:p w14:paraId="50E1291B" w14:textId="1FCBD34B" w:rsidR="00687ABF" w:rsidRPr="00264F34" w:rsidRDefault="00687ABF" w:rsidP="00DA6700">
      <w:pPr>
        <w:rPr>
          <w:rFonts w:ascii="Arial" w:hAnsi="Arial" w:cs="Arial"/>
          <w:b/>
          <w:bCs/>
          <w:i/>
          <w:sz w:val="24"/>
          <w:szCs w:val="24"/>
        </w:rPr>
      </w:pPr>
      <w:r w:rsidRPr="00264F34">
        <w:rPr>
          <w:rFonts w:ascii="Arial" w:hAnsi="Arial" w:cs="Arial"/>
          <w:b/>
          <w:bCs/>
          <w:i/>
          <w:sz w:val="24"/>
          <w:szCs w:val="24"/>
        </w:rPr>
        <w:lastRenderedPageBreak/>
        <w:t>Right to privacy and home – new tenancy termination provisions which may be exercised by the Housing</w:t>
      </w:r>
      <w:r w:rsidR="00414C79">
        <w:rPr>
          <w:rFonts w:ascii="Arial" w:hAnsi="Arial" w:cs="Arial"/>
          <w:b/>
          <w:bCs/>
          <w:i/>
          <w:sz w:val="24"/>
          <w:szCs w:val="24"/>
        </w:rPr>
        <w:t xml:space="preserve"> </w:t>
      </w:r>
      <w:r w:rsidR="00414C79" w:rsidRPr="00264F34">
        <w:rPr>
          <w:rFonts w:ascii="Arial" w:hAnsi="Arial" w:cs="Arial"/>
          <w:b/>
          <w:bCs/>
          <w:i/>
          <w:sz w:val="24"/>
          <w:szCs w:val="24"/>
        </w:rPr>
        <w:t>Commissioner</w:t>
      </w:r>
    </w:p>
    <w:p w14:paraId="68F2D4D6" w14:textId="77777777" w:rsidR="00687ABF" w:rsidRPr="00264F34" w:rsidRDefault="00687ABF" w:rsidP="00DA6700">
      <w:pPr>
        <w:pStyle w:val="ListParagraph"/>
        <w:rPr>
          <w:rFonts w:ascii="Arial" w:hAnsi="Arial" w:cs="Arial"/>
          <w:i/>
          <w:sz w:val="24"/>
          <w:szCs w:val="24"/>
          <w:u w:val="single"/>
        </w:rPr>
      </w:pPr>
      <w:r w:rsidRPr="00264F34">
        <w:rPr>
          <w:rFonts w:ascii="Arial" w:hAnsi="Arial" w:cs="Arial"/>
          <w:i/>
          <w:sz w:val="24"/>
          <w:szCs w:val="24"/>
          <w:u w:val="single"/>
        </w:rPr>
        <w:t>Nature of the right and the limitation (ss 28 (2) (a) and (c))</w:t>
      </w:r>
    </w:p>
    <w:p w14:paraId="46DC0263" w14:textId="77777777" w:rsidR="00687ABF" w:rsidRPr="00264F34" w:rsidRDefault="00687ABF" w:rsidP="00D4599F">
      <w:pPr>
        <w:spacing w:after="0"/>
        <w:rPr>
          <w:rFonts w:ascii="Arial" w:hAnsi="Arial" w:cs="Arial"/>
          <w:iCs/>
          <w:sz w:val="24"/>
          <w:szCs w:val="24"/>
          <w:lang w:eastAsia="en-AU"/>
        </w:rPr>
      </w:pPr>
    </w:p>
    <w:p w14:paraId="01547858" w14:textId="01049641" w:rsidR="00687ABF" w:rsidRPr="00264F34" w:rsidRDefault="00687ABF" w:rsidP="00DA6700">
      <w:pPr>
        <w:rPr>
          <w:rFonts w:ascii="Arial" w:hAnsi="Arial" w:cs="Arial"/>
          <w:iCs/>
          <w:sz w:val="24"/>
          <w:szCs w:val="24"/>
        </w:rPr>
      </w:pPr>
      <w:r w:rsidRPr="00264F34">
        <w:rPr>
          <w:rFonts w:ascii="Arial" w:hAnsi="Arial" w:cs="Arial"/>
          <w:iCs/>
          <w:sz w:val="24"/>
          <w:szCs w:val="24"/>
          <w:lang w:eastAsia="en-AU"/>
        </w:rPr>
        <w:t xml:space="preserve">The Bill introduces </w:t>
      </w:r>
      <w:r w:rsidR="00C103DA">
        <w:rPr>
          <w:rFonts w:ascii="Arial" w:hAnsi="Arial" w:cs="Arial"/>
          <w:iCs/>
          <w:sz w:val="24"/>
          <w:szCs w:val="24"/>
          <w:lang w:eastAsia="en-AU"/>
        </w:rPr>
        <w:t>several</w:t>
      </w:r>
      <w:r w:rsidRPr="00264F34">
        <w:rPr>
          <w:rFonts w:ascii="Arial" w:hAnsi="Arial" w:cs="Arial"/>
          <w:iCs/>
          <w:sz w:val="24"/>
          <w:szCs w:val="24"/>
          <w:lang w:eastAsia="en-AU"/>
        </w:rPr>
        <w:t xml:space="preserve"> termination provisions which allow the Housing Commissioner to terminate a tenancy, including:</w:t>
      </w:r>
    </w:p>
    <w:p w14:paraId="20997C6C" w14:textId="789B7392" w:rsidR="00687ABF" w:rsidRPr="00264F34" w:rsidRDefault="00687ABF" w:rsidP="00DA6700">
      <w:pPr>
        <w:pStyle w:val="ListParagraph"/>
        <w:numPr>
          <w:ilvl w:val="0"/>
          <w:numId w:val="10"/>
        </w:numPr>
        <w:spacing w:after="200" w:line="276" w:lineRule="auto"/>
        <w:ind w:left="714" w:hanging="357"/>
        <w:rPr>
          <w:rFonts w:ascii="Arial" w:hAnsi="Arial" w:cs="Arial"/>
          <w:iCs/>
          <w:sz w:val="24"/>
          <w:szCs w:val="24"/>
        </w:rPr>
      </w:pPr>
      <w:r w:rsidRPr="00264F34">
        <w:rPr>
          <w:rFonts w:ascii="Arial" w:hAnsi="Arial" w:cs="Arial"/>
          <w:iCs/>
          <w:sz w:val="24"/>
          <w:szCs w:val="24"/>
        </w:rPr>
        <w:t>whe</w:t>
      </w:r>
      <w:r w:rsidR="00C83F6B">
        <w:rPr>
          <w:rFonts w:ascii="Arial" w:hAnsi="Arial" w:cs="Arial"/>
          <w:iCs/>
          <w:sz w:val="24"/>
          <w:szCs w:val="24"/>
        </w:rPr>
        <w:t>re</w:t>
      </w:r>
      <w:r w:rsidRPr="00264F34">
        <w:rPr>
          <w:rFonts w:ascii="Arial" w:hAnsi="Arial" w:cs="Arial"/>
          <w:iCs/>
          <w:sz w:val="24"/>
          <w:szCs w:val="24"/>
        </w:rPr>
        <w:t xml:space="preserve"> the Housing Commissioner </w:t>
      </w:r>
      <w:r w:rsidR="00AA0CA0">
        <w:rPr>
          <w:rFonts w:ascii="Arial" w:hAnsi="Arial" w:cs="Arial"/>
          <w:iCs/>
          <w:sz w:val="24"/>
          <w:szCs w:val="24"/>
        </w:rPr>
        <w:t xml:space="preserve">cancels or </w:t>
      </w:r>
      <w:r w:rsidRPr="00264F34">
        <w:rPr>
          <w:rFonts w:ascii="Arial" w:hAnsi="Arial" w:cs="Arial"/>
          <w:iCs/>
          <w:sz w:val="24"/>
          <w:szCs w:val="24"/>
        </w:rPr>
        <w:t>withdraws housing assistance;</w:t>
      </w:r>
    </w:p>
    <w:p w14:paraId="3B46F468" w14:textId="7EADA88A" w:rsidR="00687ABF" w:rsidRPr="00264F34" w:rsidRDefault="00687ABF" w:rsidP="00DA6700">
      <w:pPr>
        <w:pStyle w:val="ListParagraph"/>
        <w:numPr>
          <w:ilvl w:val="0"/>
          <w:numId w:val="10"/>
        </w:numPr>
        <w:spacing w:after="200" w:line="276" w:lineRule="auto"/>
        <w:ind w:left="714" w:hanging="357"/>
        <w:rPr>
          <w:rFonts w:ascii="Arial" w:hAnsi="Arial" w:cs="Arial"/>
          <w:iCs/>
          <w:sz w:val="24"/>
          <w:szCs w:val="24"/>
        </w:rPr>
      </w:pPr>
      <w:r w:rsidRPr="00264F34">
        <w:rPr>
          <w:rFonts w:ascii="Arial" w:hAnsi="Arial" w:cs="Arial"/>
          <w:iCs/>
          <w:sz w:val="24"/>
          <w:szCs w:val="24"/>
        </w:rPr>
        <w:t xml:space="preserve">where the tenant has two tenancies simultaneously; </w:t>
      </w:r>
    </w:p>
    <w:p w14:paraId="2C1B0F77" w14:textId="76C52F42" w:rsidR="00687ABF" w:rsidRPr="00264F34" w:rsidRDefault="00687ABF" w:rsidP="00DA6700">
      <w:pPr>
        <w:pStyle w:val="ListParagraph"/>
        <w:numPr>
          <w:ilvl w:val="0"/>
          <w:numId w:val="10"/>
        </w:numPr>
        <w:spacing w:after="200" w:line="276" w:lineRule="auto"/>
        <w:ind w:left="714" w:hanging="357"/>
        <w:rPr>
          <w:rFonts w:ascii="Arial" w:hAnsi="Arial" w:cs="Arial"/>
          <w:iCs/>
          <w:sz w:val="24"/>
          <w:szCs w:val="24"/>
        </w:rPr>
      </w:pPr>
      <w:r w:rsidRPr="00264F34">
        <w:rPr>
          <w:rFonts w:ascii="Arial" w:hAnsi="Arial" w:cs="Arial"/>
          <w:iCs/>
          <w:sz w:val="24"/>
          <w:szCs w:val="24"/>
        </w:rPr>
        <w:t>where the Housing Commissioner requires a transfer and has made an alternative premises available; and</w:t>
      </w:r>
    </w:p>
    <w:p w14:paraId="252D0393" w14:textId="32371A5F" w:rsidR="00687ABF" w:rsidRPr="00264F34" w:rsidRDefault="00C83F6B" w:rsidP="00DA6700">
      <w:pPr>
        <w:pStyle w:val="ListParagraph"/>
        <w:numPr>
          <w:ilvl w:val="0"/>
          <w:numId w:val="10"/>
        </w:numPr>
        <w:spacing w:after="200" w:line="276" w:lineRule="auto"/>
        <w:ind w:left="714" w:hanging="357"/>
        <w:rPr>
          <w:rFonts w:ascii="Arial" w:hAnsi="Arial" w:cs="Arial"/>
          <w:iCs/>
          <w:sz w:val="24"/>
          <w:szCs w:val="24"/>
        </w:rPr>
      </w:pPr>
      <w:r>
        <w:rPr>
          <w:rFonts w:ascii="Arial" w:hAnsi="Arial" w:cs="Arial"/>
          <w:iCs/>
          <w:sz w:val="24"/>
          <w:szCs w:val="24"/>
        </w:rPr>
        <w:t xml:space="preserve">where </w:t>
      </w:r>
      <w:r w:rsidR="00687ABF" w:rsidRPr="00264F34">
        <w:rPr>
          <w:rFonts w:ascii="Arial" w:hAnsi="Arial" w:cs="Arial"/>
          <w:iCs/>
          <w:sz w:val="24"/>
          <w:szCs w:val="24"/>
        </w:rPr>
        <w:t>a temporary period of housing assistance</w:t>
      </w:r>
      <w:r>
        <w:rPr>
          <w:rFonts w:ascii="Arial" w:hAnsi="Arial" w:cs="Arial"/>
          <w:iCs/>
          <w:sz w:val="24"/>
          <w:szCs w:val="24"/>
        </w:rPr>
        <w:t xml:space="preserve"> has ended</w:t>
      </w:r>
      <w:r w:rsidR="00687ABF" w:rsidRPr="00264F34">
        <w:rPr>
          <w:rFonts w:ascii="Arial" w:hAnsi="Arial" w:cs="Arial"/>
          <w:iCs/>
          <w:sz w:val="24"/>
          <w:szCs w:val="24"/>
        </w:rPr>
        <w:t>.</w:t>
      </w:r>
    </w:p>
    <w:p w14:paraId="4AEEF2D9" w14:textId="77777777" w:rsidR="00687ABF" w:rsidRPr="00264F34" w:rsidRDefault="00687ABF" w:rsidP="00DA6700">
      <w:pPr>
        <w:rPr>
          <w:rFonts w:ascii="Arial" w:hAnsi="Arial" w:cs="Arial"/>
          <w:iCs/>
          <w:sz w:val="24"/>
          <w:szCs w:val="24"/>
        </w:rPr>
      </w:pPr>
      <w:r w:rsidRPr="00264F34">
        <w:rPr>
          <w:rFonts w:ascii="Arial" w:hAnsi="Arial" w:cs="Arial"/>
          <w:iCs/>
          <w:sz w:val="24"/>
          <w:szCs w:val="24"/>
        </w:rPr>
        <w:t xml:space="preserve">Each of these termination provisions engage and may limit a tenant’s right to privacy by creating new grounds on which a tenancy may be terminated. </w:t>
      </w:r>
    </w:p>
    <w:p w14:paraId="4BE73D82" w14:textId="77777777" w:rsidR="00687ABF" w:rsidRPr="00264F34" w:rsidRDefault="00687ABF" w:rsidP="00DA6700">
      <w:pPr>
        <w:pStyle w:val="ListParagraph"/>
        <w:rPr>
          <w:rFonts w:ascii="Arial" w:hAnsi="Arial" w:cs="Arial"/>
          <w:i/>
          <w:sz w:val="24"/>
          <w:szCs w:val="24"/>
          <w:u w:val="single"/>
        </w:rPr>
      </w:pPr>
      <w:r w:rsidRPr="00264F34">
        <w:rPr>
          <w:rFonts w:ascii="Arial" w:hAnsi="Arial" w:cs="Arial"/>
          <w:i/>
          <w:sz w:val="24"/>
          <w:szCs w:val="24"/>
          <w:u w:val="single"/>
        </w:rPr>
        <w:t>Legitimate purpose (s 28 (2) (b))</w:t>
      </w:r>
    </w:p>
    <w:p w14:paraId="012F736E" w14:textId="77777777" w:rsidR="00687ABF" w:rsidRPr="00264F34" w:rsidRDefault="00687ABF" w:rsidP="00D4599F">
      <w:pPr>
        <w:spacing w:after="0"/>
        <w:rPr>
          <w:rFonts w:ascii="Arial" w:hAnsi="Arial" w:cs="Arial"/>
          <w:iCs/>
          <w:sz w:val="24"/>
          <w:szCs w:val="24"/>
        </w:rPr>
      </w:pPr>
    </w:p>
    <w:p w14:paraId="028BC2F2" w14:textId="769D050D" w:rsidR="00F527FF" w:rsidRDefault="00687ABF" w:rsidP="00FE357B">
      <w:pPr>
        <w:rPr>
          <w:rFonts w:ascii="Arial" w:hAnsi="Arial" w:cs="Arial"/>
          <w:iCs/>
          <w:sz w:val="24"/>
          <w:szCs w:val="24"/>
        </w:rPr>
      </w:pPr>
      <w:r w:rsidRPr="00264F34">
        <w:rPr>
          <w:rFonts w:ascii="Arial" w:hAnsi="Arial" w:cs="Arial"/>
          <w:iCs/>
          <w:sz w:val="24"/>
          <w:szCs w:val="24"/>
        </w:rPr>
        <w:t>The objects of the HAA include facilitating the provision of housing assistance for those most in need and maximis</w:t>
      </w:r>
      <w:r w:rsidR="00D659A9">
        <w:rPr>
          <w:rFonts w:ascii="Arial" w:hAnsi="Arial" w:cs="Arial"/>
          <w:iCs/>
          <w:sz w:val="24"/>
          <w:szCs w:val="24"/>
        </w:rPr>
        <w:t>ing</w:t>
      </w:r>
      <w:r w:rsidRPr="00264F34">
        <w:rPr>
          <w:rFonts w:ascii="Arial" w:hAnsi="Arial" w:cs="Arial"/>
          <w:iCs/>
          <w:sz w:val="24"/>
          <w:szCs w:val="24"/>
        </w:rPr>
        <w:t xml:space="preserve"> the opportunities for everyone in the ACT to have access to housing that is affordable, secure and appropriate to their needs. To</w:t>
      </w:r>
      <w:r w:rsidR="00C83F6B">
        <w:rPr>
          <w:rFonts w:ascii="Arial" w:hAnsi="Arial" w:cs="Arial"/>
          <w:iCs/>
          <w:sz w:val="24"/>
          <w:szCs w:val="24"/>
        </w:rPr>
        <w:t> </w:t>
      </w:r>
      <w:r w:rsidRPr="00264F34">
        <w:rPr>
          <w:rFonts w:ascii="Arial" w:hAnsi="Arial" w:cs="Arial"/>
          <w:iCs/>
          <w:sz w:val="24"/>
          <w:szCs w:val="24"/>
        </w:rPr>
        <w:t xml:space="preserve">this end, the HAA empowers the Minister to approve housing assistance programs, including the </w:t>
      </w:r>
      <w:hyperlink r:id="rId20" w:history="1">
        <w:r w:rsidRPr="00264F34">
          <w:rPr>
            <w:rStyle w:val="Hyperlink"/>
            <w:rFonts w:ascii="Arial" w:eastAsiaTheme="majorEastAsia" w:hAnsi="Arial" w:cs="Arial"/>
            <w:i/>
            <w:sz w:val="24"/>
            <w:szCs w:val="24"/>
          </w:rPr>
          <w:t>Housing Assistance</w:t>
        </w:r>
        <w:r w:rsidRPr="00264F34">
          <w:rPr>
            <w:rStyle w:val="Hyperlink"/>
            <w:rFonts w:ascii="Arial" w:eastAsiaTheme="majorEastAsia" w:hAnsi="Arial" w:cs="Arial"/>
            <w:iCs/>
            <w:sz w:val="24"/>
            <w:szCs w:val="24"/>
          </w:rPr>
          <w:t xml:space="preserve"> </w:t>
        </w:r>
        <w:r w:rsidRPr="00264F34">
          <w:rPr>
            <w:rStyle w:val="Hyperlink"/>
            <w:rFonts w:ascii="Arial" w:eastAsiaTheme="majorEastAsia" w:hAnsi="Arial" w:cs="Arial"/>
            <w:i/>
            <w:sz w:val="24"/>
            <w:szCs w:val="24"/>
          </w:rPr>
          <w:t>Public Rental Housing Assistance Program (2013 (No 1)</w:t>
        </w:r>
      </w:hyperlink>
      <w:r w:rsidRPr="00264F34">
        <w:rPr>
          <w:rFonts w:ascii="Arial" w:hAnsi="Arial" w:cs="Arial"/>
          <w:iCs/>
          <w:sz w:val="24"/>
          <w:szCs w:val="24"/>
        </w:rPr>
        <w:t xml:space="preserve"> (‘</w:t>
      </w:r>
      <w:r w:rsidRPr="00264F34">
        <w:rPr>
          <w:rFonts w:ascii="Arial" w:hAnsi="Arial" w:cs="Arial"/>
          <w:b/>
          <w:bCs/>
          <w:iCs/>
          <w:sz w:val="24"/>
          <w:szCs w:val="24"/>
        </w:rPr>
        <w:t>the Program’</w:t>
      </w:r>
      <w:r w:rsidRPr="00264F34">
        <w:rPr>
          <w:rFonts w:ascii="Arial" w:hAnsi="Arial" w:cs="Arial"/>
          <w:iCs/>
          <w:sz w:val="24"/>
          <w:szCs w:val="24"/>
        </w:rPr>
        <w:t xml:space="preserve">) which set out the kinds of assistance that can be provided, eligibility criteria for the assistance and how decisions of the </w:t>
      </w:r>
      <w:r w:rsidR="00C34FC5">
        <w:rPr>
          <w:rFonts w:ascii="Arial" w:hAnsi="Arial" w:cs="Arial"/>
          <w:iCs/>
          <w:sz w:val="24"/>
          <w:szCs w:val="24"/>
        </w:rPr>
        <w:t xml:space="preserve">Housing </w:t>
      </w:r>
      <w:r w:rsidRPr="00264F34">
        <w:rPr>
          <w:rFonts w:ascii="Arial" w:hAnsi="Arial" w:cs="Arial"/>
          <w:iCs/>
          <w:sz w:val="24"/>
          <w:szCs w:val="24"/>
        </w:rPr>
        <w:t xml:space="preserve">Commissioner can be reviewed. </w:t>
      </w:r>
    </w:p>
    <w:p w14:paraId="146BF637" w14:textId="45196C3A" w:rsidR="00687ABF" w:rsidRPr="00264F34" w:rsidRDefault="00687ABF" w:rsidP="00FE357B">
      <w:pPr>
        <w:rPr>
          <w:rFonts w:ascii="Arial" w:hAnsi="Arial" w:cs="Arial"/>
          <w:iCs/>
          <w:sz w:val="24"/>
          <w:szCs w:val="24"/>
        </w:rPr>
      </w:pPr>
      <w:r w:rsidRPr="00264F34">
        <w:rPr>
          <w:rFonts w:ascii="Arial" w:hAnsi="Arial" w:cs="Arial"/>
          <w:iCs/>
          <w:sz w:val="24"/>
          <w:szCs w:val="24"/>
        </w:rPr>
        <w:t xml:space="preserve">The Program enables the effective targeting of accommodation assistance to </w:t>
      </w:r>
      <w:r w:rsidR="00C83F6B">
        <w:rPr>
          <w:rFonts w:ascii="Arial" w:hAnsi="Arial" w:cs="Arial"/>
          <w:iCs/>
          <w:sz w:val="24"/>
          <w:szCs w:val="24"/>
        </w:rPr>
        <w:t xml:space="preserve">the most </w:t>
      </w:r>
      <w:r w:rsidRPr="00264F34">
        <w:rPr>
          <w:rFonts w:ascii="Arial" w:hAnsi="Arial" w:cs="Arial"/>
          <w:iCs/>
          <w:sz w:val="24"/>
          <w:szCs w:val="24"/>
        </w:rPr>
        <w:t>vulnerable community members. From a human rights perspective, the Program can be conceptualised as a ‘special measure’</w:t>
      </w:r>
      <w:r w:rsidR="00FE357B">
        <w:rPr>
          <w:rFonts w:ascii="Arial" w:hAnsi="Arial" w:cs="Arial"/>
          <w:iCs/>
          <w:sz w:val="24"/>
          <w:szCs w:val="24"/>
        </w:rPr>
        <w:t xml:space="preserve"> or ‘affirmative action’</w:t>
      </w:r>
      <w:r w:rsidR="00C83F6B">
        <w:rPr>
          <w:rFonts w:ascii="Arial" w:hAnsi="Arial" w:cs="Arial"/>
          <w:iCs/>
          <w:sz w:val="24"/>
          <w:szCs w:val="24"/>
        </w:rPr>
        <w:t>,</w:t>
      </w:r>
      <w:r w:rsidR="00FE357B">
        <w:rPr>
          <w:rFonts w:ascii="Arial" w:hAnsi="Arial" w:cs="Arial"/>
          <w:iCs/>
          <w:sz w:val="24"/>
          <w:szCs w:val="24"/>
        </w:rPr>
        <w:t xml:space="preserve"> which is specific action required to be ‘taken</w:t>
      </w:r>
      <w:r w:rsidR="00FE357B" w:rsidRPr="00FE357B">
        <w:rPr>
          <w:rFonts w:ascii="Arial" w:hAnsi="Arial" w:cs="Arial"/>
          <w:iCs/>
          <w:sz w:val="24"/>
          <w:szCs w:val="24"/>
        </w:rPr>
        <w:t xml:space="preserve"> in order to diminish or</w:t>
      </w:r>
      <w:r w:rsidR="00FE357B">
        <w:rPr>
          <w:rFonts w:ascii="Arial" w:hAnsi="Arial" w:cs="Arial"/>
          <w:iCs/>
          <w:sz w:val="24"/>
          <w:szCs w:val="24"/>
        </w:rPr>
        <w:t xml:space="preserve"> </w:t>
      </w:r>
      <w:r w:rsidR="00FE357B" w:rsidRPr="00FE357B">
        <w:rPr>
          <w:rFonts w:ascii="Arial" w:hAnsi="Arial" w:cs="Arial"/>
          <w:iCs/>
          <w:sz w:val="24"/>
          <w:szCs w:val="24"/>
        </w:rPr>
        <w:t>eliminate conditions which cause or help to perpetuate discrimination</w:t>
      </w:r>
      <w:r w:rsidR="00C83F6B">
        <w:rPr>
          <w:rFonts w:ascii="Arial" w:hAnsi="Arial" w:cs="Arial"/>
          <w:iCs/>
          <w:sz w:val="24"/>
          <w:szCs w:val="24"/>
        </w:rPr>
        <w:t>.</w:t>
      </w:r>
      <w:r w:rsidR="00FE357B">
        <w:rPr>
          <w:rFonts w:ascii="Arial" w:hAnsi="Arial" w:cs="Arial"/>
          <w:iCs/>
          <w:sz w:val="24"/>
          <w:szCs w:val="24"/>
        </w:rPr>
        <w:t>’</w:t>
      </w:r>
      <w:r w:rsidR="0010598A">
        <w:rPr>
          <w:rStyle w:val="FootnoteReference"/>
          <w:rFonts w:ascii="Arial" w:hAnsi="Arial"/>
          <w:iCs/>
          <w:sz w:val="24"/>
          <w:szCs w:val="24"/>
        </w:rPr>
        <w:footnoteReference w:id="2"/>
      </w:r>
      <w:r w:rsidRPr="00264F34">
        <w:rPr>
          <w:rFonts w:ascii="Arial" w:hAnsi="Arial" w:cs="Arial"/>
          <w:iCs/>
          <w:sz w:val="24"/>
          <w:szCs w:val="24"/>
        </w:rPr>
        <w:t xml:space="preserve"> </w:t>
      </w:r>
      <w:r w:rsidRPr="00264F34">
        <w:rPr>
          <w:rFonts w:ascii="Arial" w:hAnsi="Arial" w:cs="Arial"/>
          <w:iCs/>
          <w:sz w:val="24"/>
          <w:szCs w:val="24"/>
          <w:lang w:eastAsia="en-AU"/>
        </w:rPr>
        <w:t>A</w:t>
      </w:r>
      <w:r w:rsidR="00FE357B">
        <w:rPr>
          <w:rFonts w:ascii="Arial" w:hAnsi="Arial" w:cs="Arial"/>
          <w:iCs/>
          <w:sz w:val="24"/>
          <w:szCs w:val="24"/>
          <w:lang w:eastAsia="en-AU"/>
        </w:rPr>
        <w:t>n example of a</w:t>
      </w:r>
      <w:r w:rsidRPr="00264F34">
        <w:rPr>
          <w:rFonts w:ascii="Arial" w:hAnsi="Arial" w:cs="Arial"/>
          <w:iCs/>
          <w:sz w:val="24"/>
          <w:szCs w:val="24"/>
          <w:lang w:eastAsia="en-AU"/>
        </w:rPr>
        <w:t xml:space="preserve"> special measure is </w:t>
      </w:r>
      <w:r w:rsidR="00FE357B">
        <w:rPr>
          <w:rFonts w:ascii="Arial" w:hAnsi="Arial" w:cs="Arial"/>
          <w:iCs/>
          <w:sz w:val="24"/>
          <w:szCs w:val="24"/>
          <w:lang w:eastAsia="en-AU"/>
        </w:rPr>
        <w:t>action that</w:t>
      </w:r>
      <w:r w:rsidRPr="00264F34">
        <w:rPr>
          <w:rFonts w:ascii="Arial" w:hAnsi="Arial" w:cs="Arial"/>
          <w:iCs/>
          <w:sz w:val="24"/>
          <w:szCs w:val="24"/>
          <w:lang w:eastAsia="en-AU"/>
        </w:rPr>
        <w:t xml:space="preserve"> confers a benefit and results in </w:t>
      </w:r>
      <w:r w:rsidR="00FE357B">
        <w:rPr>
          <w:rFonts w:ascii="Arial" w:hAnsi="Arial" w:cs="Arial"/>
          <w:iCs/>
          <w:sz w:val="24"/>
          <w:szCs w:val="24"/>
          <w:lang w:eastAsia="en-AU"/>
        </w:rPr>
        <w:t>preferential</w:t>
      </w:r>
      <w:r w:rsidR="00FE357B" w:rsidRPr="00264F34">
        <w:rPr>
          <w:rFonts w:ascii="Arial" w:hAnsi="Arial" w:cs="Arial"/>
          <w:iCs/>
          <w:sz w:val="24"/>
          <w:szCs w:val="24"/>
          <w:lang w:eastAsia="en-AU"/>
        </w:rPr>
        <w:t xml:space="preserve"> </w:t>
      </w:r>
      <w:r w:rsidRPr="00264F34">
        <w:rPr>
          <w:rFonts w:ascii="Arial" w:hAnsi="Arial" w:cs="Arial"/>
          <w:iCs/>
          <w:sz w:val="24"/>
          <w:szCs w:val="24"/>
          <w:lang w:eastAsia="en-AU"/>
        </w:rPr>
        <w:t>treatment of disadvantaged persons</w:t>
      </w:r>
      <w:r w:rsidR="00FE357B">
        <w:rPr>
          <w:rFonts w:ascii="Arial" w:hAnsi="Arial" w:cs="Arial"/>
          <w:iCs/>
          <w:sz w:val="24"/>
          <w:szCs w:val="24"/>
          <w:lang w:eastAsia="en-AU"/>
        </w:rPr>
        <w:t xml:space="preserve"> compared to the rest of the community</w:t>
      </w:r>
      <w:r w:rsidRPr="00264F34">
        <w:rPr>
          <w:rFonts w:ascii="Arial" w:hAnsi="Arial" w:cs="Arial"/>
          <w:iCs/>
          <w:sz w:val="24"/>
          <w:szCs w:val="24"/>
          <w:lang w:eastAsia="en-AU"/>
        </w:rPr>
        <w:t xml:space="preserve">. In the case of the Program, it </w:t>
      </w:r>
      <w:r w:rsidR="00FE357B">
        <w:rPr>
          <w:rFonts w:ascii="Arial" w:hAnsi="Arial" w:cs="Arial"/>
          <w:iCs/>
          <w:sz w:val="24"/>
          <w:szCs w:val="24"/>
          <w:lang w:eastAsia="en-AU"/>
        </w:rPr>
        <w:t xml:space="preserve">enables the Housing Commissioner to </w:t>
      </w:r>
      <w:r w:rsidRPr="00264F34">
        <w:rPr>
          <w:rFonts w:ascii="Arial" w:hAnsi="Arial" w:cs="Arial"/>
          <w:iCs/>
          <w:sz w:val="24"/>
          <w:szCs w:val="24"/>
          <w:lang w:eastAsia="en-AU"/>
        </w:rPr>
        <w:t xml:space="preserve">confer a special benefit (housing assistance) on individuals </w:t>
      </w:r>
      <w:r w:rsidR="00FE357B">
        <w:rPr>
          <w:rFonts w:ascii="Arial" w:hAnsi="Arial" w:cs="Arial"/>
          <w:iCs/>
          <w:sz w:val="24"/>
          <w:szCs w:val="24"/>
          <w:lang w:eastAsia="en-AU"/>
        </w:rPr>
        <w:t xml:space="preserve">which is needed to improve access to housing </w:t>
      </w:r>
      <w:r w:rsidR="0010598A">
        <w:rPr>
          <w:rFonts w:ascii="Arial" w:hAnsi="Arial" w:cs="Arial"/>
          <w:iCs/>
          <w:sz w:val="24"/>
          <w:szCs w:val="24"/>
          <w:lang w:eastAsia="en-AU"/>
        </w:rPr>
        <w:t>and reduce discrimination and inequality experienced by certain groups</w:t>
      </w:r>
      <w:r w:rsidRPr="00264F34">
        <w:rPr>
          <w:rFonts w:ascii="Arial" w:hAnsi="Arial" w:cs="Arial"/>
          <w:iCs/>
          <w:sz w:val="24"/>
          <w:szCs w:val="24"/>
        </w:rPr>
        <w:t xml:space="preserve">, including those experiencing social and economic disadvantage, individuals living with disability, individuals from culturally and linguistically diverse background, women and children escaping domestic violence and Aboriginal and Torres Strait Islanders. </w:t>
      </w:r>
    </w:p>
    <w:p w14:paraId="0CD158C0" w14:textId="21D7CC28" w:rsidR="00687ABF" w:rsidRPr="00264F34" w:rsidRDefault="00687ABF" w:rsidP="00DA6700">
      <w:pPr>
        <w:rPr>
          <w:rFonts w:ascii="Arial" w:hAnsi="Arial" w:cs="Arial"/>
          <w:iCs/>
          <w:sz w:val="24"/>
          <w:szCs w:val="24"/>
        </w:rPr>
      </w:pPr>
      <w:r w:rsidRPr="00264F34">
        <w:rPr>
          <w:rFonts w:ascii="Arial" w:hAnsi="Arial" w:cs="Arial"/>
          <w:iCs/>
          <w:sz w:val="24"/>
          <w:szCs w:val="24"/>
        </w:rPr>
        <w:lastRenderedPageBreak/>
        <w:t xml:space="preserve">The purpose of each termination provision applying to the </w:t>
      </w:r>
      <w:r w:rsidR="00C34FC5">
        <w:rPr>
          <w:rFonts w:ascii="Arial" w:hAnsi="Arial" w:cs="Arial"/>
          <w:iCs/>
          <w:sz w:val="24"/>
          <w:szCs w:val="24"/>
        </w:rPr>
        <w:t xml:space="preserve">Housing </w:t>
      </w:r>
      <w:r w:rsidRPr="00264F34">
        <w:rPr>
          <w:rFonts w:ascii="Arial" w:hAnsi="Arial" w:cs="Arial"/>
          <w:iCs/>
          <w:sz w:val="24"/>
          <w:szCs w:val="24"/>
        </w:rPr>
        <w:t xml:space="preserve">Commissioner is discussed below. </w:t>
      </w:r>
    </w:p>
    <w:p w14:paraId="564688A4" w14:textId="79976C97" w:rsidR="00687ABF" w:rsidRPr="00264F34" w:rsidRDefault="00AA0CA0" w:rsidP="00DA6700">
      <w:pPr>
        <w:rPr>
          <w:rFonts w:ascii="Arial" w:hAnsi="Arial" w:cs="Arial"/>
          <w:i/>
          <w:sz w:val="24"/>
          <w:szCs w:val="24"/>
        </w:rPr>
      </w:pPr>
      <w:r>
        <w:rPr>
          <w:rFonts w:ascii="Arial" w:hAnsi="Arial" w:cs="Arial"/>
          <w:i/>
          <w:sz w:val="24"/>
          <w:szCs w:val="24"/>
        </w:rPr>
        <w:t>Withdrawal or cancellation of assistance</w:t>
      </w:r>
      <w:r w:rsidR="000E496F">
        <w:rPr>
          <w:rFonts w:ascii="Arial" w:hAnsi="Arial" w:cs="Arial"/>
          <w:i/>
          <w:sz w:val="24"/>
          <w:szCs w:val="24"/>
        </w:rPr>
        <w:t xml:space="preserve"> and</w:t>
      </w:r>
      <w:r w:rsidR="00687ABF" w:rsidRPr="00264F34">
        <w:rPr>
          <w:rFonts w:ascii="Arial" w:hAnsi="Arial" w:cs="Arial"/>
          <w:i/>
          <w:sz w:val="24"/>
          <w:szCs w:val="24"/>
        </w:rPr>
        <w:t xml:space="preserve"> requirement to transfer</w:t>
      </w:r>
    </w:p>
    <w:p w14:paraId="6AF4D753" w14:textId="412DC84E" w:rsidR="00687ABF" w:rsidRPr="00264F34" w:rsidRDefault="00687ABF" w:rsidP="00DA6700">
      <w:pPr>
        <w:rPr>
          <w:rFonts w:ascii="Arial" w:hAnsi="Arial" w:cs="Arial"/>
          <w:iCs/>
          <w:sz w:val="24"/>
          <w:szCs w:val="24"/>
        </w:rPr>
      </w:pPr>
      <w:r w:rsidRPr="00264F34">
        <w:rPr>
          <w:rFonts w:ascii="Arial" w:hAnsi="Arial" w:cs="Arial"/>
          <w:iCs/>
          <w:sz w:val="24"/>
          <w:szCs w:val="24"/>
        </w:rPr>
        <w:t xml:space="preserve">The purpose of the proposed new termination provisions is to support the operation of the Program </w:t>
      </w:r>
      <w:r w:rsidR="0010598A">
        <w:rPr>
          <w:rFonts w:ascii="Arial" w:hAnsi="Arial" w:cs="Arial"/>
          <w:iCs/>
          <w:sz w:val="24"/>
          <w:szCs w:val="24"/>
        </w:rPr>
        <w:t>and enable access to housing for the most disadvantaged in the community</w:t>
      </w:r>
      <w:r w:rsidRPr="00264F34">
        <w:rPr>
          <w:rFonts w:ascii="Arial" w:hAnsi="Arial" w:cs="Arial"/>
          <w:iCs/>
          <w:sz w:val="24"/>
          <w:szCs w:val="24"/>
        </w:rPr>
        <w:t xml:space="preserve">. </w:t>
      </w:r>
      <w:r w:rsidR="00414C79">
        <w:rPr>
          <w:rFonts w:ascii="Arial" w:hAnsi="Arial" w:cs="Arial"/>
          <w:iCs/>
          <w:sz w:val="24"/>
          <w:szCs w:val="24"/>
        </w:rPr>
        <w:t>T</w:t>
      </w:r>
      <w:r w:rsidRPr="00264F34">
        <w:rPr>
          <w:rFonts w:ascii="Arial" w:hAnsi="Arial" w:cs="Arial"/>
          <w:iCs/>
          <w:sz w:val="24"/>
          <w:szCs w:val="24"/>
        </w:rPr>
        <w:t xml:space="preserve">he termination provisions support the effective targeting of </w:t>
      </w:r>
      <w:r w:rsidR="00F7433E">
        <w:rPr>
          <w:rFonts w:ascii="Arial" w:hAnsi="Arial" w:cs="Arial"/>
          <w:iCs/>
          <w:sz w:val="24"/>
          <w:szCs w:val="24"/>
        </w:rPr>
        <w:t>public</w:t>
      </w:r>
      <w:r w:rsidR="00F7433E" w:rsidRPr="00264F34">
        <w:rPr>
          <w:rFonts w:ascii="Arial" w:hAnsi="Arial" w:cs="Arial"/>
          <w:iCs/>
          <w:sz w:val="24"/>
          <w:szCs w:val="24"/>
        </w:rPr>
        <w:t xml:space="preserve"> </w:t>
      </w:r>
      <w:r w:rsidRPr="00264F34">
        <w:rPr>
          <w:rFonts w:ascii="Arial" w:hAnsi="Arial" w:cs="Arial"/>
          <w:iCs/>
          <w:sz w:val="24"/>
          <w:szCs w:val="24"/>
        </w:rPr>
        <w:t>housing by ensuring it can be made available to eligible individuals by withdrawing assistance from those who are no longer eligible</w:t>
      </w:r>
      <w:r w:rsidR="00AA0CA0">
        <w:rPr>
          <w:rFonts w:ascii="Arial" w:hAnsi="Arial" w:cs="Arial"/>
          <w:iCs/>
          <w:sz w:val="24"/>
          <w:szCs w:val="24"/>
        </w:rPr>
        <w:t xml:space="preserve"> or cancelling assistance if a tenant does not comply with their obligations to provide information when it is requested for the purpose of reviewing their housing assistance</w:t>
      </w:r>
      <w:r w:rsidRPr="00264F34">
        <w:rPr>
          <w:rFonts w:ascii="Arial" w:hAnsi="Arial" w:cs="Arial"/>
          <w:iCs/>
          <w:sz w:val="24"/>
          <w:szCs w:val="24"/>
        </w:rPr>
        <w:t xml:space="preserve">. The termination provisions also support the </w:t>
      </w:r>
      <w:r w:rsidR="00C34FC5">
        <w:rPr>
          <w:rFonts w:ascii="Arial" w:hAnsi="Arial" w:cs="Arial"/>
          <w:iCs/>
          <w:sz w:val="24"/>
          <w:szCs w:val="24"/>
        </w:rPr>
        <w:t xml:space="preserve">Housing </w:t>
      </w:r>
      <w:r w:rsidRPr="00264F34">
        <w:rPr>
          <w:rFonts w:ascii="Arial" w:hAnsi="Arial" w:cs="Arial"/>
          <w:iCs/>
          <w:sz w:val="24"/>
          <w:szCs w:val="24"/>
        </w:rPr>
        <w:t xml:space="preserve">Commissioner to require individuals to transfer to an alternative premises in certain circumstances. This allows the </w:t>
      </w:r>
      <w:r w:rsidR="00C103DA">
        <w:rPr>
          <w:rFonts w:ascii="Arial" w:hAnsi="Arial" w:cs="Arial"/>
          <w:iCs/>
          <w:sz w:val="24"/>
          <w:szCs w:val="24"/>
        </w:rPr>
        <w:t xml:space="preserve">Housing </w:t>
      </w:r>
      <w:r w:rsidRPr="00264F34">
        <w:rPr>
          <w:rFonts w:ascii="Arial" w:hAnsi="Arial" w:cs="Arial"/>
          <w:iCs/>
          <w:sz w:val="24"/>
          <w:szCs w:val="24"/>
        </w:rPr>
        <w:t>Commissioner to manage limited resources to support the maximum number of people through an effective allocation of housing stock.</w:t>
      </w:r>
    </w:p>
    <w:p w14:paraId="4DF58848" w14:textId="7121FAEE" w:rsidR="00687ABF" w:rsidRPr="00264F34" w:rsidRDefault="00687ABF" w:rsidP="00DA6700">
      <w:pPr>
        <w:rPr>
          <w:rFonts w:ascii="Arial" w:hAnsi="Arial" w:cs="Arial"/>
          <w:i/>
          <w:sz w:val="24"/>
          <w:szCs w:val="24"/>
        </w:rPr>
      </w:pPr>
      <w:r w:rsidRPr="00264F34">
        <w:rPr>
          <w:rFonts w:ascii="Arial" w:hAnsi="Arial" w:cs="Arial"/>
          <w:i/>
          <w:sz w:val="24"/>
          <w:szCs w:val="24"/>
        </w:rPr>
        <w:t xml:space="preserve">Termination </w:t>
      </w:r>
      <w:r w:rsidR="005E6802">
        <w:rPr>
          <w:rFonts w:ascii="Arial" w:hAnsi="Arial" w:cs="Arial"/>
          <w:i/>
          <w:sz w:val="24"/>
          <w:szCs w:val="24"/>
        </w:rPr>
        <w:t>where the tenant is a party to two tenancies</w:t>
      </w:r>
    </w:p>
    <w:p w14:paraId="5F7A192E" w14:textId="6EBFE575" w:rsidR="00687ABF" w:rsidRPr="00264F34" w:rsidRDefault="00687ABF" w:rsidP="00DA6700">
      <w:pPr>
        <w:rPr>
          <w:rFonts w:ascii="Arial" w:hAnsi="Arial" w:cs="Arial"/>
          <w:iCs/>
          <w:sz w:val="24"/>
          <w:szCs w:val="24"/>
        </w:rPr>
      </w:pPr>
      <w:r w:rsidRPr="00264F34">
        <w:rPr>
          <w:rFonts w:ascii="Arial" w:hAnsi="Arial" w:cs="Arial"/>
          <w:iCs/>
          <w:sz w:val="24"/>
          <w:szCs w:val="24"/>
        </w:rPr>
        <w:t xml:space="preserve">Similarly, the termination provision which allows the </w:t>
      </w:r>
      <w:r w:rsidR="00C34FC5">
        <w:rPr>
          <w:rFonts w:ascii="Arial" w:hAnsi="Arial" w:cs="Arial"/>
          <w:iCs/>
          <w:sz w:val="24"/>
          <w:szCs w:val="24"/>
        </w:rPr>
        <w:t xml:space="preserve">Housing </w:t>
      </w:r>
      <w:r w:rsidRPr="00264F34">
        <w:rPr>
          <w:rFonts w:ascii="Arial" w:hAnsi="Arial" w:cs="Arial"/>
          <w:iCs/>
          <w:sz w:val="24"/>
          <w:szCs w:val="24"/>
        </w:rPr>
        <w:t xml:space="preserve">Commissioner to terminate the original tenancy following the tenant transferring to a second premises allows the </w:t>
      </w:r>
      <w:r w:rsidR="00C34FC5">
        <w:rPr>
          <w:rFonts w:ascii="Arial" w:hAnsi="Arial" w:cs="Arial"/>
          <w:iCs/>
          <w:sz w:val="24"/>
          <w:szCs w:val="24"/>
        </w:rPr>
        <w:t xml:space="preserve">Housing </w:t>
      </w:r>
      <w:r w:rsidRPr="00264F34">
        <w:rPr>
          <w:rFonts w:ascii="Arial" w:hAnsi="Arial" w:cs="Arial"/>
          <w:iCs/>
          <w:sz w:val="24"/>
          <w:szCs w:val="24"/>
        </w:rPr>
        <w:t>Commissioner to quickly recover possession of the original tenancy after the tenant has commenced occupation in a second property. This is connected to the purpose of ensuring the effective operation of the Program</w:t>
      </w:r>
      <w:r w:rsidR="0010598A">
        <w:rPr>
          <w:rFonts w:ascii="Arial" w:hAnsi="Arial" w:cs="Arial"/>
          <w:iCs/>
          <w:sz w:val="24"/>
          <w:szCs w:val="24"/>
        </w:rPr>
        <w:t xml:space="preserve"> and address inequality of access to housing for disadvantaged groups</w:t>
      </w:r>
      <w:r w:rsidRPr="00264F34">
        <w:rPr>
          <w:rFonts w:ascii="Arial" w:hAnsi="Arial" w:cs="Arial"/>
          <w:iCs/>
          <w:sz w:val="24"/>
          <w:szCs w:val="24"/>
        </w:rPr>
        <w:t xml:space="preserve">, by allowing the </w:t>
      </w:r>
      <w:r w:rsidR="00C34FC5">
        <w:rPr>
          <w:rFonts w:ascii="Arial" w:hAnsi="Arial" w:cs="Arial"/>
          <w:iCs/>
          <w:sz w:val="24"/>
          <w:szCs w:val="24"/>
        </w:rPr>
        <w:t xml:space="preserve">Housing </w:t>
      </w:r>
      <w:r w:rsidRPr="00264F34">
        <w:rPr>
          <w:rFonts w:ascii="Arial" w:hAnsi="Arial" w:cs="Arial"/>
          <w:iCs/>
          <w:sz w:val="24"/>
          <w:szCs w:val="24"/>
        </w:rPr>
        <w:t>Commissioner to manage limited resources to support the maximum number of people through an effective allocation of housing stock.</w:t>
      </w:r>
    </w:p>
    <w:p w14:paraId="6A24F08C" w14:textId="77777777" w:rsidR="00687ABF" w:rsidRPr="00264F34" w:rsidRDefault="00687ABF" w:rsidP="00DA6700">
      <w:pPr>
        <w:rPr>
          <w:rFonts w:ascii="Arial" w:hAnsi="Arial" w:cs="Arial"/>
          <w:i/>
          <w:sz w:val="24"/>
          <w:szCs w:val="24"/>
        </w:rPr>
      </w:pPr>
      <w:r w:rsidRPr="00264F34">
        <w:rPr>
          <w:rFonts w:ascii="Arial" w:hAnsi="Arial" w:cs="Arial"/>
          <w:i/>
          <w:sz w:val="24"/>
          <w:szCs w:val="24"/>
        </w:rPr>
        <w:t>Termination due to a temporary period of housing assistance ending</w:t>
      </w:r>
    </w:p>
    <w:p w14:paraId="6E670A0D" w14:textId="771A3E4B" w:rsidR="002869CE" w:rsidRDefault="00687ABF" w:rsidP="00DA6700">
      <w:pPr>
        <w:rPr>
          <w:rFonts w:ascii="Arial" w:hAnsi="Arial" w:cs="Arial"/>
          <w:iCs/>
          <w:sz w:val="24"/>
          <w:szCs w:val="24"/>
        </w:rPr>
      </w:pPr>
      <w:r w:rsidRPr="00264F34">
        <w:rPr>
          <w:rFonts w:ascii="Arial" w:hAnsi="Arial" w:cs="Arial"/>
          <w:iCs/>
          <w:sz w:val="24"/>
          <w:szCs w:val="24"/>
        </w:rPr>
        <w:t>The Program allows the Housing Commissioner to offer (on a discretionary basis) a person who has been residing in a public housing property, housing assistance outside of the normal allocation process following a tenancy breakdown situation. A</w:t>
      </w:r>
      <w:r w:rsidR="00C83F6B">
        <w:rPr>
          <w:rFonts w:ascii="Arial" w:hAnsi="Arial" w:cs="Arial"/>
          <w:iCs/>
          <w:sz w:val="24"/>
          <w:szCs w:val="24"/>
        </w:rPr>
        <w:t> </w:t>
      </w:r>
      <w:r w:rsidRPr="00264F34">
        <w:rPr>
          <w:rFonts w:ascii="Arial" w:hAnsi="Arial" w:cs="Arial"/>
          <w:iCs/>
          <w:sz w:val="24"/>
          <w:szCs w:val="24"/>
        </w:rPr>
        <w:t>tenancy breakdown occurs when a tenant dies or no longer occupies the property (for example</w:t>
      </w:r>
      <w:r w:rsidR="00F527FF">
        <w:rPr>
          <w:rFonts w:ascii="Arial" w:hAnsi="Arial" w:cs="Arial"/>
          <w:iCs/>
          <w:sz w:val="24"/>
          <w:szCs w:val="24"/>
        </w:rPr>
        <w:t>,</w:t>
      </w:r>
      <w:r w:rsidRPr="00264F34">
        <w:rPr>
          <w:rFonts w:ascii="Arial" w:hAnsi="Arial" w:cs="Arial"/>
          <w:iCs/>
          <w:sz w:val="24"/>
          <w:szCs w:val="24"/>
        </w:rPr>
        <w:t xml:space="preserve"> because they need to move into aged care or where they leave due to a relationship breakdown). </w:t>
      </w:r>
    </w:p>
    <w:p w14:paraId="3AA9B5A2" w14:textId="587968CC" w:rsidR="002869CE" w:rsidRDefault="00687ABF" w:rsidP="00DA6700">
      <w:pPr>
        <w:rPr>
          <w:rFonts w:ascii="Arial" w:hAnsi="Arial" w:cs="Arial"/>
          <w:iCs/>
          <w:sz w:val="24"/>
          <w:szCs w:val="24"/>
        </w:rPr>
      </w:pPr>
      <w:r w:rsidRPr="00264F34">
        <w:rPr>
          <w:rFonts w:ascii="Arial" w:hAnsi="Arial" w:cs="Arial"/>
          <w:iCs/>
          <w:sz w:val="24"/>
          <w:szCs w:val="24"/>
        </w:rPr>
        <w:t xml:space="preserve">Instead of requiring any remaining residents to immediately vacate the premises following the death or departure of the tenant, the Program supports the </w:t>
      </w:r>
      <w:r w:rsidR="00F1104C">
        <w:rPr>
          <w:rFonts w:ascii="Arial" w:hAnsi="Arial" w:cs="Arial"/>
          <w:iCs/>
          <w:sz w:val="24"/>
          <w:szCs w:val="24"/>
        </w:rPr>
        <w:t xml:space="preserve">Housing </w:t>
      </w:r>
      <w:r w:rsidRPr="00264F34">
        <w:rPr>
          <w:rFonts w:ascii="Arial" w:hAnsi="Arial" w:cs="Arial"/>
          <w:iCs/>
          <w:sz w:val="24"/>
          <w:szCs w:val="24"/>
        </w:rPr>
        <w:t>Commissioner to act with compassion by allowing remaining residents to stay in the premises for</w:t>
      </w:r>
      <w:r w:rsidR="00C83F6B">
        <w:rPr>
          <w:rFonts w:ascii="Arial" w:hAnsi="Arial" w:cs="Arial"/>
          <w:iCs/>
          <w:sz w:val="24"/>
          <w:szCs w:val="24"/>
        </w:rPr>
        <w:t xml:space="preserve"> a </w:t>
      </w:r>
      <w:r w:rsidRPr="00264F34">
        <w:rPr>
          <w:rFonts w:ascii="Arial" w:hAnsi="Arial" w:cs="Arial"/>
          <w:iCs/>
          <w:sz w:val="24"/>
          <w:szCs w:val="24"/>
        </w:rPr>
        <w:t>longer</w:t>
      </w:r>
      <w:r w:rsidR="00C83F6B">
        <w:rPr>
          <w:rFonts w:ascii="Arial" w:hAnsi="Arial" w:cs="Arial"/>
          <w:iCs/>
          <w:sz w:val="24"/>
          <w:szCs w:val="24"/>
        </w:rPr>
        <w:t xml:space="preserve"> time</w:t>
      </w:r>
      <w:r w:rsidRPr="00264F34">
        <w:rPr>
          <w:rFonts w:ascii="Arial" w:hAnsi="Arial" w:cs="Arial"/>
          <w:iCs/>
          <w:sz w:val="24"/>
          <w:szCs w:val="24"/>
        </w:rPr>
        <w:t xml:space="preserve">, thereby giving them a period to adjust to their changed circumstances. This temporary period of assistance also allows the </w:t>
      </w:r>
      <w:r w:rsidR="00F1104C">
        <w:rPr>
          <w:rFonts w:ascii="Arial" w:hAnsi="Arial" w:cs="Arial"/>
          <w:iCs/>
          <w:sz w:val="24"/>
          <w:szCs w:val="24"/>
        </w:rPr>
        <w:t xml:space="preserve">Housing </w:t>
      </w:r>
      <w:r w:rsidRPr="00264F34">
        <w:rPr>
          <w:rFonts w:ascii="Arial" w:hAnsi="Arial" w:cs="Arial"/>
          <w:iCs/>
          <w:sz w:val="24"/>
          <w:szCs w:val="24"/>
        </w:rPr>
        <w:t>Commissioner to receive and assess an application for housing assistance from the remaining resident(s) to ascertain whether they are eligible for ongoing assistance. However, noting that this housing assistance is provided outside of the normal allocations process</w:t>
      </w:r>
      <w:r w:rsidR="00C83F6B">
        <w:rPr>
          <w:rFonts w:ascii="Arial" w:hAnsi="Arial" w:cs="Arial"/>
          <w:iCs/>
          <w:sz w:val="24"/>
          <w:szCs w:val="24"/>
        </w:rPr>
        <w:t>,</w:t>
      </w:r>
      <w:r w:rsidRPr="00264F34">
        <w:rPr>
          <w:rFonts w:ascii="Arial" w:hAnsi="Arial" w:cs="Arial"/>
          <w:iCs/>
          <w:sz w:val="24"/>
          <w:szCs w:val="24"/>
        </w:rPr>
        <w:t xml:space="preserve"> and that it may potentially be provided to a person who is </w:t>
      </w:r>
      <w:r w:rsidRPr="00264F34">
        <w:rPr>
          <w:rFonts w:ascii="Arial" w:hAnsi="Arial" w:cs="Arial"/>
          <w:iCs/>
          <w:sz w:val="24"/>
          <w:szCs w:val="24"/>
        </w:rPr>
        <w:lastRenderedPageBreak/>
        <w:t xml:space="preserve">ultimately assessed as ineligible for housing assistance, the compassionate assistance provided in these circumstances is intended to be of finite duration only. </w:t>
      </w:r>
    </w:p>
    <w:p w14:paraId="262D07D9" w14:textId="44B63A3E" w:rsidR="00687ABF" w:rsidRPr="00264F34" w:rsidRDefault="00687ABF" w:rsidP="00DA6700">
      <w:pPr>
        <w:rPr>
          <w:rFonts w:ascii="Arial" w:hAnsi="Arial" w:cs="Arial"/>
          <w:iCs/>
          <w:sz w:val="24"/>
          <w:szCs w:val="24"/>
        </w:rPr>
      </w:pPr>
      <w:r w:rsidRPr="00264F34">
        <w:rPr>
          <w:rFonts w:ascii="Arial" w:hAnsi="Arial" w:cs="Arial"/>
          <w:iCs/>
          <w:sz w:val="24"/>
          <w:szCs w:val="24"/>
        </w:rPr>
        <w:t xml:space="preserve">The purpose of this termination provision is to allow the </w:t>
      </w:r>
      <w:r w:rsidR="00F1104C">
        <w:rPr>
          <w:rFonts w:ascii="Arial" w:hAnsi="Arial" w:cs="Arial"/>
          <w:iCs/>
          <w:sz w:val="24"/>
          <w:szCs w:val="24"/>
        </w:rPr>
        <w:t xml:space="preserve">Housing </w:t>
      </w:r>
      <w:r w:rsidRPr="00264F34">
        <w:rPr>
          <w:rFonts w:ascii="Arial" w:hAnsi="Arial" w:cs="Arial"/>
          <w:iCs/>
          <w:sz w:val="24"/>
          <w:szCs w:val="24"/>
        </w:rPr>
        <w:t xml:space="preserve">Commissioner to recover possession of the property after the tenant has been given a short-term period to adjust to their changed circumstances. This supports the operation of the Program </w:t>
      </w:r>
      <w:r w:rsidR="00D70AAD">
        <w:rPr>
          <w:rFonts w:ascii="Arial" w:hAnsi="Arial" w:cs="Arial"/>
          <w:iCs/>
          <w:sz w:val="24"/>
          <w:szCs w:val="24"/>
        </w:rPr>
        <w:t>to</w:t>
      </w:r>
      <w:r w:rsidR="0010598A">
        <w:rPr>
          <w:rFonts w:ascii="Arial" w:hAnsi="Arial" w:cs="Arial"/>
          <w:iCs/>
          <w:sz w:val="24"/>
          <w:szCs w:val="24"/>
        </w:rPr>
        <w:t xml:space="preserve"> address inequality of access to housing for disadvantaged groups</w:t>
      </w:r>
      <w:r w:rsidRPr="00264F34">
        <w:rPr>
          <w:rFonts w:ascii="Arial" w:hAnsi="Arial" w:cs="Arial"/>
          <w:iCs/>
          <w:sz w:val="24"/>
          <w:szCs w:val="24"/>
        </w:rPr>
        <w:t xml:space="preserve">, by allowing the </w:t>
      </w:r>
      <w:r w:rsidR="00F1104C">
        <w:rPr>
          <w:rFonts w:ascii="Arial" w:hAnsi="Arial" w:cs="Arial"/>
          <w:iCs/>
          <w:sz w:val="24"/>
          <w:szCs w:val="24"/>
        </w:rPr>
        <w:t xml:space="preserve">Housing </w:t>
      </w:r>
      <w:r w:rsidRPr="00264F34">
        <w:rPr>
          <w:rFonts w:ascii="Arial" w:hAnsi="Arial" w:cs="Arial"/>
          <w:iCs/>
          <w:sz w:val="24"/>
          <w:szCs w:val="24"/>
        </w:rPr>
        <w:t xml:space="preserve">Commissioner to recover possession of a premises if the tenant is found not to be eligible for ongoing assistance, or where the tenant is eligible, but would be more appropriately housed in an alternative premises. </w:t>
      </w:r>
    </w:p>
    <w:p w14:paraId="2892D345" w14:textId="77777777" w:rsidR="00687ABF" w:rsidRPr="00264F34" w:rsidRDefault="00687ABF" w:rsidP="00D4599F">
      <w:pPr>
        <w:keepNext/>
        <w:keepLines/>
        <w:ind w:firstLine="720"/>
        <w:rPr>
          <w:rFonts w:ascii="Arial" w:hAnsi="Arial" w:cs="Arial"/>
          <w:i/>
          <w:sz w:val="24"/>
          <w:szCs w:val="24"/>
          <w:u w:val="single"/>
        </w:rPr>
      </w:pPr>
      <w:r w:rsidRPr="00264F34">
        <w:rPr>
          <w:rFonts w:ascii="Arial" w:hAnsi="Arial" w:cs="Arial"/>
          <w:i/>
          <w:sz w:val="24"/>
          <w:szCs w:val="24"/>
          <w:u w:val="single"/>
        </w:rPr>
        <w:t>Rational connection between the limitation and the purpose (s 28 (2) (d))</w:t>
      </w:r>
    </w:p>
    <w:p w14:paraId="726F16AB" w14:textId="46115CAE" w:rsidR="002869CE" w:rsidRDefault="00687ABF" w:rsidP="00DA6700">
      <w:pPr>
        <w:rPr>
          <w:rFonts w:ascii="Arial" w:hAnsi="Arial" w:cs="Arial"/>
          <w:iCs/>
          <w:sz w:val="24"/>
          <w:szCs w:val="24"/>
        </w:rPr>
      </w:pPr>
      <w:r w:rsidRPr="00264F34">
        <w:rPr>
          <w:rFonts w:ascii="Arial" w:hAnsi="Arial" w:cs="Arial"/>
          <w:iCs/>
          <w:sz w:val="24"/>
          <w:szCs w:val="24"/>
        </w:rPr>
        <w:t xml:space="preserve">There is a rational connection between allowing for the termination of a tenancy in circumstances where the Housing Commissioner withdraws </w:t>
      </w:r>
      <w:r w:rsidR="00AA0CA0">
        <w:rPr>
          <w:rFonts w:ascii="Arial" w:hAnsi="Arial" w:cs="Arial"/>
          <w:iCs/>
          <w:sz w:val="24"/>
          <w:szCs w:val="24"/>
        </w:rPr>
        <w:t xml:space="preserve">or cancels </w:t>
      </w:r>
      <w:r w:rsidRPr="00264F34">
        <w:rPr>
          <w:rFonts w:ascii="Arial" w:hAnsi="Arial" w:cs="Arial"/>
          <w:iCs/>
          <w:sz w:val="24"/>
          <w:szCs w:val="24"/>
        </w:rPr>
        <w:t xml:space="preserve">assistance, requires a transfer, terminates a tenancy when the tenant holds two tenancies, or where the Housing Commissioner has provided a temporary period of housing assistance, and the purpose of ensuring the </w:t>
      </w:r>
      <w:r w:rsidR="00F1104C">
        <w:rPr>
          <w:rFonts w:ascii="Arial" w:hAnsi="Arial" w:cs="Arial"/>
          <w:iCs/>
          <w:sz w:val="24"/>
          <w:szCs w:val="24"/>
        </w:rPr>
        <w:t>P</w:t>
      </w:r>
      <w:r w:rsidRPr="00264F34">
        <w:rPr>
          <w:rFonts w:ascii="Arial" w:hAnsi="Arial" w:cs="Arial"/>
          <w:iCs/>
          <w:sz w:val="24"/>
          <w:szCs w:val="24"/>
        </w:rPr>
        <w:t xml:space="preserve">rogram can </w:t>
      </w:r>
      <w:r w:rsidR="0010598A">
        <w:rPr>
          <w:rFonts w:ascii="Arial" w:hAnsi="Arial" w:cs="Arial"/>
          <w:iCs/>
          <w:sz w:val="24"/>
          <w:szCs w:val="24"/>
        </w:rPr>
        <w:t>function to provide access to housing for those most in need</w:t>
      </w:r>
      <w:r w:rsidRPr="00264F34">
        <w:rPr>
          <w:rFonts w:ascii="Arial" w:hAnsi="Arial" w:cs="Arial"/>
          <w:iCs/>
          <w:sz w:val="24"/>
          <w:szCs w:val="24"/>
        </w:rPr>
        <w:t xml:space="preserve">. </w:t>
      </w:r>
    </w:p>
    <w:p w14:paraId="23BFC3D4" w14:textId="6447A6DD" w:rsidR="00687ABF" w:rsidRPr="00264F34" w:rsidRDefault="00687ABF" w:rsidP="00DA6700">
      <w:pPr>
        <w:rPr>
          <w:rFonts w:ascii="Arial" w:hAnsi="Arial" w:cs="Arial"/>
          <w:iCs/>
          <w:sz w:val="24"/>
          <w:szCs w:val="24"/>
        </w:rPr>
      </w:pPr>
      <w:r w:rsidRPr="00264F34">
        <w:rPr>
          <w:rFonts w:ascii="Arial" w:hAnsi="Arial" w:cs="Arial"/>
          <w:iCs/>
          <w:sz w:val="24"/>
          <w:szCs w:val="24"/>
        </w:rPr>
        <w:t xml:space="preserve">The connection is that, in all these circumstances, the purpose of the limitation is to ensure that tenancies can be ended so that the rental premises can be used in the most effective way possible to achieve the overarching goals of the </w:t>
      </w:r>
      <w:r w:rsidR="00F1104C">
        <w:rPr>
          <w:rFonts w:ascii="Arial" w:hAnsi="Arial" w:cs="Arial"/>
          <w:iCs/>
          <w:sz w:val="24"/>
          <w:szCs w:val="24"/>
        </w:rPr>
        <w:t>P</w:t>
      </w:r>
      <w:r w:rsidRPr="00264F34">
        <w:rPr>
          <w:rFonts w:ascii="Arial" w:hAnsi="Arial" w:cs="Arial"/>
          <w:iCs/>
          <w:sz w:val="24"/>
          <w:szCs w:val="24"/>
        </w:rPr>
        <w:t xml:space="preserve">rogram. </w:t>
      </w:r>
    </w:p>
    <w:p w14:paraId="0EC8539E" w14:textId="77777777" w:rsidR="00687ABF" w:rsidRPr="00264F34" w:rsidRDefault="00687ABF" w:rsidP="00DA6700">
      <w:pPr>
        <w:pStyle w:val="ListParagraph"/>
        <w:rPr>
          <w:rFonts w:ascii="Arial" w:hAnsi="Arial" w:cs="Arial"/>
          <w:i/>
          <w:sz w:val="24"/>
          <w:szCs w:val="24"/>
          <w:u w:val="single"/>
        </w:rPr>
      </w:pPr>
      <w:r w:rsidRPr="00264F34">
        <w:rPr>
          <w:rFonts w:ascii="Arial" w:hAnsi="Arial" w:cs="Arial"/>
          <w:i/>
          <w:sz w:val="24"/>
          <w:szCs w:val="24"/>
          <w:u w:val="single"/>
        </w:rPr>
        <w:t>Proportionality (s 28 (2) (e))</w:t>
      </w:r>
    </w:p>
    <w:p w14:paraId="363C7F55" w14:textId="77777777" w:rsidR="00687ABF" w:rsidRPr="00264F34" w:rsidRDefault="00687ABF" w:rsidP="00D4599F">
      <w:pPr>
        <w:spacing w:after="0"/>
        <w:rPr>
          <w:rFonts w:ascii="Arial" w:hAnsi="Arial" w:cs="Arial"/>
          <w:iCs/>
          <w:sz w:val="24"/>
          <w:szCs w:val="24"/>
          <w:lang w:eastAsia="en-AU"/>
        </w:rPr>
      </w:pPr>
    </w:p>
    <w:p w14:paraId="61219343" w14:textId="1DE53817" w:rsidR="002869CE" w:rsidRDefault="00687ABF" w:rsidP="00DA6700">
      <w:pPr>
        <w:rPr>
          <w:rFonts w:ascii="Arial" w:hAnsi="Arial" w:cs="Arial"/>
          <w:iCs/>
          <w:sz w:val="24"/>
          <w:szCs w:val="24"/>
          <w:lang w:eastAsia="en-AU"/>
        </w:rPr>
      </w:pPr>
      <w:r w:rsidRPr="00264F34">
        <w:rPr>
          <w:rFonts w:ascii="Arial" w:hAnsi="Arial" w:cs="Arial"/>
          <w:iCs/>
          <w:sz w:val="24"/>
          <w:szCs w:val="24"/>
          <w:lang w:eastAsia="en-AU"/>
        </w:rPr>
        <w:t xml:space="preserve">The new tenancy termination provisions for </w:t>
      </w:r>
      <w:r w:rsidR="00F7433E">
        <w:rPr>
          <w:rFonts w:ascii="Arial" w:hAnsi="Arial" w:cs="Arial"/>
          <w:iCs/>
          <w:sz w:val="24"/>
          <w:szCs w:val="24"/>
          <w:lang w:eastAsia="en-AU"/>
        </w:rPr>
        <w:t>public</w:t>
      </w:r>
      <w:r w:rsidR="00F7433E" w:rsidRPr="00264F34">
        <w:rPr>
          <w:rFonts w:ascii="Arial" w:hAnsi="Arial" w:cs="Arial"/>
          <w:iCs/>
          <w:sz w:val="24"/>
          <w:szCs w:val="24"/>
          <w:lang w:eastAsia="en-AU"/>
        </w:rPr>
        <w:t xml:space="preserve"> </w:t>
      </w:r>
      <w:r w:rsidRPr="00264F34">
        <w:rPr>
          <w:rFonts w:ascii="Arial" w:hAnsi="Arial" w:cs="Arial"/>
          <w:iCs/>
          <w:sz w:val="24"/>
          <w:szCs w:val="24"/>
          <w:lang w:eastAsia="en-AU"/>
        </w:rPr>
        <w:t xml:space="preserve">housing are narrowly worded and carefully targeted towards achieving the goals of the </w:t>
      </w:r>
      <w:r w:rsidR="00F7433E">
        <w:rPr>
          <w:rFonts w:ascii="Arial" w:hAnsi="Arial" w:cs="Arial"/>
          <w:iCs/>
          <w:sz w:val="24"/>
          <w:szCs w:val="24"/>
          <w:lang w:eastAsia="en-AU"/>
        </w:rPr>
        <w:t>public</w:t>
      </w:r>
      <w:r w:rsidR="00F7433E" w:rsidRPr="00264F34">
        <w:rPr>
          <w:rFonts w:ascii="Arial" w:hAnsi="Arial" w:cs="Arial"/>
          <w:iCs/>
          <w:sz w:val="24"/>
          <w:szCs w:val="24"/>
          <w:lang w:eastAsia="en-AU"/>
        </w:rPr>
        <w:t xml:space="preserve"> </w:t>
      </w:r>
      <w:r w:rsidRPr="00264F34">
        <w:rPr>
          <w:rFonts w:ascii="Arial" w:hAnsi="Arial" w:cs="Arial"/>
          <w:iCs/>
          <w:sz w:val="24"/>
          <w:szCs w:val="24"/>
          <w:lang w:eastAsia="en-AU"/>
        </w:rPr>
        <w:t xml:space="preserve">housing program. They are closely linked to the </w:t>
      </w:r>
      <w:r w:rsidR="00F1104C">
        <w:rPr>
          <w:rFonts w:ascii="Arial" w:hAnsi="Arial" w:cs="Arial"/>
          <w:iCs/>
          <w:sz w:val="24"/>
          <w:szCs w:val="24"/>
          <w:lang w:eastAsia="en-AU"/>
        </w:rPr>
        <w:t xml:space="preserve">Housing </w:t>
      </w:r>
      <w:r w:rsidRPr="00264F34">
        <w:rPr>
          <w:rFonts w:ascii="Arial" w:hAnsi="Arial" w:cs="Arial"/>
          <w:iCs/>
          <w:sz w:val="24"/>
          <w:szCs w:val="24"/>
          <w:lang w:eastAsia="en-AU"/>
        </w:rPr>
        <w:t xml:space="preserve">Commissioner’s powers under the Program - specifically the </w:t>
      </w:r>
      <w:r w:rsidR="00F1104C">
        <w:rPr>
          <w:rFonts w:ascii="Arial" w:hAnsi="Arial" w:cs="Arial"/>
          <w:iCs/>
          <w:sz w:val="24"/>
          <w:szCs w:val="24"/>
          <w:lang w:eastAsia="en-AU"/>
        </w:rPr>
        <w:t xml:space="preserve">Housing </w:t>
      </w:r>
      <w:r w:rsidRPr="00264F34">
        <w:rPr>
          <w:rFonts w:ascii="Arial" w:hAnsi="Arial" w:cs="Arial"/>
          <w:iCs/>
          <w:sz w:val="24"/>
          <w:szCs w:val="24"/>
          <w:lang w:eastAsia="en-AU"/>
        </w:rPr>
        <w:t>Commissioner’s powers to withdraw assistance</w:t>
      </w:r>
      <w:r w:rsidR="005E6802">
        <w:rPr>
          <w:rFonts w:ascii="Arial" w:hAnsi="Arial" w:cs="Arial"/>
          <w:iCs/>
          <w:sz w:val="24"/>
          <w:szCs w:val="24"/>
          <w:lang w:eastAsia="en-AU"/>
        </w:rPr>
        <w:t xml:space="preserve"> upon loss of eligibility</w:t>
      </w:r>
      <w:r w:rsidRPr="00264F34">
        <w:rPr>
          <w:rFonts w:ascii="Arial" w:hAnsi="Arial" w:cs="Arial"/>
          <w:iCs/>
          <w:sz w:val="24"/>
          <w:szCs w:val="24"/>
          <w:lang w:eastAsia="en-AU"/>
        </w:rPr>
        <w:t xml:space="preserve">, to require a transfer, or to provide temporary assistance following a breakdown of tenancy. </w:t>
      </w:r>
      <w:r w:rsidR="00D74797">
        <w:rPr>
          <w:rFonts w:ascii="Arial" w:hAnsi="Arial" w:cs="Arial"/>
          <w:iCs/>
          <w:sz w:val="24"/>
          <w:szCs w:val="24"/>
          <w:lang w:eastAsia="en-AU"/>
        </w:rPr>
        <w:t>As outlined above</w:t>
      </w:r>
      <w:r w:rsidR="00C83F6B">
        <w:rPr>
          <w:rFonts w:ascii="Arial" w:hAnsi="Arial" w:cs="Arial"/>
          <w:iCs/>
          <w:sz w:val="24"/>
          <w:szCs w:val="24"/>
          <w:lang w:eastAsia="en-AU"/>
        </w:rPr>
        <w:t>,</w:t>
      </w:r>
      <w:r w:rsidR="00D74797">
        <w:rPr>
          <w:rFonts w:ascii="Arial" w:hAnsi="Arial" w:cs="Arial"/>
          <w:iCs/>
          <w:sz w:val="24"/>
          <w:szCs w:val="24"/>
          <w:lang w:eastAsia="en-AU"/>
        </w:rPr>
        <w:t xml:space="preserve"> when considering an application for termination on any of these grounds, ACAT will need to consider if the termination is reasonable and proportionate in the circumstances. </w:t>
      </w:r>
    </w:p>
    <w:p w14:paraId="49EDBCCA" w14:textId="28F5E98C" w:rsidR="00687ABF" w:rsidRDefault="00687ABF" w:rsidP="00DA6700">
      <w:pPr>
        <w:rPr>
          <w:rFonts w:ascii="Arial" w:hAnsi="Arial" w:cs="Arial"/>
          <w:iCs/>
          <w:sz w:val="24"/>
          <w:szCs w:val="24"/>
          <w:lang w:eastAsia="en-AU"/>
        </w:rPr>
      </w:pPr>
      <w:r w:rsidRPr="00264F34">
        <w:rPr>
          <w:rFonts w:ascii="Arial" w:hAnsi="Arial" w:cs="Arial"/>
          <w:iCs/>
          <w:sz w:val="24"/>
          <w:szCs w:val="24"/>
          <w:lang w:eastAsia="en-AU"/>
        </w:rPr>
        <w:t xml:space="preserve">As noted above, each of these provisions supports the targeting of </w:t>
      </w:r>
      <w:r w:rsidR="00F7433E">
        <w:rPr>
          <w:rFonts w:ascii="Arial" w:hAnsi="Arial" w:cs="Arial"/>
          <w:iCs/>
          <w:sz w:val="24"/>
          <w:szCs w:val="24"/>
          <w:lang w:eastAsia="en-AU"/>
        </w:rPr>
        <w:t>public</w:t>
      </w:r>
      <w:r w:rsidR="00F7433E" w:rsidRPr="00264F34">
        <w:rPr>
          <w:rFonts w:ascii="Arial" w:hAnsi="Arial" w:cs="Arial"/>
          <w:iCs/>
          <w:sz w:val="24"/>
          <w:szCs w:val="24"/>
          <w:lang w:eastAsia="en-AU"/>
        </w:rPr>
        <w:t xml:space="preserve"> </w:t>
      </w:r>
      <w:r w:rsidRPr="00264F34">
        <w:rPr>
          <w:rFonts w:ascii="Arial" w:hAnsi="Arial" w:cs="Arial"/>
          <w:iCs/>
          <w:sz w:val="24"/>
          <w:szCs w:val="24"/>
          <w:lang w:eastAsia="en-AU"/>
        </w:rPr>
        <w:t>housing to vulnerable community members. This is an important human rights safeguard as it ensures tenancy termination can only occur when it aligns with the operation of the Program and supports the effective functioning of public housing</w:t>
      </w:r>
      <w:r w:rsidR="00D70AAD">
        <w:rPr>
          <w:rFonts w:ascii="Arial" w:hAnsi="Arial" w:cs="Arial"/>
          <w:iCs/>
          <w:sz w:val="24"/>
          <w:szCs w:val="24"/>
          <w:lang w:eastAsia="en-AU"/>
        </w:rPr>
        <w:t xml:space="preserve"> for the benefit of those most in need.</w:t>
      </w:r>
    </w:p>
    <w:p w14:paraId="30DA4B68" w14:textId="18173B23" w:rsidR="00F1104C" w:rsidRDefault="00E03C94" w:rsidP="00DA6700">
      <w:pPr>
        <w:rPr>
          <w:rFonts w:ascii="Arial" w:hAnsi="Arial" w:cs="Arial"/>
          <w:iCs/>
          <w:sz w:val="24"/>
          <w:szCs w:val="24"/>
          <w:lang w:eastAsia="en-AU"/>
        </w:rPr>
      </w:pPr>
      <w:r>
        <w:rPr>
          <w:rFonts w:ascii="Arial" w:hAnsi="Arial" w:cs="Arial"/>
          <w:iCs/>
          <w:sz w:val="24"/>
          <w:szCs w:val="24"/>
          <w:lang w:eastAsia="en-AU"/>
        </w:rPr>
        <w:t>The</w:t>
      </w:r>
      <w:r w:rsidR="00F1104C">
        <w:rPr>
          <w:rFonts w:ascii="Arial" w:hAnsi="Arial" w:cs="Arial"/>
          <w:iCs/>
          <w:sz w:val="24"/>
          <w:szCs w:val="24"/>
          <w:lang w:eastAsia="en-AU"/>
        </w:rPr>
        <w:t xml:space="preserve"> tenancy termination provisions are drafted such that the Housing Commissioner will have the power to end a tenancy where the Housing Commissioner takes action under </w:t>
      </w:r>
      <w:r w:rsidR="00501270">
        <w:rPr>
          <w:rFonts w:ascii="Arial" w:hAnsi="Arial" w:cs="Arial"/>
          <w:iCs/>
          <w:sz w:val="24"/>
          <w:szCs w:val="24"/>
          <w:lang w:eastAsia="en-AU"/>
        </w:rPr>
        <w:t>the HAA</w:t>
      </w:r>
      <w:r w:rsidR="00F1104C">
        <w:rPr>
          <w:rFonts w:ascii="Arial" w:hAnsi="Arial" w:cs="Arial"/>
          <w:iCs/>
          <w:sz w:val="24"/>
          <w:szCs w:val="24"/>
          <w:lang w:eastAsia="en-AU"/>
        </w:rPr>
        <w:t xml:space="preserve"> (for example by deciding to withdraw assistance</w:t>
      </w:r>
      <w:r w:rsidR="005E6802">
        <w:rPr>
          <w:rFonts w:ascii="Arial" w:hAnsi="Arial" w:cs="Arial"/>
          <w:iCs/>
          <w:sz w:val="24"/>
          <w:szCs w:val="24"/>
          <w:lang w:eastAsia="en-AU"/>
        </w:rPr>
        <w:t xml:space="preserve"> upon loss of eligibility</w:t>
      </w:r>
      <w:r w:rsidR="00F1104C">
        <w:rPr>
          <w:rFonts w:ascii="Arial" w:hAnsi="Arial" w:cs="Arial"/>
          <w:iCs/>
          <w:sz w:val="24"/>
          <w:szCs w:val="24"/>
          <w:lang w:eastAsia="en-AU"/>
        </w:rPr>
        <w:t xml:space="preserve">, require a transfer or to provide temporary assistance following a </w:t>
      </w:r>
      <w:r w:rsidR="005E6802">
        <w:rPr>
          <w:rFonts w:ascii="Arial" w:hAnsi="Arial" w:cs="Arial"/>
          <w:iCs/>
          <w:sz w:val="24"/>
          <w:szCs w:val="24"/>
          <w:lang w:eastAsia="en-AU"/>
        </w:rPr>
        <w:t>breakdown</w:t>
      </w:r>
      <w:r w:rsidR="00F1104C">
        <w:rPr>
          <w:rFonts w:ascii="Arial" w:hAnsi="Arial" w:cs="Arial"/>
          <w:iCs/>
          <w:sz w:val="24"/>
          <w:szCs w:val="24"/>
          <w:lang w:eastAsia="en-AU"/>
        </w:rPr>
        <w:t xml:space="preserve"> of tenancy). </w:t>
      </w:r>
      <w:r>
        <w:rPr>
          <w:rFonts w:ascii="Arial" w:hAnsi="Arial" w:cs="Arial"/>
          <w:iCs/>
          <w:sz w:val="24"/>
          <w:szCs w:val="24"/>
          <w:lang w:eastAsia="en-AU"/>
        </w:rPr>
        <w:t>I</w:t>
      </w:r>
      <w:r w:rsidR="00F1104C">
        <w:rPr>
          <w:rFonts w:ascii="Arial" w:hAnsi="Arial" w:cs="Arial"/>
          <w:iCs/>
          <w:sz w:val="24"/>
          <w:szCs w:val="24"/>
          <w:lang w:eastAsia="en-AU"/>
        </w:rPr>
        <w:t xml:space="preserve">n future, the Housing Commissioner may amend the Program or other Housing Assistance legislation in order to expand the </w:t>
      </w:r>
      <w:r w:rsidR="00F1104C">
        <w:rPr>
          <w:rFonts w:ascii="Arial" w:hAnsi="Arial" w:cs="Arial"/>
          <w:iCs/>
          <w:sz w:val="24"/>
          <w:szCs w:val="24"/>
          <w:lang w:eastAsia="en-AU"/>
        </w:rPr>
        <w:lastRenderedPageBreak/>
        <w:t xml:space="preserve">circumstances in which the </w:t>
      </w:r>
      <w:r w:rsidR="001511C3">
        <w:rPr>
          <w:rFonts w:ascii="Arial" w:hAnsi="Arial" w:cs="Arial"/>
          <w:iCs/>
          <w:sz w:val="24"/>
          <w:szCs w:val="24"/>
          <w:lang w:eastAsia="en-AU"/>
        </w:rPr>
        <w:t xml:space="preserve">Housing </w:t>
      </w:r>
      <w:r w:rsidR="00F1104C">
        <w:rPr>
          <w:rFonts w:ascii="Arial" w:hAnsi="Arial" w:cs="Arial"/>
          <w:iCs/>
          <w:sz w:val="24"/>
          <w:szCs w:val="24"/>
          <w:lang w:eastAsia="en-AU"/>
        </w:rPr>
        <w:t xml:space="preserve">Commissioner may withdraw housing assistance or require a transfer. </w:t>
      </w:r>
      <w:r w:rsidR="001511C3">
        <w:rPr>
          <w:rFonts w:ascii="Arial" w:hAnsi="Arial" w:cs="Arial"/>
          <w:iCs/>
          <w:sz w:val="24"/>
          <w:szCs w:val="24"/>
          <w:lang w:eastAsia="en-AU"/>
        </w:rPr>
        <w:t>If the Housing Commissioner does this, it will expand the circumstances in which the tenancy termination provision is available to the Housing Commissioner. To ensure any amendments to Housing Assistance subordinate legislation which may create a tenancy termination pathway are reasonable</w:t>
      </w:r>
      <w:r w:rsidR="00CC2FC2">
        <w:rPr>
          <w:rFonts w:ascii="Arial" w:hAnsi="Arial" w:cs="Arial"/>
          <w:iCs/>
          <w:sz w:val="24"/>
          <w:szCs w:val="24"/>
          <w:lang w:eastAsia="en-AU"/>
        </w:rPr>
        <w:t xml:space="preserve"> and justified from a human rights perspective</w:t>
      </w:r>
      <w:r>
        <w:rPr>
          <w:rFonts w:ascii="Arial" w:hAnsi="Arial" w:cs="Arial"/>
          <w:iCs/>
          <w:sz w:val="24"/>
          <w:szCs w:val="24"/>
          <w:lang w:eastAsia="en-AU"/>
        </w:rPr>
        <w:t>, the Bill</w:t>
      </w:r>
      <w:r w:rsidR="001511C3">
        <w:rPr>
          <w:rFonts w:ascii="Arial" w:hAnsi="Arial" w:cs="Arial"/>
          <w:iCs/>
          <w:sz w:val="24"/>
          <w:szCs w:val="24"/>
          <w:lang w:eastAsia="en-AU"/>
        </w:rPr>
        <w:t xml:space="preserve"> </w:t>
      </w:r>
      <w:r>
        <w:rPr>
          <w:rFonts w:ascii="Arial" w:hAnsi="Arial" w:cs="Arial"/>
          <w:iCs/>
          <w:sz w:val="24"/>
          <w:szCs w:val="24"/>
          <w:lang w:eastAsia="en-AU"/>
        </w:rPr>
        <w:t xml:space="preserve">puts </w:t>
      </w:r>
      <w:r w:rsidR="001511C3">
        <w:rPr>
          <w:rFonts w:ascii="Arial" w:hAnsi="Arial" w:cs="Arial"/>
          <w:iCs/>
          <w:sz w:val="24"/>
          <w:szCs w:val="24"/>
          <w:lang w:eastAsia="en-AU"/>
        </w:rPr>
        <w:t>additional safeguard</w:t>
      </w:r>
      <w:r>
        <w:rPr>
          <w:rFonts w:ascii="Arial" w:hAnsi="Arial" w:cs="Arial"/>
          <w:iCs/>
          <w:sz w:val="24"/>
          <w:szCs w:val="24"/>
          <w:lang w:eastAsia="en-AU"/>
        </w:rPr>
        <w:t xml:space="preserve">s </w:t>
      </w:r>
      <w:r w:rsidR="001511C3">
        <w:rPr>
          <w:rFonts w:ascii="Arial" w:hAnsi="Arial" w:cs="Arial"/>
          <w:iCs/>
          <w:sz w:val="24"/>
          <w:szCs w:val="24"/>
          <w:lang w:eastAsia="en-AU"/>
        </w:rPr>
        <w:t>in place</w:t>
      </w:r>
      <w:r w:rsidR="00CC2FC2">
        <w:rPr>
          <w:rFonts w:ascii="Arial" w:hAnsi="Arial" w:cs="Arial"/>
          <w:iCs/>
          <w:sz w:val="24"/>
          <w:szCs w:val="24"/>
          <w:lang w:eastAsia="en-AU"/>
        </w:rPr>
        <w:t xml:space="preserve"> through amendments to the HAA</w:t>
      </w:r>
      <w:r w:rsidR="001511C3">
        <w:rPr>
          <w:rFonts w:ascii="Arial" w:hAnsi="Arial" w:cs="Arial"/>
          <w:iCs/>
          <w:sz w:val="24"/>
          <w:szCs w:val="24"/>
          <w:lang w:eastAsia="en-AU"/>
        </w:rPr>
        <w:t xml:space="preserve">. </w:t>
      </w:r>
    </w:p>
    <w:p w14:paraId="70DF7EC5" w14:textId="77777777" w:rsidR="002869CE" w:rsidRDefault="001511C3" w:rsidP="00DA6700">
      <w:pPr>
        <w:rPr>
          <w:rFonts w:ascii="Arial" w:hAnsi="Arial" w:cs="Arial"/>
          <w:iCs/>
          <w:sz w:val="24"/>
          <w:szCs w:val="24"/>
          <w:lang w:eastAsia="en-AU"/>
        </w:rPr>
      </w:pPr>
      <w:r>
        <w:rPr>
          <w:rFonts w:ascii="Arial" w:hAnsi="Arial" w:cs="Arial"/>
          <w:iCs/>
          <w:sz w:val="24"/>
          <w:szCs w:val="24"/>
          <w:lang w:eastAsia="en-AU"/>
        </w:rPr>
        <w:t>The first safeguard is to require that any operational guideline or determination made by the Housing Commissioner which is connected to a decision that may lead to a tenancy termination (for example</w:t>
      </w:r>
      <w:r w:rsidR="002869CE">
        <w:rPr>
          <w:rFonts w:ascii="Arial" w:hAnsi="Arial" w:cs="Arial"/>
          <w:iCs/>
          <w:sz w:val="24"/>
          <w:szCs w:val="24"/>
          <w:lang w:eastAsia="en-AU"/>
        </w:rPr>
        <w:t>,</w:t>
      </w:r>
      <w:r>
        <w:rPr>
          <w:rFonts w:ascii="Arial" w:hAnsi="Arial" w:cs="Arial"/>
          <w:iCs/>
          <w:sz w:val="24"/>
          <w:szCs w:val="24"/>
          <w:lang w:eastAsia="en-AU"/>
        </w:rPr>
        <w:t xml:space="preserve"> guidance on when to withdraw housing assistance) be a disallowable instrument (</w:t>
      </w:r>
      <w:r w:rsidRPr="00C103DA">
        <w:rPr>
          <w:rFonts w:ascii="Arial" w:hAnsi="Arial" w:cs="Arial"/>
          <w:b/>
          <w:bCs/>
          <w:iCs/>
          <w:sz w:val="24"/>
          <w:szCs w:val="24"/>
          <w:lang w:eastAsia="en-AU"/>
        </w:rPr>
        <w:t>DI</w:t>
      </w:r>
      <w:r>
        <w:rPr>
          <w:rFonts w:ascii="Arial" w:hAnsi="Arial" w:cs="Arial"/>
          <w:iCs/>
          <w:sz w:val="24"/>
          <w:szCs w:val="24"/>
          <w:lang w:eastAsia="en-AU"/>
        </w:rPr>
        <w:t xml:space="preserve">). </w:t>
      </w:r>
    </w:p>
    <w:p w14:paraId="3EBBEC3A" w14:textId="58DD2B3C" w:rsidR="001511C3" w:rsidRDefault="001511C3" w:rsidP="00DA6700">
      <w:pPr>
        <w:rPr>
          <w:rFonts w:ascii="Arial" w:hAnsi="Arial" w:cs="Arial"/>
          <w:iCs/>
          <w:sz w:val="24"/>
          <w:szCs w:val="24"/>
          <w:lang w:eastAsia="en-AU"/>
        </w:rPr>
      </w:pPr>
      <w:r>
        <w:rPr>
          <w:rFonts w:ascii="Arial" w:hAnsi="Arial" w:cs="Arial"/>
          <w:iCs/>
          <w:sz w:val="24"/>
          <w:szCs w:val="24"/>
          <w:lang w:eastAsia="en-AU"/>
        </w:rPr>
        <w:t>Currently</w:t>
      </w:r>
      <w:r w:rsidR="002869CE">
        <w:rPr>
          <w:rFonts w:ascii="Arial" w:hAnsi="Arial" w:cs="Arial"/>
          <w:iCs/>
          <w:sz w:val="24"/>
          <w:szCs w:val="24"/>
          <w:lang w:eastAsia="en-AU"/>
        </w:rPr>
        <w:t>,</w:t>
      </w:r>
      <w:r>
        <w:rPr>
          <w:rFonts w:ascii="Arial" w:hAnsi="Arial" w:cs="Arial"/>
          <w:iCs/>
          <w:sz w:val="24"/>
          <w:szCs w:val="24"/>
          <w:lang w:eastAsia="en-AU"/>
        </w:rPr>
        <w:t xml:space="preserve"> under sections 20 and 21 of the HAA</w:t>
      </w:r>
      <w:r w:rsidR="002869CE">
        <w:rPr>
          <w:rFonts w:ascii="Arial" w:hAnsi="Arial" w:cs="Arial"/>
          <w:iCs/>
          <w:sz w:val="24"/>
          <w:szCs w:val="24"/>
          <w:lang w:eastAsia="en-AU"/>
        </w:rPr>
        <w:t>,</w:t>
      </w:r>
      <w:r>
        <w:rPr>
          <w:rFonts w:ascii="Arial" w:hAnsi="Arial" w:cs="Arial"/>
          <w:iCs/>
          <w:sz w:val="24"/>
          <w:szCs w:val="24"/>
          <w:lang w:eastAsia="en-AU"/>
        </w:rPr>
        <w:t xml:space="preserve"> determinations or operational guidelines made by the Housing Commissioner are required to be notifiable instruments (</w:t>
      </w:r>
      <w:r w:rsidRPr="00C103DA">
        <w:rPr>
          <w:rFonts w:ascii="Arial" w:hAnsi="Arial" w:cs="Arial"/>
          <w:b/>
          <w:bCs/>
          <w:iCs/>
          <w:sz w:val="24"/>
          <w:szCs w:val="24"/>
          <w:lang w:eastAsia="en-AU"/>
        </w:rPr>
        <w:t>NI</w:t>
      </w:r>
      <w:r>
        <w:rPr>
          <w:rFonts w:ascii="Arial" w:hAnsi="Arial" w:cs="Arial"/>
          <w:iCs/>
          <w:sz w:val="24"/>
          <w:szCs w:val="24"/>
          <w:lang w:eastAsia="en-AU"/>
        </w:rPr>
        <w:t>). Making these instruments DIs provides an additional level of scrutiny</w:t>
      </w:r>
      <w:r w:rsidR="002869CE">
        <w:rPr>
          <w:rFonts w:ascii="Arial" w:hAnsi="Arial" w:cs="Arial"/>
          <w:iCs/>
          <w:sz w:val="24"/>
          <w:szCs w:val="24"/>
          <w:lang w:eastAsia="en-AU"/>
        </w:rPr>
        <w:t>,</w:t>
      </w:r>
      <w:r>
        <w:rPr>
          <w:rFonts w:ascii="Arial" w:hAnsi="Arial" w:cs="Arial"/>
          <w:iCs/>
          <w:sz w:val="24"/>
          <w:szCs w:val="24"/>
          <w:lang w:eastAsia="en-AU"/>
        </w:rPr>
        <w:t xml:space="preserve"> as DIs must be tabled in the Legislative Assembly</w:t>
      </w:r>
      <w:r w:rsidR="002869CE">
        <w:rPr>
          <w:rFonts w:ascii="Arial" w:hAnsi="Arial" w:cs="Arial"/>
          <w:iCs/>
          <w:sz w:val="24"/>
          <w:szCs w:val="24"/>
          <w:lang w:eastAsia="en-AU"/>
        </w:rPr>
        <w:t>, must be accompanied by an explanatory statement</w:t>
      </w:r>
      <w:r w:rsidR="00C75B38">
        <w:rPr>
          <w:rFonts w:ascii="Arial" w:hAnsi="Arial" w:cs="Arial"/>
          <w:iCs/>
          <w:sz w:val="24"/>
          <w:szCs w:val="24"/>
          <w:lang w:eastAsia="en-AU"/>
        </w:rPr>
        <w:t xml:space="preserve"> (</w:t>
      </w:r>
      <w:r w:rsidR="00C75B38" w:rsidRPr="00D4599F">
        <w:rPr>
          <w:rFonts w:ascii="Arial" w:hAnsi="Arial" w:cs="Arial"/>
          <w:b/>
          <w:bCs/>
          <w:iCs/>
          <w:sz w:val="24"/>
          <w:szCs w:val="24"/>
          <w:lang w:eastAsia="en-AU"/>
        </w:rPr>
        <w:t>ES</w:t>
      </w:r>
      <w:r w:rsidR="00C75B38">
        <w:rPr>
          <w:rFonts w:ascii="Arial" w:hAnsi="Arial" w:cs="Arial"/>
          <w:iCs/>
          <w:sz w:val="24"/>
          <w:szCs w:val="24"/>
          <w:lang w:eastAsia="en-AU"/>
        </w:rPr>
        <w:t>)</w:t>
      </w:r>
      <w:r w:rsidR="002869CE">
        <w:rPr>
          <w:rFonts w:ascii="Arial" w:hAnsi="Arial" w:cs="Arial"/>
          <w:iCs/>
          <w:sz w:val="24"/>
          <w:szCs w:val="24"/>
          <w:lang w:eastAsia="en-AU"/>
        </w:rPr>
        <w:t>,</w:t>
      </w:r>
      <w:r>
        <w:rPr>
          <w:rFonts w:ascii="Arial" w:hAnsi="Arial" w:cs="Arial"/>
          <w:iCs/>
          <w:sz w:val="24"/>
          <w:szCs w:val="24"/>
          <w:lang w:eastAsia="en-AU"/>
        </w:rPr>
        <w:t xml:space="preserve"> and are subject to a disallowance process whereas NIs only need to be notified on the </w:t>
      </w:r>
      <w:r w:rsidR="00E03C94">
        <w:rPr>
          <w:rFonts w:ascii="Arial" w:hAnsi="Arial" w:cs="Arial"/>
          <w:iCs/>
          <w:sz w:val="24"/>
          <w:szCs w:val="24"/>
          <w:lang w:eastAsia="en-AU"/>
        </w:rPr>
        <w:t>L</w:t>
      </w:r>
      <w:r>
        <w:rPr>
          <w:rFonts w:ascii="Arial" w:hAnsi="Arial" w:cs="Arial"/>
          <w:iCs/>
          <w:sz w:val="24"/>
          <w:szCs w:val="24"/>
          <w:lang w:eastAsia="en-AU"/>
        </w:rPr>
        <w:t xml:space="preserve">egislation </w:t>
      </w:r>
      <w:r w:rsidR="00E03C94">
        <w:rPr>
          <w:rFonts w:ascii="Arial" w:hAnsi="Arial" w:cs="Arial"/>
          <w:iCs/>
          <w:sz w:val="24"/>
          <w:szCs w:val="24"/>
          <w:lang w:eastAsia="en-AU"/>
        </w:rPr>
        <w:t>R</w:t>
      </w:r>
      <w:r>
        <w:rPr>
          <w:rFonts w:ascii="Arial" w:hAnsi="Arial" w:cs="Arial"/>
          <w:iCs/>
          <w:sz w:val="24"/>
          <w:szCs w:val="24"/>
          <w:lang w:eastAsia="en-AU"/>
        </w:rPr>
        <w:t xml:space="preserve">egister to have effect. </w:t>
      </w:r>
      <w:r w:rsidR="008F3475">
        <w:rPr>
          <w:rFonts w:ascii="Arial" w:hAnsi="Arial" w:cs="Arial"/>
          <w:iCs/>
          <w:sz w:val="24"/>
          <w:szCs w:val="24"/>
          <w:lang w:eastAsia="en-AU"/>
        </w:rPr>
        <w:t xml:space="preserve">This means that if there were human rights concerns with a proposed policy approach set out in a DI, the DI could be disallowed by the </w:t>
      </w:r>
      <w:r w:rsidR="00C103DA">
        <w:rPr>
          <w:rFonts w:ascii="Arial" w:hAnsi="Arial" w:cs="Arial"/>
          <w:iCs/>
          <w:sz w:val="24"/>
          <w:szCs w:val="24"/>
          <w:lang w:eastAsia="en-AU"/>
        </w:rPr>
        <w:t xml:space="preserve">Legislative </w:t>
      </w:r>
      <w:r w:rsidR="008F3475">
        <w:rPr>
          <w:rFonts w:ascii="Arial" w:hAnsi="Arial" w:cs="Arial"/>
          <w:iCs/>
          <w:sz w:val="24"/>
          <w:szCs w:val="24"/>
          <w:lang w:eastAsia="en-AU"/>
        </w:rPr>
        <w:t>Assembly on that basis (and would no longer be in effect).</w:t>
      </w:r>
      <w:r w:rsidR="00D4599F">
        <w:rPr>
          <w:rFonts w:ascii="Arial" w:hAnsi="Arial" w:cs="Arial"/>
          <w:iCs/>
          <w:sz w:val="24"/>
          <w:szCs w:val="24"/>
          <w:lang w:eastAsia="en-AU"/>
        </w:rPr>
        <w:t xml:space="preserve"> </w:t>
      </w:r>
      <w:r>
        <w:rPr>
          <w:rFonts w:ascii="Arial" w:hAnsi="Arial" w:cs="Arial"/>
          <w:iCs/>
          <w:sz w:val="24"/>
          <w:szCs w:val="24"/>
          <w:lang w:eastAsia="en-AU"/>
        </w:rPr>
        <w:t>The preparation of an ES</w:t>
      </w:r>
      <w:r w:rsidR="00C103DA">
        <w:rPr>
          <w:rFonts w:ascii="Arial" w:hAnsi="Arial" w:cs="Arial"/>
          <w:iCs/>
          <w:sz w:val="24"/>
          <w:szCs w:val="24"/>
          <w:lang w:eastAsia="en-AU"/>
        </w:rPr>
        <w:t xml:space="preserve"> </w:t>
      </w:r>
      <w:r w:rsidR="00CC2FC2">
        <w:rPr>
          <w:rFonts w:ascii="Arial" w:hAnsi="Arial" w:cs="Arial"/>
          <w:iCs/>
          <w:sz w:val="24"/>
          <w:szCs w:val="24"/>
          <w:lang w:eastAsia="en-AU"/>
        </w:rPr>
        <w:t xml:space="preserve">will mean that any human rights limitations created by the instrument will need to be explained and justified </w:t>
      </w:r>
      <w:r w:rsidR="00C103DA">
        <w:rPr>
          <w:rFonts w:ascii="Arial" w:hAnsi="Arial" w:cs="Arial"/>
          <w:iCs/>
          <w:sz w:val="24"/>
          <w:szCs w:val="24"/>
          <w:lang w:eastAsia="en-AU"/>
        </w:rPr>
        <w:t xml:space="preserve">in the ES </w:t>
      </w:r>
      <w:r w:rsidR="00CC2FC2">
        <w:rPr>
          <w:rFonts w:ascii="Arial" w:hAnsi="Arial" w:cs="Arial"/>
          <w:iCs/>
          <w:sz w:val="24"/>
          <w:szCs w:val="24"/>
          <w:lang w:eastAsia="en-AU"/>
        </w:rPr>
        <w:t xml:space="preserve">at the time the instrument is made. </w:t>
      </w:r>
      <w:r>
        <w:rPr>
          <w:rFonts w:ascii="Arial" w:hAnsi="Arial" w:cs="Arial"/>
          <w:iCs/>
          <w:sz w:val="24"/>
          <w:szCs w:val="24"/>
          <w:lang w:eastAsia="en-AU"/>
        </w:rPr>
        <w:t xml:space="preserve"> </w:t>
      </w:r>
    </w:p>
    <w:p w14:paraId="1E489A8F" w14:textId="504E008A" w:rsidR="008F3475" w:rsidRDefault="005E6802" w:rsidP="00DA6700">
      <w:pPr>
        <w:rPr>
          <w:rFonts w:ascii="Arial" w:hAnsi="Arial" w:cs="Arial"/>
          <w:iCs/>
          <w:sz w:val="24"/>
          <w:szCs w:val="24"/>
          <w:lang w:eastAsia="en-AU"/>
        </w:rPr>
      </w:pPr>
      <w:r>
        <w:rPr>
          <w:rFonts w:ascii="Arial" w:hAnsi="Arial" w:cs="Arial"/>
          <w:iCs/>
          <w:sz w:val="24"/>
          <w:szCs w:val="24"/>
          <w:lang w:eastAsia="en-AU"/>
        </w:rPr>
        <w:t xml:space="preserve">It is </w:t>
      </w:r>
      <w:r w:rsidR="00D02F56">
        <w:rPr>
          <w:rFonts w:ascii="Arial" w:hAnsi="Arial" w:cs="Arial"/>
          <w:iCs/>
          <w:sz w:val="24"/>
          <w:szCs w:val="24"/>
          <w:lang w:eastAsia="en-AU"/>
        </w:rPr>
        <w:t xml:space="preserve">also </w:t>
      </w:r>
      <w:r>
        <w:rPr>
          <w:rFonts w:ascii="Arial" w:hAnsi="Arial" w:cs="Arial"/>
          <w:iCs/>
          <w:sz w:val="24"/>
          <w:szCs w:val="24"/>
          <w:lang w:eastAsia="en-AU"/>
        </w:rPr>
        <w:t xml:space="preserve">noted that the Housing Commissioner is a Public Authority for the purposes of </w:t>
      </w:r>
      <w:r w:rsidR="002869CE">
        <w:rPr>
          <w:rFonts w:ascii="Arial" w:hAnsi="Arial" w:cs="Arial"/>
          <w:iCs/>
          <w:sz w:val="24"/>
          <w:szCs w:val="24"/>
          <w:lang w:eastAsia="en-AU"/>
        </w:rPr>
        <w:t xml:space="preserve">the </w:t>
      </w:r>
      <w:r>
        <w:rPr>
          <w:rFonts w:ascii="Arial" w:hAnsi="Arial" w:cs="Arial"/>
          <w:iCs/>
          <w:sz w:val="24"/>
          <w:szCs w:val="24"/>
          <w:lang w:eastAsia="en-AU"/>
        </w:rPr>
        <w:t xml:space="preserve">HRA and must </w:t>
      </w:r>
      <w:r w:rsidR="00D02F56">
        <w:rPr>
          <w:rFonts w:ascii="Arial" w:hAnsi="Arial" w:cs="Arial"/>
          <w:iCs/>
          <w:sz w:val="24"/>
          <w:szCs w:val="24"/>
          <w:lang w:eastAsia="en-AU"/>
        </w:rPr>
        <w:t xml:space="preserve">give proper consideration to human rights issues when making decisions, including decisions to make a housing assistance program or a determination or operational guideline under a housing assistance program. This obligation acts as an additional safeguard to ensure human rights are </w:t>
      </w:r>
      <w:r w:rsidR="002869CE">
        <w:rPr>
          <w:rFonts w:ascii="Arial" w:hAnsi="Arial" w:cs="Arial"/>
          <w:iCs/>
          <w:sz w:val="24"/>
          <w:szCs w:val="24"/>
          <w:lang w:eastAsia="en-AU"/>
        </w:rPr>
        <w:t xml:space="preserve">considered and </w:t>
      </w:r>
      <w:r w:rsidR="00D02F56">
        <w:rPr>
          <w:rFonts w:ascii="Arial" w:hAnsi="Arial" w:cs="Arial"/>
          <w:iCs/>
          <w:sz w:val="24"/>
          <w:szCs w:val="24"/>
          <w:lang w:eastAsia="en-AU"/>
        </w:rPr>
        <w:t xml:space="preserve">addressed in the making of any subordinate legislation. </w:t>
      </w:r>
    </w:p>
    <w:p w14:paraId="7D55E7B9" w14:textId="5E98C8E4" w:rsidR="008F3475" w:rsidRPr="00AD3DAD" w:rsidRDefault="008F3475" w:rsidP="008F3475">
      <w:pPr>
        <w:rPr>
          <w:rFonts w:ascii="Arial" w:hAnsi="Arial" w:cs="Arial"/>
          <w:iCs/>
          <w:sz w:val="24"/>
          <w:szCs w:val="24"/>
          <w:lang w:eastAsia="en-AU"/>
        </w:rPr>
      </w:pPr>
      <w:r w:rsidRPr="00264F34">
        <w:rPr>
          <w:rFonts w:ascii="Arial" w:hAnsi="Arial" w:cs="Arial"/>
          <w:iCs/>
          <w:sz w:val="24"/>
          <w:szCs w:val="24"/>
          <w:lang w:eastAsia="en-AU"/>
        </w:rPr>
        <w:t xml:space="preserve">The </w:t>
      </w:r>
      <w:r>
        <w:rPr>
          <w:rFonts w:ascii="Arial" w:hAnsi="Arial" w:cs="Arial"/>
          <w:iCs/>
          <w:sz w:val="24"/>
          <w:szCs w:val="24"/>
          <w:lang w:eastAsia="en-AU"/>
        </w:rPr>
        <w:t xml:space="preserve">individual termination </w:t>
      </w:r>
      <w:r w:rsidRPr="00264F34">
        <w:rPr>
          <w:rFonts w:ascii="Arial" w:hAnsi="Arial" w:cs="Arial"/>
          <w:iCs/>
          <w:sz w:val="24"/>
          <w:szCs w:val="24"/>
          <w:lang w:eastAsia="en-AU"/>
        </w:rPr>
        <w:t xml:space="preserve">provisions </w:t>
      </w:r>
      <w:r>
        <w:rPr>
          <w:rFonts w:ascii="Arial" w:hAnsi="Arial" w:cs="Arial"/>
          <w:iCs/>
          <w:sz w:val="24"/>
          <w:szCs w:val="24"/>
          <w:lang w:eastAsia="en-AU"/>
        </w:rPr>
        <w:t xml:space="preserve">available to the Housing Commissioner </w:t>
      </w:r>
      <w:r w:rsidRPr="00264F34">
        <w:rPr>
          <w:rFonts w:ascii="Arial" w:hAnsi="Arial" w:cs="Arial"/>
          <w:iCs/>
          <w:sz w:val="24"/>
          <w:szCs w:val="24"/>
          <w:lang w:eastAsia="en-AU"/>
        </w:rPr>
        <w:t xml:space="preserve">also </w:t>
      </w:r>
      <w:r w:rsidRPr="00AD3DAD">
        <w:rPr>
          <w:rFonts w:ascii="Arial" w:hAnsi="Arial" w:cs="Arial"/>
          <w:iCs/>
          <w:sz w:val="24"/>
          <w:szCs w:val="24"/>
          <w:lang w:eastAsia="en-AU"/>
        </w:rPr>
        <w:t>contain additional safeguards to ensure the proportionality of any limitation on the right to privacy</w:t>
      </w:r>
      <w:r w:rsidR="002869CE" w:rsidRPr="00AD3DAD">
        <w:rPr>
          <w:rFonts w:ascii="Arial" w:hAnsi="Arial" w:cs="Arial"/>
          <w:iCs/>
          <w:sz w:val="24"/>
          <w:szCs w:val="24"/>
          <w:lang w:eastAsia="en-AU"/>
        </w:rPr>
        <w:t>,</w:t>
      </w:r>
      <w:r w:rsidRPr="00AD3DAD">
        <w:rPr>
          <w:rFonts w:ascii="Arial" w:hAnsi="Arial" w:cs="Arial"/>
          <w:iCs/>
          <w:sz w:val="24"/>
          <w:szCs w:val="24"/>
          <w:lang w:eastAsia="en-AU"/>
        </w:rPr>
        <w:t xml:space="preserve"> which are outlined further below.</w:t>
      </w:r>
    </w:p>
    <w:p w14:paraId="40707437" w14:textId="069E5540" w:rsidR="00687ABF" w:rsidRPr="00AD3DAD" w:rsidRDefault="00687ABF" w:rsidP="00DA6700">
      <w:pPr>
        <w:rPr>
          <w:rFonts w:ascii="Arial" w:hAnsi="Arial" w:cs="Arial"/>
          <w:i/>
          <w:sz w:val="24"/>
          <w:szCs w:val="24"/>
          <w:lang w:eastAsia="en-AU"/>
        </w:rPr>
      </w:pPr>
      <w:r w:rsidRPr="00AD3DAD">
        <w:rPr>
          <w:rFonts w:ascii="Arial" w:hAnsi="Arial" w:cs="Arial"/>
          <w:i/>
          <w:sz w:val="24"/>
          <w:szCs w:val="24"/>
          <w:lang w:eastAsia="en-AU"/>
        </w:rPr>
        <w:t xml:space="preserve">Termination </w:t>
      </w:r>
      <w:r w:rsidR="00D02F56" w:rsidRPr="00AD3DAD">
        <w:rPr>
          <w:rFonts w:ascii="Arial" w:hAnsi="Arial" w:cs="Arial"/>
          <w:i/>
          <w:sz w:val="24"/>
          <w:szCs w:val="24"/>
          <w:lang w:eastAsia="en-AU"/>
        </w:rPr>
        <w:t xml:space="preserve">due to </w:t>
      </w:r>
      <w:r w:rsidR="00D74797" w:rsidRPr="00AD3DAD">
        <w:rPr>
          <w:rFonts w:ascii="Arial" w:hAnsi="Arial" w:cs="Arial"/>
          <w:i/>
          <w:sz w:val="24"/>
          <w:szCs w:val="24"/>
          <w:lang w:eastAsia="en-AU"/>
        </w:rPr>
        <w:t>cancellation or withdrawal of assistance</w:t>
      </w:r>
      <w:r w:rsidR="00D02F56" w:rsidRPr="00AD3DAD">
        <w:rPr>
          <w:rFonts w:ascii="Arial" w:hAnsi="Arial" w:cs="Arial"/>
          <w:i/>
          <w:sz w:val="24"/>
          <w:szCs w:val="24"/>
          <w:lang w:eastAsia="en-AU"/>
        </w:rPr>
        <w:t xml:space="preserve"> </w:t>
      </w:r>
      <w:r w:rsidRPr="00AD3DAD">
        <w:rPr>
          <w:rFonts w:ascii="Arial" w:hAnsi="Arial" w:cs="Arial"/>
          <w:i/>
          <w:sz w:val="24"/>
          <w:szCs w:val="24"/>
          <w:lang w:eastAsia="en-AU"/>
        </w:rPr>
        <w:t xml:space="preserve">or </w:t>
      </w:r>
      <w:r w:rsidR="00D02F56" w:rsidRPr="00AD3DAD">
        <w:rPr>
          <w:rFonts w:ascii="Arial" w:hAnsi="Arial" w:cs="Arial"/>
          <w:i/>
          <w:sz w:val="24"/>
          <w:szCs w:val="24"/>
          <w:lang w:eastAsia="en-AU"/>
        </w:rPr>
        <w:t>where tenant has refused a transfer to an alternate premises</w:t>
      </w:r>
    </w:p>
    <w:p w14:paraId="66EB8214" w14:textId="48016B85" w:rsidR="00F46FC8" w:rsidRDefault="00687ABF" w:rsidP="00DA6700">
      <w:pPr>
        <w:rPr>
          <w:rFonts w:ascii="Arial" w:hAnsi="Arial" w:cs="Arial"/>
          <w:iCs/>
          <w:sz w:val="24"/>
          <w:szCs w:val="24"/>
          <w:lang w:eastAsia="en-AU"/>
        </w:rPr>
      </w:pPr>
      <w:r w:rsidRPr="00AD3DAD">
        <w:rPr>
          <w:rFonts w:ascii="Arial" w:hAnsi="Arial" w:cs="Arial"/>
          <w:iCs/>
          <w:sz w:val="24"/>
          <w:szCs w:val="24"/>
          <w:lang w:eastAsia="en-AU"/>
        </w:rPr>
        <w:t>The provisions which allow the</w:t>
      </w:r>
      <w:r w:rsidR="00F46FC8" w:rsidRPr="00AD3DAD">
        <w:rPr>
          <w:rFonts w:ascii="Arial" w:hAnsi="Arial" w:cs="Arial"/>
          <w:iCs/>
          <w:sz w:val="24"/>
          <w:szCs w:val="24"/>
          <w:lang w:eastAsia="en-AU"/>
        </w:rPr>
        <w:t xml:space="preserve"> Housing</w:t>
      </w:r>
      <w:r w:rsidR="00F46FC8">
        <w:rPr>
          <w:rFonts w:ascii="Arial" w:hAnsi="Arial" w:cs="Arial"/>
          <w:iCs/>
          <w:sz w:val="24"/>
          <w:szCs w:val="24"/>
          <w:lang w:eastAsia="en-AU"/>
        </w:rPr>
        <w:t xml:space="preserve"> Commissioner to terminate the</w:t>
      </w:r>
      <w:r w:rsidRPr="00264F34">
        <w:rPr>
          <w:rFonts w:ascii="Arial" w:hAnsi="Arial" w:cs="Arial"/>
          <w:iCs/>
          <w:sz w:val="24"/>
          <w:szCs w:val="24"/>
          <w:lang w:eastAsia="en-AU"/>
        </w:rPr>
        <w:t xml:space="preserve"> tenancy </w:t>
      </w:r>
      <w:r w:rsidR="00F46FC8">
        <w:rPr>
          <w:rFonts w:ascii="Arial" w:hAnsi="Arial" w:cs="Arial"/>
          <w:iCs/>
          <w:sz w:val="24"/>
          <w:szCs w:val="24"/>
          <w:lang w:eastAsia="en-AU"/>
        </w:rPr>
        <w:t xml:space="preserve">upon </w:t>
      </w:r>
      <w:r w:rsidRPr="00264F34">
        <w:rPr>
          <w:rFonts w:ascii="Arial" w:hAnsi="Arial" w:cs="Arial"/>
          <w:iCs/>
          <w:sz w:val="24"/>
          <w:szCs w:val="24"/>
          <w:lang w:eastAsia="en-AU"/>
        </w:rPr>
        <w:t>withdraw</w:t>
      </w:r>
      <w:r w:rsidR="00F46FC8">
        <w:rPr>
          <w:rFonts w:ascii="Arial" w:hAnsi="Arial" w:cs="Arial"/>
          <w:iCs/>
          <w:sz w:val="24"/>
          <w:szCs w:val="24"/>
          <w:lang w:eastAsia="en-AU"/>
        </w:rPr>
        <w:t>ing</w:t>
      </w:r>
      <w:r w:rsidRPr="00264F34">
        <w:rPr>
          <w:rFonts w:ascii="Arial" w:hAnsi="Arial" w:cs="Arial"/>
          <w:iCs/>
          <w:sz w:val="24"/>
          <w:szCs w:val="24"/>
          <w:lang w:eastAsia="en-AU"/>
        </w:rPr>
        <w:t xml:space="preserve"> housing assistance </w:t>
      </w:r>
      <w:r w:rsidR="00D02F56">
        <w:rPr>
          <w:rFonts w:ascii="Arial" w:hAnsi="Arial" w:cs="Arial"/>
          <w:iCs/>
          <w:sz w:val="24"/>
          <w:szCs w:val="24"/>
          <w:lang w:eastAsia="en-AU"/>
        </w:rPr>
        <w:t xml:space="preserve">upon loss of eligibility </w:t>
      </w:r>
      <w:r w:rsidRPr="00264F34">
        <w:rPr>
          <w:rFonts w:ascii="Arial" w:hAnsi="Arial" w:cs="Arial"/>
          <w:iCs/>
          <w:sz w:val="24"/>
          <w:szCs w:val="24"/>
          <w:lang w:eastAsia="en-AU"/>
        </w:rPr>
        <w:t>or requir</w:t>
      </w:r>
      <w:r w:rsidR="00F46FC8">
        <w:rPr>
          <w:rFonts w:ascii="Arial" w:hAnsi="Arial" w:cs="Arial"/>
          <w:iCs/>
          <w:sz w:val="24"/>
          <w:szCs w:val="24"/>
          <w:lang w:eastAsia="en-AU"/>
        </w:rPr>
        <w:t>ing</w:t>
      </w:r>
      <w:r w:rsidRPr="00264F34">
        <w:rPr>
          <w:rFonts w:ascii="Arial" w:hAnsi="Arial" w:cs="Arial"/>
          <w:iCs/>
          <w:sz w:val="24"/>
          <w:szCs w:val="24"/>
          <w:lang w:eastAsia="en-AU"/>
        </w:rPr>
        <w:t xml:space="preserve"> a transfer, prevent the Housing Commissioner from issuing a NTV until </w:t>
      </w:r>
      <w:r w:rsidRPr="00264F34">
        <w:rPr>
          <w:rFonts w:ascii="Arial" w:hAnsi="Arial" w:cs="Arial"/>
          <w:i/>
          <w:sz w:val="24"/>
          <w:szCs w:val="24"/>
          <w:lang w:eastAsia="en-AU"/>
        </w:rPr>
        <w:t>after</w:t>
      </w:r>
      <w:r w:rsidRPr="00264F34">
        <w:rPr>
          <w:rFonts w:ascii="Arial" w:hAnsi="Arial" w:cs="Arial"/>
          <w:iCs/>
          <w:sz w:val="24"/>
          <w:szCs w:val="24"/>
          <w:lang w:eastAsia="en-AU"/>
        </w:rPr>
        <w:t xml:space="preserve"> any administrative review process available in connection with the decision to withdraw assistance or to require a transfer has been finalised. </w:t>
      </w:r>
    </w:p>
    <w:p w14:paraId="35272BDC" w14:textId="33E6658C" w:rsidR="00687ABF" w:rsidRDefault="00687ABF" w:rsidP="00DA6700">
      <w:pPr>
        <w:rPr>
          <w:rFonts w:ascii="Arial" w:hAnsi="Arial" w:cs="Arial"/>
          <w:iCs/>
          <w:sz w:val="24"/>
          <w:szCs w:val="24"/>
          <w:lang w:eastAsia="en-AU"/>
        </w:rPr>
      </w:pPr>
      <w:r w:rsidRPr="00264F34">
        <w:rPr>
          <w:rFonts w:ascii="Arial" w:hAnsi="Arial" w:cs="Arial"/>
          <w:iCs/>
          <w:sz w:val="24"/>
          <w:szCs w:val="24"/>
          <w:lang w:eastAsia="en-AU"/>
        </w:rPr>
        <w:t xml:space="preserve">This is a procedural safeguard which supports the tenant’s right to receive a fair hearing. </w:t>
      </w:r>
      <w:r w:rsidR="00F46FC8">
        <w:rPr>
          <w:rFonts w:ascii="Arial" w:hAnsi="Arial" w:cs="Arial"/>
          <w:iCs/>
          <w:sz w:val="24"/>
          <w:szCs w:val="24"/>
          <w:lang w:eastAsia="en-AU"/>
        </w:rPr>
        <w:t>T</w:t>
      </w:r>
      <w:r w:rsidRPr="00264F34">
        <w:rPr>
          <w:rFonts w:ascii="Arial" w:hAnsi="Arial" w:cs="Arial"/>
          <w:iCs/>
          <w:sz w:val="24"/>
          <w:szCs w:val="24"/>
          <w:lang w:eastAsia="en-AU"/>
        </w:rPr>
        <w:t xml:space="preserve">hese provisions also require the </w:t>
      </w:r>
      <w:r w:rsidR="00F1104C">
        <w:rPr>
          <w:rFonts w:ascii="Arial" w:hAnsi="Arial" w:cs="Arial"/>
          <w:iCs/>
          <w:sz w:val="24"/>
          <w:szCs w:val="24"/>
          <w:lang w:eastAsia="en-AU"/>
        </w:rPr>
        <w:t xml:space="preserve">Housing </w:t>
      </w:r>
      <w:r w:rsidRPr="00264F34">
        <w:rPr>
          <w:rFonts w:ascii="Arial" w:hAnsi="Arial" w:cs="Arial"/>
          <w:iCs/>
          <w:sz w:val="24"/>
          <w:szCs w:val="24"/>
          <w:lang w:eastAsia="en-AU"/>
        </w:rPr>
        <w:t xml:space="preserve">Commissioner to provide 26 </w:t>
      </w:r>
      <w:r w:rsidRPr="00264F34">
        <w:rPr>
          <w:rFonts w:ascii="Arial" w:hAnsi="Arial" w:cs="Arial"/>
          <w:iCs/>
          <w:sz w:val="24"/>
          <w:szCs w:val="24"/>
          <w:lang w:eastAsia="en-AU"/>
        </w:rPr>
        <w:lastRenderedPageBreak/>
        <w:t>weeks’ notice of the proposed termination date</w:t>
      </w:r>
      <w:r w:rsidR="00F46FC8">
        <w:rPr>
          <w:rFonts w:ascii="Arial" w:hAnsi="Arial" w:cs="Arial"/>
          <w:iCs/>
          <w:sz w:val="24"/>
          <w:szCs w:val="24"/>
          <w:lang w:eastAsia="en-AU"/>
        </w:rPr>
        <w:t>,</w:t>
      </w:r>
      <w:r w:rsidRPr="00264F34">
        <w:rPr>
          <w:rFonts w:ascii="Arial" w:hAnsi="Arial" w:cs="Arial"/>
          <w:iCs/>
          <w:sz w:val="24"/>
          <w:szCs w:val="24"/>
          <w:lang w:eastAsia="en-AU"/>
        </w:rPr>
        <w:t xml:space="preserve"> which gives the tenant time to prepare for a move and to source alternative accommodation (if required), thereby limiting any potential impacts on the right to privacy and home by providing an extended adjustment period to</w:t>
      </w:r>
      <w:r w:rsidR="00F46FC8">
        <w:rPr>
          <w:rFonts w:ascii="Arial" w:hAnsi="Arial" w:cs="Arial"/>
          <w:iCs/>
          <w:sz w:val="24"/>
          <w:szCs w:val="24"/>
          <w:lang w:eastAsia="en-AU"/>
        </w:rPr>
        <w:t xml:space="preserve"> the</w:t>
      </w:r>
      <w:r w:rsidRPr="00264F34">
        <w:rPr>
          <w:rFonts w:ascii="Arial" w:hAnsi="Arial" w:cs="Arial"/>
          <w:iCs/>
          <w:sz w:val="24"/>
          <w:szCs w:val="24"/>
          <w:lang w:eastAsia="en-AU"/>
        </w:rPr>
        <w:t xml:space="preserve"> tenant.</w:t>
      </w:r>
    </w:p>
    <w:p w14:paraId="28D27631" w14:textId="3B7983ED" w:rsidR="00D74797" w:rsidRPr="00264F34" w:rsidRDefault="00D74797" w:rsidP="00DA6700">
      <w:pPr>
        <w:rPr>
          <w:rFonts w:ascii="Arial" w:hAnsi="Arial" w:cs="Arial"/>
          <w:iCs/>
          <w:sz w:val="24"/>
          <w:szCs w:val="24"/>
          <w:lang w:eastAsia="en-AU"/>
        </w:rPr>
      </w:pPr>
      <w:r>
        <w:rPr>
          <w:rFonts w:ascii="Arial" w:hAnsi="Arial" w:cs="Arial"/>
          <w:iCs/>
          <w:sz w:val="24"/>
          <w:szCs w:val="24"/>
          <w:lang w:eastAsia="en-AU"/>
        </w:rPr>
        <w:t xml:space="preserve">The exception to the 26 week notice period is where a tenant has been issued an initial 26 week notice to vacate due to a failure to provide the information required to review their eligibility but has subsequently had that notice withdrawn on the basis </w:t>
      </w:r>
      <w:r w:rsidR="00B648E2">
        <w:rPr>
          <w:rFonts w:ascii="Arial" w:hAnsi="Arial" w:cs="Arial"/>
          <w:iCs/>
          <w:sz w:val="24"/>
          <w:szCs w:val="24"/>
          <w:lang w:eastAsia="en-AU"/>
        </w:rPr>
        <w:t xml:space="preserve">that </w:t>
      </w:r>
      <w:r>
        <w:rPr>
          <w:rFonts w:ascii="Arial" w:hAnsi="Arial" w:cs="Arial"/>
          <w:iCs/>
          <w:sz w:val="24"/>
          <w:szCs w:val="24"/>
          <w:lang w:eastAsia="en-AU"/>
        </w:rPr>
        <w:t xml:space="preserve">the tenant provided the required information during the NTV period.  Where a tenant is then assessed as ineligible for assistance (and has exhausted their appeal rights) the tenant can then be issued with a new NTV with a vacate date which is the </w:t>
      </w:r>
      <w:r w:rsidRPr="00480D5F">
        <w:rPr>
          <w:rFonts w:ascii="Arial" w:hAnsi="Arial" w:cs="Arial"/>
          <w:i/>
          <w:sz w:val="24"/>
          <w:szCs w:val="24"/>
          <w:lang w:eastAsia="en-AU"/>
        </w:rPr>
        <w:t>later of</w:t>
      </w:r>
      <w:r>
        <w:rPr>
          <w:rFonts w:ascii="Arial" w:hAnsi="Arial" w:cs="Arial"/>
          <w:iCs/>
          <w:sz w:val="24"/>
          <w:szCs w:val="24"/>
          <w:lang w:eastAsia="en-AU"/>
        </w:rPr>
        <w:t xml:space="preserve"> the original 26 week NTV or 12 weeks after the notice is issued. The reason this notice period is shorter is to avoid creating an incentive for tenants to delay providing the requested information in order to remain in the property for longer. </w:t>
      </w:r>
    </w:p>
    <w:p w14:paraId="3ACA7482" w14:textId="02C57082" w:rsidR="00687ABF" w:rsidRPr="00264F34" w:rsidRDefault="00687ABF" w:rsidP="00DA6700">
      <w:pPr>
        <w:rPr>
          <w:rFonts w:ascii="Arial" w:hAnsi="Arial" w:cs="Arial"/>
          <w:i/>
          <w:sz w:val="24"/>
          <w:szCs w:val="24"/>
          <w:lang w:eastAsia="en-AU"/>
        </w:rPr>
      </w:pPr>
      <w:r w:rsidRPr="00264F34">
        <w:rPr>
          <w:rFonts w:ascii="Arial" w:hAnsi="Arial" w:cs="Arial"/>
          <w:i/>
          <w:sz w:val="24"/>
          <w:szCs w:val="24"/>
          <w:lang w:eastAsia="en-AU"/>
        </w:rPr>
        <w:t>Termination where tenant has refused a transfer to an alternat</w:t>
      </w:r>
      <w:r w:rsidR="00D02F56">
        <w:rPr>
          <w:rFonts w:ascii="Arial" w:hAnsi="Arial" w:cs="Arial"/>
          <w:i/>
          <w:sz w:val="24"/>
          <w:szCs w:val="24"/>
          <w:lang w:eastAsia="en-AU"/>
        </w:rPr>
        <w:t>e</w:t>
      </w:r>
      <w:r w:rsidRPr="00264F34">
        <w:rPr>
          <w:rFonts w:ascii="Arial" w:hAnsi="Arial" w:cs="Arial"/>
          <w:i/>
          <w:sz w:val="24"/>
          <w:szCs w:val="24"/>
          <w:lang w:eastAsia="en-AU"/>
        </w:rPr>
        <w:t xml:space="preserve"> premises</w:t>
      </w:r>
    </w:p>
    <w:p w14:paraId="6305C3FB" w14:textId="779721F6" w:rsidR="00F46FC8" w:rsidRDefault="00687ABF" w:rsidP="00DA6700">
      <w:pPr>
        <w:rPr>
          <w:rFonts w:ascii="Arial" w:hAnsi="Arial" w:cs="Arial"/>
          <w:iCs/>
          <w:sz w:val="24"/>
          <w:szCs w:val="24"/>
          <w:lang w:eastAsia="en-AU"/>
        </w:rPr>
      </w:pPr>
      <w:r w:rsidRPr="00264F34">
        <w:rPr>
          <w:rFonts w:ascii="Arial" w:hAnsi="Arial" w:cs="Arial"/>
          <w:iCs/>
          <w:sz w:val="24"/>
          <w:szCs w:val="24"/>
          <w:lang w:eastAsia="en-AU"/>
        </w:rPr>
        <w:t>With respect to the provision which allows for termination where the tenant refuses to transfer to an alternative premises, a procedural safeguard has been incorporated which prevents the Housing Commissioner from issuing a NTV until the tenant has failed to accept or has actively refused the offer of moving to an alternat</w:t>
      </w:r>
      <w:r w:rsidR="00D02F56">
        <w:rPr>
          <w:rFonts w:ascii="Arial" w:hAnsi="Arial" w:cs="Arial"/>
          <w:iCs/>
          <w:sz w:val="24"/>
          <w:szCs w:val="24"/>
          <w:lang w:eastAsia="en-AU"/>
        </w:rPr>
        <w:t>e</w:t>
      </w:r>
      <w:r w:rsidRPr="00264F34">
        <w:rPr>
          <w:rFonts w:ascii="Arial" w:hAnsi="Arial" w:cs="Arial"/>
          <w:iCs/>
          <w:sz w:val="24"/>
          <w:szCs w:val="24"/>
          <w:lang w:eastAsia="en-AU"/>
        </w:rPr>
        <w:t xml:space="preserve"> premises.  This ensures the tenancy termination provision is only available to the Housing Commissioner in circumstances where the operation of the Program (that is, the transfer of tenants) is hindered by the tenant’s refusal of alternat</w:t>
      </w:r>
      <w:r w:rsidR="00D02F56">
        <w:rPr>
          <w:rFonts w:ascii="Arial" w:hAnsi="Arial" w:cs="Arial"/>
          <w:iCs/>
          <w:sz w:val="24"/>
          <w:szCs w:val="24"/>
          <w:lang w:eastAsia="en-AU"/>
        </w:rPr>
        <w:t>e</w:t>
      </w:r>
      <w:r w:rsidRPr="00264F34">
        <w:rPr>
          <w:rFonts w:ascii="Arial" w:hAnsi="Arial" w:cs="Arial"/>
          <w:iCs/>
          <w:sz w:val="24"/>
          <w:szCs w:val="24"/>
          <w:lang w:eastAsia="en-AU"/>
        </w:rPr>
        <w:t xml:space="preserve"> accommodation. </w:t>
      </w:r>
      <w:r w:rsidR="007F75AD">
        <w:rPr>
          <w:rFonts w:ascii="Arial" w:hAnsi="Arial" w:cs="Arial"/>
          <w:iCs/>
          <w:sz w:val="24"/>
          <w:szCs w:val="24"/>
          <w:lang w:eastAsia="en-AU"/>
        </w:rPr>
        <w:t xml:space="preserve">In addition, the provision requires that the offer that has been made, is made in accordance with the Program. The </w:t>
      </w:r>
      <w:r w:rsidR="00B648E2">
        <w:rPr>
          <w:rFonts w:ascii="Arial" w:hAnsi="Arial" w:cs="Arial"/>
          <w:iCs/>
          <w:sz w:val="24"/>
          <w:szCs w:val="24"/>
          <w:lang w:eastAsia="en-AU"/>
        </w:rPr>
        <w:t>P</w:t>
      </w:r>
      <w:r w:rsidR="007F75AD">
        <w:rPr>
          <w:rFonts w:ascii="Arial" w:hAnsi="Arial" w:cs="Arial"/>
          <w:iCs/>
          <w:sz w:val="24"/>
          <w:szCs w:val="24"/>
          <w:lang w:eastAsia="en-AU"/>
        </w:rPr>
        <w:t>rogram requires the Housing Commissioner to take into account the reasonable accommodation needs of the applica</w:t>
      </w:r>
      <w:r w:rsidR="003A4E6E">
        <w:rPr>
          <w:rFonts w:ascii="Arial" w:hAnsi="Arial" w:cs="Arial"/>
          <w:iCs/>
          <w:sz w:val="24"/>
          <w:szCs w:val="24"/>
          <w:lang w:eastAsia="en-AU"/>
        </w:rPr>
        <w:t>nt</w:t>
      </w:r>
      <w:r w:rsidR="007F75AD">
        <w:rPr>
          <w:rFonts w:ascii="Arial" w:hAnsi="Arial" w:cs="Arial"/>
          <w:iCs/>
          <w:sz w:val="24"/>
          <w:szCs w:val="24"/>
          <w:lang w:eastAsia="en-AU"/>
        </w:rPr>
        <w:t xml:space="preserve">, the preferences expressed by the applicant and whether the applicant has been identified as a special needs applicant with an entitlement to a special needs dwelling. This safeguard ensures that the offer made by the Housing Commissioner is appropriate to the tenant’s needs. </w:t>
      </w:r>
    </w:p>
    <w:p w14:paraId="03E4740D" w14:textId="39A279F9" w:rsidR="00687ABF" w:rsidRPr="00264F34" w:rsidRDefault="00687ABF" w:rsidP="00DA6700">
      <w:pPr>
        <w:rPr>
          <w:rFonts w:ascii="Arial" w:hAnsi="Arial" w:cs="Arial"/>
          <w:iCs/>
          <w:sz w:val="24"/>
          <w:szCs w:val="24"/>
          <w:lang w:eastAsia="en-AU"/>
        </w:rPr>
      </w:pPr>
      <w:r w:rsidRPr="00264F34">
        <w:rPr>
          <w:rFonts w:ascii="Arial" w:hAnsi="Arial" w:cs="Arial"/>
          <w:iCs/>
          <w:sz w:val="24"/>
          <w:szCs w:val="24"/>
          <w:lang w:eastAsia="en-AU"/>
        </w:rPr>
        <w:t>Further, the Housing Commissioner’s exercise of their rights under tenancy legislation in this circumstance (through the issue of a</w:t>
      </w:r>
      <w:r w:rsidR="00D02F56">
        <w:rPr>
          <w:rFonts w:ascii="Arial" w:hAnsi="Arial" w:cs="Arial"/>
          <w:iCs/>
          <w:sz w:val="24"/>
          <w:szCs w:val="24"/>
          <w:lang w:eastAsia="en-AU"/>
        </w:rPr>
        <w:t>n</w:t>
      </w:r>
      <w:r w:rsidRPr="00264F34">
        <w:rPr>
          <w:rFonts w:ascii="Arial" w:hAnsi="Arial" w:cs="Arial"/>
          <w:iCs/>
          <w:sz w:val="24"/>
          <w:szCs w:val="24"/>
          <w:lang w:eastAsia="en-AU"/>
        </w:rPr>
        <w:t xml:space="preserve"> </w:t>
      </w:r>
      <w:r w:rsidR="00C103DA">
        <w:rPr>
          <w:rFonts w:ascii="Arial" w:hAnsi="Arial" w:cs="Arial"/>
          <w:iCs/>
          <w:sz w:val="24"/>
          <w:szCs w:val="24"/>
          <w:lang w:eastAsia="en-AU"/>
        </w:rPr>
        <w:t>NTV</w:t>
      </w:r>
      <w:r w:rsidRPr="00264F34">
        <w:rPr>
          <w:rFonts w:ascii="Arial" w:hAnsi="Arial" w:cs="Arial"/>
          <w:iCs/>
          <w:sz w:val="24"/>
          <w:szCs w:val="24"/>
          <w:lang w:eastAsia="en-AU"/>
        </w:rPr>
        <w:t>) will not prevent the Housing Commissioner from exercising their discretion under the Program to make subsequent additional offers of alternat</w:t>
      </w:r>
      <w:r w:rsidR="00D02F56">
        <w:rPr>
          <w:rFonts w:ascii="Arial" w:hAnsi="Arial" w:cs="Arial"/>
          <w:iCs/>
          <w:sz w:val="24"/>
          <w:szCs w:val="24"/>
          <w:lang w:eastAsia="en-AU"/>
        </w:rPr>
        <w:t>e</w:t>
      </w:r>
      <w:r w:rsidRPr="00264F34">
        <w:rPr>
          <w:rFonts w:ascii="Arial" w:hAnsi="Arial" w:cs="Arial"/>
          <w:iCs/>
          <w:sz w:val="24"/>
          <w:szCs w:val="24"/>
          <w:lang w:eastAsia="en-AU"/>
        </w:rPr>
        <w:t xml:space="preserve"> accommodation to the tenant during the </w:t>
      </w:r>
      <w:r w:rsidR="00C103DA">
        <w:rPr>
          <w:rFonts w:ascii="Arial" w:hAnsi="Arial" w:cs="Arial"/>
          <w:iCs/>
          <w:sz w:val="24"/>
          <w:szCs w:val="24"/>
          <w:lang w:eastAsia="en-AU"/>
        </w:rPr>
        <w:t>NTV</w:t>
      </w:r>
      <w:r w:rsidRPr="00264F34">
        <w:rPr>
          <w:rFonts w:ascii="Arial" w:hAnsi="Arial" w:cs="Arial"/>
          <w:iCs/>
          <w:sz w:val="24"/>
          <w:szCs w:val="24"/>
          <w:lang w:eastAsia="en-AU"/>
        </w:rPr>
        <w:t xml:space="preserve"> period</w:t>
      </w:r>
      <w:r w:rsidR="00D02F56">
        <w:rPr>
          <w:rFonts w:ascii="Arial" w:hAnsi="Arial" w:cs="Arial"/>
          <w:iCs/>
          <w:sz w:val="24"/>
          <w:szCs w:val="24"/>
          <w:lang w:eastAsia="en-AU"/>
        </w:rPr>
        <w:t>,</w:t>
      </w:r>
      <w:r w:rsidRPr="00264F34">
        <w:rPr>
          <w:rFonts w:ascii="Arial" w:hAnsi="Arial" w:cs="Arial"/>
          <w:iCs/>
          <w:sz w:val="24"/>
          <w:szCs w:val="24"/>
          <w:lang w:eastAsia="en-AU"/>
        </w:rPr>
        <w:t xml:space="preserve"> should the Housing Commissioner choose to do so. This will allow the Housing Commissioner to continue to offer housing assistance to the tenant (in the form of an alternat</w:t>
      </w:r>
      <w:r w:rsidR="00D02F56">
        <w:rPr>
          <w:rFonts w:ascii="Arial" w:hAnsi="Arial" w:cs="Arial"/>
          <w:iCs/>
          <w:sz w:val="24"/>
          <w:szCs w:val="24"/>
          <w:lang w:eastAsia="en-AU"/>
        </w:rPr>
        <w:t>e</w:t>
      </w:r>
      <w:r w:rsidRPr="00264F34">
        <w:rPr>
          <w:rFonts w:ascii="Arial" w:hAnsi="Arial" w:cs="Arial"/>
          <w:iCs/>
          <w:sz w:val="24"/>
          <w:szCs w:val="24"/>
          <w:lang w:eastAsia="en-AU"/>
        </w:rPr>
        <w:t xml:space="preserve"> premises) where it is appropriate to do so. </w:t>
      </w:r>
      <w:r w:rsidR="00F46FC8">
        <w:rPr>
          <w:rFonts w:ascii="Arial" w:hAnsi="Arial" w:cs="Arial"/>
          <w:iCs/>
          <w:sz w:val="24"/>
          <w:szCs w:val="24"/>
          <w:lang w:eastAsia="en-AU"/>
        </w:rPr>
        <w:t>I</w:t>
      </w:r>
      <w:r w:rsidRPr="00264F34">
        <w:rPr>
          <w:rFonts w:ascii="Arial" w:hAnsi="Arial" w:cs="Arial"/>
          <w:iCs/>
          <w:sz w:val="24"/>
          <w:szCs w:val="24"/>
          <w:lang w:eastAsia="en-AU"/>
        </w:rPr>
        <w:t>f the tenant refuses a tenancy transfer, the Housing Commissioner will be empowered to end the tenancy and recover possession of the premises so that the premises may be used to further the aims of the Program</w:t>
      </w:r>
      <w:r w:rsidR="003A4E6E">
        <w:rPr>
          <w:rFonts w:ascii="Arial" w:hAnsi="Arial" w:cs="Arial"/>
          <w:iCs/>
          <w:sz w:val="24"/>
          <w:szCs w:val="24"/>
          <w:lang w:eastAsia="en-AU"/>
        </w:rPr>
        <w:t>.</w:t>
      </w:r>
      <w:r w:rsidR="00F82F3E">
        <w:rPr>
          <w:rFonts w:ascii="Arial" w:hAnsi="Arial" w:cs="Arial"/>
          <w:iCs/>
          <w:sz w:val="24"/>
          <w:szCs w:val="24"/>
          <w:lang w:eastAsia="en-AU"/>
        </w:rPr>
        <w:t xml:space="preserve"> </w:t>
      </w:r>
      <w:r w:rsidR="003A4E6E">
        <w:rPr>
          <w:rFonts w:ascii="Arial" w:hAnsi="Arial" w:cs="Arial"/>
          <w:iCs/>
          <w:sz w:val="24"/>
          <w:szCs w:val="24"/>
          <w:lang w:eastAsia="en-AU"/>
        </w:rPr>
        <w:t xml:space="preserve">This </w:t>
      </w:r>
      <w:r w:rsidR="00F82F3E">
        <w:rPr>
          <w:rFonts w:ascii="Arial" w:hAnsi="Arial" w:cs="Arial"/>
          <w:iCs/>
          <w:sz w:val="24"/>
          <w:szCs w:val="24"/>
          <w:lang w:eastAsia="en-AU"/>
        </w:rPr>
        <w:t>support</w:t>
      </w:r>
      <w:r w:rsidR="003A4E6E">
        <w:rPr>
          <w:rFonts w:ascii="Arial" w:hAnsi="Arial" w:cs="Arial"/>
          <w:iCs/>
          <w:sz w:val="24"/>
          <w:szCs w:val="24"/>
          <w:lang w:eastAsia="en-AU"/>
        </w:rPr>
        <w:t>s</w:t>
      </w:r>
      <w:r w:rsidR="00F82F3E">
        <w:rPr>
          <w:rFonts w:ascii="Arial" w:hAnsi="Arial" w:cs="Arial"/>
          <w:iCs/>
          <w:sz w:val="24"/>
          <w:szCs w:val="24"/>
          <w:lang w:eastAsia="en-AU"/>
        </w:rPr>
        <w:t xml:space="preserve"> the operation of the Program </w:t>
      </w:r>
      <w:r w:rsidR="00D70AAD">
        <w:rPr>
          <w:rFonts w:ascii="Arial" w:hAnsi="Arial" w:cs="Arial"/>
          <w:iCs/>
          <w:sz w:val="24"/>
          <w:szCs w:val="24"/>
        </w:rPr>
        <w:t xml:space="preserve">to address inequality of access to housing and </w:t>
      </w:r>
      <w:r w:rsidR="00417ECD">
        <w:rPr>
          <w:rFonts w:ascii="Arial" w:hAnsi="Arial" w:cs="Arial"/>
          <w:iCs/>
          <w:sz w:val="24"/>
          <w:szCs w:val="24"/>
        </w:rPr>
        <w:t>provide</w:t>
      </w:r>
      <w:r w:rsidR="00D70AAD">
        <w:rPr>
          <w:rFonts w:ascii="Arial" w:hAnsi="Arial" w:cs="Arial"/>
          <w:iCs/>
          <w:sz w:val="24"/>
          <w:szCs w:val="24"/>
        </w:rPr>
        <w:t xml:space="preserve"> access to housing for those most in need</w:t>
      </w:r>
      <w:r w:rsidR="00D70AAD" w:rsidRPr="00264F34">
        <w:rPr>
          <w:rFonts w:ascii="Arial" w:hAnsi="Arial" w:cs="Arial"/>
          <w:iCs/>
          <w:sz w:val="24"/>
          <w:szCs w:val="24"/>
        </w:rPr>
        <w:t>.</w:t>
      </w:r>
    </w:p>
    <w:p w14:paraId="6E44BB83" w14:textId="637338B9" w:rsidR="00687ABF" w:rsidRPr="00264F34" w:rsidRDefault="00687ABF" w:rsidP="00AD3DAD">
      <w:pPr>
        <w:keepNext/>
        <w:rPr>
          <w:rFonts w:ascii="Arial" w:hAnsi="Arial" w:cs="Arial"/>
          <w:i/>
          <w:sz w:val="24"/>
          <w:szCs w:val="24"/>
          <w:lang w:eastAsia="en-AU"/>
        </w:rPr>
      </w:pPr>
      <w:r w:rsidRPr="00264F34">
        <w:rPr>
          <w:rFonts w:ascii="Arial" w:hAnsi="Arial" w:cs="Arial"/>
          <w:i/>
          <w:sz w:val="24"/>
          <w:szCs w:val="24"/>
          <w:lang w:eastAsia="en-AU"/>
        </w:rPr>
        <w:lastRenderedPageBreak/>
        <w:t xml:space="preserve">Termination of the original tenancy </w:t>
      </w:r>
      <w:r w:rsidR="00D02F56">
        <w:rPr>
          <w:rFonts w:ascii="Arial" w:hAnsi="Arial" w:cs="Arial"/>
          <w:i/>
          <w:sz w:val="24"/>
          <w:szCs w:val="24"/>
          <w:lang w:eastAsia="en-AU"/>
        </w:rPr>
        <w:t>where a tenant is a party to two tenancies</w:t>
      </w:r>
    </w:p>
    <w:p w14:paraId="2379416C" w14:textId="27EFAD66" w:rsidR="00442201" w:rsidRDefault="00687ABF" w:rsidP="00AD3DAD">
      <w:pPr>
        <w:keepNext/>
        <w:rPr>
          <w:rFonts w:ascii="Arial" w:hAnsi="Arial" w:cs="Arial"/>
          <w:iCs/>
          <w:sz w:val="24"/>
          <w:szCs w:val="24"/>
          <w:lang w:eastAsia="en-AU"/>
        </w:rPr>
      </w:pPr>
      <w:r w:rsidRPr="00264F34">
        <w:rPr>
          <w:rFonts w:ascii="Arial" w:hAnsi="Arial" w:cs="Arial"/>
          <w:iCs/>
          <w:sz w:val="24"/>
          <w:szCs w:val="24"/>
          <w:lang w:eastAsia="en-AU"/>
        </w:rPr>
        <w:t xml:space="preserve">The termination provision which allows the </w:t>
      </w:r>
      <w:r w:rsidR="00F1104C">
        <w:rPr>
          <w:rFonts w:ascii="Arial" w:hAnsi="Arial" w:cs="Arial"/>
          <w:iCs/>
          <w:sz w:val="24"/>
          <w:szCs w:val="24"/>
          <w:lang w:eastAsia="en-AU"/>
        </w:rPr>
        <w:t xml:space="preserve">Housing </w:t>
      </w:r>
      <w:r w:rsidRPr="00264F34">
        <w:rPr>
          <w:rFonts w:ascii="Arial" w:hAnsi="Arial" w:cs="Arial"/>
          <w:iCs/>
          <w:sz w:val="24"/>
          <w:szCs w:val="24"/>
          <w:lang w:eastAsia="en-AU"/>
        </w:rPr>
        <w:t xml:space="preserve">Commissioner to terminate a tenancy where the tenant holds two tenancies simultaneously contains a procedural safeguard which prevents the </w:t>
      </w:r>
      <w:r w:rsidR="00F1104C">
        <w:rPr>
          <w:rFonts w:ascii="Arial" w:hAnsi="Arial" w:cs="Arial"/>
          <w:iCs/>
          <w:sz w:val="24"/>
          <w:szCs w:val="24"/>
          <w:lang w:eastAsia="en-AU"/>
        </w:rPr>
        <w:t xml:space="preserve">Housing </w:t>
      </w:r>
      <w:r w:rsidRPr="00264F34">
        <w:rPr>
          <w:rFonts w:ascii="Arial" w:hAnsi="Arial" w:cs="Arial"/>
          <w:iCs/>
          <w:sz w:val="24"/>
          <w:szCs w:val="24"/>
          <w:lang w:eastAsia="en-AU"/>
        </w:rPr>
        <w:t xml:space="preserve">Commissioner from issuing the NTV for the original tenancy until </w:t>
      </w:r>
      <w:r w:rsidRPr="00264F34">
        <w:rPr>
          <w:rFonts w:ascii="Arial" w:hAnsi="Arial" w:cs="Arial"/>
          <w:i/>
          <w:sz w:val="24"/>
          <w:szCs w:val="24"/>
          <w:lang w:eastAsia="en-AU"/>
        </w:rPr>
        <w:t>after</w:t>
      </w:r>
      <w:r w:rsidRPr="00264F34">
        <w:rPr>
          <w:rFonts w:ascii="Arial" w:hAnsi="Arial" w:cs="Arial"/>
          <w:iCs/>
          <w:sz w:val="24"/>
          <w:szCs w:val="24"/>
          <w:lang w:eastAsia="en-AU"/>
        </w:rPr>
        <w:t xml:space="preserve"> the </w:t>
      </w:r>
      <w:r w:rsidR="007F75AD">
        <w:rPr>
          <w:rFonts w:ascii="Arial" w:hAnsi="Arial" w:cs="Arial"/>
          <w:iCs/>
          <w:sz w:val="24"/>
          <w:szCs w:val="24"/>
          <w:lang w:eastAsia="en-AU"/>
        </w:rPr>
        <w:t xml:space="preserve">commencement of the </w:t>
      </w:r>
      <w:r w:rsidRPr="00264F34">
        <w:rPr>
          <w:rFonts w:ascii="Arial" w:hAnsi="Arial" w:cs="Arial"/>
          <w:iCs/>
          <w:sz w:val="24"/>
          <w:szCs w:val="24"/>
          <w:lang w:eastAsia="en-AU"/>
        </w:rPr>
        <w:t>tenan</w:t>
      </w:r>
      <w:r w:rsidR="007F75AD">
        <w:rPr>
          <w:rFonts w:ascii="Arial" w:hAnsi="Arial" w:cs="Arial"/>
          <w:iCs/>
          <w:sz w:val="24"/>
          <w:szCs w:val="24"/>
          <w:lang w:eastAsia="en-AU"/>
        </w:rPr>
        <w:t>cy</w:t>
      </w:r>
      <w:r w:rsidRPr="00264F34">
        <w:rPr>
          <w:rFonts w:ascii="Arial" w:hAnsi="Arial" w:cs="Arial"/>
          <w:iCs/>
          <w:sz w:val="24"/>
          <w:szCs w:val="24"/>
          <w:lang w:eastAsia="en-AU"/>
        </w:rPr>
        <w:t xml:space="preserve"> </w:t>
      </w:r>
      <w:r w:rsidR="007F75AD">
        <w:rPr>
          <w:rFonts w:ascii="Arial" w:hAnsi="Arial" w:cs="Arial"/>
          <w:iCs/>
          <w:sz w:val="24"/>
          <w:szCs w:val="24"/>
          <w:lang w:eastAsia="en-AU"/>
        </w:rPr>
        <w:t>for</w:t>
      </w:r>
      <w:r w:rsidRPr="00264F34">
        <w:rPr>
          <w:rFonts w:ascii="Arial" w:hAnsi="Arial" w:cs="Arial"/>
          <w:iCs/>
          <w:sz w:val="24"/>
          <w:szCs w:val="24"/>
          <w:lang w:eastAsia="en-AU"/>
        </w:rPr>
        <w:t xml:space="preserve"> the second premises. This safeguard ensures that this termination provision can only be utilised when the tenant is in a second property</w:t>
      </w:r>
      <w:r w:rsidR="00417ECD">
        <w:rPr>
          <w:rFonts w:ascii="Arial" w:hAnsi="Arial" w:cs="Arial"/>
          <w:iCs/>
          <w:sz w:val="24"/>
          <w:szCs w:val="24"/>
          <w:lang w:eastAsia="en-AU"/>
        </w:rPr>
        <w:t>. The provision of</w:t>
      </w:r>
      <w:r w:rsidRPr="00264F34">
        <w:rPr>
          <w:rFonts w:ascii="Arial" w:hAnsi="Arial" w:cs="Arial"/>
          <w:iCs/>
          <w:sz w:val="24"/>
          <w:szCs w:val="24"/>
          <w:lang w:eastAsia="en-AU"/>
        </w:rPr>
        <w:t xml:space="preserve"> a</w:t>
      </w:r>
      <w:r w:rsidR="007F75AD">
        <w:rPr>
          <w:rFonts w:ascii="Arial" w:hAnsi="Arial" w:cs="Arial"/>
          <w:iCs/>
          <w:sz w:val="24"/>
          <w:szCs w:val="24"/>
          <w:lang w:eastAsia="en-AU"/>
        </w:rPr>
        <w:t>t least</w:t>
      </w:r>
      <w:r w:rsidRPr="00264F34">
        <w:rPr>
          <w:rFonts w:ascii="Arial" w:hAnsi="Arial" w:cs="Arial"/>
          <w:iCs/>
          <w:sz w:val="24"/>
          <w:szCs w:val="24"/>
          <w:lang w:eastAsia="en-AU"/>
        </w:rPr>
        <w:t xml:space="preserve"> 1 week</w:t>
      </w:r>
      <w:r w:rsidR="00417ECD">
        <w:rPr>
          <w:rFonts w:ascii="Arial" w:hAnsi="Arial" w:cs="Arial"/>
          <w:iCs/>
          <w:sz w:val="24"/>
          <w:szCs w:val="24"/>
          <w:lang w:eastAsia="en-AU"/>
        </w:rPr>
        <w:t xml:space="preserve">’s </w:t>
      </w:r>
      <w:r w:rsidRPr="00264F34">
        <w:rPr>
          <w:rFonts w:ascii="Arial" w:hAnsi="Arial" w:cs="Arial"/>
          <w:iCs/>
          <w:sz w:val="24"/>
          <w:szCs w:val="24"/>
          <w:lang w:eastAsia="en-AU"/>
        </w:rPr>
        <w:t xml:space="preserve">overlap between tenancies </w:t>
      </w:r>
      <w:r w:rsidR="00417ECD">
        <w:rPr>
          <w:rFonts w:ascii="Arial" w:hAnsi="Arial" w:cs="Arial"/>
          <w:iCs/>
          <w:sz w:val="24"/>
          <w:szCs w:val="24"/>
          <w:lang w:eastAsia="en-AU"/>
        </w:rPr>
        <w:t>will</w:t>
      </w:r>
      <w:r w:rsidRPr="00264F34">
        <w:rPr>
          <w:rFonts w:ascii="Arial" w:hAnsi="Arial" w:cs="Arial"/>
          <w:iCs/>
          <w:sz w:val="24"/>
          <w:szCs w:val="24"/>
          <w:lang w:eastAsia="en-AU"/>
        </w:rPr>
        <w:t xml:space="preserve"> support the tenant to undertake the move between premises. </w:t>
      </w:r>
    </w:p>
    <w:p w14:paraId="5DDA718C" w14:textId="2CD9CB05" w:rsidR="00687ABF" w:rsidRPr="00264F34" w:rsidRDefault="00687ABF" w:rsidP="00DA6700">
      <w:pPr>
        <w:rPr>
          <w:rFonts w:ascii="Arial" w:hAnsi="Arial" w:cs="Arial"/>
          <w:iCs/>
          <w:sz w:val="24"/>
          <w:szCs w:val="24"/>
          <w:lang w:eastAsia="en-AU"/>
        </w:rPr>
      </w:pPr>
      <w:r w:rsidRPr="00264F34">
        <w:rPr>
          <w:rFonts w:ascii="Arial" w:hAnsi="Arial" w:cs="Arial"/>
          <w:iCs/>
          <w:sz w:val="24"/>
          <w:szCs w:val="24"/>
          <w:lang w:eastAsia="en-AU"/>
        </w:rPr>
        <w:t>Further, the provision is crafted so that a notice period of longer than 1 week can be provided where appropriate. Th</w:t>
      </w:r>
      <w:r w:rsidR="00417ECD">
        <w:rPr>
          <w:rFonts w:ascii="Arial" w:hAnsi="Arial" w:cs="Arial"/>
          <w:iCs/>
          <w:sz w:val="24"/>
          <w:szCs w:val="24"/>
          <w:lang w:eastAsia="en-AU"/>
        </w:rPr>
        <w:t>e</w:t>
      </w:r>
      <w:r w:rsidRPr="00264F34">
        <w:rPr>
          <w:rFonts w:ascii="Arial" w:hAnsi="Arial" w:cs="Arial"/>
          <w:iCs/>
          <w:sz w:val="24"/>
          <w:szCs w:val="24"/>
          <w:lang w:eastAsia="en-AU"/>
        </w:rPr>
        <w:t xml:space="preserve"> provision thereby balances the individual’s need to have a secure home and a period in which to relocate</w:t>
      </w:r>
      <w:r w:rsidR="00442201">
        <w:rPr>
          <w:rFonts w:ascii="Arial" w:hAnsi="Arial" w:cs="Arial"/>
          <w:iCs/>
          <w:sz w:val="24"/>
          <w:szCs w:val="24"/>
          <w:lang w:eastAsia="en-AU"/>
        </w:rPr>
        <w:t>,</w:t>
      </w:r>
      <w:r w:rsidRPr="00264F34">
        <w:rPr>
          <w:rFonts w:ascii="Arial" w:hAnsi="Arial" w:cs="Arial"/>
          <w:iCs/>
          <w:sz w:val="24"/>
          <w:szCs w:val="24"/>
          <w:lang w:eastAsia="en-AU"/>
        </w:rPr>
        <w:t xml:space="preserve"> with the </w:t>
      </w:r>
      <w:r w:rsidR="00F1104C">
        <w:rPr>
          <w:rFonts w:ascii="Arial" w:hAnsi="Arial" w:cs="Arial"/>
          <w:iCs/>
          <w:sz w:val="24"/>
          <w:szCs w:val="24"/>
          <w:lang w:eastAsia="en-AU"/>
        </w:rPr>
        <w:t xml:space="preserve">Housing </w:t>
      </w:r>
      <w:r w:rsidRPr="00264F34">
        <w:rPr>
          <w:rFonts w:ascii="Arial" w:hAnsi="Arial" w:cs="Arial"/>
          <w:iCs/>
          <w:sz w:val="24"/>
          <w:szCs w:val="24"/>
          <w:lang w:eastAsia="en-AU"/>
        </w:rPr>
        <w:t xml:space="preserve">Commissioner’s need to recover the use of a property that could then be sold, repaired, redeveloped or made available to another person on the </w:t>
      </w:r>
      <w:r w:rsidR="00F7433E">
        <w:rPr>
          <w:rFonts w:ascii="Arial" w:hAnsi="Arial" w:cs="Arial"/>
          <w:iCs/>
          <w:sz w:val="24"/>
          <w:szCs w:val="24"/>
          <w:lang w:eastAsia="en-AU"/>
        </w:rPr>
        <w:t>public</w:t>
      </w:r>
      <w:r w:rsidR="00F7433E" w:rsidRPr="00264F34">
        <w:rPr>
          <w:rFonts w:ascii="Arial" w:hAnsi="Arial" w:cs="Arial"/>
          <w:iCs/>
          <w:sz w:val="24"/>
          <w:szCs w:val="24"/>
          <w:lang w:eastAsia="en-AU"/>
        </w:rPr>
        <w:t xml:space="preserve"> </w:t>
      </w:r>
      <w:r w:rsidRPr="00264F34">
        <w:rPr>
          <w:rFonts w:ascii="Arial" w:hAnsi="Arial" w:cs="Arial"/>
          <w:iCs/>
          <w:sz w:val="24"/>
          <w:szCs w:val="24"/>
          <w:lang w:eastAsia="en-AU"/>
        </w:rPr>
        <w:t xml:space="preserve">housing list in furtherance of the goals of the </w:t>
      </w:r>
      <w:r w:rsidR="00F1104C">
        <w:rPr>
          <w:rFonts w:ascii="Arial" w:hAnsi="Arial" w:cs="Arial"/>
          <w:iCs/>
          <w:sz w:val="24"/>
          <w:szCs w:val="24"/>
          <w:lang w:eastAsia="en-AU"/>
        </w:rPr>
        <w:t>P</w:t>
      </w:r>
      <w:r w:rsidRPr="00264F34">
        <w:rPr>
          <w:rFonts w:ascii="Arial" w:hAnsi="Arial" w:cs="Arial"/>
          <w:iCs/>
          <w:sz w:val="24"/>
          <w:szCs w:val="24"/>
          <w:lang w:eastAsia="en-AU"/>
        </w:rPr>
        <w:t xml:space="preserve">rogram.  </w:t>
      </w:r>
    </w:p>
    <w:p w14:paraId="2042E380" w14:textId="61030E48" w:rsidR="00687ABF" w:rsidRPr="00264F34" w:rsidRDefault="00687ABF" w:rsidP="00DA6700">
      <w:pPr>
        <w:rPr>
          <w:rFonts w:ascii="Arial" w:hAnsi="Arial" w:cs="Arial"/>
          <w:i/>
          <w:sz w:val="24"/>
          <w:szCs w:val="24"/>
        </w:rPr>
      </w:pPr>
      <w:r w:rsidRPr="00264F34">
        <w:rPr>
          <w:rFonts w:ascii="Arial" w:hAnsi="Arial" w:cs="Arial"/>
          <w:i/>
          <w:sz w:val="24"/>
          <w:szCs w:val="24"/>
        </w:rPr>
        <w:t xml:space="preserve">Termination </w:t>
      </w:r>
      <w:r w:rsidR="007F75AD">
        <w:rPr>
          <w:rFonts w:ascii="Arial" w:hAnsi="Arial" w:cs="Arial"/>
          <w:i/>
          <w:sz w:val="24"/>
          <w:szCs w:val="24"/>
        </w:rPr>
        <w:t xml:space="preserve">if </w:t>
      </w:r>
      <w:r w:rsidR="00417ECD">
        <w:rPr>
          <w:rFonts w:ascii="Arial" w:hAnsi="Arial" w:cs="Arial"/>
          <w:i/>
          <w:sz w:val="24"/>
          <w:szCs w:val="24"/>
        </w:rPr>
        <w:t>H</w:t>
      </w:r>
      <w:r w:rsidR="007F75AD">
        <w:rPr>
          <w:rFonts w:ascii="Arial" w:hAnsi="Arial" w:cs="Arial"/>
          <w:i/>
          <w:sz w:val="24"/>
          <w:szCs w:val="24"/>
        </w:rPr>
        <w:t xml:space="preserve">ousing </w:t>
      </w:r>
      <w:r w:rsidR="00417ECD">
        <w:rPr>
          <w:rFonts w:ascii="Arial" w:hAnsi="Arial" w:cs="Arial"/>
          <w:i/>
          <w:sz w:val="24"/>
          <w:szCs w:val="24"/>
        </w:rPr>
        <w:t>C</w:t>
      </w:r>
      <w:r w:rsidR="007F75AD">
        <w:rPr>
          <w:rFonts w:ascii="Arial" w:hAnsi="Arial" w:cs="Arial"/>
          <w:i/>
          <w:sz w:val="24"/>
          <w:szCs w:val="24"/>
        </w:rPr>
        <w:t>ommissioner decide</w:t>
      </w:r>
      <w:r w:rsidR="00417ECD">
        <w:rPr>
          <w:rFonts w:ascii="Arial" w:hAnsi="Arial" w:cs="Arial"/>
          <w:i/>
          <w:sz w:val="24"/>
          <w:szCs w:val="24"/>
        </w:rPr>
        <w:t>s</w:t>
      </w:r>
      <w:r w:rsidR="007F75AD">
        <w:rPr>
          <w:rFonts w:ascii="Arial" w:hAnsi="Arial" w:cs="Arial"/>
          <w:i/>
          <w:sz w:val="24"/>
          <w:szCs w:val="24"/>
        </w:rPr>
        <w:t xml:space="preserve"> tenant not eligible for ongoing assistance</w:t>
      </w:r>
    </w:p>
    <w:p w14:paraId="411E5E98" w14:textId="7C22B1B6" w:rsidR="00687ABF" w:rsidRPr="00264F34" w:rsidRDefault="007F75AD" w:rsidP="00DA6700">
      <w:pPr>
        <w:rPr>
          <w:rFonts w:ascii="Arial" w:hAnsi="Arial" w:cs="Arial"/>
          <w:iCs/>
          <w:sz w:val="24"/>
          <w:szCs w:val="24"/>
        </w:rPr>
      </w:pPr>
      <w:r>
        <w:rPr>
          <w:rFonts w:ascii="Arial" w:hAnsi="Arial" w:cs="Arial"/>
          <w:iCs/>
          <w:sz w:val="24"/>
          <w:szCs w:val="24"/>
        </w:rPr>
        <w:t xml:space="preserve">This provision only applies in limited circumstances where a remaining resident has been offered a temporary period of housing assistance where </w:t>
      </w:r>
      <w:r w:rsidR="001E6026">
        <w:rPr>
          <w:rFonts w:ascii="Arial" w:hAnsi="Arial" w:cs="Arial"/>
          <w:iCs/>
          <w:sz w:val="24"/>
          <w:szCs w:val="24"/>
        </w:rPr>
        <w:t xml:space="preserve">there has been a tenancy break down. </w:t>
      </w:r>
      <w:r w:rsidR="00687ABF" w:rsidRPr="00264F34">
        <w:rPr>
          <w:rFonts w:ascii="Arial" w:hAnsi="Arial" w:cs="Arial"/>
          <w:iCs/>
          <w:sz w:val="24"/>
          <w:szCs w:val="24"/>
        </w:rPr>
        <w:t>The termination of a tenancy on the grounds</w:t>
      </w:r>
      <w:r w:rsidR="00442201">
        <w:rPr>
          <w:rFonts w:ascii="Arial" w:hAnsi="Arial" w:cs="Arial"/>
          <w:iCs/>
          <w:sz w:val="24"/>
          <w:szCs w:val="24"/>
        </w:rPr>
        <w:t xml:space="preserve"> that</w:t>
      </w:r>
      <w:r w:rsidR="00687ABF" w:rsidRPr="00264F34">
        <w:rPr>
          <w:rFonts w:ascii="Arial" w:hAnsi="Arial" w:cs="Arial"/>
          <w:iCs/>
          <w:sz w:val="24"/>
          <w:szCs w:val="24"/>
        </w:rPr>
        <w:t xml:space="preserve"> </w:t>
      </w:r>
      <w:r w:rsidR="00417ECD">
        <w:rPr>
          <w:rFonts w:ascii="Arial" w:hAnsi="Arial" w:cs="Arial"/>
          <w:iCs/>
          <w:sz w:val="24"/>
          <w:szCs w:val="24"/>
        </w:rPr>
        <w:t>the</w:t>
      </w:r>
      <w:r w:rsidR="00687ABF" w:rsidRPr="00264F34">
        <w:rPr>
          <w:rFonts w:ascii="Arial" w:hAnsi="Arial" w:cs="Arial"/>
          <w:iCs/>
          <w:sz w:val="24"/>
          <w:szCs w:val="24"/>
        </w:rPr>
        <w:t xml:space="preserve"> temporary period of housing assistance has ended </w:t>
      </w:r>
      <w:r>
        <w:rPr>
          <w:rFonts w:ascii="Arial" w:hAnsi="Arial" w:cs="Arial"/>
          <w:iCs/>
          <w:sz w:val="24"/>
          <w:szCs w:val="24"/>
        </w:rPr>
        <w:t xml:space="preserve">and the tenant is not eligible to remain in the property </w:t>
      </w:r>
      <w:r w:rsidR="005D5DF6">
        <w:rPr>
          <w:rFonts w:ascii="Arial" w:hAnsi="Arial" w:cs="Arial"/>
          <w:iCs/>
          <w:sz w:val="24"/>
          <w:szCs w:val="24"/>
        </w:rPr>
        <w:t xml:space="preserve">will not be available in all </w:t>
      </w:r>
      <w:r w:rsidR="00F7433E">
        <w:rPr>
          <w:rFonts w:ascii="Arial" w:hAnsi="Arial" w:cs="Arial"/>
          <w:iCs/>
          <w:sz w:val="24"/>
          <w:szCs w:val="24"/>
        </w:rPr>
        <w:t xml:space="preserve">public </w:t>
      </w:r>
      <w:r w:rsidR="005D5DF6">
        <w:rPr>
          <w:rFonts w:ascii="Arial" w:hAnsi="Arial" w:cs="Arial"/>
          <w:iCs/>
          <w:sz w:val="24"/>
          <w:szCs w:val="24"/>
        </w:rPr>
        <w:t>housing tenancies</w:t>
      </w:r>
      <w:r w:rsidR="00417ECD">
        <w:rPr>
          <w:rFonts w:ascii="Arial" w:hAnsi="Arial" w:cs="Arial"/>
          <w:iCs/>
          <w:sz w:val="24"/>
          <w:szCs w:val="24"/>
        </w:rPr>
        <w:t>. I</w:t>
      </w:r>
      <w:r w:rsidR="005D5DF6">
        <w:rPr>
          <w:rFonts w:ascii="Arial" w:hAnsi="Arial" w:cs="Arial"/>
          <w:iCs/>
          <w:sz w:val="24"/>
          <w:szCs w:val="24"/>
        </w:rPr>
        <w:t>t can only be used by the Housing Commissioner in circumstances where the Housing Commissioner has indicated they are providing temporary housing assistance</w:t>
      </w:r>
      <w:r w:rsidR="00687ABF" w:rsidRPr="00264F34">
        <w:rPr>
          <w:rFonts w:ascii="Arial" w:hAnsi="Arial" w:cs="Arial"/>
          <w:iCs/>
          <w:sz w:val="24"/>
          <w:szCs w:val="24"/>
        </w:rPr>
        <w:t>. Th</w:t>
      </w:r>
      <w:r w:rsidR="00417ECD">
        <w:rPr>
          <w:rFonts w:ascii="Arial" w:hAnsi="Arial" w:cs="Arial"/>
          <w:iCs/>
          <w:sz w:val="24"/>
          <w:szCs w:val="24"/>
        </w:rPr>
        <w:t>e</w:t>
      </w:r>
      <w:r w:rsidR="00687ABF" w:rsidRPr="00264F34">
        <w:rPr>
          <w:rFonts w:ascii="Arial" w:hAnsi="Arial" w:cs="Arial"/>
          <w:iCs/>
          <w:sz w:val="24"/>
          <w:szCs w:val="24"/>
        </w:rPr>
        <w:t xml:space="preserve"> provision also requires </w:t>
      </w:r>
      <w:r w:rsidR="001E6026">
        <w:rPr>
          <w:rFonts w:ascii="Arial" w:hAnsi="Arial" w:cs="Arial"/>
          <w:iCs/>
          <w:sz w:val="24"/>
          <w:szCs w:val="24"/>
        </w:rPr>
        <w:t xml:space="preserve">that </w:t>
      </w:r>
      <w:r w:rsidR="00687ABF" w:rsidRPr="00264F34">
        <w:rPr>
          <w:rFonts w:ascii="Arial" w:hAnsi="Arial" w:cs="Arial"/>
          <w:iCs/>
          <w:sz w:val="24"/>
          <w:szCs w:val="24"/>
        </w:rPr>
        <w:t xml:space="preserve">the </w:t>
      </w:r>
      <w:r w:rsidR="00F1104C">
        <w:rPr>
          <w:rFonts w:ascii="Arial" w:hAnsi="Arial" w:cs="Arial"/>
          <w:iCs/>
          <w:sz w:val="24"/>
          <w:szCs w:val="24"/>
        </w:rPr>
        <w:t xml:space="preserve">Housing </w:t>
      </w:r>
      <w:r w:rsidR="00687ABF" w:rsidRPr="00264F34">
        <w:rPr>
          <w:rFonts w:ascii="Arial" w:hAnsi="Arial" w:cs="Arial"/>
          <w:iCs/>
          <w:sz w:val="24"/>
          <w:szCs w:val="24"/>
        </w:rPr>
        <w:t xml:space="preserve">Commissioner </w:t>
      </w:r>
      <w:r w:rsidR="001E6026">
        <w:rPr>
          <w:rFonts w:ascii="Arial" w:hAnsi="Arial" w:cs="Arial"/>
          <w:iCs/>
          <w:sz w:val="24"/>
          <w:szCs w:val="24"/>
        </w:rPr>
        <w:t xml:space="preserve">must have made a decision that the tenant is not eligible for ongoing assistance and, if the decision is made during the period of temporary assistance, the Housing Commissioner must </w:t>
      </w:r>
      <w:r w:rsidR="00687ABF" w:rsidRPr="00264F34">
        <w:rPr>
          <w:rFonts w:ascii="Arial" w:hAnsi="Arial" w:cs="Arial"/>
          <w:iCs/>
          <w:sz w:val="24"/>
          <w:szCs w:val="24"/>
        </w:rPr>
        <w:t>provide a 26 week notice period</w:t>
      </w:r>
      <w:r w:rsidR="00417ECD">
        <w:rPr>
          <w:rFonts w:ascii="Arial" w:hAnsi="Arial" w:cs="Arial"/>
          <w:iCs/>
          <w:sz w:val="24"/>
          <w:szCs w:val="24"/>
        </w:rPr>
        <w:t>,</w:t>
      </w:r>
      <w:r w:rsidR="00687ABF" w:rsidRPr="00264F34">
        <w:rPr>
          <w:rFonts w:ascii="Arial" w:hAnsi="Arial" w:cs="Arial"/>
          <w:iCs/>
          <w:sz w:val="24"/>
          <w:szCs w:val="24"/>
        </w:rPr>
        <w:t xml:space="preserve"> ensuring that the tenant has an extended period of time in which to prepare to move and to source alternative accommodation. </w:t>
      </w:r>
      <w:r w:rsidR="001E6026">
        <w:rPr>
          <w:rFonts w:ascii="Arial" w:hAnsi="Arial" w:cs="Arial"/>
          <w:iCs/>
          <w:sz w:val="24"/>
          <w:szCs w:val="24"/>
        </w:rPr>
        <w:t>The provision also allows the tenant to remain in the premises beyond the end of the period of temporary housing if the Housing Commissioner has not yet made a decision on an application for ongoing assistance.  I</w:t>
      </w:r>
      <w:r w:rsidR="00417ECD">
        <w:rPr>
          <w:rFonts w:ascii="Arial" w:hAnsi="Arial" w:cs="Arial"/>
          <w:iCs/>
          <w:sz w:val="24"/>
          <w:szCs w:val="24"/>
        </w:rPr>
        <w:t xml:space="preserve">f </w:t>
      </w:r>
      <w:r w:rsidR="001E6026">
        <w:rPr>
          <w:rFonts w:ascii="Arial" w:hAnsi="Arial" w:cs="Arial"/>
          <w:iCs/>
          <w:sz w:val="24"/>
          <w:szCs w:val="24"/>
        </w:rPr>
        <w:t>the Housing Commissioner does</w:t>
      </w:r>
      <w:r w:rsidR="00417ECD">
        <w:rPr>
          <w:rFonts w:ascii="Arial" w:hAnsi="Arial" w:cs="Arial"/>
          <w:iCs/>
          <w:sz w:val="24"/>
          <w:szCs w:val="24"/>
        </w:rPr>
        <w:t xml:space="preserve"> then</w:t>
      </w:r>
      <w:r w:rsidR="001E6026">
        <w:rPr>
          <w:rFonts w:ascii="Arial" w:hAnsi="Arial" w:cs="Arial"/>
          <w:iCs/>
          <w:sz w:val="24"/>
          <w:szCs w:val="24"/>
        </w:rPr>
        <w:t xml:space="preserve"> find that the tenant is ineligible for ongoing assistance after the period of temporary housing assistance has ended, the Housing Commissioner is nonetheless required to provide an additional 12 week notice to vacate. </w:t>
      </w:r>
      <w:r w:rsidR="00687ABF" w:rsidRPr="00264F34">
        <w:rPr>
          <w:rFonts w:ascii="Arial" w:hAnsi="Arial" w:cs="Arial"/>
          <w:iCs/>
          <w:sz w:val="24"/>
          <w:szCs w:val="24"/>
        </w:rPr>
        <w:t>These safeguards ensure any potential limitation on the right to privacy is limited.</w:t>
      </w:r>
    </w:p>
    <w:p w14:paraId="451FD6CB" w14:textId="274B975A" w:rsidR="00687ABF" w:rsidRPr="00264F34" w:rsidRDefault="00687ABF" w:rsidP="00DA6700">
      <w:pPr>
        <w:rPr>
          <w:rFonts w:ascii="Arial" w:hAnsi="Arial" w:cs="Arial"/>
          <w:b/>
          <w:bCs/>
          <w:i/>
          <w:sz w:val="24"/>
          <w:szCs w:val="24"/>
        </w:rPr>
      </w:pPr>
      <w:r w:rsidRPr="00264F34">
        <w:rPr>
          <w:rFonts w:ascii="Arial" w:hAnsi="Arial" w:cs="Arial"/>
          <w:b/>
          <w:bCs/>
          <w:i/>
          <w:sz w:val="24"/>
          <w:szCs w:val="24"/>
        </w:rPr>
        <w:t xml:space="preserve">Right to privacy </w:t>
      </w:r>
      <w:r w:rsidR="005D5DF6">
        <w:rPr>
          <w:rFonts w:ascii="Arial" w:hAnsi="Arial" w:cs="Arial"/>
          <w:b/>
          <w:bCs/>
          <w:i/>
          <w:sz w:val="24"/>
          <w:szCs w:val="24"/>
        </w:rPr>
        <w:t>–</w:t>
      </w:r>
      <w:r w:rsidRPr="00264F34">
        <w:rPr>
          <w:rFonts w:ascii="Arial" w:hAnsi="Arial" w:cs="Arial"/>
          <w:b/>
          <w:bCs/>
          <w:i/>
          <w:sz w:val="24"/>
          <w:szCs w:val="24"/>
        </w:rPr>
        <w:t xml:space="preserve"> </w:t>
      </w:r>
      <w:r w:rsidR="005D5DF6">
        <w:rPr>
          <w:rFonts w:ascii="Arial" w:hAnsi="Arial" w:cs="Arial"/>
          <w:b/>
          <w:bCs/>
          <w:i/>
          <w:sz w:val="24"/>
          <w:szCs w:val="24"/>
        </w:rPr>
        <w:t>Community housing provider termination clause</w:t>
      </w:r>
    </w:p>
    <w:p w14:paraId="718000F6" w14:textId="77777777" w:rsidR="00687ABF" w:rsidRPr="00264F34" w:rsidRDefault="00687ABF" w:rsidP="00DA6700">
      <w:pPr>
        <w:pStyle w:val="ListParagraph"/>
        <w:rPr>
          <w:rFonts w:ascii="Arial" w:hAnsi="Arial" w:cs="Arial"/>
          <w:i/>
          <w:sz w:val="24"/>
          <w:szCs w:val="24"/>
          <w:u w:val="single"/>
        </w:rPr>
      </w:pPr>
      <w:r w:rsidRPr="00264F34">
        <w:rPr>
          <w:rFonts w:ascii="Arial" w:hAnsi="Arial" w:cs="Arial"/>
          <w:i/>
          <w:sz w:val="24"/>
          <w:szCs w:val="24"/>
          <w:u w:val="single"/>
        </w:rPr>
        <w:t>Nature of the right and the limitation (ss 28 (2) (a) and (c))</w:t>
      </w:r>
    </w:p>
    <w:p w14:paraId="56B1C7B0" w14:textId="77777777" w:rsidR="00687ABF" w:rsidRPr="00264F34" w:rsidRDefault="00687ABF" w:rsidP="00D4599F">
      <w:pPr>
        <w:spacing w:after="0"/>
        <w:rPr>
          <w:rFonts w:ascii="Arial" w:hAnsi="Arial" w:cs="Arial"/>
          <w:iCs/>
          <w:sz w:val="24"/>
          <w:szCs w:val="24"/>
        </w:rPr>
      </w:pPr>
    </w:p>
    <w:p w14:paraId="7D46A18C" w14:textId="4D9F539F" w:rsidR="00687ABF" w:rsidRPr="00264F34" w:rsidRDefault="00687ABF" w:rsidP="00DA6700">
      <w:pPr>
        <w:rPr>
          <w:rFonts w:ascii="Arial" w:hAnsi="Arial" w:cs="Arial"/>
          <w:iCs/>
          <w:sz w:val="24"/>
          <w:szCs w:val="24"/>
        </w:rPr>
      </w:pPr>
      <w:r w:rsidRPr="00264F34">
        <w:rPr>
          <w:rFonts w:ascii="Arial" w:hAnsi="Arial" w:cs="Arial"/>
          <w:iCs/>
          <w:sz w:val="24"/>
          <w:szCs w:val="24"/>
        </w:rPr>
        <w:t>The Bill introduces a termination provision which will permit community housing providers</w:t>
      </w:r>
      <w:r w:rsidR="001E6026">
        <w:rPr>
          <w:rFonts w:ascii="Arial" w:hAnsi="Arial" w:cs="Arial"/>
          <w:iCs/>
          <w:sz w:val="24"/>
          <w:szCs w:val="24"/>
        </w:rPr>
        <w:t xml:space="preserve"> (CHP)</w:t>
      </w:r>
      <w:r w:rsidRPr="00264F34">
        <w:rPr>
          <w:rFonts w:ascii="Arial" w:hAnsi="Arial" w:cs="Arial"/>
          <w:iCs/>
          <w:sz w:val="24"/>
          <w:szCs w:val="24"/>
        </w:rPr>
        <w:t xml:space="preserve"> who</w:t>
      </w:r>
      <w:r w:rsidR="00417ECD">
        <w:rPr>
          <w:rFonts w:ascii="Arial" w:hAnsi="Arial" w:cs="Arial"/>
          <w:iCs/>
          <w:sz w:val="24"/>
          <w:szCs w:val="24"/>
        </w:rPr>
        <w:t xml:space="preserve"> are</w:t>
      </w:r>
      <w:r w:rsidRPr="00264F34">
        <w:rPr>
          <w:rFonts w:ascii="Arial" w:hAnsi="Arial" w:cs="Arial"/>
          <w:iCs/>
          <w:sz w:val="24"/>
          <w:szCs w:val="24"/>
        </w:rPr>
        <w:t xml:space="preserve"> </w:t>
      </w:r>
      <w:r w:rsidR="001E6026">
        <w:rPr>
          <w:rFonts w:ascii="Arial" w:hAnsi="Arial" w:cs="Arial"/>
          <w:iCs/>
          <w:sz w:val="24"/>
          <w:szCs w:val="24"/>
        </w:rPr>
        <w:t xml:space="preserve">leasing a property under an agreement with the owner </w:t>
      </w:r>
      <w:r w:rsidRPr="00264F34">
        <w:rPr>
          <w:rFonts w:ascii="Arial" w:hAnsi="Arial" w:cs="Arial"/>
          <w:iCs/>
          <w:sz w:val="24"/>
          <w:szCs w:val="24"/>
        </w:rPr>
        <w:t xml:space="preserve">to </w:t>
      </w:r>
      <w:r w:rsidRPr="00264F34">
        <w:rPr>
          <w:rFonts w:ascii="Arial" w:hAnsi="Arial" w:cs="Arial"/>
          <w:iCs/>
          <w:sz w:val="24"/>
          <w:szCs w:val="24"/>
        </w:rPr>
        <w:lastRenderedPageBreak/>
        <w:t xml:space="preserve">terminate a tenancy agreement when the </w:t>
      </w:r>
      <w:r w:rsidR="001E6026">
        <w:rPr>
          <w:rFonts w:ascii="Arial" w:hAnsi="Arial" w:cs="Arial"/>
          <w:iCs/>
          <w:sz w:val="24"/>
          <w:szCs w:val="24"/>
        </w:rPr>
        <w:t xml:space="preserve">CHP </w:t>
      </w:r>
      <w:r w:rsidRPr="00264F34">
        <w:rPr>
          <w:rFonts w:ascii="Arial" w:hAnsi="Arial" w:cs="Arial"/>
          <w:iCs/>
          <w:sz w:val="24"/>
          <w:szCs w:val="24"/>
        </w:rPr>
        <w:t xml:space="preserve">is required to return the premises to the </w:t>
      </w:r>
      <w:r w:rsidR="003844C6">
        <w:rPr>
          <w:rFonts w:ascii="Arial" w:hAnsi="Arial" w:cs="Arial"/>
          <w:iCs/>
          <w:sz w:val="24"/>
          <w:szCs w:val="24"/>
        </w:rPr>
        <w:t>owner for one of the reasons specified in the provision</w:t>
      </w:r>
      <w:r w:rsidRPr="00264F34">
        <w:rPr>
          <w:rFonts w:ascii="Arial" w:hAnsi="Arial" w:cs="Arial"/>
          <w:iCs/>
          <w:sz w:val="24"/>
          <w:szCs w:val="24"/>
        </w:rPr>
        <w:t xml:space="preserve">. </w:t>
      </w:r>
    </w:p>
    <w:p w14:paraId="19B0664E" w14:textId="77777777" w:rsidR="00687ABF" w:rsidRPr="00264F34" w:rsidRDefault="00687ABF" w:rsidP="00DA6700">
      <w:pPr>
        <w:rPr>
          <w:rFonts w:ascii="Arial" w:hAnsi="Arial" w:cs="Arial"/>
          <w:iCs/>
          <w:sz w:val="24"/>
          <w:szCs w:val="24"/>
        </w:rPr>
      </w:pPr>
      <w:r w:rsidRPr="00264F34">
        <w:rPr>
          <w:rFonts w:ascii="Arial" w:hAnsi="Arial" w:cs="Arial"/>
          <w:iCs/>
          <w:sz w:val="24"/>
          <w:szCs w:val="24"/>
        </w:rPr>
        <w:t xml:space="preserve">This termination provisions engages and may limit a tenant’s right to privacy by creating a new ground on which a tenancy may be terminated. </w:t>
      </w:r>
    </w:p>
    <w:p w14:paraId="1F518E49" w14:textId="77777777" w:rsidR="00687ABF" w:rsidRPr="00264F34" w:rsidRDefault="00687ABF" w:rsidP="00DA6700">
      <w:pPr>
        <w:pStyle w:val="ListParagraph"/>
        <w:rPr>
          <w:rFonts w:ascii="Arial" w:hAnsi="Arial" w:cs="Arial"/>
          <w:i/>
          <w:sz w:val="24"/>
          <w:szCs w:val="24"/>
          <w:u w:val="single"/>
        </w:rPr>
      </w:pPr>
      <w:r w:rsidRPr="00264F34">
        <w:rPr>
          <w:rFonts w:ascii="Arial" w:hAnsi="Arial" w:cs="Arial"/>
          <w:i/>
          <w:sz w:val="24"/>
          <w:szCs w:val="24"/>
          <w:u w:val="single"/>
        </w:rPr>
        <w:t>Legitimate purpose (s 28 (2) (b))</w:t>
      </w:r>
    </w:p>
    <w:p w14:paraId="16CC5918" w14:textId="77777777" w:rsidR="00687ABF" w:rsidRPr="00264F34" w:rsidRDefault="00687ABF" w:rsidP="00D4599F">
      <w:pPr>
        <w:spacing w:after="0"/>
        <w:rPr>
          <w:rFonts w:ascii="Arial" w:hAnsi="Arial" w:cs="Arial"/>
          <w:iCs/>
          <w:sz w:val="24"/>
          <w:szCs w:val="24"/>
        </w:rPr>
      </w:pPr>
    </w:p>
    <w:p w14:paraId="6A8B7132" w14:textId="53509125" w:rsidR="003844C6" w:rsidRDefault="003844C6" w:rsidP="00DA6700">
      <w:pPr>
        <w:rPr>
          <w:rFonts w:ascii="Arial" w:hAnsi="Arial" w:cs="Arial"/>
          <w:iCs/>
          <w:sz w:val="24"/>
          <w:szCs w:val="24"/>
        </w:rPr>
      </w:pPr>
      <w:r>
        <w:rPr>
          <w:rFonts w:ascii="Arial" w:hAnsi="Arial" w:cs="Arial"/>
          <w:iCs/>
          <w:sz w:val="24"/>
          <w:szCs w:val="24"/>
        </w:rPr>
        <w:t>The purpose of the provision is to allow property owners who provide their property to a CHP to lease to a tenant as part of an accommodation program to recover the use of their property in the same circumstances as they would be able to if they were the lessor (i.e. for all the same reasons a lessor is currently able to terminate a tenancy under clause 96 of the</w:t>
      </w:r>
      <w:r w:rsidR="00552001">
        <w:rPr>
          <w:rFonts w:ascii="Arial" w:hAnsi="Arial" w:cs="Arial"/>
          <w:iCs/>
          <w:sz w:val="24"/>
          <w:szCs w:val="24"/>
        </w:rPr>
        <w:t xml:space="preserve"> Standard Residential Tenancy Terms</w:t>
      </w:r>
      <w:r>
        <w:rPr>
          <w:rFonts w:ascii="Arial" w:hAnsi="Arial" w:cs="Arial"/>
          <w:iCs/>
          <w:sz w:val="24"/>
          <w:szCs w:val="24"/>
        </w:rPr>
        <w:t xml:space="preserve"> </w:t>
      </w:r>
      <w:r w:rsidR="00552001">
        <w:rPr>
          <w:rFonts w:ascii="Arial" w:hAnsi="Arial" w:cs="Arial"/>
          <w:iCs/>
          <w:sz w:val="24"/>
          <w:szCs w:val="24"/>
        </w:rPr>
        <w:t>(</w:t>
      </w:r>
      <w:r w:rsidRPr="00552001">
        <w:rPr>
          <w:rFonts w:ascii="Arial" w:hAnsi="Arial" w:cs="Arial"/>
          <w:b/>
          <w:bCs/>
          <w:iCs/>
          <w:sz w:val="24"/>
          <w:szCs w:val="24"/>
        </w:rPr>
        <w:t>SRTTs</w:t>
      </w:r>
      <w:r w:rsidR="00552001">
        <w:rPr>
          <w:rFonts w:ascii="Arial" w:hAnsi="Arial" w:cs="Arial"/>
          <w:iCs/>
          <w:sz w:val="24"/>
          <w:szCs w:val="24"/>
        </w:rPr>
        <w:t>)</w:t>
      </w:r>
      <w:r>
        <w:rPr>
          <w:rFonts w:ascii="Arial" w:hAnsi="Arial" w:cs="Arial"/>
          <w:iCs/>
          <w:sz w:val="24"/>
          <w:szCs w:val="24"/>
        </w:rPr>
        <w:t xml:space="preserve"> –</w:t>
      </w:r>
      <w:r w:rsidR="00417ECD">
        <w:rPr>
          <w:rFonts w:ascii="Arial" w:hAnsi="Arial" w:cs="Arial"/>
          <w:iCs/>
          <w:sz w:val="24"/>
          <w:szCs w:val="24"/>
        </w:rPr>
        <w:t xml:space="preserve"> </w:t>
      </w:r>
      <w:r>
        <w:rPr>
          <w:rFonts w:ascii="Arial" w:hAnsi="Arial" w:cs="Arial"/>
          <w:iCs/>
          <w:sz w:val="24"/>
          <w:szCs w:val="24"/>
        </w:rPr>
        <w:t>sale</w:t>
      </w:r>
      <w:r w:rsidR="00417ECD">
        <w:rPr>
          <w:rFonts w:ascii="Arial" w:hAnsi="Arial" w:cs="Arial"/>
          <w:iCs/>
          <w:sz w:val="24"/>
          <w:szCs w:val="24"/>
        </w:rPr>
        <w:t xml:space="preserve"> of the property</w:t>
      </w:r>
      <w:r>
        <w:rPr>
          <w:rFonts w:ascii="Arial" w:hAnsi="Arial" w:cs="Arial"/>
          <w:iCs/>
          <w:sz w:val="24"/>
          <w:szCs w:val="24"/>
        </w:rPr>
        <w:t xml:space="preserve">, renovation etc). </w:t>
      </w:r>
    </w:p>
    <w:p w14:paraId="4ED679D8" w14:textId="257AA5BB" w:rsidR="003844C6" w:rsidRDefault="003844C6" w:rsidP="00DA6700">
      <w:pPr>
        <w:rPr>
          <w:rFonts w:ascii="Arial" w:hAnsi="Arial" w:cs="Arial"/>
          <w:iCs/>
          <w:sz w:val="24"/>
          <w:szCs w:val="24"/>
        </w:rPr>
      </w:pPr>
      <w:r>
        <w:rPr>
          <w:rFonts w:ascii="Arial" w:hAnsi="Arial" w:cs="Arial"/>
          <w:iCs/>
          <w:sz w:val="24"/>
          <w:szCs w:val="24"/>
        </w:rPr>
        <w:t xml:space="preserve">For private property owners (i.e. owners who are not the Housing Commissioner) the provision also allows the CHP to end the tenancy where the property owner no longer wants to make their property available for use as part of the accommodation program. Here, the purpose of the provision is to incentivise private property owners to participate in accommodation programs by giving them confidence that they can recover the use of their asset if </w:t>
      </w:r>
      <w:r w:rsidR="00417ECD">
        <w:rPr>
          <w:rFonts w:ascii="Arial" w:hAnsi="Arial" w:cs="Arial"/>
          <w:iCs/>
          <w:sz w:val="24"/>
          <w:szCs w:val="24"/>
        </w:rPr>
        <w:t>desired</w:t>
      </w:r>
      <w:r>
        <w:rPr>
          <w:rFonts w:ascii="Arial" w:hAnsi="Arial" w:cs="Arial"/>
          <w:iCs/>
          <w:sz w:val="24"/>
          <w:szCs w:val="24"/>
        </w:rPr>
        <w:t xml:space="preserve">. </w:t>
      </w:r>
    </w:p>
    <w:p w14:paraId="7E6C75C7" w14:textId="50BF7189" w:rsidR="003844C6" w:rsidRDefault="003844C6" w:rsidP="00DA6700">
      <w:pPr>
        <w:rPr>
          <w:rFonts w:ascii="Arial" w:hAnsi="Arial" w:cs="Arial"/>
          <w:iCs/>
          <w:sz w:val="24"/>
          <w:szCs w:val="24"/>
        </w:rPr>
      </w:pPr>
      <w:r>
        <w:rPr>
          <w:rFonts w:ascii="Arial" w:hAnsi="Arial" w:cs="Arial"/>
          <w:iCs/>
          <w:sz w:val="24"/>
          <w:szCs w:val="24"/>
        </w:rPr>
        <w:t xml:space="preserve">The provision also permits the Housing Commissioner to terminate a tenancy when they withdraw assistance from the CHP in accordance with a housing assistance program.  This is explained further below. </w:t>
      </w:r>
    </w:p>
    <w:p w14:paraId="6D532EE5" w14:textId="0B16A2B3" w:rsidR="00442201" w:rsidRDefault="00687ABF" w:rsidP="00DA6700">
      <w:pPr>
        <w:rPr>
          <w:rFonts w:ascii="Arial" w:hAnsi="Arial" w:cs="Arial"/>
          <w:iCs/>
          <w:sz w:val="24"/>
          <w:szCs w:val="24"/>
        </w:rPr>
      </w:pPr>
      <w:r w:rsidRPr="00264F34">
        <w:rPr>
          <w:rFonts w:ascii="Arial" w:hAnsi="Arial" w:cs="Arial"/>
          <w:iCs/>
          <w:sz w:val="24"/>
          <w:szCs w:val="24"/>
        </w:rPr>
        <w:t xml:space="preserve">In addition to the Program discussed above, another housing assistance program that operates under the HAA is the </w:t>
      </w:r>
      <w:hyperlink r:id="rId21" w:history="1">
        <w:r w:rsidRPr="00264F34">
          <w:rPr>
            <w:rStyle w:val="Hyperlink"/>
            <w:rFonts w:ascii="Arial" w:eastAsiaTheme="majorEastAsia" w:hAnsi="Arial" w:cs="Arial"/>
            <w:i/>
            <w:sz w:val="24"/>
            <w:szCs w:val="24"/>
          </w:rPr>
          <w:t>Housing Assistance Asset Program 2008 (No 1)</w:t>
        </w:r>
      </w:hyperlink>
      <w:r w:rsidRPr="00264F34">
        <w:rPr>
          <w:rFonts w:ascii="Arial" w:hAnsi="Arial" w:cs="Arial"/>
          <w:i/>
          <w:sz w:val="24"/>
          <w:szCs w:val="24"/>
        </w:rPr>
        <w:t xml:space="preserve"> </w:t>
      </w:r>
      <w:r w:rsidRPr="00264F34">
        <w:rPr>
          <w:rFonts w:ascii="Arial" w:hAnsi="Arial" w:cs="Arial"/>
          <w:iCs/>
          <w:sz w:val="24"/>
          <w:szCs w:val="24"/>
        </w:rPr>
        <w:t xml:space="preserve"> (‘</w:t>
      </w:r>
      <w:r w:rsidRPr="00264F34">
        <w:rPr>
          <w:rFonts w:ascii="Arial" w:hAnsi="Arial" w:cs="Arial"/>
          <w:b/>
          <w:bCs/>
          <w:iCs/>
          <w:sz w:val="24"/>
          <w:szCs w:val="24"/>
        </w:rPr>
        <w:t>the Asset Program</w:t>
      </w:r>
      <w:r w:rsidRPr="00264F34">
        <w:rPr>
          <w:rFonts w:ascii="Arial" w:hAnsi="Arial" w:cs="Arial"/>
          <w:iCs/>
          <w:sz w:val="24"/>
          <w:szCs w:val="24"/>
        </w:rPr>
        <w:t xml:space="preserve">’). </w:t>
      </w:r>
    </w:p>
    <w:p w14:paraId="26AD8D1F" w14:textId="3737263E" w:rsidR="00442201" w:rsidRDefault="00687ABF" w:rsidP="00DA6700">
      <w:pPr>
        <w:rPr>
          <w:rFonts w:ascii="Arial" w:hAnsi="Arial" w:cs="Arial"/>
          <w:iCs/>
          <w:sz w:val="24"/>
          <w:szCs w:val="24"/>
        </w:rPr>
      </w:pPr>
      <w:r w:rsidRPr="00264F34">
        <w:rPr>
          <w:rFonts w:ascii="Arial" w:hAnsi="Arial" w:cs="Arial"/>
          <w:iCs/>
          <w:sz w:val="24"/>
          <w:szCs w:val="24"/>
        </w:rPr>
        <w:t xml:space="preserve">The object of the Asset Program is to make available public housing assets to eligible organisations for the provision of services within the </w:t>
      </w:r>
      <w:r w:rsidR="00F7433E">
        <w:rPr>
          <w:rFonts w:ascii="Arial" w:hAnsi="Arial" w:cs="Arial"/>
          <w:iCs/>
          <w:sz w:val="24"/>
          <w:szCs w:val="24"/>
        </w:rPr>
        <w:t>public</w:t>
      </w:r>
      <w:r w:rsidR="00F7433E" w:rsidRPr="00264F34">
        <w:rPr>
          <w:rFonts w:ascii="Arial" w:hAnsi="Arial" w:cs="Arial"/>
          <w:iCs/>
          <w:sz w:val="24"/>
          <w:szCs w:val="24"/>
        </w:rPr>
        <w:t xml:space="preserve"> </w:t>
      </w:r>
      <w:r w:rsidRPr="00264F34">
        <w:rPr>
          <w:rFonts w:ascii="Arial" w:hAnsi="Arial" w:cs="Arial"/>
          <w:iCs/>
          <w:sz w:val="24"/>
          <w:szCs w:val="24"/>
        </w:rPr>
        <w:t xml:space="preserve">housing and human services system. In other words, the Asset Program allows the Housing Commissioner to make publicly owned properties available to community housing organisations so that they can, in turn, provide accommodation support programs to vulnerable community members. However, the Asset Program also allows the Housing Commissioner to withdraw assistance from the organisation in a range of circumstances including where the property is no longer being used for the intended purpose, where the Housing Commissioner requires the property for another purpose or where the organisation is in breach of its obligations to the Housing Commissioner. </w:t>
      </w:r>
    </w:p>
    <w:p w14:paraId="3882A7A4" w14:textId="1159BB91" w:rsidR="00687ABF" w:rsidRPr="00264F34" w:rsidRDefault="00687ABF" w:rsidP="00DA6700">
      <w:pPr>
        <w:rPr>
          <w:rFonts w:ascii="Arial" w:hAnsi="Arial" w:cs="Arial"/>
          <w:iCs/>
          <w:sz w:val="24"/>
          <w:szCs w:val="24"/>
        </w:rPr>
      </w:pPr>
      <w:r w:rsidRPr="00264F34">
        <w:rPr>
          <w:rFonts w:ascii="Arial" w:hAnsi="Arial" w:cs="Arial"/>
          <w:iCs/>
          <w:sz w:val="24"/>
          <w:szCs w:val="24"/>
        </w:rPr>
        <w:t xml:space="preserve">In circumstances where the community housing organisation has a tenancy agreement in place with a tenant, the purpose of this termination provision is to allow the community housing organisation to end the tenancy with the tenant </w:t>
      </w:r>
      <w:r w:rsidR="00F82F3E">
        <w:rPr>
          <w:rFonts w:ascii="Arial" w:hAnsi="Arial" w:cs="Arial"/>
          <w:iCs/>
          <w:sz w:val="24"/>
          <w:szCs w:val="24"/>
        </w:rPr>
        <w:t>so that they can</w:t>
      </w:r>
      <w:r w:rsidRPr="00264F34">
        <w:rPr>
          <w:rFonts w:ascii="Arial" w:hAnsi="Arial" w:cs="Arial"/>
          <w:iCs/>
          <w:sz w:val="24"/>
          <w:szCs w:val="24"/>
        </w:rPr>
        <w:t xml:space="preserve"> return possession of the property to the Housing Commissioner. In a similar way to the Program, the Asset Program can be conceptualised as a ‘special measure’ </w:t>
      </w:r>
      <w:r w:rsidRPr="00264F34">
        <w:rPr>
          <w:rFonts w:ascii="Arial" w:hAnsi="Arial" w:cs="Arial"/>
          <w:iCs/>
          <w:sz w:val="24"/>
          <w:szCs w:val="24"/>
        </w:rPr>
        <w:lastRenderedPageBreak/>
        <w:t xml:space="preserve">aimed at making a more diverse range of housing supports available to vulnerable community members. The purpose of this termination provision is to support the Housing Commissioner to utilise public assets in the most effective way possible to </w:t>
      </w:r>
      <w:r w:rsidR="007531F5">
        <w:rPr>
          <w:rFonts w:ascii="Arial" w:hAnsi="Arial" w:cs="Arial"/>
          <w:iCs/>
          <w:sz w:val="24"/>
          <w:szCs w:val="24"/>
        </w:rPr>
        <w:t>address inequality of access to housing for disadvantaged groups</w:t>
      </w:r>
      <w:r w:rsidRPr="00264F34">
        <w:rPr>
          <w:rFonts w:ascii="Arial" w:hAnsi="Arial" w:cs="Arial"/>
          <w:iCs/>
          <w:sz w:val="24"/>
          <w:szCs w:val="24"/>
        </w:rPr>
        <w:t xml:space="preserve">. </w:t>
      </w:r>
    </w:p>
    <w:p w14:paraId="076601B8" w14:textId="77777777" w:rsidR="00687ABF" w:rsidRPr="00264F34" w:rsidRDefault="00687ABF" w:rsidP="00D4599F">
      <w:pPr>
        <w:keepNext/>
        <w:keepLines/>
        <w:ind w:firstLine="720"/>
        <w:rPr>
          <w:rFonts w:ascii="Arial" w:hAnsi="Arial" w:cs="Arial"/>
          <w:i/>
          <w:sz w:val="24"/>
          <w:szCs w:val="24"/>
          <w:u w:val="single"/>
        </w:rPr>
      </w:pPr>
      <w:r w:rsidRPr="00264F34">
        <w:rPr>
          <w:rFonts w:ascii="Arial" w:hAnsi="Arial" w:cs="Arial"/>
          <w:i/>
          <w:sz w:val="24"/>
          <w:szCs w:val="24"/>
          <w:u w:val="single"/>
        </w:rPr>
        <w:t>Rational connection between the limitation and the purpose (s 28 (2) (d))</w:t>
      </w:r>
    </w:p>
    <w:p w14:paraId="6F5C99BA" w14:textId="3C18A4C5" w:rsidR="00687ABF" w:rsidRDefault="00687ABF" w:rsidP="00DA6700">
      <w:pPr>
        <w:rPr>
          <w:rFonts w:ascii="Arial" w:hAnsi="Arial" w:cs="Arial"/>
          <w:iCs/>
          <w:sz w:val="24"/>
          <w:szCs w:val="24"/>
        </w:rPr>
      </w:pPr>
      <w:r w:rsidRPr="00264F34">
        <w:rPr>
          <w:rFonts w:ascii="Arial" w:hAnsi="Arial" w:cs="Arial"/>
          <w:iCs/>
          <w:sz w:val="24"/>
          <w:szCs w:val="24"/>
        </w:rPr>
        <w:t>There is a rational connection between allowing tenancy</w:t>
      </w:r>
      <w:r w:rsidR="00442201">
        <w:rPr>
          <w:rFonts w:ascii="Arial" w:hAnsi="Arial" w:cs="Arial"/>
          <w:iCs/>
          <w:sz w:val="24"/>
          <w:szCs w:val="24"/>
        </w:rPr>
        <w:t xml:space="preserve"> termination</w:t>
      </w:r>
      <w:r w:rsidRPr="00264F34">
        <w:rPr>
          <w:rFonts w:ascii="Arial" w:hAnsi="Arial" w:cs="Arial"/>
          <w:iCs/>
          <w:sz w:val="24"/>
          <w:szCs w:val="24"/>
        </w:rPr>
        <w:t xml:space="preserve"> in circumstances where the </w:t>
      </w:r>
      <w:r w:rsidR="008F3475">
        <w:rPr>
          <w:rFonts w:ascii="Arial" w:hAnsi="Arial" w:cs="Arial"/>
          <w:iCs/>
          <w:sz w:val="24"/>
          <w:szCs w:val="24"/>
        </w:rPr>
        <w:t xml:space="preserve">Housing </w:t>
      </w:r>
      <w:r w:rsidRPr="00264F34">
        <w:rPr>
          <w:rFonts w:ascii="Arial" w:hAnsi="Arial" w:cs="Arial"/>
          <w:iCs/>
          <w:sz w:val="24"/>
          <w:szCs w:val="24"/>
        </w:rPr>
        <w:t xml:space="preserve">Commissioner requires the return of a public asset in that the purpose of requesting the return of the premises is to ensure that the premises can </w:t>
      </w:r>
      <w:r w:rsidR="00442201">
        <w:rPr>
          <w:rFonts w:ascii="Arial" w:hAnsi="Arial" w:cs="Arial"/>
          <w:iCs/>
          <w:sz w:val="24"/>
          <w:szCs w:val="24"/>
        </w:rPr>
        <w:t xml:space="preserve">be </w:t>
      </w:r>
      <w:r w:rsidRPr="00264F34">
        <w:rPr>
          <w:rFonts w:ascii="Arial" w:hAnsi="Arial" w:cs="Arial"/>
          <w:iCs/>
          <w:sz w:val="24"/>
          <w:szCs w:val="24"/>
        </w:rPr>
        <w:t xml:space="preserve">utilised in the most effective way possible to support the implementation of the Asset Program. </w:t>
      </w:r>
    </w:p>
    <w:p w14:paraId="1875EDDD" w14:textId="1331B710" w:rsidR="003844C6" w:rsidRPr="00264F34" w:rsidRDefault="003844C6" w:rsidP="00DA6700">
      <w:pPr>
        <w:rPr>
          <w:rFonts w:ascii="Arial" w:hAnsi="Arial" w:cs="Arial"/>
          <w:iCs/>
          <w:sz w:val="24"/>
          <w:szCs w:val="24"/>
        </w:rPr>
      </w:pPr>
      <w:r>
        <w:rPr>
          <w:rFonts w:ascii="Arial" w:hAnsi="Arial" w:cs="Arial"/>
          <w:iCs/>
          <w:sz w:val="24"/>
          <w:szCs w:val="24"/>
        </w:rPr>
        <w:t>Where the property is owned privately, allow</w:t>
      </w:r>
      <w:r w:rsidR="00417ECD">
        <w:rPr>
          <w:rFonts w:ascii="Arial" w:hAnsi="Arial" w:cs="Arial"/>
          <w:iCs/>
          <w:sz w:val="24"/>
          <w:szCs w:val="24"/>
        </w:rPr>
        <w:t>ing</w:t>
      </w:r>
      <w:r>
        <w:rPr>
          <w:rFonts w:ascii="Arial" w:hAnsi="Arial" w:cs="Arial"/>
          <w:iCs/>
          <w:sz w:val="24"/>
          <w:szCs w:val="24"/>
        </w:rPr>
        <w:t xml:space="preserve"> tenancy termination </w:t>
      </w:r>
      <w:r w:rsidR="00B21FF4">
        <w:rPr>
          <w:rFonts w:ascii="Arial" w:hAnsi="Arial" w:cs="Arial"/>
          <w:iCs/>
          <w:sz w:val="24"/>
          <w:szCs w:val="24"/>
        </w:rPr>
        <w:t xml:space="preserve">in circumstances where the property owner requires the property </w:t>
      </w:r>
      <w:r w:rsidR="00417ECD">
        <w:rPr>
          <w:rFonts w:ascii="Arial" w:hAnsi="Arial" w:cs="Arial"/>
          <w:iCs/>
          <w:sz w:val="24"/>
          <w:szCs w:val="24"/>
        </w:rPr>
        <w:t>for an alternate purpose</w:t>
      </w:r>
      <w:r w:rsidR="00B21FF4">
        <w:rPr>
          <w:rFonts w:ascii="Arial" w:hAnsi="Arial" w:cs="Arial"/>
          <w:iCs/>
          <w:sz w:val="24"/>
          <w:szCs w:val="24"/>
        </w:rPr>
        <w:t xml:space="preserve"> </w:t>
      </w:r>
      <w:r w:rsidR="00417ECD">
        <w:rPr>
          <w:rFonts w:ascii="Arial" w:hAnsi="Arial" w:cs="Arial"/>
          <w:iCs/>
          <w:sz w:val="24"/>
          <w:szCs w:val="24"/>
        </w:rPr>
        <w:t>will</w:t>
      </w:r>
      <w:r w:rsidR="00B21FF4">
        <w:rPr>
          <w:rFonts w:ascii="Arial" w:hAnsi="Arial" w:cs="Arial"/>
          <w:iCs/>
          <w:sz w:val="24"/>
          <w:szCs w:val="24"/>
        </w:rPr>
        <w:t xml:space="preserve"> support the broader </w:t>
      </w:r>
      <w:r w:rsidR="00417ECD">
        <w:rPr>
          <w:rFonts w:ascii="Arial" w:hAnsi="Arial" w:cs="Arial"/>
          <w:iCs/>
          <w:sz w:val="24"/>
          <w:szCs w:val="24"/>
        </w:rPr>
        <w:t xml:space="preserve">success of community housing </w:t>
      </w:r>
      <w:r w:rsidR="00B21FF4">
        <w:rPr>
          <w:rFonts w:ascii="Arial" w:hAnsi="Arial" w:cs="Arial"/>
          <w:iCs/>
          <w:sz w:val="24"/>
          <w:szCs w:val="24"/>
        </w:rPr>
        <w:t>program</w:t>
      </w:r>
      <w:r w:rsidR="00417ECD">
        <w:rPr>
          <w:rFonts w:ascii="Arial" w:hAnsi="Arial" w:cs="Arial"/>
          <w:iCs/>
          <w:sz w:val="24"/>
          <w:szCs w:val="24"/>
        </w:rPr>
        <w:t>s</w:t>
      </w:r>
      <w:r w:rsidR="00B21FF4">
        <w:rPr>
          <w:rFonts w:ascii="Arial" w:hAnsi="Arial" w:cs="Arial"/>
          <w:iCs/>
          <w:sz w:val="24"/>
          <w:szCs w:val="24"/>
        </w:rPr>
        <w:t xml:space="preserve"> by removing any barriers to participation or disincentives that may arise </w:t>
      </w:r>
      <w:r w:rsidR="00417ECD">
        <w:rPr>
          <w:rFonts w:ascii="Arial" w:hAnsi="Arial" w:cs="Arial"/>
          <w:iCs/>
          <w:sz w:val="24"/>
          <w:szCs w:val="24"/>
        </w:rPr>
        <w:t>if</w:t>
      </w:r>
      <w:r w:rsidR="00B21FF4">
        <w:rPr>
          <w:rFonts w:ascii="Arial" w:hAnsi="Arial" w:cs="Arial"/>
          <w:iCs/>
          <w:sz w:val="24"/>
          <w:szCs w:val="24"/>
        </w:rPr>
        <w:t xml:space="preserve"> private lessors </w:t>
      </w:r>
      <w:r w:rsidR="00417ECD">
        <w:rPr>
          <w:rFonts w:ascii="Arial" w:hAnsi="Arial" w:cs="Arial"/>
          <w:iCs/>
          <w:sz w:val="24"/>
          <w:szCs w:val="24"/>
        </w:rPr>
        <w:t>were</w:t>
      </w:r>
      <w:r w:rsidR="00B21FF4">
        <w:rPr>
          <w:rFonts w:ascii="Arial" w:hAnsi="Arial" w:cs="Arial"/>
          <w:iCs/>
          <w:sz w:val="24"/>
          <w:szCs w:val="24"/>
        </w:rPr>
        <w:t xml:space="preserve"> concern</w:t>
      </w:r>
      <w:r w:rsidR="00417ECD">
        <w:rPr>
          <w:rFonts w:ascii="Arial" w:hAnsi="Arial" w:cs="Arial"/>
          <w:iCs/>
          <w:sz w:val="24"/>
          <w:szCs w:val="24"/>
        </w:rPr>
        <w:t>ed</w:t>
      </w:r>
      <w:r w:rsidR="00B21FF4">
        <w:rPr>
          <w:rFonts w:ascii="Arial" w:hAnsi="Arial" w:cs="Arial"/>
          <w:iCs/>
          <w:sz w:val="24"/>
          <w:szCs w:val="24"/>
        </w:rPr>
        <w:t xml:space="preserve"> that they w</w:t>
      </w:r>
      <w:r w:rsidR="00417ECD">
        <w:rPr>
          <w:rFonts w:ascii="Arial" w:hAnsi="Arial" w:cs="Arial"/>
          <w:iCs/>
          <w:sz w:val="24"/>
          <w:szCs w:val="24"/>
        </w:rPr>
        <w:t xml:space="preserve">ould </w:t>
      </w:r>
      <w:r w:rsidR="00B21FF4">
        <w:rPr>
          <w:rFonts w:ascii="Arial" w:hAnsi="Arial" w:cs="Arial"/>
          <w:iCs/>
          <w:sz w:val="24"/>
          <w:szCs w:val="24"/>
        </w:rPr>
        <w:t xml:space="preserve">not be able to regain the use of their asset if required. </w:t>
      </w:r>
    </w:p>
    <w:p w14:paraId="4E826304" w14:textId="77777777" w:rsidR="00687ABF" w:rsidRPr="00264F34" w:rsidRDefault="00687ABF" w:rsidP="00DA6700">
      <w:pPr>
        <w:pStyle w:val="ListParagraph"/>
        <w:rPr>
          <w:rFonts w:ascii="Arial" w:hAnsi="Arial" w:cs="Arial"/>
          <w:i/>
          <w:sz w:val="24"/>
          <w:szCs w:val="24"/>
          <w:u w:val="single"/>
        </w:rPr>
      </w:pPr>
      <w:r w:rsidRPr="00264F34">
        <w:rPr>
          <w:rFonts w:ascii="Arial" w:hAnsi="Arial" w:cs="Arial"/>
          <w:i/>
          <w:sz w:val="24"/>
          <w:szCs w:val="24"/>
          <w:u w:val="single"/>
        </w:rPr>
        <w:t>Proportionality (s 28 (2) (e))</w:t>
      </w:r>
    </w:p>
    <w:p w14:paraId="7B1D6066" w14:textId="77777777" w:rsidR="00687ABF" w:rsidRPr="00264F34" w:rsidRDefault="00687ABF" w:rsidP="00D4599F">
      <w:pPr>
        <w:spacing w:after="0"/>
        <w:rPr>
          <w:rFonts w:ascii="Arial" w:hAnsi="Arial" w:cs="Arial"/>
          <w:iCs/>
          <w:sz w:val="24"/>
          <w:szCs w:val="24"/>
        </w:rPr>
      </w:pPr>
    </w:p>
    <w:p w14:paraId="310821FD" w14:textId="4299E8BB" w:rsidR="00687ABF" w:rsidRPr="00264F34" w:rsidRDefault="00687ABF" w:rsidP="00DA6700">
      <w:pPr>
        <w:rPr>
          <w:rFonts w:ascii="Arial" w:hAnsi="Arial" w:cs="Arial"/>
          <w:iCs/>
          <w:sz w:val="24"/>
          <w:szCs w:val="24"/>
          <w:u w:val="single"/>
        </w:rPr>
      </w:pPr>
      <w:r w:rsidRPr="00264F34">
        <w:rPr>
          <w:rFonts w:ascii="Arial" w:hAnsi="Arial" w:cs="Arial"/>
          <w:iCs/>
          <w:sz w:val="24"/>
          <w:szCs w:val="24"/>
        </w:rPr>
        <w:t>This termination provision has been crafted so that the tenant will receive the same notice periods as other tenants</w:t>
      </w:r>
      <w:r w:rsidR="00B21FF4">
        <w:rPr>
          <w:rFonts w:ascii="Arial" w:hAnsi="Arial" w:cs="Arial"/>
          <w:iCs/>
          <w:sz w:val="24"/>
          <w:szCs w:val="24"/>
        </w:rPr>
        <w:t xml:space="preserve"> under clause 96 of the SRTT</w:t>
      </w:r>
      <w:r w:rsidR="00552001">
        <w:rPr>
          <w:rFonts w:ascii="Arial" w:hAnsi="Arial" w:cs="Arial"/>
          <w:iCs/>
          <w:sz w:val="24"/>
          <w:szCs w:val="24"/>
        </w:rPr>
        <w:t>s</w:t>
      </w:r>
      <w:r w:rsidR="00A4202B">
        <w:rPr>
          <w:rFonts w:ascii="Arial" w:hAnsi="Arial" w:cs="Arial"/>
          <w:iCs/>
          <w:sz w:val="24"/>
          <w:szCs w:val="24"/>
        </w:rPr>
        <w:t xml:space="preserve"> (as applicable)</w:t>
      </w:r>
      <w:r w:rsidR="00B21FF4">
        <w:rPr>
          <w:rFonts w:ascii="Arial" w:hAnsi="Arial" w:cs="Arial"/>
          <w:iCs/>
          <w:sz w:val="24"/>
          <w:szCs w:val="24"/>
        </w:rPr>
        <w:t>. For</w:t>
      </w:r>
      <w:r w:rsidR="00A4202B">
        <w:rPr>
          <w:rFonts w:ascii="Arial" w:hAnsi="Arial" w:cs="Arial"/>
          <w:iCs/>
          <w:sz w:val="24"/>
          <w:szCs w:val="24"/>
        </w:rPr>
        <w:t> </w:t>
      </w:r>
      <w:r w:rsidR="00B21FF4">
        <w:rPr>
          <w:rFonts w:ascii="Arial" w:hAnsi="Arial" w:cs="Arial"/>
          <w:iCs/>
          <w:sz w:val="24"/>
          <w:szCs w:val="24"/>
        </w:rPr>
        <w:t xml:space="preserve">example, </w:t>
      </w:r>
      <w:r w:rsidRPr="00264F34">
        <w:rPr>
          <w:rFonts w:ascii="Arial" w:hAnsi="Arial" w:cs="Arial"/>
          <w:iCs/>
          <w:sz w:val="24"/>
          <w:szCs w:val="24"/>
        </w:rPr>
        <w:t>in the event the property is to be sold or renovated</w:t>
      </w:r>
      <w:r w:rsidR="00A4202B">
        <w:rPr>
          <w:rFonts w:ascii="Arial" w:hAnsi="Arial" w:cs="Arial"/>
          <w:iCs/>
          <w:sz w:val="24"/>
          <w:szCs w:val="24"/>
        </w:rPr>
        <w:t>,</w:t>
      </w:r>
      <w:r w:rsidRPr="00264F34">
        <w:rPr>
          <w:rFonts w:ascii="Arial" w:hAnsi="Arial" w:cs="Arial"/>
          <w:iCs/>
          <w:sz w:val="24"/>
          <w:szCs w:val="24"/>
        </w:rPr>
        <w:t xml:space="preserve"> </w:t>
      </w:r>
      <w:r w:rsidR="00B21FF4">
        <w:rPr>
          <w:rFonts w:ascii="Arial" w:hAnsi="Arial" w:cs="Arial"/>
          <w:iCs/>
          <w:sz w:val="24"/>
          <w:szCs w:val="24"/>
        </w:rPr>
        <w:t xml:space="preserve">the notice period is </w:t>
      </w:r>
      <w:r w:rsidRPr="00264F34">
        <w:rPr>
          <w:rFonts w:ascii="Arial" w:hAnsi="Arial" w:cs="Arial"/>
          <w:iCs/>
          <w:sz w:val="24"/>
          <w:szCs w:val="24"/>
        </w:rPr>
        <w:t xml:space="preserve">8 </w:t>
      </w:r>
      <w:r w:rsidR="00A4202B">
        <w:rPr>
          <w:rFonts w:ascii="Arial" w:hAnsi="Arial" w:cs="Arial"/>
          <w:iCs/>
          <w:sz w:val="24"/>
          <w:szCs w:val="24"/>
        </w:rPr>
        <w:t>or</w:t>
      </w:r>
      <w:r w:rsidRPr="00264F34">
        <w:rPr>
          <w:rFonts w:ascii="Arial" w:hAnsi="Arial" w:cs="Arial"/>
          <w:iCs/>
          <w:sz w:val="24"/>
          <w:szCs w:val="24"/>
        </w:rPr>
        <w:t xml:space="preserve"> 12 weeks respectively</w:t>
      </w:r>
      <w:r w:rsidR="00B21FF4">
        <w:rPr>
          <w:rFonts w:ascii="Arial" w:hAnsi="Arial" w:cs="Arial"/>
          <w:iCs/>
          <w:sz w:val="24"/>
          <w:szCs w:val="24"/>
        </w:rPr>
        <w:t>. I</w:t>
      </w:r>
      <w:r w:rsidRPr="00264F34">
        <w:rPr>
          <w:rFonts w:ascii="Arial" w:hAnsi="Arial" w:cs="Arial"/>
          <w:iCs/>
          <w:sz w:val="24"/>
          <w:szCs w:val="24"/>
        </w:rPr>
        <w:t>n case</w:t>
      </w:r>
      <w:r w:rsidR="00B21FF4">
        <w:rPr>
          <w:rFonts w:ascii="Arial" w:hAnsi="Arial" w:cs="Arial"/>
          <w:iCs/>
          <w:sz w:val="24"/>
          <w:szCs w:val="24"/>
        </w:rPr>
        <w:t>s</w:t>
      </w:r>
      <w:r w:rsidRPr="00264F34">
        <w:rPr>
          <w:rFonts w:ascii="Arial" w:hAnsi="Arial" w:cs="Arial"/>
          <w:iCs/>
          <w:sz w:val="24"/>
          <w:szCs w:val="24"/>
        </w:rPr>
        <w:t xml:space="preserve"> </w:t>
      </w:r>
      <w:r w:rsidR="00B21FF4">
        <w:rPr>
          <w:rFonts w:ascii="Arial" w:hAnsi="Arial" w:cs="Arial"/>
          <w:iCs/>
          <w:sz w:val="24"/>
          <w:szCs w:val="24"/>
        </w:rPr>
        <w:t>not currently covered by clause 96 of the SRTT</w:t>
      </w:r>
      <w:r w:rsidR="00552001">
        <w:rPr>
          <w:rFonts w:ascii="Arial" w:hAnsi="Arial" w:cs="Arial"/>
          <w:iCs/>
          <w:sz w:val="24"/>
          <w:szCs w:val="24"/>
        </w:rPr>
        <w:t>s</w:t>
      </w:r>
      <w:r w:rsidR="00A4202B">
        <w:rPr>
          <w:rFonts w:ascii="Arial" w:hAnsi="Arial" w:cs="Arial"/>
          <w:iCs/>
          <w:sz w:val="24"/>
          <w:szCs w:val="24"/>
        </w:rPr>
        <w:t>,</w:t>
      </w:r>
      <w:r w:rsidR="00B21FF4">
        <w:rPr>
          <w:rFonts w:ascii="Arial" w:hAnsi="Arial" w:cs="Arial"/>
          <w:iCs/>
          <w:sz w:val="24"/>
          <w:szCs w:val="24"/>
        </w:rPr>
        <w:t xml:space="preserve"> </w:t>
      </w:r>
      <w:r w:rsidRPr="00264F34">
        <w:rPr>
          <w:rFonts w:ascii="Arial" w:hAnsi="Arial" w:cs="Arial"/>
          <w:iCs/>
          <w:sz w:val="24"/>
          <w:szCs w:val="24"/>
        </w:rPr>
        <w:t>a 26 week notice period</w:t>
      </w:r>
      <w:r w:rsidR="00B21FF4">
        <w:rPr>
          <w:rFonts w:ascii="Arial" w:hAnsi="Arial" w:cs="Arial"/>
          <w:iCs/>
          <w:sz w:val="24"/>
          <w:szCs w:val="24"/>
        </w:rPr>
        <w:t xml:space="preserve"> applies</w:t>
      </w:r>
      <w:r w:rsidRPr="00264F34">
        <w:rPr>
          <w:rFonts w:ascii="Arial" w:hAnsi="Arial" w:cs="Arial"/>
          <w:iCs/>
          <w:sz w:val="24"/>
          <w:szCs w:val="24"/>
        </w:rPr>
        <w:t>.</w:t>
      </w:r>
      <w:r w:rsidR="00A4202B">
        <w:rPr>
          <w:rFonts w:ascii="Arial" w:hAnsi="Arial" w:cs="Arial"/>
          <w:iCs/>
          <w:sz w:val="24"/>
          <w:szCs w:val="24"/>
        </w:rPr>
        <w:t xml:space="preserve"> </w:t>
      </w:r>
      <w:r w:rsidRPr="00264F34">
        <w:rPr>
          <w:rFonts w:ascii="Arial" w:hAnsi="Arial" w:cs="Arial"/>
          <w:iCs/>
          <w:sz w:val="24"/>
          <w:szCs w:val="24"/>
        </w:rPr>
        <w:t>Th</w:t>
      </w:r>
      <w:r w:rsidR="008F3475">
        <w:rPr>
          <w:rFonts w:ascii="Arial" w:hAnsi="Arial" w:cs="Arial"/>
          <w:iCs/>
          <w:sz w:val="24"/>
          <w:szCs w:val="24"/>
        </w:rPr>
        <w:t xml:space="preserve">e 26 week </w:t>
      </w:r>
      <w:r w:rsidRPr="00264F34">
        <w:rPr>
          <w:rFonts w:ascii="Arial" w:hAnsi="Arial" w:cs="Arial"/>
          <w:iCs/>
          <w:sz w:val="24"/>
          <w:szCs w:val="24"/>
        </w:rPr>
        <w:t>notice period provides the tenant with an extended period of time in which to prepare to move and to source alternative accommodatio</w:t>
      </w:r>
      <w:r w:rsidR="00A4202B">
        <w:rPr>
          <w:rFonts w:ascii="Arial" w:hAnsi="Arial" w:cs="Arial"/>
          <w:iCs/>
          <w:sz w:val="24"/>
          <w:szCs w:val="24"/>
        </w:rPr>
        <w:t>n. The provision of this significant period of adjustment</w:t>
      </w:r>
      <w:r w:rsidRPr="00264F34">
        <w:rPr>
          <w:rFonts w:ascii="Arial" w:hAnsi="Arial" w:cs="Arial"/>
          <w:iCs/>
          <w:sz w:val="24"/>
          <w:szCs w:val="24"/>
        </w:rPr>
        <w:t xml:space="preserve"> limit</w:t>
      </w:r>
      <w:r w:rsidR="00A4202B">
        <w:rPr>
          <w:rFonts w:ascii="Arial" w:hAnsi="Arial" w:cs="Arial"/>
          <w:iCs/>
          <w:sz w:val="24"/>
          <w:szCs w:val="24"/>
        </w:rPr>
        <w:t>s</w:t>
      </w:r>
      <w:r w:rsidRPr="00264F34">
        <w:rPr>
          <w:rFonts w:ascii="Arial" w:hAnsi="Arial" w:cs="Arial"/>
          <w:iCs/>
          <w:sz w:val="24"/>
          <w:szCs w:val="24"/>
        </w:rPr>
        <w:t xml:space="preserve"> any potential impacts on the tenant’s right to privacy. This ensures </w:t>
      </w:r>
      <w:r w:rsidR="00A4202B">
        <w:rPr>
          <w:rFonts w:ascii="Arial" w:hAnsi="Arial" w:cs="Arial"/>
          <w:iCs/>
          <w:sz w:val="24"/>
          <w:szCs w:val="24"/>
        </w:rPr>
        <w:t>the</w:t>
      </w:r>
      <w:r w:rsidRPr="00264F34">
        <w:rPr>
          <w:rFonts w:ascii="Arial" w:hAnsi="Arial" w:cs="Arial"/>
          <w:iCs/>
          <w:sz w:val="24"/>
          <w:szCs w:val="24"/>
        </w:rPr>
        <w:t xml:space="preserve"> limitation is proportionate to the </w:t>
      </w:r>
      <w:r w:rsidR="00A4202B">
        <w:rPr>
          <w:rFonts w:ascii="Arial" w:hAnsi="Arial" w:cs="Arial"/>
          <w:iCs/>
          <w:sz w:val="24"/>
          <w:szCs w:val="24"/>
        </w:rPr>
        <w:t xml:space="preserve">overall </w:t>
      </w:r>
      <w:r w:rsidRPr="00264F34">
        <w:rPr>
          <w:rFonts w:ascii="Arial" w:hAnsi="Arial" w:cs="Arial"/>
          <w:iCs/>
          <w:sz w:val="24"/>
          <w:szCs w:val="24"/>
        </w:rPr>
        <w:t>aim of allowing</w:t>
      </w:r>
      <w:r w:rsidR="00A4202B">
        <w:rPr>
          <w:rFonts w:ascii="Arial" w:hAnsi="Arial" w:cs="Arial"/>
          <w:iCs/>
          <w:sz w:val="24"/>
          <w:szCs w:val="24"/>
        </w:rPr>
        <w:t xml:space="preserve"> public housing or community housing programs to operate effectively.</w:t>
      </w:r>
      <w:r w:rsidRPr="00264F34">
        <w:rPr>
          <w:rFonts w:ascii="Arial" w:hAnsi="Arial" w:cs="Arial"/>
          <w:iCs/>
          <w:sz w:val="24"/>
          <w:szCs w:val="24"/>
        </w:rPr>
        <w:t xml:space="preserve"> </w:t>
      </w:r>
    </w:p>
    <w:p w14:paraId="200CC758" w14:textId="5AB7DBB3" w:rsidR="00687ABF" w:rsidRPr="00264F34" w:rsidRDefault="00687ABF" w:rsidP="00DA6700">
      <w:pPr>
        <w:rPr>
          <w:rFonts w:ascii="Arial" w:hAnsi="Arial" w:cs="Arial"/>
          <w:b/>
          <w:bCs/>
          <w:i/>
          <w:sz w:val="24"/>
          <w:szCs w:val="24"/>
        </w:rPr>
      </w:pPr>
      <w:r w:rsidRPr="00264F34">
        <w:rPr>
          <w:rFonts w:ascii="Arial" w:hAnsi="Arial" w:cs="Arial"/>
          <w:b/>
          <w:bCs/>
          <w:i/>
          <w:sz w:val="24"/>
          <w:szCs w:val="24"/>
        </w:rPr>
        <w:t xml:space="preserve">Right to Privacy - Termination when the tenant </w:t>
      </w:r>
      <w:r w:rsidR="005D5DF6">
        <w:rPr>
          <w:rFonts w:ascii="Arial" w:hAnsi="Arial" w:cs="Arial"/>
          <w:b/>
          <w:bCs/>
          <w:i/>
          <w:sz w:val="24"/>
          <w:szCs w:val="24"/>
        </w:rPr>
        <w:t xml:space="preserve">is </w:t>
      </w:r>
      <w:r w:rsidRPr="00264F34">
        <w:rPr>
          <w:rFonts w:ascii="Arial" w:hAnsi="Arial" w:cs="Arial"/>
          <w:b/>
          <w:bCs/>
          <w:i/>
          <w:sz w:val="24"/>
          <w:szCs w:val="24"/>
        </w:rPr>
        <w:t xml:space="preserve">no longer </w:t>
      </w:r>
      <w:r w:rsidR="005D5DF6">
        <w:rPr>
          <w:rFonts w:ascii="Arial" w:hAnsi="Arial" w:cs="Arial"/>
          <w:b/>
          <w:bCs/>
          <w:i/>
          <w:sz w:val="24"/>
          <w:szCs w:val="24"/>
        </w:rPr>
        <w:t xml:space="preserve">eligible </w:t>
      </w:r>
      <w:r w:rsidRPr="00264F34">
        <w:rPr>
          <w:rFonts w:ascii="Arial" w:hAnsi="Arial" w:cs="Arial"/>
          <w:b/>
          <w:bCs/>
          <w:i/>
          <w:sz w:val="24"/>
          <w:szCs w:val="24"/>
        </w:rPr>
        <w:t xml:space="preserve">for </w:t>
      </w:r>
      <w:r w:rsidR="00442201">
        <w:rPr>
          <w:rFonts w:ascii="Arial" w:hAnsi="Arial" w:cs="Arial"/>
          <w:b/>
          <w:bCs/>
          <w:i/>
          <w:sz w:val="24"/>
          <w:szCs w:val="24"/>
        </w:rPr>
        <w:t xml:space="preserve">a </w:t>
      </w:r>
      <w:r w:rsidR="00B21FF4">
        <w:rPr>
          <w:rFonts w:ascii="Arial" w:hAnsi="Arial" w:cs="Arial"/>
          <w:b/>
          <w:bCs/>
          <w:i/>
          <w:sz w:val="24"/>
          <w:szCs w:val="24"/>
        </w:rPr>
        <w:t xml:space="preserve">subsidised </w:t>
      </w:r>
      <w:r w:rsidR="005D5DF6" w:rsidRPr="00264F34">
        <w:rPr>
          <w:rFonts w:ascii="Arial" w:hAnsi="Arial" w:cs="Arial"/>
          <w:b/>
          <w:bCs/>
          <w:i/>
          <w:sz w:val="24"/>
          <w:szCs w:val="24"/>
        </w:rPr>
        <w:t>accommodation</w:t>
      </w:r>
      <w:r w:rsidRPr="00264F34">
        <w:rPr>
          <w:rFonts w:ascii="Arial" w:hAnsi="Arial" w:cs="Arial"/>
          <w:b/>
          <w:bCs/>
          <w:i/>
          <w:sz w:val="24"/>
          <w:szCs w:val="24"/>
        </w:rPr>
        <w:t xml:space="preserve"> program (other than programs provided by the Housing Commissioner)</w:t>
      </w:r>
    </w:p>
    <w:p w14:paraId="25484C0B" w14:textId="77777777" w:rsidR="00687ABF" w:rsidRPr="00264F34" w:rsidRDefault="00687ABF" w:rsidP="00DA6700">
      <w:pPr>
        <w:pStyle w:val="ListParagraph"/>
        <w:rPr>
          <w:rFonts w:ascii="Arial" w:hAnsi="Arial" w:cs="Arial"/>
          <w:i/>
          <w:sz w:val="24"/>
          <w:szCs w:val="24"/>
          <w:u w:val="single"/>
        </w:rPr>
      </w:pPr>
      <w:r w:rsidRPr="00264F34">
        <w:rPr>
          <w:rFonts w:ascii="Arial" w:hAnsi="Arial" w:cs="Arial"/>
          <w:i/>
          <w:sz w:val="24"/>
          <w:szCs w:val="24"/>
          <w:u w:val="single"/>
        </w:rPr>
        <w:t>Nature of the right and the limitation (ss 28 (2) (a) and (c))</w:t>
      </w:r>
    </w:p>
    <w:p w14:paraId="619A0A00" w14:textId="77777777" w:rsidR="00687ABF" w:rsidRPr="00264F34" w:rsidRDefault="00687ABF" w:rsidP="00D4599F">
      <w:pPr>
        <w:spacing w:after="0"/>
        <w:rPr>
          <w:rFonts w:ascii="Arial" w:hAnsi="Arial" w:cs="Arial"/>
          <w:iCs/>
          <w:sz w:val="24"/>
          <w:szCs w:val="24"/>
        </w:rPr>
      </w:pPr>
    </w:p>
    <w:p w14:paraId="33ACE6C5" w14:textId="4245378F" w:rsidR="00FF7AB6" w:rsidRPr="00FF7AB6" w:rsidRDefault="00687ABF" w:rsidP="00DA6700">
      <w:pPr>
        <w:rPr>
          <w:rFonts w:ascii="Arial" w:hAnsi="Arial" w:cs="Arial"/>
          <w:iCs/>
          <w:sz w:val="24"/>
          <w:szCs w:val="24"/>
        </w:rPr>
      </w:pPr>
      <w:r w:rsidRPr="00264F34">
        <w:rPr>
          <w:rFonts w:ascii="Arial" w:hAnsi="Arial" w:cs="Arial"/>
          <w:iCs/>
          <w:sz w:val="24"/>
          <w:szCs w:val="24"/>
        </w:rPr>
        <w:t xml:space="preserve">The Bill introduces a new tenancy termination provision which provides for the termination of a tenancy where the tenant </w:t>
      </w:r>
      <w:r w:rsidR="005D5DF6">
        <w:rPr>
          <w:rFonts w:ascii="Arial" w:hAnsi="Arial" w:cs="Arial"/>
          <w:iCs/>
          <w:sz w:val="24"/>
          <w:szCs w:val="24"/>
        </w:rPr>
        <w:t xml:space="preserve">is </w:t>
      </w:r>
      <w:r w:rsidRPr="00264F34">
        <w:rPr>
          <w:rFonts w:ascii="Arial" w:hAnsi="Arial" w:cs="Arial"/>
          <w:iCs/>
          <w:sz w:val="24"/>
          <w:szCs w:val="24"/>
        </w:rPr>
        <w:t xml:space="preserve">no longer </w:t>
      </w:r>
      <w:r w:rsidR="005D5DF6" w:rsidRPr="00264F34">
        <w:rPr>
          <w:rFonts w:ascii="Arial" w:hAnsi="Arial" w:cs="Arial"/>
          <w:iCs/>
          <w:sz w:val="24"/>
          <w:szCs w:val="24"/>
        </w:rPr>
        <w:t>eligible</w:t>
      </w:r>
      <w:r w:rsidRPr="00264F34">
        <w:rPr>
          <w:rFonts w:ascii="Arial" w:hAnsi="Arial" w:cs="Arial"/>
          <w:iCs/>
          <w:sz w:val="24"/>
          <w:szCs w:val="24"/>
        </w:rPr>
        <w:t xml:space="preserve"> for a </w:t>
      </w:r>
      <w:r w:rsidR="00B21FF4">
        <w:rPr>
          <w:rFonts w:ascii="Arial" w:hAnsi="Arial" w:cs="Arial"/>
          <w:iCs/>
          <w:sz w:val="24"/>
          <w:szCs w:val="24"/>
        </w:rPr>
        <w:t xml:space="preserve">subsidised accommodation </w:t>
      </w:r>
      <w:r w:rsidRPr="00264F34">
        <w:rPr>
          <w:rFonts w:ascii="Arial" w:hAnsi="Arial" w:cs="Arial"/>
          <w:iCs/>
          <w:sz w:val="24"/>
          <w:szCs w:val="24"/>
        </w:rPr>
        <w:t>program</w:t>
      </w:r>
      <w:r w:rsidR="00A4202B">
        <w:rPr>
          <w:rFonts w:ascii="Arial" w:hAnsi="Arial" w:cs="Arial"/>
          <w:iCs/>
          <w:sz w:val="24"/>
          <w:szCs w:val="24"/>
        </w:rPr>
        <w:t xml:space="preserve"> (or where the tenant has failed to provide the information to demonstrate their ongoing eligibility)</w:t>
      </w:r>
      <w:r w:rsidRPr="00264F34">
        <w:rPr>
          <w:rFonts w:ascii="Arial" w:hAnsi="Arial" w:cs="Arial"/>
          <w:iCs/>
          <w:sz w:val="24"/>
          <w:szCs w:val="24"/>
        </w:rPr>
        <w:t xml:space="preserve">. This termination provision engages and may limit a tenant’s right to privacy by creating a new ground on which a tenancy may be terminated. </w:t>
      </w:r>
    </w:p>
    <w:p w14:paraId="2B94F3EC" w14:textId="77777777" w:rsidR="00687ABF" w:rsidRPr="00264F34" w:rsidRDefault="00687ABF" w:rsidP="00A4202B">
      <w:pPr>
        <w:pStyle w:val="ListParagraph"/>
        <w:keepNext/>
        <w:rPr>
          <w:rFonts w:ascii="Arial" w:hAnsi="Arial" w:cs="Arial"/>
          <w:i/>
          <w:sz w:val="24"/>
          <w:szCs w:val="24"/>
          <w:u w:val="single"/>
        </w:rPr>
      </w:pPr>
      <w:r w:rsidRPr="00264F34">
        <w:rPr>
          <w:rFonts w:ascii="Arial" w:hAnsi="Arial" w:cs="Arial"/>
          <w:i/>
          <w:sz w:val="24"/>
          <w:szCs w:val="24"/>
          <w:u w:val="single"/>
        </w:rPr>
        <w:lastRenderedPageBreak/>
        <w:t>Legitimate purpose (s 28 (2) (b))</w:t>
      </w:r>
    </w:p>
    <w:p w14:paraId="0C5E669A" w14:textId="77777777" w:rsidR="00687ABF" w:rsidRPr="00264F34" w:rsidRDefault="00687ABF" w:rsidP="00A4202B">
      <w:pPr>
        <w:keepNext/>
        <w:spacing w:after="0"/>
        <w:rPr>
          <w:rFonts w:ascii="Arial" w:hAnsi="Arial" w:cs="Arial"/>
          <w:iCs/>
          <w:sz w:val="24"/>
          <w:szCs w:val="24"/>
        </w:rPr>
      </w:pPr>
    </w:p>
    <w:p w14:paraId="1C92C876" w14:textId="27115165" w:rsidR="00687ABF" w:rsidRPr="00264F34" w:rsidRDefault="00687ABF" w:rsidP="00A4202B">
      <w:pPr>
        <w:keepNext/>
        <w:rPr>
          <w:rFonts w:ascii="Arial" w:hAnsi="Arial" w:cs="Arial"/>
          <w:iCs/>
          <w:sz w:val="24"/>
          <w:szCs w:val="24"/>
        </w:rPr>
      </w:pPr>
      <w:r w:rsidRPr="00264F34">
        <w:rPr>
          <w:rFonts w:ascii="Arial" w:hAnsi="Arial" w:cs="Arial"/>
          <w:iCs/>
          <w:sz w:val="24"/>
          <w:szCs w:val="24"/>
        </w:rPr>
        <w:t xml:space="preserve">In a similar way to housing assistance programs, </w:t>
      </w:r>
      <w:r w:rsidR="00B21FF4">
        <w:rPr>
          <w:rFonts w:ascii="Arial" w:hAnsi="Arial" w:cs="Arial"/>
          <w:iCs/>
          <w:sz w:val="24"/>
          <w:szCs w:val="24"/>
        </w:rPr>
        <w:t xml:space="preserve">subsidised accommodation </w:t>
      </w:r>
      <w:r w:rsidRPr="00264F34">
        <w:rPr>
          <w:rFonts w:ascii="Arial" w:hAnsi="Arial" w:cs="Arial"/>
          <w:iCs/>
          <w:sz w:val="24"/>
          <w:szCs w:val="24"/>
        </w:rPr>
        <w:t xml:space="preserve">programs provide targeted accommodation assistance to eligible vulnerable community members. Again, these programs can be conceptualised as special measures, designed to protect and advance the rights of individuals </w:t>
      </w:r>
      <w:r w:rsidR="007531F5">
        <w:rPr>
          <w:rFonts w:ascii="Arial" w:hAnsi="Arial" w:cs="Arial"/>
          <w:iCs/>
          <w:sz w:val="24"/>
          <w:szCs w:val="24"/>
        </w:rPr>
        <w:t>and reduce discrimination and inequality</w:t>
      </w:r>
      <w:r w:rsidRPr="00264F34">
        <w:rPr>
          <w:rFonts w:ascii="Arial" w:hAnsi="Arial" w:cs="Arial"/>
          <w:iCs/>
          <w:sz w:val="24"/>
          <w:szCs w:val="24"/>
        </w:rPr>
        <w:t xml:space="preserve"> </w:t>
      </w:r>
      <w:r w:rsidR="007531F5">
        <w:rPr>
          <w:rFonts w:ascii="Arial" w:hAnsi="Arial" w:cs="Arial"/>
          <w:iCs/>
          <w:sz w:val="24"/>
          <w:szCs w:val="24"/>
        </w:rPr>
        <w:t>for</w:t>
      </w:r>
      <w:r w:rsidRPr="00264F34">
        <w:rPr>
          <w:rFonts w:ascii="Arial" w:hAnsi="Arial" w:cs="Arial"/>
          <w:iCs/>
          <w:sz w:val="24"/>
          <w:szCs w:val="24"/>
        </w:rPr>
        <w:t xml:space="preserve"> people experiencing socio-economic disadvantage, people living with a disability, refugees fleeing persecution etc. (noting different </w:t>
      </w:r>
      <w:r w:rsidR="00B21FF4">
        <w:rPr>
          <w:rFonts w:ascii="Arial" w:hAnsi="Arial" w:cs="Arial"/>
          <w:iCs/>
          <w:sz w:val="24"/>
          <w:szCs w:val="24"/>
        </w:rPr>
        <w:t xml:space="preserve">subsidised accommodation </w:t>
      </w:r>
      <w:r w:rsidRPr="00264F34">
        <w:rPr>
          <w:rFonts w:ascii="Arial" w:hAnsi="Arial" w:cs="Arial"/>
          <w:iCs/>
          <w:sz w:val="24"/>
          <w:szCs w:val="24"/>
        </w:rPr>
        <w:t xml:space="preserve">programs will target different groups). </w:t>
      </w:r>
    </w:p>
    <w:p w14:paraId="46211848" w14:textId="44E0D10F" w:rsidR="00687ABF" w:rsidRDefault="00687ABF" w:rsidP="00DA6700">
      <w:pPr>
        <w:rPr>
          <w:rFonts w:ascii="Arial" w:hAnsi="Arial" w:cs="Arial"/>
          <w:iCs/>
          <w:sz w:val="24"/>
          <w:szCs w:val="24"/>
        </w:rPr>
      </w:pPr>
      <w:r w:rsidRPr="00264F34">
        <w:rPr>
          <w:rFonts w:ascii="Arial" w:hAnsi="Arial" w:cs="Arial"/>
          <w:iCs/>
          <w:sz w:val="24"/>
          <w:szCs w:val="24"/>
        </w:rPr>
        <w:t xml:space="preserve">As with the termination provision which allows the Housing Commissioner to terminate a tenancy following a decision to withdraw </w:t>
      </w:r>
      <w:r w:rsidR="00D8572F">
        <w:rPr>
          <w:rFonts w:ascii="Arial" w:hAnsi="Arial" w:cs="Arial"/>
          <w:iCs/>
          <w:sz w:val="24"/>
          <w:szCs w:val="24"/>
        </w:rPr>
        <w:t xml:space="preserve">or cancel </w:t>
      </w:r>
      <w:r w:rsidRPr="00264F34">
        <w:rPr>
          <w:rFonts w:ascii="Arial" w:hAnsi="Arial" w:cs="Arial"/>
          <w:iCs/>
          <w:sz w:val="24"/>
          <w:szCs w:val="24"/>
        </w:rPr>
        <w:t xml:space="preserve">housing assistance, the purpose of </w:t>
      </w:r>
      <w:r w:rsidR="00A4202B">
        <w:rPr>
          <w:rFonts w:ascii="Arial" w:hAnsi="Arial" w:cs="Arial"/>
          <w:iCs/>
          <w:sz w:val="24"/>
          <w:szCs w:val="24"/>
        </w:rPr>
        <w:t>the</w:t>
      </w:r>
      <w:r w:rsidRPr="00264F34">
        <w:rPr>
          <w:rFonts w:ascii="Arial" w:hAnsi="Arial" w:cs="Arial"/>
          <w:iCs/>
          <w:sz w:val="24"/>
          <w:szCs w:val="24"/>
        </w:rPr>
        <w:t xml:space="preserve"> termination provision on the grounds </w:t>
      </w:r>
      <w:r w:rsidR="00A4202B">
        <w:rPr>
          <w:rFonts w:ascii="Arial" w:hAnsi="Arial" w:cs="Arial"/>
          <w:iCs/>
          <w:sz w:val="24"/>
          <w:szCs w:val="24"/>
        </w:rPr>
        <w:t xml:space="preserve">that </w:t>
      </w:r>
      <w:r w:rsidRPr="00264F34">
        <w:rPr>
          <w:rFonts w:ascii="Arial" w:hAnsi="Arial" w:cs="Arial"/>
          <w:iCs/>
          <w:sz w:val="24"/>
          <w:szCs w:val="24"/>
        </w:rPr>
        <w:t xml:space="preserve">the tenant is no longer eligible for </w:t>
      </w:r>
      <w:r w:rsidR="00B21FF4">
        <w:rPr>
          <w:rFonts w:ascii="Arial" w:hAnsi="Arial" w:cs="Arial"/>
          <w:iCs/>
          <w:sz w:val="24"/>
          <w:szCs w:val="24"/>
        </w:rPr>
        <w:t xml:space="preserve">subsidised accommodation </w:t>
      </w:r>
      <w:r w:rsidR="00A4202B">
        <w:rPr>
          <w:rFonts w:ascii="Arial" w:hAnsi="Arial" w:cs="Arial"/>
          <w:iCs/>
          <w:sz w:val="24"/>
          <w:szCs w:val="24"/>
        </w:rPr>
        <w:t>(</w:t>
      </w:r>
      <w:r w:rsidR="00D8572F">
        <w:rPr>
          <w:rFonts w:ascii="Arial" w:hAnsi="Arial" w:cs="Arial"/>
          <w:iCs/>
          <w:sz w:val="24"/>
          <w:szCs w:val="24"/>
        </w:rPr>
        <w:t>or where the tenant has failed to provide the information to demonstrate their ongoing eligibility</w:t>
      </w:r>
      <w:r w:rsidR="00A4202B">
        <w:rPr>
          <w:rFonts w:ascii="Arial" w:hAnsi="Arial" w:cs="Arial"/>
          <w:iCs/>
          <w:sz w:val="24"/>
          <w:szCs w:val="24"/>
        </w:rPr>
        <w:t>)</w:t>
      </w:r>
      <w:r w:rsidR="00D8572F">
        <w:rPr>
          <w:rFonts w:ascii="Arial" w:hAnsi="Arial" w:cs="Arial"/>
          <w:iCs/>
          <w:sz w:val="24"/>
          <w:szCs w:val="24"/>
        </w:rPr>
        <w:t xml:space="preserve"> </w:t>
      </w:r>
      <w:r w:rsidRPr="00264F34">
        <w:rPr>
          <w:rFonts w:ascii="Arial" w:hAnsi="Arial" w:cs="Arial"/>
          <w:iCs/>
          <w:sz w:val="24"/>
          <w:szCs w:val="24"/>
        </w:rPr>
        <w:t xml:space="preserve">is to ensure that these </w:t>
      </w:r>
      <w:r w:rsidR="00B21FF4">
        <w:rPr>
          <w:rFonts w:ascii="Arial" w:hAnsi="Arial" w:cs="Arial"/>
          <w:iCs/>
          <w:sz w:val="24"/>
          <w:szCs w:val="24"/>
        </w:rPr>
        <w:t xml:space="preserve">subsidised accommodation </w:t>
      </w:r>
      <w:r w:rsidRPr="00264F34">
        <w:rPr>
          <w:rFonts w:ascii="Arial" w:hAnsi="Arial" w:cs="Arial"/>
          <w:iCs/>
          <w:sz w:val="24"/>
          <w:szCs w:val="24"/>
        </w:rPr>
        <w:t xml:space="preserve">programs can continue to be targeted to those most in need. </w:t>
      </w:r>
    </w:p>
    <w:p w14:paraId="4D709CD1" w14:textId="1D7B006F" w:rsidR="00D8572F" w:rsidRPr="00264F34" w:rsidRDefault="00D8572F" w:rsidP="00DA6700">
      <w:pPr>
        <w:rPr>
          <w:rFonts w:ascii="Arial" w:hAnsi="Arial" w:cs="Arial"/>
          <w:iCs/>
          <w:sz w:val="24"/>
          <w:szCs w:val="24"/>
        </w:rPr>
      </w:pPr>
      <w:r>
        <w:rPr>
          <w:rFonts w:ascii="Arial" w:hAnsi="Arial" w:cs="Arial"/>
          <w:iCs/>
          <w:sz w:val="24"/>
          <w:szCs w:val="24"/>
        </w:rPr>
        <w:t>In the case of a failure to provide information</w:t>
      </w:r>
      <w:r w:rsidR="00A4202B">
        <w:rPr>
          <w:rFonts w:ascii="Arial" w:hAnsi="Arial" w:cs="Arial"/>
          <w:iCs/>
          <w:sz w:val="24"/>
          <w:szCs w:val="24"/>
        </w:rPr>
        <w:t>,</w:t>
      </w:r>
      <w:r>
        <w:rPr>
          <w:rFonts w:ascii="Arial" w:hAnsi="Arial" w:cs="Arial"/>
          <w:iCs/>
          <w:sz w:val="24"/>
          <w:szCs w:val="24"/>
        </w:rPr>
        <w:t xml:space="preserve"> it is noted that many subsidised accommodation pro</w:t>
      </w:r>
      <w:r w:rsidR="00A4202B">
        <w:rPr>
          <w:rFonts w:ascii="Arial" w:hAnsi="Arial" w:cs="Arial"/>
          <w:iCs/>
          <w:sz w:val="24"/>
          <w:szCs w:val="24"/>
        </w:rPr>
        <w:t xml:space="preserve">viders are subject to funding requirements whereby they must be able to </w:t>
      </w:r>
      <w:r>
        <w:rPr>
          <w:rFonts w:ascii="Arial" w:hAnsi="Arial" w:cs="Arial"/>
          <w:iCs/>
          <w:sz w:val="24"/>
          <w:szCs w:val="24"/>
        </w:rPr>
        <w:t>demonstrate that the</w:t>
      </w:r>
      <w:r w:rsidR="00A4202B">
        <w:rPr>
          <w:rFonts w:ascii="Arial" w:hAnsi="Arial" w:cs="Arial"/>
          <w:iCs/>
          <w:sz w:val="24"/>
          <w:szCs w:val="24"/>
        </w:rPr>
        <w:t>y are providing assistance to people who meet certain eligibility requirements.</w:t>
      </w:r>
      <w:r>
        <w:rPr>
          <w:rFonts w:ascii="Arial" w:hAnsi="Arial" w:cs="Arial"/>
          <w:iCs/>
          <w:sz w:val="24"/>
          <w:szCs w:val="24"/>
        </w:rPr>
        <w:t xml:space="preserve"> As such, where the tenant fails to provide information required to demonstrate eligibility, the outcome for the owner or lessor is the same as if the tenant were ineligible – that is, they may lose funding. </w:t>
      </w:r>
      <w:r w:rsidR="00A4202B">
        <w:rPr>
          <w:rFonts w:ascii="Arial" w:hAnsi="Arial" w:cs="Arial"/>
          <w:iCs/>
          <w:sz w:val="24"/>
          <w:szCs w:val="24"/>
        </w:rPr>
        <w:t>The</w:t>
      </w:r>
      <w:r w:rsidR="00BD4A9B">
        <w:rPr>
          <w:rFonts w:ascii="Arial" w:hAnsi="Arial" w:cs="Arial"/>
          <w:iCs/>
          <w:sz w:val="24"/>
          <w:szCs w:val="24"/>
        </w:rPr>
        <w:t xml:space="preserve"> legitimate purpose of this </w:t>
      </w:r>
      <w:r w:rsidR="00A4202B">
        <w:rPr>
          <w:rFonts w:ascii="Arial" w:hAnsi="Arial" w:cs="Arial"/>
          <w:iCs/>
          <w:sz w:val="24"/>
          <w:szCs w:val="24"/>
        </w:rPr>
        <w:t xml:space="preserve">termination </w:t>
      </w:r>
      <w:r w:rsidR="00BD4A9B">
        <w:rPr>
          <w:rFonts w:ascii="Arial" w:hAnsi="Arial" w:cs="Arial"/>
          <w:iCs/>
          <w:sz w:val="24"/>
          <w:szCs w:val="24"/>
        </w:rPr>
        <w:t xml:space="preserve">provision is to ensure the ongoing availability of subsidised accommodation programs by </w:t>
      </w:r>
      <w:r w:rsidR="00A4202B">
        <w:rPr>
          <w:rFonts w:ascii="Arial" w:hAnsi="Arial" w:cs="Arial"/>
          <w:iCs/>
          <w:sz w:val="24"/>
          <w:szCs w:val="24"/>
        </w:rPr>
        <w:t>ensuring they can meet their funding requirements and remain financially viable</w:t>
      </w:r>
      <w:r w:rsidR="00BD4A9B">
        <w:rPr>
          <w:rFonts w:ascii="Arial" w:hAnsi="Arial" w:cs="Arial"/>
          <w:iCs/>
          <w:sz w:val="24"/>
          <w:szCs w:val="24"/>
        </w:rPr>
        <w:t xml:space="preserve">. </w:t>
      </w:r>
      <w:r>
        <w:rPr>
          <w:rFonts w:ascii="Arial" w:hAnsi="Arial" w:cs="Arial"/>
          <w:iCs/>
          <w:sz w:val="24"/>
          <w:szCs w:val="24"/>
        </w:rPr>
        <w:t xml:space="preserve"> </w:t>
      </w:r>
    </w:p>
    <w:p w14:paraId="7EAD4B95" w14:textId="77777777" w:rsidR="00687ABF" w:rsidRPr="00264F34" w:rsidRDefault="00687ABF" w:rsidP="00DA6700">
      <w:pPr>
        <w:pStyle w:val="ListParagraph"/>
        <w:rPr>
          <w:rFonts w:ascii="Arial" w:hAnsi="Arial" w:cs="Arial"/>
          <w:i/>
          <w:sz w:val="24"/>
          <w:szCs w:val="24"/>
          <w:u w:val="single"/>
        </w:rPr>
      </w:pPr>
      <w:r w:rsidRPr="00264F34">
        <w:rPr>
          <w:rFonts w:ascii="Arial" w:hAnsi="Arial" w:cs="Arial"/>
          <w:i/>
          <w:sz w:val="24"/>
          <w:szCs w:val="24"/>
          <w:u w:val="single"/>
        </w:rPr>
        <w:t>Rational connection between the limitation and the purpose (s 28 (2) (d))</w:t>
      </w:r>
    </w:p>
    <w:p w14:paraId="593993A1" w14:textId="77777777" w:rsidR="00687ABF" w:rsidRPr="00264F34" w:rsidRDefault="00687ABF" w:rsidP="00D4599F">
      <w:pPr>
        <w:spacing w:after="0"/>
        <w:rPr>
          <w:rFonts w:ascii="Arial" w:hAnsi="Arial" w:cs="Arial"/>
          <w:iCs/>
          <w:sz w:val="24"/>
          <w:szCs w:val="24"/>
        </w:rPr>
      </w:pPr>
    </w:p>
    <w:p w14:paraId="10E1751D" w14:textId="69199C8A" w:rsidR="00687ABF" w:rsidRPr="00264F34" w:rsidRDefault="00687ABF" w:rsidP="00DA6700">
      <w:pPr>
        <w:rPr>
          <w:rFonts w:ascii="Arial" w:hAnsi="Arial" w:cs="Arial"/>
          <w:iCs/>
          <w:sz w:val="24"/>
          <w:szCs w:val="24"/>
        </w:rPr>
      </w:pPr>
      <w:r w:rsidRPr="00264F34">
        <w:rPr>
          <w:rFonts w:ascii="Arial" w:hAnsi="Arial" w:cs="Arial"/>
          <w:iCs/>
          <w:sz w:val="24"/>
          <w:szCs w:val="24"/>
        </w:rPr>
        <w:t xml:space="preserve">There is a rational connection between any limitation on the right to privacy arising from the lessor’s ability to terminate the tenancy and the purpose of the measure, which is to ensure the effective targeting </w:t>
      </w:r>
      <w:r w:rsidR="00BD4A9B">
        <w:rPr>
          <w:rFonts w:ascii="Arial" w:hAnsi="Arial" w:cs="Arial"/>
          <w:iCs/>
          <w:sz w:val="24"/>
          <w:szCs w:val="24"/>
        </w:rPr>
        <w:t xml:space="preserve">and availability </w:t>
      </w:r>
      <w:r w:rsidRPr="00264F34">
        <w:rPr>
          <w:rFonts w:ascii="Arial" w:hAnsi="Arial" w:cs="Arial"/>
          <w:iCs/>
          <w:sz w:val="24"/>
          <w:szCs w:val="24"/>
        </w:rPr>
        <w:t xml:space="preserve">of </w:t>
      </w:r>
      <w:r w:rsidR="00B21FF4">
        <w:rPr>
          <w:rFonts w:ascii="Arial" w:hAnsi="Arial" w:cs="Arial"/>
          <w:iCs/>
          <w:sz w:val="24"/>
          <w:szCs w:val="24"/>
        </w:rPr>
        <w:t xml:space="preserve">subsidised accommodation </w:t>
      </w:r>
      <w:r w:rsidRPr="00264F34">
        <w:rPr>
          <w:rFonts w:ascii="Arial" w:hAnsi="Arial" w:cs="Arial"/>
          <w:iCs/>
          <w:sz w:val="24"/>
          <w:szCs w:val="24"/>
        </w:rPr>
        <w:t>programs</w:t>
      </w:r>
      <w:r w:rsidR="00A4202B">
        <w:rPr>
          <w:rFonts w:ascii="Arial" w:hAnsi="Arial" w:cs="Arial"/>
          <w:iCs/>
          <w:sz w:val="24"/>
          <w:szCs w:val="24"/>
        </w:rPr>
        <w:t>.</w:t>
      </w:r>
      <w:r w:rsidRPr="00264F34">
        <w:rPr>
          <w:rFonts w:ascii="Arial" w:hAnsi="Arial" w:cs="Arial"/>
          <w:iCs/>
          <w:sz w:val="24"/>
          <w:szCs w:val="24"/>
        </w:rPr>
        <w:t xml:space="preserve"> </w:t>
      </w:r>
      <w:r w:rsidR="00A4202B">
        <w:rPr>
          <w:rFonts w:ascii="Arial" w:hAnsi="Arial" w:cs="Arial"/>
          <w:iCs/>
          <w:sz w:val="24"/>
          <w:szCs w:val="24"/>
        </w:rPr>
        <w:t>A</w:t>
      </w:r>
      <w:r w:rsidRPr="00264F34">
        <w:rPr>
          <w:rFonts w:ascii="Arial" w:hAnsi="Arial" w:cs="Arial"/>
          <w:iCs/>
          <w:sz w:val="24"/>
          <w:szCs w:val="24"/>
        </w:rPr>
        <w:t xml:space="preserve">llowing the termination of a tenancy for a person </w:t>
      </w:r>
      <w:r w:rsidR="00BD4A9B">
        <w:rPr>
          <w:rFonts w:ascii="Arial" w:hAnsi="Arial" w:cs="Arial"/>
          <w:iCs/>
          <w:sz w:val="24"/>
          <w:szCs w:val="24"/>
        </w:rPr>
        <w:t xml:space="preserve">is either </w:t>
      </w:r>
      <w:r w:rsidRPr="00264F34">
        <w:rPr>
          <w:rFonts w:ascii="Arial" w:hAnsi="Arial" w:cs="Arial"/>
          <w:iCs/>
          <w:sz w:val="24"/>
          <w:szCs w:val="24"/>
        </w:rPr>
        <w:t>no longer eligible</w:t>
      </w:r>
      <w:r w:rsidR="00A4202B">
        <w:rPr>
          <w:rFonts w:ascii="Arial" w:hAnsi="Arial" w:cs="Arial"/>
          <w:iCs/>
          <w:sz w:val="24"/>
          <w:szCs w:val="24"/>
        </w:rPr>
        <w:t>,</w:t>
      </w:r>
      <w:r w:rsidRPr="00264F34">
        <w:rPr>
          <w:rFonts w:ascii="Arial" w:hAnsi="Arial" w:cs="Arial"/>
          <w:iCs/>
          <w:sz w:val="24"/>
          <w:szCs w:val="24"/>
        </w:rPr>
        <w:t xml:space="preserve"> </w:t>
      </w:r>
      <w:r w:rsidR="00BD4A9B">
        <w:rPr>
          <w:rFonts w:ascii="Arial" w:hAnsi="Arial" w:cs="Arial"/>
          <w:iCs/>
          <w:sz w:val="24"/>
          <w:szCs w:val="24"/>
        </w:rPr>
        <w:t>or who does not positively demonstrate their eligibility</w:t>
      </w:r>
      <w:r w:rsidR="00A4202B">
        <w:rPr>
          <w:rFonts w:ascii="Arial" w:hAnsi="Arial" w:cs="Arial"/>
          <w:iCs/>
          <w:sz w:val="24"/>
          <w:szCs w:val="24"/>
        </w:rPr>
        <w:t>,</w:t>
      </w:r>
      <w:r w:rsidR="00BD4A9B">
        <w:rPr>
          <w:rFonts w:ascii="Arial" w:hAnsi="Arial" w:cs="Arial"/>
          <w:iCs/>
          <w:sz w:val="24"/>
          <w:szCs w:val="24"/>
        </w:rPr>
        <w:t xml:space="preserve"> </w:t>
      </w:r>
      <w:r w:rsidRPr="00264F34">
        <w:rPr>
          <w:rFonts w:ascii="Arial" w:hAnsi="Arial" w:cs="Arial"/>
          <w:iCs/>
          <w:sz w:val="24"/>
          <w:szCs w:val="24"/>
        </w:rPr>
        <w:t xml:space="preserve">for </w:t>
      </w:r>
      <w:r w:rsidR="00B21FF4">
        <w:rPr>
          <w:rFonts w:ascii="Arial" w:hAnsi="Arial" w:cs="Arial"/>
          <w:iCs/>
          <w:sz w:val="24"/>
          <w:szCs w:val="24"/>
        </w:rPr>
        <w:t xml:space="preserve">subsidised accommodation </w:t>
      </w:r>
      <w:r w:rsidRPr="00264F34">
        <w:rPr>
          <w:rFonts w:ascii="Arial" w:hAnsi="Arial" w:cs="Arial"/>
          <w:iCs/>
          <w:sz w:val="24"/>
          <w:szCs w:val="24"/>
        </w:rPr>
        <w:t xml:space="preserve">allows the property to be made available for someone who </w:t>
      </w:r>
      <w:r w:rsidRPr="00F82F3E">
        <w:rPr>
          <w:rFonts w:ascii="Arial" w:hAnsi="Arial" w:cs="Arial"/>
          <w:i/>
          <w:sz w:val="24"/>
          <w:szCs w:val="24"/>
        </w:rPr>
        <w:t>is</w:t>
      </w:r>
      <w:r w:rsidRPr="00264F34">
        <w:rPr>
          <w:rFonts w:ascii="Arial" w:hAnsi="Arial" w:cs="Arial"/>
          <w:iCs/>
          <w:sz w:val="24"/>
          <w:szCs w:val="24"/>
        </w:rPr>
        <w:t xml:space="preserve"> eligible for assistance.</w:t>
      </w:r>
      <w:r w:rsidR="00BD4A9B">
        <w:rPr>
          <w:rFonts w:ascii="Arial" w:hAnsi="Arial" w:cs="Arial"/>
          <w:iCs/>
          <w:sz w:val="24"/>
          <w:szCs w:val="24"/>
        </w:rPr>
        <w:t xml:space="preserve">  It also ensures the continued availability of subsidised accommodation by ensuring </w:t>
      </w:r>
      <w:r w:rsidR="00A4202B">
        <w:rPr>
          <w:rFonts w:ascii="Arial" w:hAnsi="Arial" w:cs="Arial"/>
          <w:iCs/>
          <w:sz w:val="24"/>
          <w:szCs w:val="24"/>
        </w:rPr>
        <w:t>the program providers can remain</w:t>
      </w:r>
      <w:r w:rsidR="00BD4A9B">
        <w:rPr>
          <w:rFonts w:ascii="Arial" w:hAnsi="Arial" w:cs="Arial"/>
          <w:iCs/>
          <w:sz w:val="24"/>
          <w:szCs w:val="24"/>
        </w:rPr>
        <w:t xml:space="preserve"> </w:t>
      </w:r>
      <w:r w:rsidR="00480D5F">
        <w:rPr>
          <w:rFonts w:ascii="Arial" w:hAnsi="Arial" w:cs="Arial"/>
          <w:iCs/>
          <w:sz w:val="24"/>
          <w:szCs w:val="24"/>
        </w:rPr>
        <w:t>financially</w:t>
      </w:r>
      <w:r w:rsidR="00BD4A9B">
        <w:rPr>
          <w:rFonts w:ascii="Arial" w:hAnsi="Arial" w:cs="Arial"/>
          <w:iCs/>
          <w:sz w:val="24"/>
          <w:szCs w:val="24"/>
        </w:rPr>
        <w:t xml:space="preserve"> viable. </w:t>
      </w:r>
    </w:p>
    <w:p w14:paraId="3456830C" w14:textId="77777777" w:rsidR="00687ABF" w:rsidRPr="00264F34" w:rsidRDefault="00687ABF" w:rsidP="00DA6700">
      <w:pPr>
        <w:pStyle w:val="ListParagraph"/>
        <w:rPr>
          <w:rFonts w:ascii="Arial" w:hAnsi="Arial" w:cs="Arial"/>
          <w:i/>
          <w:sz w:val="24"/>
          <w:szCs w:val="24"/>
          <w:u w:val="single"/>
        </w:rPr>
      </w:pPr>
      <w:r w:rsidRPr="00264F34">
        <w:rPr>
          <w:rFonts w:ascii="Arial" w:hAnsi="Arial" w:cs="Arial"/>
          <w:i/>
          <w:sz w:val="24"/>
          <w:szCs w:val="24"/>
          <w:u w:val="single"/>
        </w:rPr>
        <w:t>Proportionality (s 28 (2) (e))</w:t>
      </w:r>
    </w:p>
    <w:p w14:paraId="75EE2EF6" w14:textId="77777777" w:rsidR="00687ABF" w:rsidRPr="00264F34" w:rsidRDefault="00687ABF" w:rsidP="00D4599F">
      <w:pPr>
        <w:spacing w:after="0"/>
        <w:rPr>
          <w:rFonts w:ascii="Arial" w:hAnsi="Arial" w:cs="Arial"/>
          <w:iCs/>
          <w:sz w:val="24"/>
          <w:szCs w:val="24"/>
        </w:rPr>
      </w:pPr>
    </w:p>
    <w:p w14:paraId="4D8C77C5" w14:textId="2E4845E5" w:rsidR="00687ABF" w:rsidRDefault="00687ABF" w:rsidP="00DA6700">
      <w:pPr>
        <w:rPr>
          <w:rFonts w:ascii="Arial" w:hAnsi="Arial" w:cs="Arial"/>
          <w:iCs/>
          <w:sz w:val="24"/>
          <w:szCs w:val="24"/>
        </w:rPr>
      </w:pPr>
      <w:r w:rsidRPr="00264F34">
        <w:rPr>
          <w:rFonts w:ascii="Arial" w:hAnsi="Arial" w:cs="Arial"/>
          <w:iCs/>
          <w:sz w:val="24"/>
          <w:szCs w:val="24"/>
        </w:rPr>
        <w:t>There are several procedural safeguards built into this provision. These safeguards assist in ensuring that any potential limitations on the right to privacy aris</w:t>
      </w:r>
      <w:r w:rsidR="00F82F3E">
        <w:rPr>
          <w:rFonts w:ascii="Arial" w:hAnsi="Arial" w:cs="Arial"/>
          <w:iCs/>
          <w:sz w:val="24"/>
          <w:szCs w:val="24"/>
        </w:rPr>
        <w:t>ing</w:t>
      </w:r>
      <w:r w:rsidRPr="00264F34">
        <w:rPr>
          <w:rFonts w:ascii="Arial" w:hAnsi="Arial" w:cs="Arial"/>
          <w:iCs/>
          <w:sz w:val="24"/>
          <w:szCs w:val="24"/>
        </w:rPr>
        <w:t xml:space="preserve"> from this termination are proportionate to the purpose of the measure. </w:t>
      </w:r>
    </w:p>
    <w:p w14:paraId="7F2A7F2C" w14:textId="5FC7837F" w:rsidR="003E4109" w:rsidRDefault="003E4109" w:rsidP="00DA6700">
      <w:pPr>
        <w:rPr>
          <w:rFonts w:ascii="Arial" w:hAnsi="Arial" w:cs="Arial"/>
          <w:iCs/>
          <w:sz w:val="24"/>
          <w:szCs w:val="24"/>
        </w:rPr>
      </w:pPr>
      <w:r>
        <w:rPr>
          <w:rFonts w:ascii="Arial" w:hAnsi="Arial" w:cs="Arial"/>
          <w:iCs/>
          <w:sz w:val="24"/>
          <w:szCs w:val="24"/>
        </w:rPr>
        <w:t>T</w:t>
      </w:r>
      <w:r w:rsidR="00BD4A9B">
        <w:rPr>
          <w:rFonts w:ascii="Arial" w:hAnsi="Arial" w:cs="Arial"/>
          <w:iCs/>
          <w:sz w:val="24"/>
          <w:szCs w:val="24"/>
        </w:rPr>
        <w:t>he Bill place</w:t>
      </w:r>
      <w:r w:rsidR="00480D5F">
        <w:rPr>
          <w:rFonts w:ascii="Arial" w:hAnsi="Arial" w:cs="Arial"/>
          <w:iCs/>
          <w:sz w:val="24"/>
          <w:szCs w:val="24"/>
        </w:rPr>
        <w:t>s</w:t>
      </w:r>
      <w:r w:rsidR="00BD4A9B">
        <w:rPr>
          <w:rFonts w:ascii="Arial" w:hAnsi="Arial" w:cs="Arial"/>
          <w:iCs/>
          <w:sz w:val="24"/>
          <w:szCs w:val="24"/>
        </w:rPr>
        <w:t xml:space="preserve"> a pre-contractual obligation on the lessor to provide the tenant with information about the eligibility requirements to remain in the property (as distinct </w:t>
      </w:r>
      <w:r w:rsidR="00BD4A9B">
        <w:rPr>
          <w:rFonts w:ascii="Arial" w:hAnsi="Arial" w:cs="Arial"/>
          <w:iCs/>
          <w:sz w:val="24"/>
          <w:szCs w:val="24"/>
        </w:rPr>
        <w:lastRenderedPageBreak/>
        <w:t>from initially being allocated the property). Further, if the requirements change during the course of the tenancy (for example, if the applicable income thresholds change) the lessor must update the tenant of any changed eligibility requirements within 2</w:t>
      </w:r>
      <w:r w:rsidR="00AC03EC">
        <w:rPr>
          <w:rFonts w:ascii="Arial" w:hAnsi="Arial" w:cs="Arial"/>
          <w:iCs/>
          <w:sz w:val="24"/>
          <w:szCs w:val="24"/>
        </w:rPr>
        <w:t> </w:t>
      </w:r>
      <w:r w:rsidR="00BD4A9B">
        <w:rPr>
          <w:rFonts w:ascii="Arial" w:hAnsi="Arial" w:cs="Arial"/>
          <w:iCs/>
          <w:sz w:val="24"/>
          <w:szCs w:val="24"/>
        </w:rPr>
        <w:t>weeks of the change occurring. This ensures that a tenant is made of aware</w:t>
      </w:r>
      <w:r w:rsidR="00BD4A9B" w:rsidRPr="00AC03EC">
        <w:rPr>
          <w:rFonts w:ascii="Arial" w:hAnsi="Arial" w:cs="Arial"/>
          <w:i/>
          <w:sz w:val="24"/>
          <w:szCs w:val="24"/>
        </w:rPr>
        <w:t xml:space="preserve"> </w:t>
      </w:r>
      <w:r w:rsidR="00AC03EC" w:rsidRPr="00AC03EC">
        <w:rPr>
          <w:rFonts w:ascii="Arial" w:hAnsi="Arial" w:cs="Arial"/>
          <w:i/>
          <w:sz w:val="24"/>
          <w:szCs w:val="24"/>
        </w:rPr>
        <w:t>before</w:t>
      </w:r>
      <w:r w:rsidR="00AC03EC">
        <w:rPr>
          <w:rFonts w:ascii="Arial" w:hAnsi="Arial" w:cs="Arial"/>
          <w:iCs/>
          <w:sz w:val="24"/>
          <w:szCs w:val="24"/>
        </w:rPr>
        <w:t xml:space="preserve"> the tenancy commences </w:t>
      </w:r>
      <w:r w:rsidR="00BD4A9B">
        <w:rPr>
          <w:rFonts w:ascii="Arial" w:hAnsi="Arial" w:cs="Arial"/>
          <w:iCs/>
          <w:sz w:val="24"/>
          <w:szCs w:val="24"/>
        </w:rPr>
        <w:t xml:space="preserve">of </w:t>
      </w:r>
      <w:r w:rsidR="00AC03EC">
        <w:rPr>
          <w:rFonts w:ascii="Arial" w:hAnsi="Arial" w:cs="Arial"/>
          <w:iCs/>
          <w:sz w:val="24"/>
          <w:szCs w:val="24"/>
        </w:rPr>
        <w:t xml:space="preserve">the possible </w:t>
      </w:r>
      <w:r w:rsidR="00BD4A9B">
        <w:rPr>
          <w:rFonts w:ascii="Arial" w:hAnsi="Arial" w:cs="Arial"/>
          <w:iCs/>
          <w:sz w:val="24"/>
          <w:szCs w:val="24"/>
        </w:rPr>
        <w:t>bas</w:t>
      </w:r>
      <w:r w:rsidR="00AC03EC">
        <w:rPr>
          <w:rFonts w:ascii="Arial" w:hAnsi="Arial" w:cs="Arial"/>
          <w:iCs/>
          <w:sz w:val="24"/>
          <w:szCs w:val="24"/>
        </w:rPr>
        <w:t>e</w:t>
      </w:r>
      <w:r w:rsidR="00BD4A9B">
        <w:rPr>
          <w:rFonts w:ascii="Arial" w:hAnsi="Arial" w:cs="Arial"/>
          <w:iCs/>
          <w:sz w:val="24"/>
          <w:szCs w:val="24"/>
        </w:rPr>
        <w:t xml:space="preserve">s on which their tenancy can be ended. </w:t>
      </w:r>
    </w:p>
    <w:p w14:paraId="25AE3DC1" w14:textId="2E6D1BB1" w:rsidR="00BD4A9B" w:rsidRPr="00264F34" w:rsidRDefault="003E4109" w:rsidP="00DA6700">
      <w:pPr>
        <w:rPr>
          <w:rFonts w:ascii="Arial" w:hAnsi="Arial" w:cs="Arial"/>
          <w:iCs/>
          <w:sz w:val="24"/>
          <w:szCs w:val="24"/>
        </w:rPr>
      </w:pPr>
      <w:r>
        <w:rPr>
          <w:rFonts w:ascii="Arial" w:hAnsi="Arial" w:cs="Arial"/>
          <w:iCs/>
          <w:sz w:val="24"/>
          <w:szCs w:val="24"/>
        </w:rPr>
        <w:t>The provision also stipulates that a failure to provide information as required under the tenancy agreement is not taken to be a breach of the agreement. This prevents the lessor from electing to pursue the much faster termination pathway</w:t>
      </w:r>
      <w:r w:rsidR="00AC03EC">
        <w:rPr>
          <w:rFonts w:ascii="Arial" w:hAnsi="Arial" w:cs="Arial"/>
          <w:iCs/>
          <w:sz w:val="24"/>
          <w:szCs w:val="24"/>
        </w:rPr>
        <w:t xml:space="preserve"> of</w:t>
      </w:r>
      <w:r>
        <w:rPr>
          <w:rFonts w:ascii="Arial" w:hAnsi="Arial" w:cs="Arial"/>
          <w:iCs/>
          <w:sz w:val="24"/>
          <w:szCs w:val="24"/>
        </w:rPr>
        <w:t xml:space="preserve"> </w:t>
      </w:r>
      <w:r w:rsidR="00AC03EC">
        <w:rPr>
          <w:rFonts w:ascii="Arial" w:hAnsi="Arial" w:cs="Arial"/>
          <w:iCs/>
          <w:sz w:val="24"/>
          <w:szCs w:val="24"/>
        </w:rPr>
        <w:t xml:space="preserve">breach of tenancy </w:t>
      </w:r>
      <w:r>
        <w:rPr>
          <w:rFonts w:ascii="Arial" w:hAnsi="Arial" w:cs="Arial"/>
          <w:iCs/>
          <w:sz w:val="24"/>
          <w:szCs w:val="24"/>
        </w:rPr>
        <w:t xml:space="preserve">(which requires a 2 week notice to remedy, followed by a 2 week notice to vacate before an application to ACAT). It also ensures that if a TPO is sought on the basis of this ground, ACAT will need to consider if the termination is reasonable and proportionate in the circumstances. </w:t>
      </w:r>
    </w:p>
    <w:p w14:paraId="5E46E535" w14:textId="5D3AF41D" w:rsidR="00831107" w:rsidRDefault="00687ABF" w:rsidP="00DA6700">
      <w:pPr>
        <w:rPr>
          <w:rFonts w:ascii="Arial" w:hAnsi="Arial" w:cs="Arial"/>
          <w:iCs/>
          <w:sz w:val="24"/>
          <w:szCs w:val="24"/>
        </w:rPr>
      </w:pPr>
      <w:r w:rsidRPr="00264F34">
        <w:rPr>
          <w:rFonts w:ascii="Arial" w:hAnsi="Arial" w:cs="Arial"/>
          <w:iCs/>
          <w:sz w:val="24"/>
          <w:szCs w:val="24"/>
        </w:rPr>
        <w:t>Th</w:t>
      </w:r>
      <w:r w:rsidR="00AC03EC">
        <w:rPr>
          <w:rFonts w:ascii="Arial" w:hAnsi="Arial" w:cs="Arial"/>
          <w:iCs/>
          <w:sz w:val="24"/>
          <w:szCs w:val="24"/>
        </w:rPr>
        <w:t>e</w:t>
      </w:r>
      <w:r w:rsidRPr="00264F34">
        <w:rPr>
          <w:rFonts w:ascii="Arial" w:hAnsi="Arial" w:cs="Arial"/>
          <w:iCs/>
          <w:sz w:val="24"/>
          <w:szCs w:val="24"/>
        </w:rPr>
        <w:t xml:space="preserve"> termination provision requires that</w:t>
      </w:r>
      <w:r w:rsidR="00831107">
        <w:rPr>
          <w:rFonts w:ascii="Arial" w:hAnsi="Arial" w:cs="Arial"/>
          <w:iCs/>
          <w:sz w:val="24"/>
          <w:szCs w:val="24"/>
        </w:rPr>
        <w:t xml:space="preserve"> when a tenant is issued with a </w:t>
      </w:r>
      <w:r w:rsidR="00F82F3E">
        <w:rPr>
          <w:rFonts w:ascii="Arial" w:hAnsi="Arial" w:cs="Arial"/>
          <w:iCs/>
          <w:sz w:val="24"/>
          <w:szCs w:val="24"/>
        </w:rPr>
        <w:t>NTV</w:t>
      </w:r>
      <w:r w:rsidRPr="00264F34">
        <w:rPr>
          <w:rFonts w:ascii="Arial" w:hAnsi="Arial" w:cs="Arial"/>
          <w:iCs/>
          <w:sz w:val="24"/>
          <w:szCs w:val="24"/>
        </w:rPr>
        <w:t xml:space="preserve">, </w:t>
      </w:r>
      <w:r w:rsidR="00831107">
        <w:rPr>
          <w:rFonts w:ascii="Arial" w:hAnsi="Arial" w:cs="Arial"/>
          <w:iCs/>
          <w:sz w:val="24"/>
          <w:szCs w:val="24"/>
        </w:rPr>
        <w:t xml:space="preserve">the </w:t>
      </w:r>
      <w:r w:rsidR="00F82F3E">
        <w:rPr>
          <w:rFonts w:ascii="Arial" w:hAnsi="Arial" w:cs="Arial"/>
          <w:iCs/>
          <w:sz w:val="24"/>
          <w:szCs w:val="24"/>
        </w:rPr>
        <w:t xml:space="preserve">NTV </w:t>
      </w:r>
      <w:r w:rsidR="00831107">
        <w:rPr>
          <w:rFonts w:ascii="Arial" w:hAnsi="Arial" w:cs="Arial"/>
          <w:iCs/>
          <w:sz w:val="24"/>
          <w:szCs w:val="24"/>
        </w:rPr>
        <w:t>must include the lessor’s reasons as to why they consider the tenant is no longer eligible for the supported accommodation. In circumstances where a tenant disagrees with the reasons given</w:t>
      </w:r>
      <w:r w:rsidR="00F82F3E">
        <w:rPr>
          <w:rFonts w:ascii="Arial" w:hAnsi="Arial" w:cs="Arial"/>
          <w:iCs/>
          <w:sz w:val="24"/>
          <w:szCs w:val="24"/>
        </w:rPr>
        <w:t xml:space="preserve">, </w:t>
      </w:r>
      <w:r w:rsidR="00831107">
        <w:rPr>
          <w:rFonts w:ascii="Arial" w:hAnsi="Arial" w:cs="Arial"/>
          <w:iCs/>
          <w:sz w:val="24"/>
          <w:szCs w:val="24"/>
        </w:rPr>
        <w:t xml:space="preserve">the tenant may make a tenancy dispute application to ACAT. </w:t>
      </w:r>
      <w:r w:rsidR="00AC03EC">
        <w:rPr>
          <w:rFonts w:ascii="Arial" w:hAnsi="Arial" w:cs="Arial"/>
          <w:iCs/>
          <w:sz w:val="24"/>
          <w:szCs w:val="24"/>
        </w:rPr>
        <w:t xml:space="preserve">Further, </w:t>
      </w:r>
      <w:r w:rsidR="00831107">
        <w:rPr>
          <w:rFonts w:ascii="Arial" w:hAnsi="Arial" w:cs="Arial"/>
          <w:iCs/>
          <w:sz w:val="24"/>
          <w:szCs w:val="24"/>
        </w:rPr>
        <w:t>the lessor</w:t>
      </w:r>
      <w:r w:rsidR="00AC03EC">
        <w:rPr>
          <w:rFonts w:ascii="Arial" w:hAnsi="Arial" w:cs="Arial"/>
          <w:iCs/>
          <w:sz w:val="24"/>
          <w:szCs w:val="24"/>
        </w:rPr>
        <w:t xml:space="preserve"> is required</w:t>
      </w:r>
      <w:r w:rsidR="00831107">
        <w:rPr>
          <w:rFonts w:ascii="Arial" w:hAnsi="Arial" w:cs="Arial"/>
          <w:iCs/>
          <w:sz w:val="24"/>
          <w:szCs w:val="24"/>
        </w:rPr>
        <w:t xml:space="preserve"> to provide 26 </w:t>
      </w:r>
      <w:r w:rsidR="00F82F3E">
        <w:rPr>
          <w:rFonts w:ascii="Arial" w:hAnsi="Arial" w:cs="Arial"/>
          <w:iCs/>
          <w:sz w:val="24"/>
          <w:szCs w:val="24"/>
        </w:rPr>
        <w:t>weeks’ notice</w:t>
      </w:r>
      <w:r w:rsidR="00831107">
        <w:rPr>
          <w:rFonts w:ascii="Arial" w:hAnsi="Arial" w:cs="Arial"/>
          <w:iCs/>
          <w:sz w:val="24"/>
          <w:szCs w:val="24"/>
        </w:rPr>
        <w:t xml:space="preserve"> to the tenant</w:t>
      </w:r>
      <w:r w:rsidR="00F82F3E">
        <w:rPr>
          <w:rFonts w:ascii="Arial" w:hAnsi="Arial" w:cs="Arial"/>
          <w:iCs/>
          <w:sz w:val="24"/>
          <w:szCs w:val="24"/>
        </w:rPr>
        <w:t>,</w:t>
      </w:r>
      <w:r w:rsidR="00831107">
        <w:rPr>
          <w:rFonts w:ascii="Arial" w:hAnsi="Arial" w:cs="Arial"/>
          <w:iCs/>
          <w:sz w:val="24"/>
          <w:szCs w:val="24"/>
        </w:rPr>
        <w:t xml:space="preserve"> provid</w:t>
      </w:r>
      <w:r w:rsidR="00F82F3E">
        <w:rPr>
          <w:rFonts w:ascii="Arial" w:hAnsi="Arial" w:cs="Arial"/>
          <w:iCs/>
          <w:sz w:val="24"/>
          <w:szCs w:val="24"/>
        </w:rPr>
        <w:t>ing</w:t>
      </w:r>
      <w:r w:rsidR="00831107">
        <w:rPr>
          <w:rFonts w:ascii="Arial" w:hAnsi="Arial" w:cs="Arial"/>
          <w:iCs/>
          <w:sz w:val="24"/>
          <w:szCs w:val="24"/>
        </w:rPr>
        <w:t xml:space="preserve"> the tenant with an extended period of time to prepare for a move and to source alternative accommodation. </w:t>
      </w:r>
    </w:p>
    <w:p w14:paraId="79D7E8E1" w14:textId="3C740CD1" w:rsidR="00BD4A9B" w:rsidRDefault="00BD4A9B" w:rsidP="00DA6700">
      <w:pPr>
        <w:rPr>
          <w:rFonts w:ascii="Arial" w:hAnsi="Arial" w:cs="Arial"/>
          <w:iCs/>
          <w:sz w:val="24"/>
          <w:szCs w:val="24"/>
        </w:rPr>
      </w:pPr>
      <w:r>
        <w:rPr>
          <w:rFonts w:ascii="Arial" w:hAnsi="Arial" w:cs="Arial"/>
          <w:iCs/>
          <w:sz w:val="24"/>
          <w:szCs w:val="24"/>
        </w:rPr>
        <w:t>In circumstances where the NTV is issued on the basis</w:t>
      </w:r>
      <w:r w:rsidR="00AC03EC">
        <w:rPr>
          <w:rFonts w:ascii="Arial" w:hAnsi="Arial" w:cs="Arial"/>
          <w:iCs/>
          <w:sz w:val="24"/>
          <w:szCs w:val="24"/>
        </w:rPr>
        <w:t xml:space="preserve"> that</w:t>
      </w:r>
      <w:r>
        <w:rPr>
          <w:rFonts w:ascii="Arial" w:hAnsi="Arial" w:cs="Arial"/>
          <w:iCs/>
          <w:sz w:val="24"/>
          <w:szCs w:val="24"/>
        </w:rPr>
        <w:t xml:space="preserve"> the tenant has failed to provide the information required, the notice</w:t>
      </w:r>
      <w:r w:rsidR="00AC03EC">
        <w:rPr>
          <w:rFonts w:ascii="Arial" w:hAnsi="Arial" w:cs="Arial"/>
          <w:iCs/>
          <w:sz w:val="24"/>
          <w:szCs w:val="24"/>
        </w:rPr>
        <w:t xml:space="preserve"> to the tenant must</w:t>
      </w:r>
      <w:r>
        <w:rPr>
          <w:rFonts w:ascii="Arial" w:hAnsi="Arial" w:cs="Arial"/>
          <w:iCs/>
          <w:sz w:val="24"/>
          <w:szCs w:val="24"/>
        </w:rPr>
        <w:t xml:space="preserve"> include a statement that the tenant did not give the lessor the required information, the name and contact details of a legal or advocacy service and a statement that the notice will be withdrawn if the tenant give the lessor the requested information before the end of the period. This ensures the tenant is aware of the reasons for the termination and alerts them that there is action they can take to prevent the tenancy ending. </w:t>
      </w:r>
    </w:p>
    <w:p w14:paraId="4B0DF6F6" w14:textId="55DDF07A" w:rsidR="00BD4A9B" w:rsidRDefault="00BD4A9B" w:rsidP="00DA6700">
      <w:pPr>
        <w:rPr>
          <w:rFonts w:ascii="Arial" w:hAnsi="Arial" w:cs="Arial"/>
          <w:iCs/>
          <w:sz w:val="24"/>
          <w:szCs w:val="24"/>
        </w:rPr>
      </w:pPr>
      <w:r>
        <w:rPr>
          <w:rFonts w:ascii="Arial" w:hAnsi="Arial" w:cs="Arial"/>
          <w:iCs/>
          <w:sz w:val="24"/>
          <w:szCs w:val="24"/>
        </w:rPr>
        <w:t xml:space="preserve">In circumstances where the tenant does provide the required information, the NTV will automatically be withdrawn. </w:t>
      </w:r>
      <w:r w:rsidR="003E4109">
        <w:rPr>
          <w:rFonts w:ascii="Arial" w:hAnsi="Arial" w:cs="Arial"/>
          <w:iCs/>
          <w:sz w:val="24"/>
          <w:szCs w:val="24"/>
        </w:rPr>
        <w:t>If the tenant is subsequently assessed as ineligible</w:t>
      </w:r>
      <w:r w:rsidR="00AC03EC">
        <w:rPr>
          <w:rFonts w:ascii="Arial" w:hAnsi="Arial" w:cs="Arial"/>
          <w:iCs/>
          <w:sz w:val="24"/>
          <w:szCs w:val="24"/>
        </w:rPr>
        <w:t>,</w:t>
      </w:r>
      <w:r w:rsidR="003E4109">
        <w:rPr>
          <w:rFonts w:ascii="Arial" w:hAnsi="Arial" w:cs="Arial"/>
          <w:iCs/>
          <w:sz w:val="24"/>
          <w:szCs w:val="24"/>
        </w:rPr>
        <w:t xml:space="preserve"> then the provision allows the lessor to issue a new notice to vacate </w:t>
      </w:r>
      <w:r w:rsidR="00AC03EC">
        <w:rPr>
          <w:rFonts w:ascii="Arial" w:hAnsi="Arial" w:cs="Arial"/>
          <w:iCs/>
          <w:sz w:val="24"/>
          <w:szCs w:val="24"/>
        </w:rPr>
        <w:t>for a</w:t>
      </w:r>
      <w:r w:rsidR="003E4109">
        <w:rPr>
          <w:rFonts w:ascii="Arial" w:hAnsi="Arial" w:cs="Arial"/>
          <w:iCs/>
          <w:sz w:val="24"/>
          <w:szCs w:val="24"/>
        </w:rPr>
        <w:t xml:space="preserve"> date which is the later of the end of the original NTV period OR 12 weeks after the issue of the NTV. This provision balances the competing policy objectives of providing a reasonable time for the tenant to relocate against creating an incentive for ineligible tenants to be able to remain in the premises for longer by delaying the provision of information. </w:t>
      </w:r>
    </w:p>
    <w:p w14:paraId="5EF3F239" w14:textId="7E81BF4B" w:rsidR="00687ABF" w:rsidRPr="00264F34" w:rsidRDefault="00687ABF" w:rsidP="00DA6700">
      <w:pPr>
        <w:rPr>
          <w:rFonts w:ascii="Arial" w:hAnsi="Arial" w:cs="Arial"/>
          <w:b/>
          <w:bCs/>
          <w:i/>
          <w:sz w:val="24"/>
          <w:szCs w:val="24"/>
        </w:rPr>
      </w:pPr>
      <w:r w:rsidRPr="00264F34">
        <w:rPr>
          <w:rFonts w:ascii="Arial" w:hAnsi="Arial" w:cs="Arial"/>
          <w:b/>
          <w:bCs/>
          <w:i/>
          <w:sz w:val="24"/>
          <w:szCs w:val="24"/>
        </w:rPr>
        <w:t>Right to Privacy -</w:t>
      </w:r>
      <w:r w:rsidR="00442201">
        <w:rPr>
          <w:rFonts w:ascii="Arial" w:hAnsi="Arial" w:cs="Arial"/>
          <w:b/>
          <w:bCs/>
          <w:i/>
          <w:sz w:val="24"/>
          <w:szCs w:val="24"/>
        </w:rPr>
        <w:t xml:space="preserve"> </w:t>
      </w:r>
      <w:r w:rsidRPr="00264F34">
        <w:rPr>
          <w:rFonts w:ascii="Arial" w:hAnsi="Arial" w:cs="Arial"/>
          <w:b/>
          <w:bCs/>
          <w:i/>
          <w:sz w:val="24"/>
          <w:szCs w:val="24"/>
        </w:rPr>
        <w:t>Termination on the grounds a party to the agreement has threatened harassed, intimidated, or abused the other party to the agreement</w:t>
      </w:r>
    </w:p>
    <w:p w14:paraId="4FA068FF" w14:textId="77777777" w:rsidR="00687ABF" w:rsidRPr="00264F34" w:rsidRDefault="00687ABF" w:rsidP="00DA6700">
      <w:pPr>
        <w:pStyle w:val="ListParagraph"/>
        <w:rPr>
          <w:rFonts w:ascii="Arial" w:hAnsi="Arial" w:cs="Arial"/>
          <w:i/>
          <w:sz w:val="24"/>
          <w:szCs w:val="24"/>
          <w:u w:val="single"/>
        </w:rPr>
      </w:pPr>
      <w:r w:rsidRPr="00264F34">
        <w:rPr>
          <w:rFonts w:ascii="Arial" w:hAnsi="Arial" w:cs="Arial"/>
          <w:i/>
          <w:sz w:val="24"/>
          <w:szCs w:val="24"/>
          <w:u w:val="single"/>
        </w:rPr>
        <w:t>Nature of the right and the limitation (ss 28 (2) (a) and (c))</w:t>
      </w:r>
    </w:p>
    <w:p w14:paraId="57E8D4E1" w14:textId="77777777" w:rsidR="00687ABF" w:rsidRPr="00264F34" w:rsidRDefault="00687ABF" w:rsidP="00D4599F">
      <w:pPr>
        <w:spacing w:after="0"/>
        <w:rPr>
          <w:rFonts w:ascii="Arial" w:hAnsi="Arial" w:cs="Arial"/>
          <w:iCs/>
          <w:sz w:val="24"/>
          <w:szCs w:val="24"/>
        </w:rPr>
      </w:pPr>
    </w:p>
    <w:p w14:paraId="1A3B9834" w14:textId="61A224FD" w:rsidR="00687ABF" w:rsidRDefault="00687ABF" w:rsidP="00DA6700">
      <w:pPr>
        <w:rPr>
          <w:rFonts w:ascii="Arial" w:hAnsi="Arial" w:cs="Arial"/>
          <w:iCs/>
          <w:sz w:val="24"/>
          <w:szCs w:val="24"/>
        </w:rPr>
      </w:pPr>
      <w:r w:rsidRPr="00264F34">
        <w:rPr>
          <w:rFonts w:ascii="Arial" w:hAnsi="Arial" w:cs="Arial"/>
          <w:iCs/>
          <w:sz w:val="24"/>
          <w:szCs w:val="24"/>
        </w:rPr>
        <w:t>The Bill introduces new tenancy termination provision</w:t>
      </w:r>
      <w:r w:rsidR="00D8572F">
        <w:rPr>
          <w:rFonts w:ascii="Arial" w:hAnsi="Arial" w:cs="Arial"/>
          <w:iCs/>
          <w:sz w:val="24"/>
          <w:szCs w:val="24"/>
        </w:rPr>
        <w:t>s</w:t>
      </w:r>
      <w:r w:rsidRPr="00264F34">
        <w:rPr>
          <w:rFonts w:ascii="Arial" w:hAnsi="Arial" w:cs="Arial"/>
          <w:iCs/>
          <w:sz w:val="24"/>
          <w:szCs w:val="24"/>
        </w:rPr>
        <w:t xml:space="preserve"> which provide for the termination of a tenancy where one party to the agreement threatens, harasses, </w:t>
      </w:r>
      <w:r w:rsidRPr="00264F34">
        <w:rPr>
          <w:rFonts w:ascii="Arial" w:hAnsi="Arial" w:cs="Arial"/>
          <w:iCs/>
          <w:sz w:val="24"/>
          <w:szCs w:val="24"/>
        </w:rPr>
        <w:lastRenderedPageBreak/>
        <w:t xml:space="preserve">intimidates or abuses the other party to the agreement. </w:t>
      </w:r>
      <w:r w:rsidR="00831107">
        <w:rPr>
          <w:rFonts w:ascii="Arial" w:hAnsi="Arial" w:cs="Arial"/>
          <w:iCs/>
          <w:sz w:val="24"/>
          <w:szCs w:val="24"/>
        </w:rPr>
        <w:t>T</w:t>
      </w:r>
      <w:r w:rsidRPr="00264F34">
        <w:rPr>
          <w:rFonts w:ascii="Arial" w:hAnsi="Arial" w:cs="Arial"/>
          <w:iCs/>
          <w:sz w:val="24"/>
          <w:szCs w:val="24"/>
        </w:rPr>
        <w:t>his termination provision will be available to both lessors and tenant</w:t>
      </w:r>
      <w:r w:rsidR="00AC03EC">
        <w:rPr>
          <w:rFonts w:ascii="Arial" w:hAnsi="Arial" w:cs="Arial"/>
          <w:iCs/>
          <w:sz w:val="24"/>
          <w:szCs w:val="24"/>
        </w:rPr>
        <w:t>s. For</w:t>
      </w:r>
      <w:r w:rsidR="00831107">
        <w:rPr>
          <w:rFonts w:ascii="Arial" w:hAnsi="Arial" w:cs="Arial"/>
          <w:iCs/>
          <w:sz w:val="24"/>
          <w:szCs w:val="24"/>
        </w:rPr>
        <w:t xml:space="preserve"> tenants</w:t>
      </w:r>
      <w:r w:rsidR="00AC03EC">
        <w:rPr>
          <w:rFonts w:ascii="Arial" w:hAnsi="Arial" w:cs="Arial"/>
          <w:iCs/>
          <w:sz w:val="24"/>
          <w:szCs w:val="24"/>
        </w:rPr>
        <w:t>,</w:t>
      </w:r>
      <w:r w:rsidR="00831107">
        <w:rPr>
          <w:rFonts w:ascii="Arial" w:hAnsi="Arial" w:cs="Arial"/>
          <w:iCs/>
          <w:sz w:val="24"/>
          <w:szCs w:val="24"/>
        </w:rPr>
        <w:t xml:space="preserve"> </w:t>
      </w:r>
      <w:r w:rsidRPr="00264F34">
        <w:rPr>
          <w:rFonts w:ascii="Arial" w:hAnsi="Arial" w:cs="Arial"/>
          <w:iCs/>
          <w:sz w:val="24"/>
          <w:szCs w:val="24"/>
        </w:rPr>
        <w:t>the provision will engage and may limit a tenant’s right to privacy by creating a new ground on which a tenancy may be terminated. Although available to both parties</w:t>
      </w:r>
      <w:r w:rsidR="00F82F3E">
        <w:rPr>
          <w:rFonts w:ascii="Arial" w:hAnsi="Arial" w:cs="Arial"/>
          <w:iCs/>
          <w:sz w:val="24"/>
          <w:szCs w:val="24"/>
        </w:rPr>
        <w:t>,</w:t>
      </w:r>
      <w:r w:rsidRPr="00264F34">
        <w:rPr>
          <w:rFonts w:ascii="Arial" w:hAnsi="Arial" w:cs="Arial"/>
          <w:iCs/>
          <w:sz w:val="24"/>
          <w:szCs w:val="24"/>
        </w:rPr>
        <w:t xml:space="preserve"> it will more directly impact on </w:t>
      </w:r>
      <w:r w:rsidR="00AC03EC">
        <w:rPr>
          <w:rFonts w:ascii="Arial" w:hAnsi="Arial" w:cs="Arial"/>
          <w:iCs/>
          <w:sz w:val="24"/>
          <w:szCs w:val="24"/>
        </w:rPr>
        <w:t xml:space="preserve">the right to privacy of </w:t>
      </w:r>
      <w:r w:rsidRPr="00264F34">
        <w:rPr>
          <w:rFonts w:ascii="Arial" w:hAnsi="Arial" w:cs="Arial"/>
          <w:iCs/>
          <w:sz w:val="24"/>
          <w:szCs w:val="24"/>
        </w:rPr>
        <w:t xml:space="preserve">tenants </w:t>
      </w:r>
      <w:r w:rsidR="00AC03EC">
        <w:rPr>
          <w:rFonts w:ascii="Arial" w:hAnsi="Arial" w:cs="Arial"/>
          <w:iCs/>
          <w:sz w:val="24"/>
          <w:szCs w:val="24"/>
        </w:rPr>
        <w:t xml:space="preserve">rather than </w:t>
      </w:r>
      <w:r w:rsidRPr="00264F34">
        <w:rPr>
          <w:rFonts w:ascii="Arial" w:hAnsi="Arial" w:cs="Arial"/>
          <w:iCs/>
          <w:sz w:val="24"/>
          <w:szCs w:val="24"/>
        </w:rPr>
        <w:t>lessors</w:t>
      </w:r>
      <w:r w:rsidR="00AC03EC">
        <w:rPr>
          <w:rFonts w:ascii="Arial" w:hAnsi="Arial" w:cs="Arial"/>
          <w:iCs/>
          <w:sz w:val="24"/>
          <w:szCs w:val="24"/>
        </w:rPr>
        <w:t>,</w:t>
      </w:r>
      <w:r w:rsidRPr="00264F34">
        <w:rPr>
          <w:rFonts w:ascii="Arial" w:hAnsi="Arial" w:cs="Arial"/>
          <w:iCs/>
          <w:sz w:val="24"/>
          <w:szCs w:val="24"/>
        </w:rPr>
        <w:t xml:space="preserve"> as the consequence of tenancy termination for a tenant is an interference with their home, whereas for a lessor the impact may be a financial impact associated with re</w:t>
      </w:r>
      <w:r w:rsidR="00453888">
        <w:rPr>
          <w:rFonts w:ascii="Arial" w:hAnsi="Arial" w:cs="Arial"/>
          <w:iCs/>
          <w:sz w:val="24"/>
          <w:szCs w:val="24"/>
        </w:rPr>
        <w:t>-</w:t>
      </w:r>
      <w:r w:rsidRPr="00264F34">
        <w:rPr>
          <w:rFonts w:ascii="Arial" w:hAnsi="Arial" w:cs="Arial"/>
          <w:iCs/>
          <w:sz w:val="24"/>
          <w:szCs w:val="24"/>
        </w:rPr>
        <w:t xml:space="preserve">letting the property. </w:t>
      </w:r>
    </w:p>
    <w:p w14:paraId="3F8D40C0" w14:textId="64C6CAB4" w:rsidR="00D8572F" w:rsidRPr="00264F34" w:rsidRDefault="00D8572F" w:rsidP="00DA6700">
      <w:pPr>
        <w:rPr>
          <w:rFonts w:ascii="Arial" w:hAnsi="Arial" w:cs="Arial"/>
          <w:iCs/>
          <w:sz w:val="24"/>
          <w:szCs w:val="24"/>
        </w:rPr>
      </w:pPr>
      <w:r>
        <w:rPr>
          <w:rFonts w:ascii="Arial" w:hAnsi="Arial" w:cs="Arial"/>
          <w:iCs/>
          <w:sz w:val="24"/>
          <w:szCs w:val="24"/>
        </w:rPr>
        <w:t>A tenant may apply to ACAT on the grounds that the lessor has threatened, harassed, intimidated or abused them under section 4</w:t>
      </w:r>
      <w:r w:rsidR="00C9134D">
        <w:rPr>
          <w:rFonts w:ascii="Arial" w:hAnsi="Arial" w:cs="Arial"/>
          <w:iCs/>
          <w:sz w:val="24"/>
          <w:szCs w:val="24"/>
        </w:rPr>
        <w:t>5</w:t>
      </w:r>
      <w:r>
        <w:rPr>
          <w:rFonts w:ascii="Arial" w:hAnsi="Arial" w:cs="Arial"/>
          <w:iCs/>
          <w:sz w:val="24"/>
          <w:szCs w:val="24"/>
        </w:rPr>
        <w:t>A. A landlord may make an equivalent application under section 51A. These provisions will be discussed in turn below.</w:t>
      </w:r>
    </w:p>
    <w:p w14:paraId="7B4ABBE8" w14:textId="77777777" w:rsidR="00687ABF" w:rsidRPr="00264F34" w:rsidRDefault="00687ABF" w:rsidP="00DA6700">
      <w:pPr>
        <w:pStyle w:val="ListParagraph"/>
        <w:rPr>
          <w:rFonts w:ascii="Arial" w:hAnsi="Arial" w:cs="Arial"/>
          <w:i/>
          <w:sz w:val="24"/>
          <w:szCs w:val="24"/>
          <w:u w:val="single"/>
        </w:rPr>
      </w:pPr>
      <w:r w:rsidRPr="00264F34">
        <w:rPr>
          <w:rFonts w:ascii="Arial" w:hAnsi="Arial" w:cs="Arial"/>
          <w:i/>
          <w:sz w:val="24"/>
          <w:szCs w:val="24"/>
          <w:u w:val="single"/>
        </w:rPr>
        <w:t>Legitimate purpose (s 28 (2) (b))</w:t>
      </w:r>
    </w:p>
    <w:p w14:paraId="7D17BC3F" w14:textId="77777777" w:rsidR="00687ABF" w:rsidRPr="00264F34" w:rsidRDefault="00687ABF" w:rsidP="00D4599F">
      <w:pPr>
        <w:spacing w:after="0"/>
        <w:rPr>
          <w:rFonts w:ascii="Arial" w:hAnsi="Arial" w:cs="Arial"/>
          <w:iCs/>
          <w:sz w:val="24"/>
          <w:szCs w:val="24"/>
          <w:u w:val="single"/>
        </w:rPr>
      </w:pPr>
    </w:p>
    <w:p w14:paraId="129DBE97" w14:textId="626EED2C" w:rsidR="00687ABF" w:rsidRPr="00264F34" w:rsidRDefault="00687ABF" w:rsidP="00DA6700">
      <w:pPr>
        <w:rPr>
          <w:rFonts w:ascii="Arial" w:hAnsi="Arial" w:cs="Arial"/>
          <w:iCs/>
          <w:sz w:val="24"/>
          <w:szCs w:val="24"/>
        </w:rPr>
      </w:pPr>
      <w:r w:rsidRPr="00264F34">
        <w:rPr>
          <w:rFonts w:ascii="Arial" w:hAnsi="Arial" w:cs="Arial"/>
          <w:iCs/>
          <w:sz w:val="24"/>
          <w:szCs w:val="24"/>
        </w:rPr>
        <w:t>The purpose of th</w:t>
      </w:r>
      <w:r w:rsidR="00D8572F">
        <w:rPr>
          <w:rFonts w:ascii="Arial" w:hAnsi="Arial" w:cs="Arial"/>
          <w:iCs/>
          <w:sz w:val="24"/>
          <w:szCs w:val="24"/>
        </w:rPr>
        <w:t>ese</w:t>
      </w:r>
      <w:r w:rsidRPr="00264F34">
        <w:rPr>
          <w:rFonts w:ascii="Arial" w:hAnsi="Arial" w:cs="Arial"/>
          <w:iCs/>
          <w:sz w:val="24"/>
          <w:szCs w:val="24"/>
        </w:rPr>
        <w:t xml:space="preserve"> termination provision</w:t>
      </w:r>
      <w:r w:rsidR="003E4109">
        <w:rPr>
          <w:rFonts w:ascii="Arial" w:hAnsi="Arial" w:cs="Arial"/>
          <w:iCs/>
          <w:sz w:val="24"/>
          <w:szCs w:val="24"/>
        </w:rPr>
        <w:t>s</w:t>
      </w:r>
      <w:r w:rsidRPr="00264F34">
        <w:rPr>
          <w:rFonts w:ascii="Arial" w:hAnsi="Arial" w:cs="Arial"/>
          <w:iCs/>
          <w:sz w:val="24"/>
          <w:szCs w:val="24"/>
        </w:rPr>
        <w:t xml:space="preserve"> is to support an individual’s ability to live free from intimidation, harassment or abuse. The provision provides both parties timely recourse </w:t>
      </w:r>
      <w:r w:rsidR="00AC03EC">
        <w:rPr>
          <w:rFonts w:ascii="Arial" w:hAnsi="Arial" w:cs="Arial"/>
          <w:iCs/>
          <w:sz w:val="24"/>
          <w:szCs w:val="24"/>
        </w:rPr>
        <w:t>– t</w:t>
      </w:r>
      <w:r w:rsidRPr="00264F34">
        <w:rPr>
          <w:rFonts w:ascii="Arial" w:hAnsi="Arial" w:cs="Arial"/>
          <w:iCs/>
          <w:sz w:val="24"/>
          <w:szCs w:val="24"/>
        </w:rPr>
        <w:t xml:space="preserve">he ability to end the tenancy in a relatively short timeframe – in circumstances where they are subjected to inappropriate behaviour by the other party.  </w:t>
      </w:r>
    </w:p>
    <w:p w14:paraId="48A56A84" w14:textId="77777777" w:rsidR="00687ABF" w:rsidRPr="00264F34" w:rsidRDefault="00687ABF" w:rsidP="00DA6700">
      <w:pPr>
        <w:pStyle w:val="ListParagraph"/>
        <w:rPr>
          <w:rFonts w:ascii="Arial" w:hAnsi="Arial" w:cs="Arial"/>
          <w:i/>
          <w:sz w:val="24"/>
          <w:szCs w:val="24"/>
          <w:u w:val="single"/>
        </w:rPr>
      </w:pPr>
      <w:r w:rsidRPr="00264F34">
        <w:rPr>
          <w:rFonts w:ascii="Arial" w:hAnsi="Arial" w:cs="Arial"/>
          <w:i/>
          <w:sz w:val="24"/>
          <w:szCs w:val="24"/>
          <w:u w:val="single"/>
        </w:rPr>
        <w:t>Rational connection between the limitation and the purpose (s 28 (2) (d))</w:t>
      </w:r>
    </w:p>
    <w:p w14:paraId="0CF4249F" w14:textId="77777777" w:rsidR="00687ABF" w:rsidRPr="00264F34" w:rsidRDefault="00687ABF" w:rsidP="00D4599F">
      <w:pPr>
        <w:spacing w:after="0"/>
        <w:rPr>
          <w:rFonts w:ascii="Arial" w:hAnsi="Arial" w:cs="Arial"/>
          <w:i/>
          <w:sz w:val="24"/>
          <w:szCs w:val="24"/>
          <w:u w:val="single"/>
        </w:rPr>
      </w:pPr>
    </w:p>
    <w:p w14:paraId="0D2D9300" w14:textId="1B143BB0" w:rsidR="00687ABF" w:rsidRPr="00264F34" w:rsidRDefault="00687ABF" w:rsidP="00DA6700">
      <w:pPr>
        <w:rPr>
          <w:rFonts w:ascii="Arial" w:hAnsi="Arial" w:cs="Arial"/>
          <w:iCs/>
          <w:sz w:val="24"/>
          <w:szCs w:val="24"/>
        </w:rPr>
      </w:pPr>
      <w:r w:rsidRPr="00264F34">
        <w:rPr>
          <w:rFonts w:ascii="Arial" w:hAnsi="Arial" w:cs="Arial"/>
          <w:iCs/>
          <w:sz w:val="24"/>
          <w:szCs w:val="24"/>
        </w:rPr>
        <w:t>There is a rational connection between allowing a tenancy to be terminated when a party has engaged in inappropriate conduct and ensuring a person can live free from intimidation, harassment or abuse as ending the tenancy severs the contractual relationship between the parties</w:t>
      </w:r>
      <w:r w:rsidR="00831107">
        <w:rPr>
          <w:rFonts w:ascii="Arial" w:hAnsi="Arial" w:cs="Arial"/>
          <w:iCs/>
          <w:sz w:val="24"/>
          <w:szCs w:val="24"/>
        </w:rPr>
        <w:t>,</w:t>
      </w:r>
      <w:r w:rsidRPr="00264F34">
        <w:rPr>
          <w:rFonts w:ascii="Arial" w:hAnsi="Arial" w:cs="Arial"/>
          <w:iCs/>
          <w:sz w:val="24"/>
          <w:szCs w:val="24"/>
        </w:rPr>
        <w:t xml:space="preserve"> allow</w:t>
      </w:r>
      <w:r w:rsidR="00831107">
        <w:rPr>
          <w:rFonts w:ascii="Arial" w:hAnsi="Arial" w:cs="Arial"/>
          <w:iCs/>
          <w:sz w:val="24"/>
          <w:szCs w:val="24"/>
        </w:rPr>
        <w:t>ing</w:t>
      </w:r>
      <w:r w:rsidRPr="00264F34">
        <w:rPr>
          <w:rFonts w:ascii="Arial" w:hAnsi="Arial" w:cs="Arial"/>
          <w:iCs/>
          <w:sz w:val="24"/>
          <w:szCs w:val="24"/>
        </w:rPr>
        <w:t xml:space="preserve"> them to part ways.   </w:t>
      </w:r>
    </w:p>
    <w:p w14:paraId="286D130F" w14:textId="77777777" w:rsidR="00687ABF" w:rsidRPr="00264F34" w:rsidRDefault="00687ABF" w:rsidP="00DA6700">
      <w:pPr>
        <w:ind w:firstLine="720"/>
        <w:rPr>
          <w:rFonts w:ascii="Arial" w:hAnsi="Arial" w:cs="Arial"/>
          <w:i/>
          <w:sz w:val="24"/>
          <w:szCs w:val="24"/>
          <w:u w:val="single"/>
        </w:rPr>
      </w:pPr>
      <w:r w:rsidRPr="00264F34">
        <w:rPr>
          <w:rFonts w:ascii="Arial" w:hAnsi="Arial" w:cs="Arial"/>
          <w:i/>
          <w:sz w:val="24"/>
          <w:szCs w:val="24"/>
          <w:u w:val="single"/>
        </w:rPr>
        <w:t>Proportionality (s 28 (2) (e))</w:t>
      </w:r>
    </w:p>
    <w:p w14:paraId="7B80F8CB" w14:textId="15191AF7" w:rsidR="00687ABF" w:rsidRPr="00264F34" w:rsidRDefault="00687ABF" w:rsidP="00DA6700">
      <w:pPr>
        <w:rPr>
          <w:rFonts w:ascii="Arial" w:hAnsi="Arial" w:cs="Arial"/>
          <w:iCs/>
          <w:sz w:val="24"/>
          <w:szCs w:val="24"/>
        </w:rPr>
      </w:pPr>
      <w:r w:rsidRPr="00264F34">
        <w:rPr>
          <w:rFonts w:ascii="Arial" w:hAnsi="Arial" w:cs="Arial"/>
          <w:iCs/>
          <w:sz w:val="24"/>
          <w:szCs w:val="24"/>
        </w:rPr>
        <w:t>The provision</w:t>
      </w:r>
      <w:r w:rsidR="00D8572F">
        <w:rPr>
          <w:rFonts w:ascii="Arial" w:hAnsi="Arial" w:cs="Arial"/>
          <w:iCs/>
          <w:sz w:val="24"/>
          <w:szCs w:val="24"/>
        </w:rPr>
        <w:t>s</w:t>
      </w:r>
      <w:r w:rsidRPr="00264F34">
        <w:rPr>
          <w:rFonts w:ascii="Arial" w:hAnsi="Arial" w:cs="Arial"/>
          <w:iCs/>
          <w:sz w:val="24"/>
          <w:szCs w:val="24"/>
        </w:rPr>
        <w:t xml:space="preserve"> build in several safeguards to ensure any limitation on the right to privacy is proportionate to the goal of ensuring a party can live free from threats, intimidation, harassment or abuse. The provision requires the aggrieved party to apply to ACAT for an order to end the tenancy. However, the provision expressly grants ACAT a discretion as to whether to end the tenancy, providing that it may only end the tenancy in these circumstances where it is appropriate to do so. Further, the provision gives ACAT significant guidance as to factors it must consider when determining if tenancy termination is appropriate in the circumstances. These factors include: </w:t>
      </w:r>
    </w:p>
    <w:p w14:paraId="1DD5757D" w14:textId="6AA3C03F" w:rsidR="00687ABF" w:rsidRPr="00264F34" w:rsidRDefault="00687ABF" w:rsidP="00DA6700">
      <w:pPr>
        <w:pStyle w:val="ListParagraph"/>
        <w:numPr>
          <w:ilvl w:val="0"/>
          <w:numId w:val="12"/>
        </w:numPr>
        <w:rPr>
          <w:rFonts w:ascii="Arial" w:hAnsi="Arial" w:cs="Arial"/>
          <w:sz w:val="24"/>
          <w:szCs w:val="24"/>
        </w:rPr>
      </w:pPr>
      <w:r w:rsidRPr="00264F34">
        <w:rPr>
          <w:rFonts w:ascii="Arial" w:hAnsi="Arial" w:cs="Arial"/>
          <w:sz w:val="24"/>
          <w:szCs w:val="24"/>
        </w:rPr>
        <w:t>the nature, frequency</w:t>
      </w:r>
      <w:r w:rsidR="00453888">
        <w:rPr>
          <w:rFonts w:ascii="Arial" w:hAnsi="Arial" w:cs="Arial"/>
          <w:sz w:val="24"/>
          <w:szCs w:val="24"/>
        </w:rPr>
        <w:t xml:space="preserve"> and </w:t>
      </w:r>
      <w:r w:rsidRPr="00264F34">
        <w:rPr>
          <w:rFonts w:ascii="Arial" w:hAnsi="Arial" w:cs="Arial"/>
          <w:sz w:val="24"/>
          <w:szCs w:val="24"/>
        </w:rPr>
        <w:t xml:space="preserve">duration of the conduct; </w:t>
      </w:r>
    </w:p>
    <w:p w14:paraId="73207882" w14:textId="5A53F2DB" w:rsidR="00687ABF" w:rsidRPr="00264F34" w:rsidRDefault="00687ABF" w:rsidP="00DA6700">
      <w:pPr>
        <w:pStyle w:val="ListParagraph"/>
        <w:numPr>
          <w:ilvl w:val="0"/>
          <w:numId w:val="12"/>
        </w:numPr>
        <w:rPr>
          <w:rFonts w:ascii="Arial" w:hAnsi="Arial" w:cs="Arial"/>
          <w:sz w:val="24"/>
          <w:szCs w:val="24"/>
        </w:rPr>
      </w:pPr>
      <w:r w:rsidRPr="00264F34">
        <w:rPr>
          <w:rFonts w:ascii="Arial" w:hAnsi="Arial" w:cs="Arial"/>
          <w:sz w:val="24"/>
          <w:szCs w:val="24"/>
        </w:rPr>
        <w:t>the circumstances of the conduct, including any behaviour of the other party to the agreement or related person</w:t>
      </w:r>
      <w:r w:rsidR="00AC03EC">
        <w:rPr>
          <w:rFonts w:ascii="Arial" w:hAnsi="Arial" w:cs="Arial"/>
          <w:sz w:val="24"/>
          <w:szCs w:val="24"/>
        </w:rPr>
        <w:t>;</w:t>
      </w:r>
      <w:r w:rsidRPr="00264F34">
        <w:rPr>
          <w:rFonts w:ascii="Arial" w:hAnsi="Arial" w:cs="Arial"/>
          <w:sz w:val="24"/>
          <w:szCs w:val="24"/>
        </w:rPr>
        <w:t xml:space="preserve"> </w:t>
      </w:r>
    </w:p>
    <w:p w14:paraId="3FBC03FE" w14:textId="77777777" w:rsidR="00687ABF" w:rsidRPr="00264F34" w:rsidRDefault="00687ABF" w:rsidP="00DA6700">
      <w:pPr>
        <w:pStyle w:val="ListParagraph"/>
        <w:numPr>
          <w:ilvl w:val="0"/>
          <w:numId w:val="12"/>
        </w:numPr>
        <w:rPr>
          <w:rFonts w:ascii="Arial" w:hAnsi="Arial" w:cs="Arial"/>
          <w:sz w:val="24"/>
          <w:szCs w:val="24"/>
        </w:rPr>
      </w:pPr>
      <w:r w:rsidRPr="00264F34">
        <w:rPr>
          <w:rFonts w:ascii="Arial" w:hAnsi="Arial" w:cs="Arial"/>
          <w:sz w:val="24"/>
          <w:szCs w:val="24"/>
        </w:rPr>
        <w:t xml:space="preserve">whether conduct is likely to continue; </w:t>
      </w:r>
    </w:p>
    <w:p w14:paraId="2AF20F5A" w14:textId="00C0690D" w:rsidR="00687ABF" w:rsidRPr="00264F34" w:rsidRDefault="00687ABF" w:rsidP="00DA6700">
      <w:pPr>
        <w:pStyle w:val="ListParagraph"/>
        <w:numPr>
          <w:ilvl w:val="0"/>
          <w:numId w:val="12"/>
        </w:numPr>
        <w:rPr>
          <w:rFonts w:ascii="Arial" w:hAnsi="Arial" w:cs="Arial"/>
          <w:sz w:val="24"/>
          <w:szCs w:val="24"/>
        </w:rPr>
      </w:pPr>
      <w:r w:rsidRPr="00264F34">
        <w:rPr>
          <w:rFonts w:ascii="Arial" w:hAnsi="Arial" w:cs="Arial"/>
          <w:sz w:val="24"/>
          <w:szCs w:val="24"/>
        </w:rPr>
        <w:t xml:space="preserve">whether the </w:t>
      </w:r>
      <w:r w:rsidR="003E4109">
        <w:rPr>
          <w:rFonts w:ascii="Arial" w:hAnsi="Arial" w:cs="Arial"/>
          <w:sz w:val="24"/>
          <w:szCs w:val="24"/>
        </w:rPr>
        <w:t>person</w:t>
      </w:r>
      <w:r w:rsidR="003E4109" w:rsidRPr="00264F34">
        <w:rPr>
          <w:rFonts w:ascii="Arial" w:hAnsi="Arial" w:cs="Arial"/>
          <w:sz w:val="24"/>
          <w:szCs w:val="24"/>
        </w:rPr>
        <w:t xml:space="preserve"> </w:t>
      </w:r>
      <w:r w:rsidRPr="00264F34">
        <w:rPr>
          <w:rFonts w:ascii="Arial" w:hAnsi="Arial" w:cs="Arial"/>
          <w:sz w:val="24"/>
          <w:szCs w:val="24"/>
        </w:rPr>
        <w:t>has</w:t>
      </w:r>
      <w:r w:rsidR="003E4109">
        <w:rPr>
          <w:rFonts w:ascii="Arial" w:hAnsi="Arial" w:cs="Arial"/>
          <w:sz w:val="24"/>
          <w:szCs w:val="24"/>
        </w:rPr>
        <w:t xml:space="preserve"> stopped</w:t>
      </w:r>
      <w:r w:rsidR="00AC03EC">
        <w:rPr>
          <w:rFonts w:ascii="Arial" w:hAnsi="Arial" w:cs="Arial"/>
          <w:sz w:val="24"/>
          <w:szCs w:val="24"/>
        </w:rPr>
        <w:t xml:space="preserve"> the conduct</w:t>
      </w:r>
      <w:r w:rsidRPr="00264F34">
        <w:rPr>
          <w:rFonts w:ascii="Arial" w:hAnsi="Arial" w:cs="Arial"/>
          <w:sz w:val="24"/>
          <w:szCs w:val="24"/>
        </w:rPr>
        <w:t xml:space="preserve">, or </w:t>
      </w:r>
      <w:r w:rsidR="003E4109">
        <w:rPr>
          <w:rFonts w:ascii="Arial" w:hAnsi="Arial" w:cs="Arial"/>
          <w:sz w:val="24"/>
          <w:szCs w:val="24"/>
        </w:rPr>
        <w:t xml:space="preserve">has agreed to stop and </w:t>
      </w:r>
      <w:r w:rsidRPr="00264F34">
        <w:rPr>
          <w:rFonts w:ascii="Arial" w:hAnsi="Arial" w:cs="Arial"/>
          <w:sz w:val="24"/>
          <w:szCs w:val="24"/>
        </w:rPr>
        <w:t>is likely to</w:t>
      </w:r>
      <w:r w:rsidR="003E4109">
        <w:rPr>
          <w:rFonts w:ascii="Arial" w:hAnsi="Arial" w:cs="Arial"/>
          <w:sz w:val="24"/>
          <w:szCs w:val="24"/>
        </w:rPr>
        <w:t xml:space="preserve"> do so</w:t>
      </w:r>
      <w:r w:rsidRPr="00264F34">
        <w:rPr>
          <w:rFonts w:ascii="Arial" w:hAnsi="Arial" w:cs="Arial"/>
          <w:sz w:val="24"/>
          <w:szCs w:val="24"/>
        </w:rPr>
        <w:t>;</w:t>
      </w:r>
    </w:p>
    <w:p w14:paraId="2343AEA3" w14:textId="5EFF5816" w:rsidR="00687ABF" w:rsidRPr="00264F34" w:rsidRDefault="00687ABF" w:rsidP="00DA6700">
      <w:pPr>
        <w:pStyle w:val="ListParagraph"/>
        <w:numPr>
          <w:ilvl w:val="0"/>
          <w:numId w:val="12"/>
        </w:numPr>
        <w:rPr>
          <w:rFonts w:ascii="Arial" w:hAnsi="Arial" w:cs="Arial"/>
          <w:sz w:val="24"/>
          <w:szCs w:val="24"/>
        </w:rPr>
      </w:pPr>
      <w:r w:rsidRPr="00264F34">
        <w:rPr>
          <w:rFonts w:ascii="Arial" w:hAnsi="Arial" w:cs="Arial"/>
          <w:sz w:val="24"/>
          <w:szCs w:val="24"/>
        </w:rPr>
        <w:lastRenderedPageBreak/>
        <w:t>any family violence order or protection order made against the tenant by the Magistrates Court</w:t>
      </w:r>
      <w:r w:rsidR="00AC03EC">
        <w:rPr>
          <w:rFonts w:ascii="Arial" w:hAnsi="Arial" w:cs="Arial"/>
          <w:sz w:val="24"/>
          <w:szCs w:val="24"/>
        </w:rPr>
        <w:t xml:space="preserve"> </w:t>
      </w:r>
      <w:r w:rsidRPr="00264F34">
        <w:rPr>
          <w:rFonts w:ascii="Arial" w:hAnsi="Arial" w:cs="Arial"/>
          <w:sz w:val="24"/>
          <w:szCs w:val="24"/>
        </w:rPr>
        <w:t>(or a similar order made in a different jurisdiction)</w:t>
      </w:r>
      <w:r w:rsidR="00AC03EC">
        <w:rPr>
          <w:rFonts w:ascii="Arial" w:hAnsi="Arial" w:cs="Arial"/>
          <w:sz w:val="24"/>
          <w:szCs w:val="24"/>
        </w:rPr>
        <w:t>;</w:t>
      </w:r>
    </w:p>
    <w:p w14:paraId="768F6CDE" w14:textId="77777777" w:rsidR="00687ABF" w:rsidRPr="00264F34" w:rsidRDefault="00687ABF" w:rsidP="00DA6700">
      <w:pPr>
        <w:pStyle w:val="ListParagraph"/>
        <w:numPr>
          <w:ilvl w:val="0"/>
          <w:numId w:val="12"/>
        </w:numPr>
        <w:rPr>
          <w:rFonts w:ascii="Arial" w:hAnsi="Arial" w:cs="Arial"/>
          <w:sz w:val="24"/>
          <w:szCs w:val="24"/>
        </w:rPr>
      </w:pPr>
      <w:r w:rsidRPr="00264F34">
        <w:rPr>
          <w:rFonts w:ascii="Arial" w:hAnsi="Arial" w:cs="Arial"/>
          <w:sz w:val="24"/>
          <w:szCs w:val="24"/>
        </w:rPr>
        <w:t xml:space="preserve">the effect of the conduct on the other party; </w:t>
      </w:r>
    </w:p>
    <w:p w14:paraId="77506FB0" w14:textId="5B7B91DE" w:rsidR="00687ABF" w:rsidRPr="00264F34" w:rsidRDefault="00687ABF" w:rsidP="00DA6700">
      <w:pPr>
        <w:pStyle w:val="ListParagraph"/>
        <w:numPr>
          <w:ilvl w:val="0"/>
          <w:numId w:val="12"/>
        </w:numPr>
        <w:rPr>
          <w:rFonts w:ascii="Arial" w:hAnsi="Arial" w:cs="Arial"/>
          <w:sz w:val="24"/>
          <w:szCs w:val="24"/>
        </w:rPr>
      </w:pPr>
      <w:r w:rsidRPr="00264F34">
        <w:rPr>
          <w:rFonts w:ascii="Arial" w:hAnsi="Arial" w:cs="Arial"/>
          <w:sz w:val="24"/>
          <w:szCs w:val="24"/>
        </w:rPr>
        <w:t xml:space="preserve">whether any other order under </w:t>
      </w:r>
      <w:r w:rsidR="0054249F">
        <w:rPr>
          <w:rFonts w:ascii="Arial" w:hAnsi="Arial" w:cs="Arial"/>
          <w:sz w:val="24"/>
          <w:szCs w:val="24"/>
        </w:rPr>
        <w:t>the RTA</w:t>
      </w:r>
      <w:r w:rsidRPr="00264F34">
        <w:rPr>
          <w:rFonts w:ascii="Arial" w:hAnsi="Arial" w:cs="Arial"/>
          <w:sz w:val="24"/>
          <w:szCs w:val="24"/>
        </w:rPr>
        <w:t xml:space="preserve"> is reasonably available (such as an order for specific performance under section 83)</w:t>
      </w:r>
      <w:r w:rsidR="004E3BF4">
        <w:rPr>
          <w:rFonts w:ascii="Arial" w:hAnsi="Arial" w:cs="Arial"/>
          <w:sz w:val="24"/>
          <w:szCs w:val="24"/>
        </w:rPr>
        <w:t>; and</w:t>
      </w:r>
    </w:p>
    <w:p w14:paraId="63D9BAA1" w14:textId="77777777" w:rsidR="00687ABF" w:rsidRPr="00264F34" w:rsidRDefault="00687ABF" w:rsidP="00DA6700">
      <w:pPr>
        <w:pStyle w:val="ListParagraph"/>
        <w:numPr>
          <w:ilvl w:val="0"/>
          <w:numId w:val="12"/>
        </w:numPr>
        <w:rPr>
          <w:rFonts w:ascii="Arial" w:hAnsi="Arial" w:cs="Arial"/>
          <w:sz w:val="24"/>
          <w:szCs w:val="24"/>
        </w:rPr>
      </w:pPr>
      <w:r w:rsidRPr="00264F34">
        <w:rPr>
          <w:rFonts w:ascii="Arial" w:hAnsi="Arial" w:cs="Arial"/>
          <w:sz w:val="24"/>
          <w:szCs w:val="24"/>
        </w:rPr>
        <w:t>any other matter the ACAT considers relevant.</w:t>
      </w:r>
    </w:p>
    <w:p w14:paraId="32D9B0E5" w14:textId="77777777" w:rsidR="00687ABF" w:rsidRPr="00264F34" w:rsidRDefault="00687ABF" w:rsidP="00D4599F">
      <w:pPr>
        <w:spacing w:after="0"/>
        <w:rPr>
          <w:rFonts w:ascii="Arial" w:hAnsi="Arial" w:cs="Arial"/>
          <w:sz w:val="24"/>
          <w:szCs w:val="24"/>
        </w:rPr>
      </w:pPr>
    </w:p>
    <w:p w14:paraId="64640513" w14:textId="3AB108F5" w:rsidR="00687ABF" w:rsidRPr="00264F34" w:rsidRDefault="00687ABF" w:rsidP="00DA6700">
      <w:pPr>
        <w:rPr>
          <w:rFonts w:ascii="Arial" w:hAnsi="Arial" w:cs="Arial"/>
          <w:sz w:val="24"/>
          <w:szCs w:val="24"/>
        </w:rPr>
      </w:pPr>
      <w:r w:rsidRPr="00264F34">
        <w:rPr>
          <w:rFonts w:ascii="Arial" w:hAnsi="Arial" w:cs="Arial"/>
          <w:sz w:val="24"/>
          <w:szCs w:val="24"/>
        </w:rPr>
        <w:t xml:space="preserve">These factors guide ACAT through a range of </w:t>
      </w:r>
      <w:r w:rsidR="004E3BF4">
        <w:rPr>
          <w:rFonts w:ascii="Arial" w:hAnsi="Arial" w:cs="Arial"/>
          <w:sz w:val="24"/>
          <w:szCs w:val="24"/>
        </w:rPr>
        <w:t xml:space="preserve">circumstances </w:t>
      </w:r>
      <w:r w:rsidRPr="00264F34">
        <w:rPr>
          <w:rFonts w:ascii="Arial" w:hAnsi="Arial" w:cs="Arial"/>
          <w:sz w:val="24"/>
          <w:szCs w:val="24"/>
        </w:rPr>
        <w:t>that may be impacting on both parties and require ACAT to weigh the seriousness of the conduct that has occurred</w:t>
      </w:r>
      <w:r w:rsidR="00AC03EC">
        <w:rPr>
          <w:rFonts w:ascii="Arial" w:hAnsi="Arial" w:cs="Arial"/>
          <w:sz w:val="24"/>
          <w:szCs w:val="24"/>
        </w:rPr>
        <w:t xml:space="preserve"> </w:t>
      </w:r>
      <w:r w:rsidRPr="00264F34">
        <w:rPr>
          <w:rFonts w:ascii="Arial" w:hAnsi="Arial" w:cs="Arial"/>
          <w:sz w:val="24"/>
          <w:szCs w:val="24"/>
        </w:rPr>
        <w:t xml:space="preserve">against the seriousness of ordering a tenancy termination. </w:t>
      </w:r>
    </w:p>
    <w:p w14:paraId="6C239978" w14:textId="4D348353" w:rsidR="00687ABF" w:rsidRDefault="00687ABF" w:rsidP="00DA6700">
      <w:pPr>
        <w:rPr>
          <w:rFonts w:ascii="Arial" w:hAnsi="Arial" w:cs="Arial"/>
          <w:sz w:val="24"/>
          <w:szCs w:val="24"/>
        </w:rPr>
      </w:pPr>
      <w:r w:rsidRPr="00264F34">
        <w:rPr>
          <w:rFonts w:ascii="Arial" w:hAnsi="Arial" w:cs="Arial"/>
          <w:sz w:val="24"/>
          <w:szCs w:val="24"/>
        </w:rPr>
        <w:t xml:space="preserve">Further, in the event ACAT </w:t>
      </w:r>
      <w:r w:rsidR="00AC03EC">
        <w:rPr>
          <w:rFonts w:ascii="Arial" w:hAnsi="Arial" w:cs="Arial"/>
          <w:sz w:val="24"/>
          <w:szCs w:val="24"/>
        </w:rPr>
        <w:t>determines that it is</w:t>
      </w:r>
      <w:r w:rsidRPr="00264F34">
        <w:rPr>
          <w:rFonts w:ascii="Arial" w:hAnsi="Arial" w:cs="Arial"/>
          <w:sz w:val="24"/>
          <w:szCs w:val="24"/>
        </w:rPr>
        <w:t xml:space="preserve"> appropriate to end the tenancy, where the order will result in the eviction of the tenant, ACAT also has the discretion to suspend the termination order for up to 3 weeks where the impact of not suspending the order would create greater hardship for the tenant than the lessor. </w:t>
      </w:r>
    </w:p>
    <w:p w14:paraId="412AAF9A" w14:textId="69E377BE" w:rsidR="00D8572F" w:rsidRDefault="00D8572F" w:rsidP="00D8572F">
      <w:pPr>
        <w:rPr>
          <w:rFonts w:ascii="Arial" w:hAnsi="Arial" w:cs="Arial"/>
          <w:sz w:val="24"/>
          <w:szCs w:val="24"/>
        </w:rPr>
      </w:pPr>
      <w:r w:rsidRPr="00273555">
        <w:rPr>
          <w:rFonts w:ascii="Arial" w:hAnsi="Arial" w:cs="Arial"/>
          <w:sz w:val="24"/>
          <w:szCs w:val="24"/>
        </w:rPr>
        <w:t>Introducing these termination provisions will not impact lessors and tenants equally. Where a tenancy is terminated under section 51A, a tenant’s right to privacy is significantly limited; they will be forced to vacate their home. However, where a tenancy is terminated under section 4</w:t>
      </w:r>
      <w:r w:rsidR="00C9134D">
        <w:rPr>
          <w:rFonts w:ascii="Arial" w:hAnsi="Arial" w:cs="Arial"/>
          <w:sz w:val="24"/>
          <w:szCs w:val="24"/>
        </w:rPr>
        <w:t>5</w:t>
      </w:r>
      <w:r w:rsidRPr="00273555">
        <w:rPr>
          <w:rFonts w:ascii="Arial" w:hAnsi="Arial" w:cs="Arial"/>
          <w:sz w:val="24"/>
          <w:szCs w:val="24"/>
        </w:rPr>
        <w:t>A, a tenant is choosing to exit the tenancy and the impact on the lessor’s right to privacy is limited to the financial burden of re</w:t>
      </w:r>
      <w:r w:rsidR="00AC03EC">
        <w:rPr>
          <w:rFonts w:ascii="Arial" w:hAnsi="Arial" w:cs="Arial"/>
          <w:sz w:val="24"/>
          <w:szCs w:val="24"/>
        </w:rPr>
        <w:noBreakHyphen/>
      </w:r>
      <w:r w:rsidRPr="00273555">
        <w:rPr>
          <w:rFonts w:ascii="Arial" w:hAnsi="Arial" w:cs="Arial"/>
          <w:sz w:val="24"/>
          <w:szCs w:val="24"/>
        </w:rPr>
        <w:t>letting the property. In recognition of this, sections 4</w:t>
      </w:r>
      <w:r w:rsidR="00C9134D">
        <w:rPr>
          <w:rFonts w:ascii="Arial" w:hAnsi="Arial" w:cs="Arial"/>
          <w:sz w:val="24"/>
          <w:szCs w:val="24"/>
        </w:rPr>
        <w:t>5</w:t>
      </w:r>
      <w:r w:rsidRPr="00273555">
        <w:rPr>
          <w:rFonts w:ascii="Arial" w:hAnsi="Arial" w:cs="Arial"/>
          <w:sz w:val="24"/>
          <w:szCs w:val="24"/>
        </w:rPr>
        <w:t xml:space="preserve">A and 51A are constructed differently. </w:t>
      </w:r>
    </w:p>
    <w:p w14:paraId="1D9F898E" w14:textId="7F2ACD98" w:rsidR="00D8572F" w:rsidRDefault="00D8572F" w:rsidP="00D8572F">
      <w:pPr>
        <w:rPr>
          <w:rFonts w:ascii="Arial" w:hAnsi="Arial" w:cs="Arial"/>
          <w:sz w:val="24"/>
          <w:szCs w:val="24"/>
        </w:rPr>
      </w:pPr>
      <w:r>
        <w:rPr>
          <w:rFonts w:ascii="Arial" w:hAnsi="Arial" w:cs="Arial"/>
          <w:sz w:val="24"/>
          <w:szCs w:val="24"/>
        </w:rPr>
        <w:t>In the interests of procedural fairness, section 4</w:t>
      </w:r>
      <w:r w:rsidR="00C9134D">
        <w:rPr>
          <w:rFonts w:ascii="Arial" w:hAnsi="Arial" w:cs="Arial"/>
          <w:sz w:val="24"/>
          <w:szCs w:val="24"/>
        </w:rPr>
        <w:t>5</w:t>
      </w:r>
      <w:r>
        <w:rPr>
          <w:rFonts w:ascii="Arial" w:hAnsi="Arial" w:cs="Arial"/>
          <w:sz w:val="24"/>
          <w:szCs w:val="24"/>
        </w:rPr>
        <w:t>A incorporates the following procedural safeguards:</w:t>
      </w:r>
    </w:p>
    <w:p w14:paraId="0C6CC190" w14:textId="77777777" w:rsidR="00D8572F" w:rsidRDefault="00D8572F" w:rsidP="00D8572F">
      <w:pPr>
        <w:pStyle w:val="ListParagraph"/>
        <w:numPr>
          <w:ilvl w:val="0"/>
          <w:numId w:val="43"/>
        </w:numPr>
        <w:rPr>
          <w:rFonts w:ascii="Arial" w:hAnsi="Arial" w:cs="Arial"/>
          <w:sz w:val="24"/>
          <w:szCs w:val="24"/>
        </w:rPr>
      </w:pPr>
      <w:r>
        <w:rPr>
          <w:rFonts w:ascii="Arial" w:hAnsi="Arial" w:cs="Arial"/>
          <w:sz w:val="24"/>
          <w:szCs w:val="24"/>
        </w:rPr>
        <w:t>a tenant must provide written notice of their intention to apply to ACAT at least 1 week before making any such an application;</w:t>
      </w:r>
    </w:p>
    <w:p w14:paraId="434A74E6" w14:textId="77777777" w:rsidR="00D8572F" w:rsidRDefault="00D8572F" w:rsidP="00D8572F">
      <w:pPr>
        <w:pStyle w:val="ListParagraph"/>
        <w:numPr>
          <w:ilvl w:val="0"/>
          <w:numId w:val="43"/>
        </w:numPr>
        <w:rPr>
          <w:rFonts w:ascii="Arial" w:hAnsi="Arial" w:cs="Arial"/>
          <w:sz w:val="24"/>
          <w:szCs w:val="24"/>
        </w:rPr>
      </w:pPr>
      <w:r>
        <w:rPr>
          <w:rFonts w:ascii="Arial" w:hAnsi="Arial" w:cs="Arial"/>
          <w:sz w:val="24"/>
          <w:szCs w:val="24"/>
        </w:rPr>
        <w:t>to ensure a lessor has a reasonable opportunity to respond to put their case, the written notice must include details of the alleged conduct; and</w:t>
      </w:r>
    </w:p>
    <w:p w14:paraId="1A736F41" w14:textId="77777777" w:rsidR="00D8572F" w:rsidRDefault="00D8572F" w:rsidP="00D8572F">
      <w:pPr>
        <w:pStyle w:val="ListParagraph"/>
        <w:numPr>
          <w:ilvl w:val="0"/>
          <w:numId w:val="43"/>
        </w:numPr>
        <w:rPr>
          <w:rFonts w:ascii="Arial" w:hAnsi="Arial" w:cs="Arial"/>
          <w:sz w:val="24"/>
          <w:szCs w:val="24"/>
        </w:rPr>
      </w:pPr>
      <w:r>
        <w:rPr>
          <w:rFonts w:ascii="Arial" w:hAnsi="Arial" w:cs="Arial"/>
          <w:sz w:val="24"/>
          <w:szCs w:val="24"/>
        </w:rPr>
        <w:t>the application must not be heard, and an order cannot be made by ACAT, unless at least 14 days has passed since the tenant has provided written notice.</w:t>
      </w:r>
    </w:p>
    <w:p w14:paraId="597FBFF7" w14:textId="77777777" w:rsidR="00D8572F" w:rsidRPr="00690C20" w:rsidRDefault="00D8572F" w:rsidP="00D8572F">
      <w:pPr>
        <w:pStyle w:val="ListParagraph"/>
        <w:rPr>
          <w:rFonts w:ascii="Arial" w:hAnsi="Arial" w:cs="Arial"/>
          <w:sz w:val="24"/>
          <w:szCs w:val="24"/>
        </w:rPr>
      </w:pPr>
    </w:p>
    <w:p w14:paraId="14F45F25" w14:textId="77777777" w:rsidR="00D8572F" w:rsidRDefault="00D8572F" w:rsidP="00D8572F">
      <w:pPr>
        <w:rPr>
          <w:rFonts w:ascii="Arial" w:hAnsi="Arial" w:cs="Arial"/>
          <w:sz w:val="24"/>
          <w:szCs w:val="24"/>
        </w:rPr>
      </w:pPr>
      <w:r>
        <w:rPr>
          <w:rFonts w:ascii="Arial" w:hAnsi="Arial" w:cs="Arial"/>
          <w:sz w:val="24"/>
          <w:szCs w:val="24"/>
        </w:rPr>
        <w:t>Conversely, s</w:t>
      </w:r>
      <w:r w:rsidRPr="00273555">
        <w:rPr>
          <w:rFonts w:ascii="Arial" w:hAnsi="Arial" w:cs="Arial"/>
          <w:sz w:val="24"/>
          <w:szCs w:val="24"/>
        </w:rPr>
        <w:t xml:space="preserve">ection 51A offers tenants additional safeguards </w:t>
      </w:r>
      <w:r>
        <w:rPr>
          <w:rFonts w:ascii="Arial" w:hAnsi="Arial" w:cs="Arial"/>
          <w:sz w:val="24"/>
          <w:szCs w:val="24"/>
        </w:rPr>
        <w:t>in recognition of</w:t>
      </w:r>
      <w:r w:rsidRPr="00273555">
        <w:rPr>
          <w:rFonts w:ascii="Arial" w:hAnsi="Arial" w:cs="Arial"/>
          <w:sz w:val="24"/>
          <w:szCs w:val="24"/>
        </w:rPr>
        <w:t xml:space="preserve"> the disproportionate impact on their right to privacy and freedom from arbitrary interference with home. Specifically</w:t>
      </w:r>
      <w:r>
        <w:rPr>
          <w:rFonts w:ascii="Arial" w:hAnsi="Arial" w:cs="Arial"/>
          <w:sz w:val="24"/>
          <w:szCs w:val="24"/>
        </w:rPr>
        <w:t>:</w:t>
      </w:r>
    </w:p>
    <w:p w14:paraId="7DF2BDF1" w14:textId="77777777" w:rsidR="00D8572F" w:rsidRDefault="00D8572F" w:rsidP="00D8572F">
      <w:pPr>
        <w:pStyle w:val="ListParagraph"/>
        <w:numPr>
          <w:ilvl w:val="0"/>
          <w:numId w:val="42"/>
        </w:numPr>
        <w:rPr>
          <w:rFonts w:ascii="Arial" w:hAnsi="Arial" w:cs="Arial"/>
          <w:sz w:val="24"/>
          <w:szCs w:val="24"/>
        </w:rPr>
      </w:pPr>
      <w:r>
        <w:rPr>
          <w:rFonts w:ascii="Arial" w:hAnsi="Arial" w:cs="Arial"/>
          <w:sz w:val="24"/>
          <w:szCs w:val="24"/>
        </w:rPr>
        <w:t>a lessor must provide written notice of their intention to apply to ACAT at least 2 weeks before making any such application;</w:t>
      </w:r>
    </w:p>
    <w:p w14:paraId="646DCCE5" w14:textId="77777777" w:rsidR="00D8572F" w:rsidRDefault="00D8572F" w:rsidP="00D8572F">
      <w:pPr>
        <w:pStyle w:val="ListParagraph"/>
        <w:numPr>
          <w:ilvl w:val="0"/>
          <w:numId w:val="42"/>
        </w:numPr>
        <w:rPr>
          <w:rFonts w:ascii="Arial" w:hAnsi="Arial" w:cs="Arial"/>
          <w:sz w:val="24"/>
          <w:szCs w:val="24"/>
        </w:rPr>
      </w:pPr>
      <w:r>
        <w:rPr>
          <w:rFonts w:ascii="Arial" w:hAnsi="Arial" w:cs="Arial"/>
          <w:sz w:val="24"/>
          <w:szCs w:val="24"/>
        </w:rPr>
        <w:t>to ensure that a tenant has a reasonable opportunity to put their case, the written notice must include details of the alleged conduct; and</w:t>
      </w:r>
    </w:p>
    <w:p w14:paraId="22F847E0" w14:textId="5B4B5880" w:rsidR="00D8572F" w:rsidRDefault="00D8572F" w:rsidP="00C9134D">
      <w:pPr>
        <w:pStyle w:val="ListParagraph"/>
        <w:numPr>
          <w:ilvl w:val="0"/>
          <w:numId w:val="42"/>
        </w:numPr>
        <w:rPr>
          <w:rFonts w:ascii="Arial" w:hAnsi="Arial" w:cs="Arial"/>
          <w:sz w:val="24"/>
          <w:szCs w:val="24"/>
        </w:rPr>
      </w:pPr>
      <w:r w:rsidRPr="00480D5F">
        <w:rPr>
          <w:rFonts w:ascii="Arial" w:hAnsi="Arial" w:cs="Arial"/>
          <w:sz w:val="24"/>
          <w:szCs w:val="24"/>
        </w:rPr>
        <w:t>the application must not be heard, and an order cannot be made by ACAT, unless at least 21 days has passed since the lessor has provided written notice.</w:t>
      </w:r>
    </w:p>
    <w:p w14:paraId="748F0283" w14:textId="58960622" w:rsidR="00C9134D" w:rsidRDefault="00C9134D" w:rsidP="00C9134D">
      <w:pPr>
        <w:rPr>
          <w:rFonts w:ascii="Arial" w:hAnsi="Arial" w:cs="Arial"/>
          <w:sz w:val="24"/>
          <w:szCs w:val="24"/>
        </w:rPr>
      </w:pPr>
    </w:p>
    <w:p w14:paraId="55FABD09" w14:textId="62D2DE59" w:rsidR="00FF7AB6" w:rsidRDefault="00FF7AB6" w:rsidP="00C9134D">
      <w:pPr>
        <w:rPr>
          <w:rFonts w:ascii="Arial" w:hAnsi="Arial" w:cs="Arial"/>
          <w:sz w:val="24"/>
          <w:szCs w:val="24"/>
        </w:rPr>
      </w:pPr>
      <w:r>
        <w:rPr>
          <w:rFonts w:ascii="Arial" w:hAnsi="Arial" w:cs="Arial"/>
          <w:sz w:val="24"/>
          <w:szCs w:val="24"/>
        </w:rPr>
        <w:lastRenderedPageBreak/>
        <w:t>The</w:t>
      </w:r>
      <w:r w:rsidR="00AC03EC">
        <w:rPr>
          <w:rFonts w:ascii="Arial" w:hAnsi="Arial" w:cs="Arial"/>
          <w:sz w:val="24"/>
          <w:szCs w:val="24"/>
        </w:rPr>
        <w:t xml:space="preserve"> provision of </w:t>
      </w:r>
      <w:r>
        <w:rPr>
          <w:rFonts w:ascii="Arial" w:hAnsi="Arial" w:cs="Arial"/>
          <w:sz w:val="24"/>
          <w:szCs w:val="24"/>
        </w:rPr>
        <w:t>longer notice periods</w:t>
      </w:r>
      <w:r w:rsidR="00AC03EC">
        <w:rPr>
          <w:rFonts w:ascii="Arial" w:hAnsi="Arial" w:cs="Arial"/>
          <w:sz w:val="24"/>
          <w:szCs w:val="24"/>
        </w:rPr>
        <w:t xml:space="preserve"> for tenants </w:t>
      </w:r>
      <w:r>
        <w:rPr>
          <w:rFonts w:ascii="Arial" w:hAnsi="Arial" w:cs="Arial"/>
          <w:sz w:val="24"/>
          <w:szCs w:val="24"/>
        </w:rPr>
        <w:t xml:space="preserve">ensures that </w:t>
      </w:r>
      <w:r w:rsidR="00AC03EC">
        <w:rPr>
          <w:rFonts w:ascii="Arial" w:hAnsi="Arial" w:cs="Arial"/>
          <w:sz w:val="24"/>
          <w:szCs w:val="24"/>
        </w:rPr>
        <w:t>the</w:t>
      </w:r>
      <w:r>
        <w:rPr>
          <w:rFonts w:ascii="Arial" w:hAnsi="Arial" w:cs="Arial"/>
          <w:sz w:val="24"/>
          <w:szCs w:val="24"/>
        </w:rPr>
        <w:t xml:space="preserve"> tenant </w:t>
      </w:r>
      <w:r w:rsidR="00AC03EC">
        <w:rPr>
          <w:rFonts w:ascii="Arial" w:hAnsi="Arial" w:cs="Arial"/>
          <w:sz w:val="24"/>
          <w:szCs w:val="24"/>
        </w:rPr>
        <w:t>has a</w:t>
      </w:r>
      <w:r>
        <w:rPr>
          <w:rFonts w:ascii="Arial" w:hAnsi="Arial" w:cs="Arial"/>
          <w:sz w:val="24"/>
          <w:szCs w:val="24"/>
        </w:rPr>
        <w:t xml:space="preserve"> reasonable period in which to prepare a response to any allegations of inappropriate conduct, </w:t>
      </w:r>
      <w:r w:rsidR="00AC03EC">
        <w:rPr>
          <w:rFonts w:ascii="Arial" w:hAnsi="Arial" w:cs="Arial"/>
          <w:sz w:val="24"/>
          <w:szCs w:val="24"/>
        </w:rPr>
        <w:t xml:space="preserve">and </w:t>
      </w:r>
      <w:r>
        <w:rPr>
          <w:rFonts w:ascii="Arial" w:hAnsi="Arial" w:cs="Arial"/>
          <w:sz w:val="24"/>
          <w:szCs w:val="24"/>
        </w:rPr>
        <w:t>also has time to consider alternative accommodation options should the tenancy breakdown. This limits the impact on a tenant’s right to privacy.</w:t>
      </w:r>
    </w:p>
    <w:p w14:paraId="0E762C7B" w14:textId="4EDA3F61" w:rsidR="00C9134D" w:rsidRDefault="00C9134D" w:rsidP="00C9134D">
      <w:pPr>
        <w:rPr>
          <w:rFonts w:ascii="Arial" w:hAnsi="Arial" w:cs="Arial"/>
          <w:sz w:val="24"/>
          <w:szCs w:val="24"/>
        </w:rPr>
      </w:pPr>
      <w:r>
        <w:rPr>
          <w:rFonts w:ascii="Arial" w:hAnsi="Arial" w:cs="Arial"/>
          <w:sz w:val="24"/>
          <w:szCs w:val="24"/>
        </w:rPr>
        <w:t>It is noted that the tenancy termination in s</w:t>
      </w:r>
      <w:r w:rsidR="00AC03EC">
        <w:rPr>
          <w:rFonts w:ascii="Arial" w:hAnsi="Arial" w:cs="Arial"/>
          <w:sz w:val="24"/>
          <w:szCs w:val="24"/>
        </w:rPr>
        <w:t>ection</w:t>
      </w:r>
      <w:r>
        <w:rPr>
          <w:rFonts w:ascii="Arial" w:hAnsi="Arial" w:cs="Arial"/>
          <w:sz w:val="24"/>
          <w:szCs w:val="24"/>
        </w:rPr>
        <w:t>s 45A and 51A contain significant additional protections when compared to existing section</w:t>
      </w:r>
      <w:r w:rsidR="00AC03EC">
        <w:rPr>
          <w:rFonts w:ascii="Arial" w:hAnsi="Arial" w:cs="Arial"/>
          <w:sz w:val="24"/>
          <w:szCs w:val="24"/>
        </w:rPr>
        <w:t>s</w:t>
      </w:r>
      <w:r>
        <w:rPr>
          <w:rFonts w:ascii="Arial" w:hAnsi="Arial" w:cs="Arial"/>
          <w:sz w:val="24"/>
          <w:szCs w:val="24"/>
        </w:rPr>
        <w:t xml:space="preserve"> 45 and 51 which do not provide ACAT with any discretion as to whether to terminate the tenancy (where the grounds for termination are made out) and also require that termination occur effective immediately.  The timeframes and protections in these new sections create significant additional safeguards by comparison. </w:t>
      </w:r>
    </w:p>
    <w:p w14:paraId="225EA97C" w14:textId="7B6F2A5B" w:rsidR="00C9134D" w:rsidRPr="00480D5F" w:rsidRDefault="00C9134D" w:rsidP="00C9134D">
      <w:pPr>
        <w:rPr>
          <w:rFonts w:ascii="Arial" w:hAnsi="Arial" w:cs="Arial"/>
          <w:sz w:val="24"/>
          <w:szCs w:val="24"/>
        </w:rPr>
      </w:pPr>
      <w:r>
        <w:rPr>
          <w:rFonts w:ascii="Arial" w:hAnsi="Arial" w:cs="Arial"/>
          <w:sz w:val="24"/>
          <w:szCs w:val="24"/>
        </w:rPr>
        <w:t>It is noted that these provisions were designed to give parties a faster pathway to termination in circumstances where they are experiencing relatively serious unwanted conduct from the other party. In circumstances where the conduct is not so egregious</w:t>
      </w:r>
      <w:r w:rsidR="00AC03EC">
        <w:rPr>
          <w:rFonts w:ascii="Arial" w:hAnsi="Arial" w:cs="Arial"/>
          <w:sz w:val="24"/>
          <w:szCs w:val="24"/>
        </w:rPr>
        <w:t>,</w:t>
      </w:r>
      <w:r>
        <w:rPr>
          <w:rFonts w:ascii="Arial" w:hAnsi="Arial" w:cs="Arial"/>
          <w:sz w:val="24"/>
          <w:szCs w:val="24"/>
        </w:rPr>
        <w:t xml:space="preserve"> it is open to both lessors and tenants to issue a notice to remedy and notice to vacate on the grounds of breach or to apply to ACAT for a specific performance order. However, this termination pathway was intended to be faster in acknowledgement of the serious conduct it contemplates. </w:t>
      </w:r>
    </w:p>
    <w:p w14:paraId="2CC37C31" w14:textId="72DC78A4" w:rsidR="00687ABF" w:rsidRPr="00264F34" w:rsidRDefault="00687ABF" w:rsidP="00DA6700">
      <w:pPr>
        <w:rPr>
          <w:rFonts w:ascii="Arial" w:hAnsi="Arial" w:cs="Arial"/>
          <w:sz w:val="24"/>
          <w:szCs w:val="24"/>
        </w:rPr>
      </w:pPr>
      <w:r w:rsidRPr="00264F34">
        <w:rPr>
          <w:rFonts w:ascii="Arial" w:hAnsi="Arial" w:cs="Arial"/>
          <w:sz w:val="24"/>
          <w:szCs w:val="24"/>
        </w:rPr>
        <w:t>These safeguards help to ensure that</w:t>
      </w:r>
      <w:r w:rsidR="00AC03EC">
        <w:rPr>
          <w:rFonts w:ascii="Arial" w:hAnsi="Arial" w:cs="Arial"/>
          <w:sz w:val="24"/>
          <w:szCs w:val="24"/>
        </w:rPr>
        <w:t xml:space="preserve"> a</w:t>
      </w:r>
      <w:r w:rsidRPr="00264F34">
        <w:rPr>
          <w:rFonts w:ascii="Arial" w:hAnsi="Arial" w:cs="Arial"/>
          <w:sz w:val="24"/>
          <w:szCs w:val="24"/>
        </w:rPr>
        <w:t xml:space="preserve"> tenancy</w:t>
      </w:r>
      <w:r w:rsidR="00AC03EC">
        <w:rPr>
          <w:rFonts w:ascii="Arial" w:hAnsi="Arial" w:cs="Arial"/>
          <w:sz w:val="24"/>
          <w:szCs w:val="24"/>
        </w:rPr>
        <w:t xml:space="preserve"> is only</w:t>
      </w:r>
      <w:r w:rsidRPr="00264F34">
        <w:rPr>
          <w:rFonts w:ascii="Arial" w:hAnsi="Arial" w:cs="Arial"/>
          <w:sz w:val="24"/>
          <w:szCs w:val="24"/>
        </w:rPr>
        <w:t xml:space="preserve"> terminat</w:t>
      </w:r>
      <w:r w:rsidR="00AC03EC">
        <w:rPr>
          <w:rFonts w:ascii="Arial" w:hAnsi="Arial" w:cs="Arial"/>
          <w:sz w:val="24"/>
          <w:szCs w:val="24"/>
        </w:rPr>
        <w:t>ed under this pathway</w:t>
      </w:r>
      <w:r w:rsidRPr="00264F34">
        <w:rPr>
          <w:rFonts w:ascii="Arial" w:hAnsi="Arial" w:cs="Arial"/>
          <w:sz w:val="24"/>
          <w:szCs w:val="24"/>
        </w:rPr>
        <w:t xml:space="preserve"> when the nature of the conduct that has occurred warrants such an outcome, thereby limiting any potential impacts on the right to privacy. </w:t>
      </w:r>
    </w:p>
    <w:p w14:paraId="62803758" w14:textId="03D491C2" w:rsidR="00687ABF" w:rsidRPr="00264F34" w:rsidRDefault="00687ABF" w:rsidP="00DA6700">
      <w:pPr>
        <w:rPr>
          <w:rFonts w:ascii="Arial" w:hAnsi="Arial" w:cs="Arial"/>
          <w:b/>
          <w:bCs/>
          <w:i/>
          <w:sz w:val="24"/>
          <w:szCs w:val="24"/>
        </w:rPr>
      </w:pPr>
      <w:r w:rsidRPr="00264F34">
        <w:rPr>
          <w:rFonts w:ascii="Arial" w:hAnsi="Arial" w:cs="Arial"/>
          <w:b/>
          <w:bCs/>
          <w:i/>
          <w:sz w:val="24"/>
          <w:szCs w:val="24"/>
        </w:rPr>
        <w:t>Right to privacy – requests for information fr</w:t>
      </w:r>
      <w:r w:rsidR="00AC03EC">
        <w:rPr>
          <w:rFonts w:ascii="Arial" w:hAnsi="Arial" w:cs="Arial"/>
          <w:b/>
          <w:bCs/>
          <w:i/>
          <w:sz w:val="24"/>
          <w:szCs w:val="24"/>
        </w:rPr>
        <w:t>o</w:t>
      </w:r>
      <w:r w:rsidRPr="00264F34">
        <w:rPr>
          <w:rFonts w:ascii="Arial" w:hAnsi="Arial" w:cs="Arial"/>
          <w:b/>
          <w:bCs/>
          <w:i/>
          <w:sz w:val="24"/>
          <w:szCs w:val="24"/>
        </w:rPr>
        <w:t xml:space="preserve">m the tenant to assess ongoing eligibility   </w:t>
      </w:r>
    </w:p>
    <w:p w14:paraId="6BD8191C" w14:textId="77777777" w:rsidR="00687ABF" w:rsidRPr="00264F34" w:rsidRDefault="00687ABF" w:rsidP="00DA6700">
      <w:pPr>
        <w:pStyle w:val="ListParagraph"/>
        <w:rPr>
          <w:rFonts w:ascii="Arial" w:hAnsi="Arial" w:cs="Arial"/>
          <w:i/>
          <w:sz w:val="24"/>
          <w:szCs w:val="24"/>
          <w:u w:val="single"/>
        </w:rPr>
      </w:pPr>
      <w:r w:rsidRPr="00264F34">
        <w:rPr>
          <w:rFonts w:ascii="Arial" w:hAnsi="Arial" w:cs="Arial"/>
          <w:i/>
          <w:sz w:val="24"/>
          <w:szCs w:val="24"/>
          <w:u w:val="single"/>
        </w:rPr>
        <w:t>Nature of the right and the limitation (ss 28 (2) (a) and (c))</w:t>
      </w:r>
    </w:p>
    <w:p w14:paraId="5C4847D3" w14:textId="77777777" w:rsidR="00687ABF" w:rsidRPr="00264F34" w:rsidRDefault="00687ABF" w:rsidP="00D4599F">
      <w:pPr>
        <w:spacing w:after="0"/>
        <w:rPr>
          <w:rFonts w:ascii="Arial" w:hAnsi="Arial" w:cs="Arial"/>
          <w:iCs/>
          <w:sz w:val="24"/>
          <w:szCs w:val="24"/>
        </w:rPr>
      </w:pPr>
    </w:p>
    <w:p w14:paraId="232870E0" w14:textId="55F96374" w:rsidR="00B973C8" w:rsidRDefault="00687ABF" w:rsidP="00DA6700">
      <w:pPr>
        <w:rPr>
          <w:rFonts w:ascii="Arial" w:hAnsi="Arial" w:cs="Arial"/>
          <w:iCs/>
          <w:sz w:val="24"/>
          <w:szCs w:val="24"/>
        </w:rPr>
      </w:pPr>
      <w:r w:rsidRPr="00264F34">
        <w:rPr>
          <w:rFonts w:ascii="Arial" w:hAnsi="Arial" w:cs="Arial"/>
          <w:iCs/>
          <w:sz w:val="24"/>
          <w:szCs w:val="24"/>
        </w:rPr>
        <w:t xml:space="preserve">The right to privacy incorporates the right to keep one’s personal information private. However, as noted above, the Bill introduces termination provisions that operate when the tenant has been assessed as being ineligible for assistance. Implicit in these provisions is that prior to the issue of a </w:t>
      </w:r>
      <w:r w:rsidR="0054249F">
        <w:rPr>
          <w:rFonts w:ascii="Arial" w:hAnsi="Arial" w:cs="Arial"/>
          <w:iCs/>
          <w:sz w:val="24"/>
          <w:szCs w:val="24"/>
        </w:rPr>
        <w:t>NTV</w:t>
      </w:r>
      <w:r w:rsidRPr="00264F34">
        <w:rPr>
          <w:rFonts w:ascii="Arial" w:hAnsi="Arial" w:cs="Arial"/>
          <w:iCs/>
          <w:sz w:val="24"/>
          <w:szCs w:val="24"/>
        </w:rPr>
        <w:t xml:space="preserve">, a review of the tenant’s eligibility for ongoing assistance will have occurred. This review process </w:t>
      </w:r>
      <w:r w:rsidR="00453888">
        <w:rPr>
          <w:rFonts w:ascii="Arial" w:hAnsi="Arial" w:cs="Arial"/>
          <w:iCs/>
          <w:sz w:val="24"/>
          <w:szCs w:val="24"/>
        </w:rPr>
        <w:t>will</w:t>
      </w:r>
      <w:r w:rsidRPr="00264F34">
        <w:rPr>
          <w:rFonts w:ascii="Arial" w:hAnsi="Arial" w:cs="Arial"/>
          <w:iCs/>
          <w:sz w:val="24"/>
          <w:szCs w:val="24"/>
        </w:rPr>
        <w:t xml:space="preserve"> require the tenant to disclose personal information (for example, information about their household income) to establish their ongoing eligibility for assistance. </w:t>
      </w:r>
    </w:p>
    <w:p w14:paraId="5BF83ED8" w14:textId="449EC9A5" w:rsidR="00687ABF" w:rsidRPr="00264F34" w:rsidRDefault="00453888" w:rsidP="00DA6700">
      <w:pPr>
        <w:rPr>
          <w:rFonts w:ascii="Arial" w:hAnsi="Arial" w:cs="Arial"/>
          <w:iCs/>
          <w:sz w:val="24"/>
          <w:szCs w:val="24"/>
        </w:rPr>
      </w:pPr>
      <w:r>
        <w:rPr>
          <w:rFonts w:ascii="Arial" w:hAnsi="Arial" w:cs="Arial"/>
          <w:iCs/>
          <w:sz w:val="24"/>
          <w:szCs w:val="24"/>
        </w:rPr>
        <w:t xml:space="preserve">For tenants of the Housing Commissioner, the HAA specifically grants the Housing Commissioner the power to require the tenant to provide information </w:t>
      </w:r>
      <w:r w:rsidR="00B973C8">
        <w:rPr>
          <w:rFonts w:ascii="Arial" w:hAnsi="Arial" w:cs="Arial"/>
          <w:iCs/>
          <w:sz w:val="24"/>
          <w:szCs w:val="24"/>
        </w:rPr>
        <w:t>required</w:t>
      </w:r>
      <w:r>
        <w:rPr>
          <w:rFonts w:ascii="Arial" w:hAnsi="Arial" w:cs="Arial"/>
          <w:iCs/>
          <w:sz w:val="24"/>
          <w:szCs w:val="24"/>
        </w:rPr>
        <w:t xml:space="preserve"> to review the housing assistance being provided to them. For tenants in supported accommodation, the Bill builds in, as a term of the tenancy agreement, a provision that allows the </w:t>
      </w:r>
      <w:r w:rsidR="00B21FF4">
        <w:rPr>
          <w:rFonts w:ascii="Arial" w:hAnsi="Arial" w:cs="Arial"/>
          <w:iCs/>
          <w:sz w:val="24"/>
          <w:szCs w:val="24"/>
        </w:rPr>
        <w:t xml:space="preserve">subsidised accommodation </w:t>
      </w:r>
      <w:r>
        <w:rPr>
          <w:rFonts w:ascii="Arial" w:hAnsi="Arial" w:cs="Arial"/>
          <w:iCs/>
          <w:sz w:val="24"/>
          <w:szCs w:val="24"/>
        </w:rPr>
        <w:t xml:space="preserve">provider to request information they reasonably believe is relevant to assessing the tenant’s ability to live in the premises. </w:t>
      </w:r>
      <w:r w:rsidR="00687ABF" w:rsidRPr="00264F34">
        <w:rPr>
          <w:rFonts w:ascii="Arial" w:hAnsi="Arial" w:cs="Arial"/>
          <w:iCs/>
          <w:sz w:val="24"/>
          <w:szCs w:val="24"/>
        </w:rPr>
        <w:t xml:space="preserve">This requirement to provide personal information to allow an eligibility assessment to occur will engage and may limit the right to privacy. </w:t>
      </w:r>
    </w:p>
    <w:p w14:paraId="5D8FD276" w14:textId="77777777" w:rsidR="00687ABF" w:rsidRPr="00264F34" w:rsidRDefault="00687ABF" w:rsidP="00B21281">
      <w:pPr>
        <w:pStyle w:val="ListParagraph"/>
        <w:keepNext/>
        <w:rPr>
          <w:rFonts w:ascii="Arial" w:hAnsi="Arial" w:cs="Arial"/>
          <w:i/>
          <w:sz w:val="24"/>
          <w:szCs w:val="24"/>
          <w:u w:val="single"/>
        </w:rPr>
      </w:pPr>
      <w:r w:rsidRPr="00264F34">
        <w:rPr>
          <w:rFonts w:ascii="Arial" w:hAnsi="Arial" w:cs="Arial"/>
          <w:i/>
          <w:sz w:val="24"/>
          <w:szCs w:val="24"/>
          <w:u w:val="single"/>
        </w:rPr>
        <w:lastRenderedPageBreak/>
        <w:t>Legitimate purpose (s 28 (2) (b))</w:t>
      </w:r>
    </w:p>
    <w:p w14:paraId="758D69D9" w14:textId="77777777" w:rsidR="0054249F" w:rsidRDefault="0054249F" w:rsidP="00B21281">
      <w:pPr>
        <w:keepNext/>
        <w:spacing w:after="0"/>
        <w:rPr>
          <w:rFonts w:ascii="Arial" w:hAnsi="Arial" w:cs="Arial"/>
          <w:iCs/>
          <w:sz w:val="24"/>
          <w:szCs w:val="24"/>
        </w:rPr>
      </w:pPr>
    </w:p>
    <w:p w14:paraId="7189EB94" w14:textId="1D6C2590" w:rsidR="00687ABF" w:rsidRPr="00264F34" w:rsidRDefault="00687ABF" w:rsidP="00B21281">
      <w:pPr>
        <w:keepNext/>
        <w:rPr>
          <w:rFonts w:ascii="Arial" w:hAnsi="Arial" w:cs="Arial"/>
          <w:i/>
          <w:sz w:val="24"/>
          <w:szCs w:val="24"/>
          <w:u w:val="single"/>
        </w:rPr>
      </w:pPr>
      <w:r w:rsidRPr="00264F34">
        <w:rPr>
          <w:rFonts w:ascii="Arial" w:hAnsi="Arial" w:cs="Arial"/>
          <w:iCs/>
          <w:sz w:val="24"/>
          <w:szCs w:val="24"/>
        </w:rPr>
        <w:t xml:space="preserve">The purpose of requesting personal information is to assess the tenant’s eligibility for ongoing accommodation assistance. As noted above, the purpose of assessing eligibility is to ensure that </w:t>
      </w:r>
      <w:r w:rsidR="004E3BF4">
        <w:rPr>
          <w:rFonts w:ascii="Arial" w:hAnsi="Arial" w:cs="Arial"/>
          <w:iCs/>
          <w:sz w:val="24"/>
          <w:szCs w:val="24"/>
        </w:rPr>
        <w:t xml:space="preserve">housing assistance and </w:t>
      </w:r>
      <w:r w:rsidR="00B21FF4">
        <w:rPr>
          <w:rFonts w:ascii="Arial" w:hAnsi="Arial" w:cs="Arial"/>
          <w:iCs/>
          <w:sz w:val="24"/>
          <w:szCs w:val="24"/>
        </w:rPr>
        <w:t xml:space="preserve">subsidised accommodation </w:t>
      </w:r>
      <w:r w:rsidRPr="00264F34">
        <w:rPr>
          <w:rFonts w:ascii="Arial" w:hAnsi="Arial" w:cs="Arial"/>
          <w:iCs/>
          <w:sz w:val="24"/>
          <w:szCs w:val="24"/>
        </w:rPr>
        <w:t xml:space="preserve">programs can be effectively targeted to those most in need. </w:t>
      </w:r>
    </w:p>
    <w:p w14:paraId="531F907D" w14:textId="77777777" w:rsidR="00687ABF" w:rsidRPr="00264F34" w:rsidRDefault="00687ABF" w:rsidP="00DA6700">
      <w:pPr>
        <w:pStyle w:val="ListParagraph"/>
        <w:rPr>
          <w:rFonts w:ascii="Arial" w:hAnsi="Arial" w:cs="Arial"/>
          <w:i/>
          <w:sz w:val="24"/>
          <w:szCs w:val="24"/>
          <w:u w:val="single"/>
        </w:rPr>
      </w:pPr>
      <w:r w:rsidRPr="00264F34">
        <w:rPr>
          <w:rFonts w:ascii="Arial" w:hAnsi="Arial" w:cs="Arial"/>
          <w:i/>
          <w:sz w:val="24"/>
          <w:szCs w:val="24"/>
          <w:u w:val="single"/>
        </w:rPr>
        <w:t>Rational connection between the limitation and the purpose (s 28 (2) (d))</w:t>
      </w:r>
    </w:p>
    <w:p w14:paraId="7CF6F1D5" w14:textId="77777777" w:rsidR="00687ABF" w:rsidRPr="00264F34" w:rsidRDefault="00687ABF" w:rsidP="00D4599F">
      <w:pPr>
        <w:spacing w:after="0"/>
        <w:rPr>
          <w:rFonts w:ascii="Arial" w:hAnsi="Arial" w:cs="Arial"/>
          <w:iCs/>
          <w:sz w:val="24"/>
          <w:szCs w:val="24"/>
        </w:rPr>
      </w:pPr>
    </w:p>
    <w:p w14:paraId="28A88432" w14:textId="58E9D2A3" w:rsidR="00687ABF" w:rsidRPr="00264F34" w:rsidRDefault="00687ABF" w:rsidP="00DA6700">
      <w:pPr>
        <w:rPr>
          <w:rFonts w:ascii="Arial" w:hAnsi="Arial" w:cs="Arial"/>
          <w:iCs/>
          <w:sz w:val="24"/>
          <w:szCs w:val="24"/>
        </w:rPr>
      </w:pPr>
      <w:r w:rsidRPr="00264F34">
        <w:rPr>
          <w:rFonts w:ascii="Arial" w:hAnsi="Arial" w:cs="Arial"/>
          <w:iCs/>
          <w:sz w:val="24"/>
          <w:szCs w:val="24"/>
        </w:rPr>
        <w:t xml:space="preserve">Requesting personal information is rationally connected to the purpose of assessing eligibility for assistance as the only way to establish if a person meets the eligibility criteria for </w:t>
      </w:r>
      <w:r w:rsidR="00B21FF4">
        <w:rPr>
          <w:rFonts w:ascii="Arial" w:hAnsi="Arial" w:cs="Arial"/>
          <w:iCs/>
          <w:sz w:val="24"/>
          <w:szCs w:val="24"/>
        </w:rPr>
        <w:t xml:space="preserve">subsidised accommodation </w:t>
      </w:r>
      <w:r w:rsidRPr="00264F34">
        <w:rPr>
          <w:rFonts w:ascii="Arial" w:hAnsi="Arial" w:cs="Arial"/>
          <w:iCs/>
          <w:sz w:val="24"/>
          <w:szCs w:val="24"/>
        </w:rPr>
        <w:t xml:space="preserve">or housing assistance is to assess their individual circumstances. </w:t>
      </w:r>
    </w:p>
    <w:p w14:paraId="63E449E7" w14:textId="77777777" w:rsidR="00687ABF" w:rsidRPr="00264F34" w:rsidRDefault="00687ABF" w:rsidP="00DA6700">
      <w:pPr>
        <w:pStyle w:val="ListParagraph"/>
        <w:rPr>
          <w:rFonts w:ascii="Arial" w:hAnsi="Arial" w:cs="Arial"/>
          <w:i/>
          <w:sz w:val="24"/>
          <w:szCs w:val="24"/>
          <w:u w:val="single"/>
        </w:rPr>
      </w:pPr>
      <w:r w:rsidRPr="00264F34">
        <w:rPr>
          <w:rFonts w:ascii="Arial" w:hAnsi="Arial" w:cs="Arial"/>
          <w:i/>
          <w:sz w:val="24"/>
          <w:szCs w:val="24"/>
          <w:u w:val="single"/>
        </w:rPr>
        <w:t>Proportionality (s 28 (2) (e))</w:t>
      </w:r>
    </w:p>
    <w:p w14:paraId="47F417A8" w14:textId="77777777" w:rsidR="00687ABF" w:rsidRPr="00264F34" w:rsidRDefault="00687ABF" w:rsidP="00D4599F">
      <w:pPr>
        <w:spacing w:after="0"/>
        <w:rPr>
          <w:rFonts w:ascii="Arial" w:hAnsi="Arial" w:cs="Arial"/>
          <w:b/>
          <w:bCs/>
          <w:iCs/>
          <w:sz w:val="24"/>
          <w:szCs w:val="24"/>
        </w:rPr>
      </w:pPr>
    </w:p>
    <w:p w14:paraId="7A3C61B8" w14:textId="409E403E" w:rsidR="00687ABF" w:rsidRPr="00264F34" w:rsidRDefault="00687ABF" w:rsidP="00DA6700">
      <w:pPr>
        <w:rPr>
          <w:rFonts w:ascii="Arial" w:hAnsi="Arial" w:cs="Arial"/>
          <w:iCs/>
          <w:sz w:val="24"/>
          <w:szCs w:val="24"/>
        </w:rPr>
      </w:pPr>
      <w:r w:rsidRPr="00264F34">
        <w:rPr>
          <w:rFonts w:ascii="Arial" w:hAnsi="Arial" w:cs="Arial"/>
          <w:iCs/>
          <w:sz w:val="24"/>
          <w:szCs w:val="24"/>
        </w:rPr>
        <w:t xml:space="preserve">Any personal information collected by the Housing Commissioner or by Community Housing Organisations providing Government services under contract is subject to the Territory Privacy Principles (TPPs) as set out in the </w:t>
      </w:r>
      <w:r w:rsidRPr="00264F34">
        <w:rPr>
          <w:rFonts w:ascii="Arial" w:hAnsi="Arial" w:cs="Arial"/>
          <w:i/>
          <w:sz w:val="24"/>
          <w:szCs w:val="24"/>
        </w:rPr>
        <w:t>Information Privacy Act 2014</w:t>
      </w:r>
      <w:r w:rsidRPr="00264F34">
        <w:rPr>
          <w:rFonts w:ascii="Arial" w:hAnsi="Arial" w:cs="Arial"/>
          <w:iCs/>
          <w:sz w:val="24"/>
          <w:szCs w:val="24"/>
        </w:rPr>
        <w:t xml:space="preserve">. The TPPs set out standards, rights and obligations for the collection, use, disclosure, storage, accessing and correction of personal information (including sensitive information). These principles ensure there are appropriate safeguards for any personal information collected in connection with an eligibility assessment. This ensures that any limitation on the right to privacy that may arise in connection to an eligibility review is proportionate to the aim of the measure. </w:t>
      </w:r>
    </w:p>
    <w:p w14:paraId="797DB9F0" w14:textId="77777777" w:rsidR="00687ABF" w:rsidRPr="00264F34" w:rsidRDefault="00687ABF" w:rsidP="00DA6700">
      <w:pPr>
        <w:rPr>
          <w:rFonts w:ascii="Arial" w:hAnsi="Arial" w:cs="Arial"/>
          <w:b/>
          <w:bCs/>
          <w:i/>
          <w:sz w:val="24"/>
          <w:szCs w:val="24"/>
        </w:rPr>
      </w:pPr>
      <w:r w:rsidRPr="00264F34">
        <w:rPr>
          <w:rFonts w:ascii="Arial" w:hAnsi="Arial" w:cs="Arial"/>
          <w:b/>
          <w:bCs/>
          <w:i/>
          <w:sz w:val="24"/>
          <w:szCs w:val="24"/>
        </w:rPr>
        <w:t>Right to Privacy and home – mandatory disclosure requirements</w:t>
      </w:r>
    </w:p>
    <w:p w14:paraId="66649162" w14:textId="693BF4F3" w:rsidR="00687ABF" w:rsidRPr="00264F34" w:rsidRDefault="00687ABF" w:rsidP="00267B88">
      <w:pPr>
        <w:rPr>
          <w:rFonts w:ascii="Arial" w:hAnsi="Arial" w:cs="Arial"/>
          <w:i/>
          <w:sz w:val="24"/>
          <w:szCs w:val="24"/>
          <w:u w:val="single"/>
          <w:lang w:eastAsia="en-AU"/>
        </w:rPr>
      </w:pPr>
      <w:r w:rsidRPr="00264F34">
        <w:rPr>
          <w:rFonts w:ascii="Arial" w:hAnsi="Arial" w:cs="Arial"/>
          <w:iCs/>
          <w:sz w:val="24"/>
          <w:szCs w:val="24"/>
        </w:rPr>
        <w:t xml:space="preserve">The Bill introduces new mandatory disclosure requirements for lessors. These requirements impose pre-contractual obligations on lessors, requiring them to disclose whether their premises comply with minimum housing standards and </w:t>
      </w:r>
      <w:r w:rsidR="00B21281">
        <w:rPr>
          <w:rFonts w:ascii="Arial" w:hAnsi="Arial" w:cs="Arial"/>
          <w:iCs/>
          <w:sz w:val="24"/>
          <w:szCs w:val="24"/>
        </w:rPr>
        <w:t xml:space="preserve">to </w:t>
      </w:r>
      <w:r w:rsidRPr="00264F34">
        <w:rPr>
          <w:rFonts w:ascii="Arial" w:hAnsi="Arial" w:cs="Arial"/>
          <w:iCs/>
          <w:sz w:val="24"/>
          <w:szCs w:val="24"/>
        </w:rPr>
        <w:t xml:space="preserve">provide documentary evidence of their compliance or valid exemption to tenants.  </w:t>
      </w:r>
    </w:p>
    <w:p w14:paraId="3B2A5C81" w14:textId="6914B417" w:rsidR="00687ABF" w:rsidRPr="00264F34" w:rsidRDefault="00267B88" w:rsidP="00DA6700">
      <w:pPr>
        <w:rPr>
          <w:rFonts w:ascii="Arial" w:hAnsi="Arial" w:cs="Arial"/>
          <w:iCs/>
          <w:sz w:val="24"/>
          <w:szCs w:val="24"/>
        </w:rPr>
      </w:pPr>
      <w:r>
        <w:rPr>
          <w:rFonts w:ascii="Arial" w:hAnsi="Arial" w:cs="Arial"/>
          <w:iCs/>
          <w:sz w:val="24"/>
          <w:szCs w:val="24"/>
        </w:rPr>
        <w:t>However, it is noted that t</w:t>
      </w:r>
      <w:r w:rsidR="00687ABF" w:rsidRPr="00264F34">
        <w:rPr>
          <w:rFonts w:ascii="Arial" w:hAnsi="Arial" w:cs="Arial"/>
          <w:iCs/>
          <w:sz w:val="24"/>
          <w:szCs w:val="24"/>
        </w:rPr>
        <w:t>he mandatory disclosure requirement is limited to disclosing information as to whether the premises complies with a minimum standard. This information is also not personal in nature</w:t>
      </w:r>
      <w:r w:rsidR="00B21281">
        <w:rPr>
          <w:rFonts w:ascii="Arial" w:hAnsi="Arial" w:cs="Arial"/>
          <w:iCs/>
          <w:sz w:val="24"/>
          <w:szCs w:val="24"/>
        </w:rPr>
        <w:t xml:space="preserve"> – </w:t>
      </w:r>
      <w:r w:rsidR="00687ABF" w:rsidRPr="00264F34">
        <w:rPr>
          <w:rFonts w:ascii="Arial" w:hAnsi="Arial" w:cs="Arial"/>
          <w:iCs/>
          <w:sz w:val="24"/>
          <w:szCs w:val="24"/>
        </w:rPr>
        <w:t>it relates to the rental premises and not to the lessor themselves</w:t>
      </w:r>
      <w:r>
        <w:rPr>
          <w:rFonts w:ascii="Arial" w:hAnsi="Arial" w:cs="Arial"/>
          <w:iCs/>
          <w:sz w:val="24"/>
          <w:szCs w:val="24"/>
        </w:rPr>
        <w:t xml:space="preserve"> and as such is unlikely to impose</w:t>
      </w:r>
      <w:r w:rsidR="00687ABF" w:rsidRPr="00264F34">
        <w:rPr>
          <w:rFonts w:ascii="Arial" w:hAnsi="Arial" w:cs="Arial"/>
          <w:iCs/>
          <w:sz w:val="24"/>
          <w:szCs w:val="24"/>
        </w:rPr>
        <w:t xml:space="preserve"> any limitation on the right to privacy. </w:t>
      </w:r>
    </w:p>
    <w:p w14:paraId="632B9D06" w14:textId="77777777" w:rsidR="00687ABF" w:rsidRPr="00D4599F" w:rsidRDefault="00687ABF" w:rsidP="00D4599F">
      <w:pPr>
        <w:rPr>
          <w:rFonts w:ascii="Arial" w:hAnsi="Arial" w:cs="Arial"/>
          <w:b/>
          <w:bCs/>
          <w:i/>
          <w:sz w:val="24"/>
          <w:szCs w:val="24"/>
        </w:rPr>
      </w:pPr>
      <w:r w:rsidRPr="00D4599F">
        <w:rPr>
          <w:rFonts w:ascii="Arial" w:hAnsi="Arial" w:cs="Arial"/>
          <w:b/>
          <w:bCs/>
          <w:i/>
          <w:sz w:val="24"/>
          <w:szCs w:val="24"/>
        </w:rPr>
        <w:t>Right to privacy and home – access to premises</w:t>
      </w:r>
    </w:p>
    <w:p w14:paraId="1B33D90E" w14:textId="6090FD20" w:rsidR="00687ABF" w:rsidRPr="00264F34" w:rsidRDefault="00687ABF" w:rsidP="00DA6700">
      <w:pPr>
        <w:rPr>
          <w:rFonts w:ascii="Arial" w:hAnsi="Arial" w:cs="Arial"/>
          <w:iCs/>
          <w:sz w:val="24"/>
          <w:szCs w:val="24"/>
        </w:rPr>
      </w:pPr>
      <w:r w:rsidRPr="00264F34">
        <w:rPr>
          <w:rFonts w:ascii="Arial" w:hAnsi="Arial" w:cs="Arial"/>
          <w:iCs/>
          <w:sz w:val="24"/>
          <w:szCs w:val="24"/>
        </w:rPr>
        <w:t xml:space="preserve">The Bill expands lessors’ rights to access rental premises </w:t>
      </w:r>
      <w:r w:rsidR="00FA7344">
        <w:rPr>
          <w:rFonts w:ascii="Arial" w:hAnsi="Arial" w:cs="Arial"/>
          <w:iCs/>
          <w:sz w:val="24"/>
          <w:szCs w:val="24"/>
        </w:rPr>
        <w:t xml:space="preserve">by </w:t>
      </w:r>
      <w:r w:rsidRPr="00264F34">
        <w:rPr>
          <w:rFonts w:ascii="Arial" w:hAnsi="Arial" w:cs="Arial"/>
          <w:iCs/>
          <w:sz w:val="24"/>
          <w:szCs w:val="24"/>
        </w:rPr>
        <w:t>allow</w:t>
      </w:r>
      <w:r w:rsidR="00FA7344">
        <w:rPr>
          <w:rFonts w:ascii="Arial" w:hAnsi="Arial" w:cs="Arial"/>
          <w:iCs/>
          <w:sz w:val="24"/>
          <w:szCs w:val="24"/>
        </w:rPr>
        <w:t>ing</w:t>
      </w:r>
      <w:r w:rsidRPr="00264F34">
        <w:rPr>
          <w:rFonts w:ascii="Arial" w:hAnsi="Arial" w:cs="Arial"/>
          <w:iCs/>
          <w:sz w:val="24"/>
          <w:szCs w:val="24"/>
        </w:rPr>
        <w:t xml:space="preserve"> them access to the premises for the purpose of complying with minimum housing standard</w:t>
      </w:r>
      <w:r w:rsidR="00FA7344">
        <w:rPr>
          <w:rFonts w:ascii="Arial" w:hAnsi="Arial" w:cs="Arial"/>
          <w:iCs/>
          <w:sz w:val="24"/>
          <w:szCs w:val="24"/>
        </w:rPr>
        <w:t>s</w:t>
      </w:r>
      <w:r w:rsidRPr="00264F34">
        <w:rPr>
          <w:rFonts w:ascii="Arial" w:hAnsi="Arial" w:cs="Arial"/>
          <w:iCs/>
          <w:sz w:val="24"/>
          <w:szCs w:val="24"/>
        </w:rPr>
        <w:t xml:space="preserve">. </w:t>
      </w:r>
    </w:p>
    <w:p w14:paraId="2F1ABAD0" w14:textId="77777777" w:rsidR="00687ABF" w:rsidRPr="00264F34" w:rsidRDefault="00687ABF" w:rsidP="00DA6700">
      <w:pPr>
        <w:ind w:firstLine="720"/>
        <w:rPr>
          <w:rFonts w:ascii="Arial" w:hAnsi="Arial" w:cs="Arial"/>
          <w:i/>
          <w:sz w:val="24"/>
          <w:szCs w:val="24"/>
          <w:u w:val="single"/>
          <w:lang w:eastAsia="en-AU"/>
        </w:rPr>
      </w:pPr>
      <w:r w:rsidRPr="00264F34">
        <w:rPr>
          <w:rFonts w:ascii="Arial" w:hAnsi="Arial" w:cs="Arial"/>
          <w:i/>
          <w:sz w:val="24"/>
          <w:szCs w:val="24"/>
          <w:u w:val="single"/>
          <w:lang w:eastAsia="en-AU"/>
        </w:rPr>
        <w:t>Nature of the right and the limitation (ss 28(2)(a) and (c))</w:t>
      </w:r>
    </w:p>
    <w:p w14:paraId="2F7D9767" w14:textId="77777777" w:rsidR="00687ABF" w:rsidRPr="00264F34" w:rsidRDefault="00687ABF" w:rsidP="00DA6700">
      <w:pPr>
        <w:rPr>
          <w:rFonts w:ascii="Arial" w:hAnsi="Arial" w:cs="Arial"/>
          <w:iCs/>
          <w:sz w:val="24"/>
          <w:szCs w:val="24"/>
        </w:rPr>
      </w:pPr>
      <w:r w:rsidRPr="00264F34">
        <w:rPr>
          <w:rFonts w:ascii="Arial" w:hAnsi="Arial" w:cs="Arial"/>
          <w:iCs/>
          <w:sz w:val="24"/>
          <w:szCs w:val="24"/>
        </w:rPr>
        <w:t xml:space="preserve">The expansion of the lessor’s right of access will engage and may limit the right to privacy for tenants by creating additional circumstances in which the lessor can </w:t>
      </w:r>
      <w:r w:rsidRPr="00264F34">
        <w:rPr>
          <w:rFonts w:ascii="Arial" w:hAnsi="Arial" w:cs="Arial"/>
          <w:iCs/>
          <w:sz w:val="24"/>
          <w:szCs w:val="24"/>
        </w:rPr>
        <w:lastRenderedPageBreak/>
        <w:t xml:space="preserve">attend the premises, potentially impacting on the tenant’s quiet enjoyment of the premises. </w:t>
      </w:r>
    </w:p>
    <w:p w14:paraId="00261C18" w14:textId="77777777" w:rsidR="00687ABF" w:rsidRPr="00264F34" w:rsidRDefault="00687ABF" w:rsidP="00DA6700">
      <w:pPr>
        <w:ind w:left="360" w:firstLine="360"/>
        <w:rPr>
          <w:rFonts w:ascii="Arial" w:hAnsi="Arial" w:cs="Arial"/>
          <w:i/>
          <w:sz w:val="24"/>
          <w:szCs w:val="24"/>
          <w:u w:val="single"/>
          <w:lang w:eastAsia="en-AU"/>
        </w:rPr>
      </w:pPr>
      <w:r w:rsidRPr="00264F34">
        <w:rPr>
          <w:rFonts w:ascii="Arial" w:hAnsi="Arial" w:cs="Arial"/>
          <w:i/>
          <w:sz w:val="24"/>
          <w:szCs w:val="24"/>
          <w:u w:val="single"/>
          <w:lang w:eastAsia="en-AU"/>
        </w:rPr>
        <w:t>Legitimate purpose (s 28(2)(b))</w:t>
      </w:r>
    </w:p>
    <w:p w14:paraId="511077BF" w14:textId="20576CB9" w:rsidR="00687ABF" w:rsidRPr="00264F34" w:rsidRDefault="00687ABF" w:rsidP="00DA6700">
      <w:pPr>
        <w:rPr>
          <w:rFonts w:ascii="Arial" w:hAnsi="Arial" w:cs="Arial"/>
          <w:iCs/>
          <w:sz w:val="24"/>
          <w:szCs w:val="24"/>
        </w:rPr>
      </w:pPr>
      <w:r w:rsidRPr="00264F34">
        <w:rPr>
          <w:rFonts w:ascii="Arial" w:hAnsi="Arial" w:cs="Arial"/>
          <w:iCs/>
          <w:sz w:val="24"/>
          <w:szCs w:val="24"/>
        </w:rPr>
        <w:t xml:space="preserve">The purpose of providing additional access rights for the lessor is to ensure that the lessor is able to comply with their obligations to ensure the rental premises meets any applicable minimum housing standards. Minimum housing standards are an important equity measure to ensure all tenants in the ACT </w:t>
      </w:r>
      <w:r w:rsidR="00B21281">
        <w:rPr>
          <w:rFonts w:ascii="Arial" w:hAnsi="Arial" w:cs="Arial"/>
          <w:iCs/>
          <w:sz w:val="24"/>
          <w:szCs w:val="24"/>
        </w:rPr>
        <w:t>enjoy a</w:t>
      </w:r>
      <w:r w:rsidRPr="00264F34">
        <w:rPr>
          <w:rFonts w:ascii="Arial" w:hAnsi="Arial" w:cs="Arial"/>
          <w:iCs/>
          <w:sz w:val="24"/>
          <w:szCs w:val="24"/>
        </w:rPr>
        <w:t xml:space="preserve"> minimum standard of safety, security and comfort in their homes.  </w:t>
      </w:r>
    </w:p>
    <w:p w14:paraId="7FCEA89C" w14:textId="4AF9C6D9" w:rsidR="00687ABF" w:rsidRPr="00AD3DAD" w:rsidRDefault="00687ABF" w:rsidP="00DA6700">
      <w:pPr>
        <w:ind w:left="360" w:firstLine="360"/>
        <w:rPr>
          <w:rFonts w:ascii="Arial" w:hAnsi="Arial" w:cs="Arial"/>
          <w:i/>
          <w:sz w:val="24"/>
          <w:szCs w:val="24"/>
          <w:u w:val="single"/>
          <w:lang w:eastAsia="en-AU"/>
        </w:rPr>
      </w:pPr>
      <w:r w:rsidRPr="00AD3DAD">
        <w:rPr>
          <w:rFonts w:ascii="Arial" w:hAnsi="Arial" w:cs="Arial"/>
          <w:i/>
          <w:sz w:val="24"/>
          <w:szCs w:val="24"/>
          <w:u w:val="single"/>
          <w:lang w:eastAsia="en-AU"/>
        </w:rPr>
        <w:t>Rational connection between the limitation and the purpose (s 28</w:t>
      </w:r>
      <w:r w:rsidR="004E3BF4" w:rsidRPr="00AD3DAD">
        <w:rPr>
          <w:rFonts w:ascii="Arial" w:hAnsi="Arial" w:cs="Arial"/>
          <w:i/>
          <w:sz w:val="24"/>
          <w:szCs w:val="24"/>
          <w:u w:val="single"/>
          <w:lang w:eastAsia="en-AU"/>
        </w:rPr>
        <w:t xml:space="preserve"> </w:t>
      </w:r>
      <w:r w:rsidRPr="00AD3DAD">
        <w:rPr>
          <w:rFonts w:ascii="Arial" w:hAnsi="Arial" w:cs="Arial"/>
          <w:i/>
          <w:sz w:val="24"/>
          <w:szCs w:val="24"/>
          <w:u w:val="single"/>
          <w:lang w:eastAsia="en-AU"/>
        </w:rPr>
        <w:t>(2)</w:t>
      </w:r>
      <w:r w:rsidR="004E3BF4" w:rsidRPr="00AD3DAD">
        <w:rPr>
          <w:rFonts w:ascii="Arial" w:hAnsi="Arial" w:cs="Arial"/>
          <w:i/>
          <w:sz w:val="24"/>
          <w:szCs w:val="24"/>
          <w:u w:val="single"/>
          <w:lang w:eastAsia="en-AU"/>
        </w:rPr>
        <w:t xml:space="preserve"> </w:t>
      </w:r>
      <w:r w:rsidRPr="00AD3DAD">
        <w:rPr>
          <w:rFonts w:ascii="Arial" w:hAnsi="Arial" w:cs="Arial"/>
          <w:i/>
          <w:sz w:val="24"/>
          <w:szCs w:val="24"/>
          <w:u w:val="single"/>
          <w:lang w:eastAsia="en-AU"/>
        </w:rPr>
        <w:t>(d))</w:t>
      </w:r>
    </w:p>
    <w:p w14:paraId="3627692D" w14:textId="77777777" w:rsidR="00687ABF" w:rsidRPr="00264F34" w:rsidRDefault="00687ABF" w:rsidP="00DA6700">
      <w:pPr>
        <w:rPr>
          <w:rFonts w:ascii="Arial" w:hAnsi="Arial" w:cs="Arial"/>
          <w:iCs/>
          <w:sz w:val="24"/>
          <w:szCs w:val="24"/>
          <w:lang w:eastAsia="en-AU"/>
        </w:rPr>
      </w:pPr>
      <w:r w:rsidRPr="00AD3DAD">
        <w:rPr>
          <w:rFonts w:ascii="Arial" w:hAnsi="Arial" w:cs="Arial"/>
          <w:iCs/>
          <w:sz w:val="24"/>
          <w:szCs w:val="24"/>
          <w:lang w:eastAsia="en-AU"/>
        </w:rPr>
        <w:t>The limitation on the right to privacy through additional access rights is rationally connected to the purpose of ensuring compliance with minimum standards as it allows the lessor to attend the property to assess if the property meets minimum housing standards and, if necessary, to undertake or inspect any work required to ensure the property meets the standard.</w:t>
      </w:r>
    </w:p>
    <w:p w14:paraId="20FAAA9B" w14:textId="376442B3" w:rsidR="00687ABF" w:rsidRPr="00264F34" w:rsidRDefault="00687ABF" w:rsidP="00D4599F">
      <w:pPr>
        <w:keepNext/>
        <w:keepLines/>
        <w:ind w:left="357" w:firstLine="357"/>
        <w:rPr>
          <w:rFonts w:ascii="Arial" w:hAnsi="Arial" w:cs="Arial"/>
          <w:i/>
          <w:sz w:val="24"/>
          <w:szCs w:val="24"/>
          <w:u w:val="single"/>
          <w:lang w:eastAsia="en-AU"/>
        </w:rPr>
      </w:pPr>
      <w:r w:rsidRPr="005E2DA1">
        <w:rPr>
          <w:rFonts w:ascii="Arial" w:hAnsi="Arial" w:cs="Arial"/>
          <w:i/>
          <w:sz w:val="24"/>
          <w:szCs w:val="24"/>
          <w:u w:val="single"/>
          <w:lang w:eastAsia="en-AU"/>
        </w:rPr>
        <w:t>Proportionality (s 28</w:t>
      </w:r>
      <w:r w:rsidR="004E3BF4" w:rsidRPr="005E2DA1">
        <w:rPr>
          <w:rFonts w:ascii="Arial" w:hAnsi="Arial" w:cs="Arial"/>
          <w:i/>
          <w:sz w:val="24"/>
          <w:szCs w:val="24"/>
          <w:u w:val="single"/>
          <w:lang w:eastAsia="en-AU"/>
        </w:rPr>
        <w:t xml:space="preserve"> </w:t>
      </w:r>
      <w:r w:rsidRPr="005E2DA1">
        <w:rPr>
          <w:rFonts w:ascii="Arial" w:hAnsi="Arial" w:cs="Arial"/>
          <w:i/>
          <w:sz w:val="24"/>
          <w:szCs w:val="24"/>
          <w:u w:val="single"/>
          <w:lang w:eastAsia="en-AU"/>
        </w:rPr>
        <w:t>(2)</w:t>
      </w:r>
      <w:r w:rsidR="004E3BF4" w:rsidRPr="005E2DA1">
        <w:rPr>
          <w:rFonts w:ascii="Arial" w:hAnsi="Arial" w:cs="Arial"/>
          <w:i/>
          <w:sz w:val="24"/>
          <w:szCs w:val="24"/>
          <w:u w:val="single"/>
          <w:lang w:eastAsia="en-AU"/>
        </w:rPr>
        <w:t xml:space="preserve"> </w:t>
      </w:r>
      <w:r w:rsidRPr="005E2DA1">
        <w:rPr>
          <w:rFonts w:ascii="Arial" w:hAnsi="Arial" w:cs="Arial"/>
          <w:i/>
          <w:sz w:val="24"/>
          <w:szCs w:val="24"/>
          <w:u w:val="single"/>
          <w:lang w:eastAsia="en-AU"/>
        </w:rPr>
        <w:t>(e))</w:t>
      </w:r>
    </w:p>
    <w:p w14:paraId="3E7BB1D6" w14:textId="77777777" w:rsidR="00BF0638" w:rsidRDefault="00687ABF" w:rsidP="00DA6700">
      <w:pPr>
        <w:rPr>
          <w:rFonts w:ascii="Arial" w:hAnsi="Arial" w:cs="Arial"/>
          <w:iCs/>
          <w:sz w:val="24"/>
          <w:szCs w:val="24"/>
          <w:lang w:eastAsia="en-AU"/>
        </w:rPr>
      </w:pPr>
      <w:r w:rsidRPr="00264F34">
        <w:rPr>
          <w:rFonts w:ascii="Arial" w:hAnsi="Arial" w:cs="Arial"/>
          <w:iCs/>
          <w:sz w:val="24"/>
          <w:szCs w:val="24"/>
          <w:lang w:eastAsia="en-AU"/>
        </w:rPr>
        <w:t xml:space="preserve">Although lessors will have an expanded right to access rental premises for the purposes of ensuring compliance with the minimum housing standard, there are safeguards in place for tenants to ensure any impacts on their quiet enjoyment of the premises are reasonable. </w:t>
      </w:r>
    </w:p>
    <w:p w14:paraId="5855B2FB" w14:textId="6EEABD21" w:rsidR="00B973C8" w:rsidRDefault="00687ABF" w:rsidP="00DA6700">
      <w:pPr>
        <w:rPr>
          <w:rFonts w:ascii="Arial" w:hAnsi="Arial" w:cs="Arial"/>
          <w:iCs/>
          <w:sz w:val="24"/>
          <w:szCs w:val="24"/>
          <w:lang w:eastAsia="en-AU"/>
        </w:rPr>
      </w:pPr>
      <w:r w:rsidRPr="00264F34">
        <w:rPr>
          <w:rFonts w:ascii="Arial" w:hAnsi="Arial" w:cs="Arial"/>
          <w:iCs/>
          <w:sz w:val="24"/>
          <w:szCs w:val="24"/>
          <w:lang w:eastAsia="en-AU"/>
        </w:rPr>
        <w:t xml:space="preserve">As is currently the case when the lessor seeks to exercise their right of access to undertake repairs, to obtain access for the purpose of complying with minimum housing standards, the lessor must provide the tenant with 1 week notice (or another agreed period) and may only enter the premises at a reasonable time, having regard to the interests of the tenant and the lessor. </w:t>
      </w:r>
    </w:p>
    <w:p w14:paraId="4B6FCC2F" w14:textId="4217BAC1" w:rsidR="00687ABF" w:rsidRPr="00264F34" w:rsidRDefault="005E2DA1" w:rsidP="00DA6700">
      <w:pPr>
        <w:rPr>
          <w:rFonts w:ascii="Arial" w:hAnsi="Arial" w:cs="Arial"/>
          <w:iCs/>
          <w:sz w:val="24"/>
          <w:szCs w:val="24"/>
          <w:lang w:eastAsia="en-AU"/>
        </w:rPr>
      </w:pPr>
      <w:r>
        <w:rPr>
          <w:rFonts w:ascii="Arial" w:hAnsi="Arial" w:cs="Arial"/>
          <w:iCs/>
          <w:sz w:val="24"/>
          <w:szCs w:val="24"/>
          <w:lang w:eastAsia="en-AU"/>
        </w:rPr>
        <w:t>In addition, t</w:t>
      </w:r>
      <w:r w:rsidR="00BF0638">
        <w:rPr>
          <w:rFonts w:ascii="Arial" w:hAnsi="Arial" w:cs="Arial"/>
          <w:iCs/>
          <w:sz w:val="24"/>
          <w:szCs w:val="24"/>
          <w:lang w:eastAsia="en-AU"/>
        </w:rPr>
        <w:t>o ensure that this expanded right of access does not unreasonably impact a tenant’s quiet enjoyment of the premises</w:t>
      </w:r>
      <w:r>
        <w:rPr>
          <w:rFonts w:ascii="Arial" w:hAnsi="Arial" w:cs="Arial"/>
          <w:iCs/>
          <w:sz w:val="24"/>
          <w:szCs w:val="24"/>
          <w:lang w:eastAsia="en-AU"/>
        </w:rPr>
        <w:t xml:space="preserve"> </w:t>
      </w:r>
      <w:r w:rsidR="00581042">
        <w:rPr>
          <w:rFonts w:ascii="Arial" w:hAnsi="Arial" w:cs="Arial"/>
          <w:iCs/>
          <w:sz w:val="24"/>
          <w:szCs w:val="24"/>
          <w:lang w:eastAsia="en-AU"/>
        </w:rPr>
        <w:t>a lessor’s right of entry is</w:t>
      </w:r>
      <w:r w:rsidR="00C9134D">
        <w:rPr>
          <w:rFonts w:ascii="Arial" w:hAnsi="Arial" w:cs="Arial"/>
          <w:iCs/>
          <w:sz w:val="24"/>
          <w:szCs w:val="24"/>
          <w:lang w:eastAsia="en-AU"/>
        </w:rPr>
        <w:t xml:space="preserve"> only permitted </w:t>
      </w:r>
      <w:r w:rsidR="00BF0638">
        <w:rPr>
          <w:rFonts w:ascii="Arial" w:hAnsi="Arial" w:cs="Arial"/>
          <w:iCs/>
          <w:sz w:val="24"/>
          <w:szCs w:val="24"/>
          <w:lang w:eastAsia="en-AU"/>
        </w:rPr>
        <w:t>if</w:t>
      </w:r>
      <w:r>
        <w:rPr>
          <w:rFonts w:ascii="Arial" w:hAnsi="Arial" w:cs="Arial"/>
          <w:iCs/>
          <w:sz w:val="24"/>
          <w:szCs w:val="24"/>
          <w:lang w:eastAsia="en-AU"/>
        </w:rPr>
        <w:t xml:space="preserve"> the access is reasonable and necessary</w:t>
      </w:r>
      <w:r w:rsidR="00BF0638">
        <w:rPr>
          <w:rFonts w:ascii="Arial" w:hAnsi="Arial" w:cs="Arial"/>
          <w:iCs/>
          <w:sz w:val="24"/>
          <w:szCs w:val="24"/>
          <w:lang w:eastAsia="en-AU"/>
        </w:rPr>
        <w:t>, taking into account the nature of the intended inspection.</w:t>
      </w:r>
      <w:r w:rsidR="00830312">
        <w:rPr>
          <w:rFonts w:ascii="Arial" w:hAnsi="Arial" w:cs="Arial"/>
          <w:iCs/>
          <w:sz w:val="24"/>
          <w:szCs w:val="24"/>
          <w:lang w:eastAsia="en-AU"/>
        </w:rPr>
        <w:t xml:space="preserve"> </w:t>
      </w:r>
      <w:r w:rsidR="00687ABF" w:rsidRPr="00264F34">
        <w:rPr>
          <w:rFonts w:ascii="Arial" w:hAnsi="Arial" w:cs="Arial"/>
          <w:iCs/>
          <w:sz w:val="24"/>
          <w:szCs w:val="24"/>
          <w:lang w:eastAsia="en-AU"/>
        </w:rPr>
        <w:t>These safeguards ensure that the lessor’s right of access is narrowly circumscribed to the purpose of complying with minimum standards. They also ensure a tenant will have notice before access occurs and that they can arrange a</w:t>
      </w:r>
      <w:r w:rsidR="00B973C8">
        <w:rPr>
          <w:rFonts w:ascii="Arial" w:hAnsi="Arial" w:cs="Arial"/>
          <w:iCs/>
          <w:sz w:val="24"/>
          <w:szCs w:val="24"/>
          <w:lang w:eastAsia="en-AU"/>
        </w:rPr>
        <w:t xml:space="preserve"> mutually agreeable</w:t>
      </w:r>
      <w:r w:rsidR="00687ABF" w:rsidRPr="00264F34">
        <w:rPr>
          <w:rFonts w:ascii="Arial" w:hAnsi="Arial" w:cs="Arial"/>
          <w:iCs/>
          <w:sz w:val="24"/>
          <w:szCs w:val="24"/>
          <w:lang w:eastAsia="en-AU"/>
        </w:rPr>
        <w:t xml:space="preserve"> time for access </w:t>
      </w:r>
      <w:r w:rsidR="00B973C8">
        <w:rPr>
          <w:rFonts w:ascii="Arial" w:hAnsi="Arial" w:cs="Arial"/>
          <w:iCs/>
          <w:sz w:val="24"/>
          <w:szCs w:val="24"/>
          <w:lang w:eastAsia="en-AU"/>
        </w:rPr>
        <w:t>to the property</w:t>
      </w:r>
      <w:r w:rsidR="00687ABF" w:rsidRPr="00264F34">
        <w:rPr>
          <w:rFonts w:ascii="Arial" w:hAnsi="Arial" w:cs="Arial"/>
          <w:iCs/>
          <w:sz w:val="24"/>
          <w:szCs w:val="24"/>
          <w:lang w:eastAsia="en-AU"/>
        </w:rPr>
        <w:t xml:space="preserve">. There are no less restrictive means available for the lessor to ensure the premises complies with minimum housing standards. Together the safeguards ensure any limitation on the right to privacy is reasonable and justifiable.  </w:t>
      </w:r>
    </w:p>
    <w:p w14:paraId="1AF8F2AE" w14:textId="0D3D90FB" w:rsidR="00687ABF" w:rsidRDefault="00687ABF" w:rsidP="00B21281">
      <w:pPr>
        <w:pStyle w:val="normalweb0"/>
        <w:keepNext/>
        <w:shd w:val="clear" w:color="auto" w:fill="FFFFFF"/>
        <w:spacing w:before="240" w:beforeAutospacing="0" w:after="200" w:afterAutospacing="0" w:line="276" w:lineRule="auto"/>
        <w:rPr>
          <w:rFonts w:ascii="Arial" w:hAnsi="Arial" w:cs="Arial"/>
          <w:b/>
          <w:bCs/>
          <w:color w:val="000000"/>
        </w:rPr>
      </w:pPr>
      <w:r w:rsidRPr="00264F34">
        <w:rPr>
          <w:rFonts w:ascii="Arial" w:hAnsi="Arial" w:cs="Arial"/>
          <w:b/>
          <w:bCs/>
          <w:color w:val="000000"/>
        </w:rPr>
        <w:lastRenderedPageBreak/>
        <w:t>Right to equality before the law</w:t>
      </w:r>
    </w:p>
    <w:p w14:paraId="0DEFB38B" w14:textId="18B32943" w:rsidR="00CF3C3D" w:rsidRPr="00CF3C3D" w:rsidRDefault="00CF3C3D" w:rsidP="00B21281">
      <w:pPr>
        <w:pStyle w:val="normalweb0"/>
        <w:keepNext/>
        <w:shd w:val="clear" w:color="auto" w:fill="FFFFFF"/>
        <w:spacing w:before="240" w:beforeAutospacing="0" w:after="200" w:afterAutospacing="0" w:line="276" w:lineRule="auto"/>
        <w:rPr>
          <w:rFonts w:ascii="Arial" w:hAnsi="Arial" w:cs="Arial"/>
          <w:b/>
          <w:bCs/>
          <w:i/>
          <w:iCs/>
          <w:color w:val="000000"/>
        </w:rPr>
      </w:pPr>
      <w:r w:rsidRPr="00CF3C3D">
        <w:rPr>
          <w:rFonts w:ascii="Arial" w:hAnsi="Arial" w:cs="Arial"/>
          <w:b/>
          <w:bCs/>
          <w:i/>
          <w:iCs/>
          <w:color w:val="000000"/>
        </w:rPr>
        <w:t xml:space="preserve">Right to equality before the law – termination provisions specific to tenants in public housing or </w:t>
      </w:r>
      <w:r w:rsidR="00B21FF4">
        <w:rPr>
          <w:rFonts w:ascii="Arial" w:hAnsi="Arial" w:cs="Arial"/>
          <w:b/>
          <w:bCs/>
          <w:i/>
          <w:iCs/>
          <w:color w:val="000000"/>
        </w:rPr>
        <w:t xml:space="preserve">subsidised accommodation </w:t>
      </w:r>
      <w:r w:rsidRPr="00CF3C3D">
        <w:rPr>
          <w:rFonts w:ascii="Arial" w:hAnsi="Arial" w:cs="Arial"/>
          <w:b/>
          <w:bCs/>
          <w:i/>
          <w:iCs/>
          <w:color w:val="000000"/>
        </w:rPr>
        <w:t>programs</w:t>
      </w:r>
    </w:p>
    <w:p w14:paraId="5B82BB40" w14:textId="64C94E8E" w:rsidR="00687ABF" w:rsidRPr="00264F34" w:rsidRDefault="00687ABF" w:rsidP="00B21281">
      <w:pPr>
        <w:keepNext/>
        <w:rPr>
          <w:rFonts w:ascii="Arial" w:hAnsi="Arial" w:cs="Arial"/>
          <w:iCs/>
          <w:sz w:val="24"/>
          <w:szCs w:val="24"/>
        </w:rPr>
      </w:pPr>
      <w:r w:rsidRPr="00264F34">
        <w:rPr>
          <w:rFonts w:ascii="Arial" w:hAnsi="Arial" w:cs="Arial"/>
          <w:iCs/>
          <w:sz w:val="24"/>
          <w:szCs w:val="24"/>
        </w:rPr>
        <w:t>As noted above, the Bill will introduce new tenancy termination provisions which will allow the Housing Commissioner</w:t>
      </w:r>
      <w:r w:rsidR="00830312">
        <w:rPr>
          <w:rFonts w:ascii="Arial" w:hAnsi="Arial" w:cs="Arial"/>
          <w:iCs/>
          <w:sz w:val="24"/>
          <w:szCs w:val="24"/>
        </w:rPr>
        <w:t>, community housing provider</w:t>
      </w:r>
      <w:r w:rsidRPr="00264F34">
        <w:rPr>
          <w:rFonts w:ascii="Arial" w:hAnsi="Arial" w:cs="Arial"/>
          <w:iCs/>
          <w:sz w:val="24"/>
          <w:szCs w:val="24"/>
        </w:rPr>
        <w:t xml:space="preserve"> or </w:t>
      </w:r>
      <w:r w:rsidR="00B21FF4">
        <w:rPr>
          <w:rFonts w:ascii="Arial" w:hAnsi="Arial" w:cs="Arial"/>
          <w:iCs/>
          <w:sz w:val="24"/>
          <w:szCs w:val="24"/>
        </w:rPr>
        <w:t xml:space="preserve">subsidised accommodation </w:t>
      </w:r>
      <w:r w:rsidRPr="00264F34">
        <w:rPr>
          <w:rFonts w:ascii="Arial" w:hAnsi="Arial" w:cs="Arial"/>
          <w:iCs/>
          <w:sz w:val="24"/>
          <w:szCs w:val="24"/>
        </w:rPr>
        <w:t xml:space="preserve">providers to terminate tenancies in </w:t>
      </w:r>
      <w:r w:rsidR="00830312">
        <w:rPr>
          <w:rFonts w:ascii="Arial" w:hAnsi="Arial" w:cs="Arial"/>
          <w:iCs/>
          <w:sz w:val="24"/>
          <w:szCs w:val="24"/>
        </w:rPr>
        <w:t>specified circumstances</w:t>
      </w:r>
      <w:r w:rsidRPr="00264F34">
        <w:rPr>
          <w:rFonts w:ascii="Arial" w:hAnsi="Arial" w:cs="Arial"/>
          <w:iCs/>
          <w:sz w:val="24"/>
          <w:szCs w:val="24"/>
        </w:rPr>
        <w:t xml:space="preserve">. These tenancy termination provisions will not apply to all tenancies - only to </w:t>
      </w:r>
      <w:r w:rsidR="00F7433E">
        <w:rPr>
          <w:rFonts w:ascii="Arial" w:hAnsi="Arial" w:cs="Arial"/>
          <w:iCs/>
          <w:sz w:val="24"/>
          <w:szCs w:val="24"/>
        </w:rPr>
        <w:t>public</w:t>
      </w:r>
      <w:r w:rsidR="00F7433E" w:rsidRPr="00264F34">
        <w:rPr>
          <w:rFonts w:ascii="Arial" w:hAnsi="Arial" w:cs="Arial"/>
          <w:iCs/>
          <w:sz w:val="24"/>
          <w:szCs w:val="24"/>
        </w:rPr>
        <w:t xml:space="preserve"> </w:t>
      </w:r>
      <w:r w:rsidRPr="00264F34">
        <w:rPr>
          <w:rFonts w:ascii="Arial" w:hAnsi="Arial" w:cs="Arial"/>
          <w:iCs/>
          <w:sz w:val="24"/>
          <w:szCs w:val="24"/>
        </w:rPr>
        <w:t>housing</w:t>
      </w:r>
      <w:r w:rsidR="00830312">
        <w:rPr>
          <w:rFonts w:ascii="Arial" w:hAnsi="Arial" w:cs="Arial"/>
          <w:iCs/>
          <w:sz w:val="24"/>
          <w:szCs w:val="24"/>
        </w:rPr>
        <w:t>, community housing</w:t>
      </w:r>
      <w:r w:rsidRPr="00264F34">
        <w:rPr>
          <w:rFonts w:ascii="Arial" w:hAnsi="Arial" w:cs="Arial"/>
          <w:iCs/>
          <w:sz w:val="24"/>
          <w:szCs w:val="24"/>
        </w:rPr>
        <w:t xml:space="preserve"> or </w:t>
      </w:r>
      <w:r w:rsidR="00830312">
        <w:rPr>
          <w:rFonts w:ascii="Arial" w:hAnsi="Arial" w:cs="Arial"/>
          <w:iCs/>
          <w:sz w:val="24"/>
          <w:szCs w:val="24"/>
        </w:rPr>
        <w:t xml:space="preserve">subsidised </w:t>
      </w:r>
      <w:r w:rsidRPr="00264F34">
        <w:rPr>
          <w:rFonts w:ascii="Arial" w:hAnsi="Arial" w:cs="Arial"/>
          <w:iCs/>
          <w:sz w:val="24"/>
          <w:szCs w:val="24"/>
        </w:rPr>
        <w:t xml:space="preserve">accommodation tenancies. Tenants of </w:t>
      </w:r>
      <w:r w:rsidR="00F7433E">
        <w:rPr>
          <w:rFonts w:ascii="Arial" w:hAnsi="Arial" w:cs="Arial"/>
          <w:iCs/>
          <w:sz w:val="24"/>
          <w:szCs w:val="24"/>
        </w:rPr>
        <w:t>public</w:t>
      </w:r>
      <w:r w:rsidR="00F7433E" w:rsidRPr="00264F34">
        <w:rPr>
          <w:rFonts w:ascii="Arial" w:hAnsi="Arial" w:cs="Arial"/>
          <w:iCs/>
          <w:sz w:val="24"/>
          <w:szCs w:val="24"/>
        </w:rPr>
        <w:t xml:space="preserve"> </w:t>
      </w:r>
      <w:r w:rsidRPr="00264F34">
        <w:rPr>
          <w:rFonts w:ascii="Arial" w:hAnsi="Arial" w:cs="Arial"/>
          <w:iCs/>
          <w:sz w:val="24"/>
          <w:szCs w:val="24"/>
        </w:rPr>
        <w:t xml:space="preserve">housing or </w:t>
      </w:r>
      <w:r w:rsidR="00F7433E">
        <w:rPr>
          <w:rFonts w:ascii="Arial" w:hAnsi="Arial" w:cs="Arial"/>
          <w:iCs/>
          <w:sz w:val="24"/>
          <w:szCs w:val="24"/>
        </w:rPr>
        <w:t>subsidised</w:t>
      </w:r>
      <w:r w:rsidR="00F7433E" w:rsidRPr="00264F34">
        <w:rPr>
          <w:rFonts w:ascii="Arial" w:hAnsi="Arial" w:cs="Arial"/>
          <w:iCs/>
          <w:sz w:val="24"/>
          <w:szCs w:val="24"/>
        </w:rPr>
        <w:t xml:space="preserve"> </w:t>
      </w:r>
      <w:r w:rsidRPr="00264F34">
        <w:rPr>
          <w:rFonts w:ascii="Arial" w:hAnsi="Arial" w:cs="Arial"/>
          <w:iCs/>
          <w:sz w:val="24"/>
          <w:szCs w:val="24"/>
        </w:rPr>
        <w:t xml:space="preserve">accommodation programs represent a category of persons in our community who are likely to be vulnerable and have protected attributes (such as experiencing socio-economic disadvantage) for the purposes of human rights law. </w:t>
      </w:r>
    </w:p>
    <w:p w14:paraId="41566F60" w14:textId="56DECBC9" w:rsidR="00687ABF" w:rsidRPr="00264F34" w:rsidRDefault="00687ABF" w:rsidP="00DA6700">
      <w:pPr>
        <w:ind w:firstLine="720"/>
        <w:rPr>
          <w:rFonts w:ascii="Arial" w:hAnsi="Arial" w:cs="Arial"/>
          <w:i/>
          <w:sz w:val="24"/>
          <w:szCs w:val="24"/>
          <w:u w:val="single"/>
          <w:lang w:eastAsia="en-AU"/>
        </w:rPr>
      </w:pPr>
      <w:r w:rsidRPr="00264F34">
        <w:rPr>
          <w:rFonts w:ascii="Arial" w:hAnsi="Arial" w:cs="Arial"/>
          <w:i/>
          <w:sz w:val="24"/>
          <w:szCs w:val="24"/>
          <w:u w:val="single"/>
          <w:lang w:eastAsia="en-AU"/>
        </w:rPr>
        <w:t>Nature of the right and the limitation (ss 28</w:t>
      </w:r>
      <w:r w:rsidR="00267B88">
        <w:rPr>
          <w:rFonts w:ascii="Arial" w:hAnsi="Arial" w:cs="Arial"/>
          <w:i/>
          <w:sz w:val="24"/>
          <w:szCs w:val="24"/>
          <w:u w:val="single"/>
          <w:lang w:eastAsia="en-AU"/>
        </w:rPr>
        <w:t xml:space="preserve"> </w:t>
      </w:r>
      <w:r w:rsidRPr="00264F34">
        <w:rPr>
          <w:rFonts w:ascii="Arial" w:hAnsi="Arial" w:cs="Arial"/>
          <w:i/>
          <w:sz w:val="24"/>
          <w:szCs w:val="24"/>
          <w:u w:val="single"/>
          <w:lang w:eastAsia="en-AU"/>
        </w:rPr>
        <w:t>(2)</w:t>
      </w:r>
      <w:r w:rsidR="00976B1D">
        <w:rPr>
          <w:rFonts w:ascii="Arial" w:hAnsi="Arial" w:cs="Arial"/>
          <w:i/>
          <w:sz w:val="24"/>
          <w:szCs w:val="24"/>
          <w:u w:val="single"/>
          <w:lang w:eastAsia="en-AU"/>
        </w:rPr>
        <w:t xml:space="preserve"> </w:t>
      </w:r>
      <w:r w:rsidRPr="00264F34">
        <w:rPr>
          <w:rFonts w:ascii="Arial" w:hAnsi="Arial" w:cs="Arial"/>
          <w:i/>
          <w:sz w:val="24"/>
          <w:szCs w:val="24"/>
          <w:u w:val="single"/>
          <w:lang w:eastAsia="en-AU"/>
        </w:rPr>
        <w:t>(a) and (c))</w:t>
      </w:r>
    </w:p>
    <w:p w14:paraId="2BFB89A5" w14:textId="0727DB15" w:rsidR="00687ABF" w:rsidRPr="00264F34" w:rsidRDefault="00687ABF" w:rsidP="00DA6700">
      <w:pPr>
        <w:rPr>
          <w:rFonts w:ascii="Arial" w:hAnsi="Arial" w:cs="Arial"/>
          <w:iCs/>
          <w:sz w:val="24"/>
          <w:szCs w:val="24"/>
          <w:lang w:eastAsia="en-AU"/>
        </w:rPr>
      </w:pPr>
      <w:r w:rsidRPr="00264F34">
        <w:rPr>
          <w:rFonts w:ascii="Arial" w:hAnsi="Arial" w:cs="Arial"/>
          <w:iCs/>
          <w:sz w:val="24"/>
          <w:szCs w:val="24"/>
          <w:lang w:eastAsia="en-AU"/>
        </w:rPr>
        <w:t xml:space="preserve">Section 8 of the </w:t>
      </w:r>
      <w:r w:rsidR="0078597C">
        <w:rPr>
          <w:rFonts w:ascii="Arial" w:hAnsi="Arial" w:cs="Arial"/>
          <w:iCs/>
          <w:sz w:val="24"/>
          <w:szCs w:val="24"/>
          <w:lang w:eastAsia="en-AU"/>
        </w:rPr>
        <w:t>HRA</w:t>
      </w:r>
      <w:r w:rsidRPr="00264F34">
        <w:rPr>
          <w:rFonts w:ascii="Arial" w:hAnsi="Arial" w:cs="Arial"/>
          <w:iCs/>
          <w:sz w:val="24"/>
          <w:szCs w:val="24"/>
          <w:lang w:eastAsia="en-AU"/>
        </w:rPr>
        <w:t xml:space="preserve"> provides that everyone is equal before the law and is entitled to the equal protection of the law without discrimination. Discrimination under the HRA encompasses a distinction based on particular grounds (e.g. race, colour or sex) which has either the purpose (‘direct’ discrimination), or the effect (‘indirect’ discrimination’) of adversely affecting human rights. Not all differential treatment will amount to discrimination. To be discrimination, the differential treatment must be linked to a prohibited ground of discrimination.</w:t>
      </w:r>
    </w:p>
    <w:p w14:paraId="6BDC5BA0" w14:textId="2E42001B" w:rsidR="00687ABF" w:rsidRPr="00264F34" w:rsidRDefault="00687ABF" w:rsidP="00DA6700">
      <w:pPr>
        <w:rPr>
          <w:rFonts w:ascii="Arial" w:hAnsi="Arial" w:cs="Arial"/>
          <w:iCs/>
          <w:sz w:val="24"/>
          <w:szCs w:val="24"/>
          <w:lang w:eastAsia="en-AU"/>
        </w:rPr>
      </w:pPr>
      <w:bookmarkStart w:id="0" w:name="_Hlk104965524"/>
      <w:r w:rsidRPr="00264F34">
        <w:rPr>
          <w:rFonts w:ascii="Arial" w:hAnsi="Arial" w:cs="Arial"/>
          <w:iCs/>
          <w:sz w:val="24"/>
          <w:szCs w:val="24"/>
          <w:lang w:eastAsia="en-AU"/>
        </w:rPr>
        <w:t>Tenant</w:t>
      </w:r>
      <w:bookmarkEnd w:id="0"/>
      <w:r w:rsidRPr="00264F34">
        <w:rPr>
          <w:rFonts w:ascii="Arial" w:hAnsi="Arial" w:cs="Arial"/>
          <w:iCs/>
          <w:sz w:val="24"/>
          <w:szCs w:val="24"/>
          <w:lang w:eastAsia="en-AU"/>
        </w:rPr>
        <w:t xml:space="preserve">s of </w:t>
      </w:r>
      <w:r w:rsidR="00F7433E">
        <w:rPr>
          <w:rFonts w:ascii="Arial" w:hAnsi="Arial" w:cs="Arial"/>
          <w:iCs/>
          <w:sz w:val="24"/>
          <w:szCs w:val="24"/>
          <w:lang w:eastAsia="en-AU"/>
        </w:rPr>
        <w:t>public</w:t>
      </w:r>
      <w:r w:rsidR="00F7433E" w:rsidRPr="00264F34">
        <w:rPr>
          <w:rFonts w:ascii="Arial" w:hAnsi="Arial" w:cs="Arial"/>
          <w:iCs/>
          <w:sz w:val="24"/>
          <w:szCs w:val="24"/>
          <w:lang w:eastAsia="en-AU"/>
        </w:rPr>
        <w:t xml:space="preserve"> </w:t>
      </w:r>
      <w:r w:rsidRPr="00264F34">
        <w:rPr>
          <w:rFonts w:ascii="Arial" w:hAnsi="Arial" w:cs="Arial"/>
          <w:iCs/>
          <w:sz w:val="24"/>
          <w:szCs w:val="24"/>
          <w:lang w:eastAsia="en-AU"/>
        </w:rPr>
        <w:t xml:space="preserve">housing or accommodation assistance programs are often vulnerable members of our community that experience intersecting instances of disadvantage. Termination provisions that provide additional grounds for termination to the Housing Commissioner and </w:t>
      </w:r>
      <w:r w:rsidR="00F7433E">
        <w:rPr>
          <w:rFonts w:ascii="Arial" w:hAnsi="Arial" w:cs="Arial"/>
          <w:iCs/>
          <w:sz w:val="24"/>
          <w:szCs w:val="24"/>
          <w:lang w:eastAsia="en-AU"/>
        </w:rPr>
        <w:t>subsidised</w:t>
      </w:r>
      <w:r w:rsidR="00F7433E" w:rsidRPr="00264F34">
        <w:rPr>
          <w:rFonts w:ascii="Arial" w:hAnsi="Arial" w:cs="Arial"/>
          <w:iCs/>
          <w:sz w:val="24"/>
          <w:szCs w:val="24"/>
          <w:lang w:eastAsia="en-AU"/>
        </w:rPr>
        <w:t xml:space="preserve"> </w:t>
      </w:r>
      <w:r w:rsidRPr="00264F34">
        <w:rPr>
          <w:rFonts w:ascii="Arial" w:hAnsi="Arial" w:cs="Arial"/>
          <w:iCs/>
          <w:sz w:val="24"/>
          <w:szCs w:val="24"/>
          <w:lang w:eastAsia="en-AU"/>
        </w:rPr>
        <w:t xml:space="preserve">accommodation providers will apply only to this category of tenants. Due to this level of hardship and vulnerability, legislation which applies only to tenants of </w:t>
      </w:r>
      <w:r w:rsidR="00F7433E">
        <w:rPr>
          <w:rFonts w:ascii="Arial" w:hAnsi="Arial" w:cs="Arial"/>
          <w:iCs/>
          <w:sz w:val="24"/>
          <w:szCs w:val="24"/>
          <w:lang w:eastAsia="en-AU"/>
        </w:rPr>
        <w:t>public</w:t>
      </w:r>
      <w:r w:rsidR="00F7433E" w:rsidRPr="00264F34">
        <w:rPr>
          <w:rFonts w:ascii="Arial" w:hAnsi="Arial" w:cs="Arial"/>
          <w:iCs/>
          <w:sz w:val="24"/>
          <w:szCs w:val="24"/>
          <w:lang w:eastAsia="en-AU"/>
        </w:rPr>
        <w:t xml:space="preserve"> </w:t>
      </w:r>
      <w:r w:rsidRPr="00264F34">
        <w:rPr>
          <w:rFonts w:ascii="Arial" w:hAnsi="Arial" w:cs="Arial"/>
          <w:iCs/>
          <w:sz w:val="24"/>
          <w:szCs w:val="24"/>
          <w:lang w:eastAsia="en-AU"/>
        </w:rPr>
        <w:t xml:space="preserve">housing or </w:t>
      </w:r>
      <w:r w:rsidR="00F7433E">
        <w:rPr>
          <w:rFonts w:ascii="Arial" w:hAnsi="Arial" w:cs="Arial"/>
          <w:iCs/>
          <w:sz w:val="24"/>
          <w:szCs w:val="24"/>
          <w:lang w:eastAsia="en-AU"/>
        </w:rPr>
        <w:t>subsidised</w:t>
      </w:r>
      <w:r w:rsidR="00F7433E" w:rsidRPr="00264F34">
        <w:rPr>
          <w:rFonts w:ascii="Arial" w:hAnsi="Arial" w:cs="Arial"/>
          <w:iCs/>
          <w:sz w:val="24"/>
          <w:szCs w:val="24"/>
          <w:lang w:eastAsia="en-AU"/>
        </w:rPr>
        <w:t xml:space="preserve"> </w:t>
      </w:r>
      <w:r w:rsidRPr="00264F34">
        <w:rPr>
          <w:rFonts w:ascii="Arial" w:hAnsi="Arial" w:cs="Arial"/>
          <w:iCs/>
          <w:sz w:val="24"/>
          <w:szCs w:val="24"/>
          <w:lang w:eastAsia="en-AU"/>
        </w:rPr>
        <w:t>accommodation programs will engage and may limit the right to equality before the law.</w:t>
      </w:r>
    </w:p>
    <w:p w14:paraId="7FB3FD69" w14:textId="7D0E9FDB" w:rsidR="00687ABF" w:rsidRPr="00264F34" w:rsidRDefault="00687ABF" w:rsidP="00DA6700">
      <w:pPr>
        <w:ind w:left="360" w:firstLine="360"/>
        <w:rPr>
          <w:rFonts w:ascii="Arial" w:hAnsi="Arial" w:cs="Arial"/>
          <w:i/>
          <w:sz w:val="24"/>
          <w:szCs w:val="24"/>
          <w:u w:val="single"/>
          <w:lang w:eastAsia="en-AU"/>
        </w:rPr>
      </w:pPr>
      <w:r w:rsidRPr="00264F34">
        <w:rPr>
          <w:rFonts w:ascii="Arial" w:hAnsi="Arial" w:cs="Arial"/>
          <w:i/>
          <w:sz w:val="24"/>
          <w:szCs w:val="24"/>
          <w:u w:val="single"/>
          <w:lang w:eastAsia="en-AU"/>
        </w:rPr>
        <w:t>Legitimate purpose (s 28</w:t>
      </w:r>
      <w:r w:rsidR="00267B88">
        <w:rPr>
          <w:rFonts w:ascii="Arial" w:hAnsi="Arial" w:cs="Arial"/>
          <w:i/>
          <w:sz w:val="24"/>
          <w:szCs w:val="24"/>
          <w:u w:val="single"/>
          <w:lang w:eastAsia="en-AU"/>
        </w:rPr>
        <w:t xml:space="preserve"> </w:t>
      </w:r>
      <w:r w:rsidRPr="00264F34">
        <w:rPr>
          <w:rFonts w:ascii="Arial" w:hAnsi="Arial" w:cs="Arial"/>
          <w:i/>
          <w:sz w:val="24"/>
          <w:szCs w:val="24"/>
          <w:u w:val="single"/>
          <w:lang w:eastAsia="en-AU"/>
        </w:rPr>
        <w:t>(2)</w:t>
      </w:r>
      <w:r w:rsidR="00267B88">
        <w:rPr>
          <w:rFonts w:ascii="Arial" w:hAnsi="Arial" w:cs="Arial"/>
          <w:i/>
          <w:sz w:val="24"/>
          <w:szCs w:val="24"/>
          <w:u w:val="single"/>
          <w:lang w:eastAsia="en-AU"/>
        </w:rPr>
        <w:t xml:space="preserve"> </w:t>
      </w:r>
      <w:r w:rsidRPr="00264F34">
        <w:rPr>
          <w:rFonts w:ascii="Arial" w:hAnsi="Arial" w:cs="Arial"/>
          <w:i/>
          <w:sz w:val="24"/>
          <w:szCs w:val="24"/>
          <w:u w:val="single"/>
          <w:lang w:eastAsia="en-AU"/>
        </w:rPr>
        <w:t>(b))</w:t>
      </w:r>
    </w:p>
    <w:p w14:paraId="370DA1C0" w14:textId="362CDFB1" w:rsidR="00687ABF" w:rsidRPr="00264F34" w:rsidRDefault="00687ABF" w:rsidP="00DA6700">
      <w:pPr>
        <w:rPr>
          <w:rFonts w:ascii="Arial" w:hAnsi="Arial" w:cs="Arial"/>
          <w:iCs/>
          <w:sz w:val="24"/>
          <w:szCs w:val="24"/>
          <w:lang w:eastAsia="en-AU"/>
        </w:rPr>
      </w:pPr>
      <w:r w:rsidRPr="00264F34">
        <w:rPr>
          <w:rFonts w:ascii="Arial" w:hAnsi="Arial" w:cs="Arial"/>
          <w:iCs/>
          <w:sz w:val="24"/>
          <w:szCs w:val="24"/>
          <w:lang w:eastAsia="en-AU"/>
        </w:rPr>
        <w:t xml:space="preserve">As noted above in the right to privacy section, the purpose of introducing the new termination provisions for the </w:t>
      </w:r>
      <w:r w:rsidR="00550F17">
        <w:rPr>
          <w:rFonts w:ascii="Arial" w:hAnsi="Arial" w:cs="Arial"/>
          <w:iCs/>
          <w:sz w:val="24"/>
          <w:szCs w:val="24"/>
          <w:lang w:eastAsia="en-AU"/>
        </w:rPr>
        <w:t xml:space="preserve">Housing </w:t>
      </w:r>
      <w:r w:rsidRPr="00264F34">
        <w:rPr>
          <w:rFonts w:ascii="Arial" w:hAnsi="Arial" w:cs="Arial"/>
          <w:iCs/>
          <w:sz w:val="24"/>
          <w:szCs w:val="24"/>
          <w:lang w:eastAsia="en-AU"/>
        </w:rPr>
        <w:t>Commissioner</w:t>
      </w:r>
      <w:r w:rsidR="00F04E9D">
        <w:rPr>
          <w:rFonts w:ascii="Arial" w:hAnsi="Arial" w:cs="Arial"/>
          <w:iCs/>
          <w:sz w:val="24"/>
          <w:szCs w:val="24"/>
          <w:lang w:eastAsia="en-AU"/>
        </w:rPr>
        <w:t>, community housing providers</w:t>
      </w:r>
      <w:r w:rsidRPr="00264F34">
        <w:rPr>
          <w:rFonts w:ascii="Arial" w:hAnsi="Arial" w:cs="Arial"/>
          <w:iCs/>
          <w:sz w:val="24"/>
          <w:szCs w:val="24"/>
          <w:lang w:eastAsia="en-AU"/>
        </w:rPr>
        <w:t xml:space="preserve"> and </w:t>
      </w:r>
      <w:r w:rsidR="00830312">
        <w:rPr>
          <w:rFonts w:ascii="Arial" w:hAnsi="Arial" w:cs="Arial"/>
          <w:iCs/>
          <w:sz w:val="24"/>
          <w:szCs w:val="24"/>
          <w:lang w:eastAsia="en-AU"/>
        </w:rPr>
        <w:t>subsidised</w:t>
      </w:r>
      <w:r w:rsidR="00F7433E">
        <w:rPr>
          <w:rFonts w:ascii="Arial" w:hAnsi="Arial" w:cs="Arial"/>
          <w:iCs/>
          <w:sz w:val="24"/>
          <w:szCs w:val="24"/>
          <w:lang w:eastAsia="en-AU"/>
        </w:rPr>
        <w:t xml:space="preserve"> </w:t>
      </w:r>
      <w:r w:rsidRPr="00264F34">
        <w:rPr>
          <w:rFonts w:ascii="Arial" w:hAnsi="Arial" w:cs="Arial"/>
          <w:iCs/>
          <w:sz w:val="24"/>
          <w:szCs w:val="24"/>
          <w:lang w:eastAsia="en-AU"/>
        </w:rPr>
        <w:t xml:space="preserve">accommodation providers is to support the operation of housing assistance programs, with the ultimate goal being to ensure that the housing assistance </w:t>
      </w:r>
      <w:r w:rsidR="0078597C">
        <w:rPr>
          <w:rFonts w:ascii="Arial" w:hAnsi="Arial" w:cs="Arial"/>
          <w:iCs/>
          <w:sz w:val="24"/>
          <w:szCs w:val="24"/>
          <w:lang w:eastAsia="en-AU"/>
        </w:rPr>
        <w:t>P</w:t>
      </w:r>
      <w:r w:rsidRPr="00264F34">
        <w:rPr>
          <w:rFonts w:ascii="Arial" w:hAnsi="Arial" w:cs="Arial"/>
          <w:iCs/>
          <w:sz w:val="24"/>
          <w:szCs w:val="24"/>
          <w:lang w:eastAsia="en-AU"/>
        </w:rPr>
        <w:t>rogram</w:t>
      </w:r>
      <w:r w:rsidR="00F04E9D">
        <w:rPr>
          <w:rFonts w:ascii="Arial" w:hAnsi="Arial" w:cs="Arial"/>
          <w:iCs/>
          <w:sz w:val="24"/>
          <w:szCs w:val="24"/>
          <w:lang w:eastAsia="en-AU"/>
        </w:rPr>
        <w:t>, community housing provider programs</w:t>
      </w:r>
      <w:r w:rsidRPr="00264F34">
        <w:rPr>
          <w:rFonts w:ascii="Arial" w:hAnsi="Arial" w:cs="Arial"/>
          <w:iCs/>
          <w:sz w:val="24"/>
          <w:szCs w:val="24"/>
          <w:lang w:eastAsia="en-AU"/>
        </w:rPr>
        <w:t xml:space="preserve"> </w:t>
      </w:r>
      <w:r w:rsidR="00550F17">
        <w:rPr>
          <w:rFonts w:ascii="Arial" w:hAnsi="Arial" w:cs="Arial"/>
          <w:iCs/>
          <w:sz w:val="24"/>
          <w:szCs w:val="24"/>
          <w:lang w:eastAsia="en-AU"/>
        </w:rPr>
        <w:t xml:space="preserve">and </w:t>
      </w:r>
      <w:r w:rsidR="00F7433E">
        <w:rPr>
          <w:rFonts w:ascii="Arial" w:hAnsi="Arial" w:cs="Arial"/>
          <w:iCs/>
          <w:sz w:val="24"/>
          <w:szCs w:val="24"/>
          <w:lang w:eastAsia="en-AU"/>
        </w:rPr>
        <w:t xml:space="preserve">subsidised </w:t>
      </w:r>
      <w:r w:rsidR="00550F17">
        <w:rPr>
          <w:rFonts w:ascii="Arial" w:hAnsi="Arial" w:cs="Arial"/>
          <w:iCs/>
          <w:sz w:val="24"/>
          <w:szCs w:val="24"/>
          <w:lang w:eastAsia="en-AU"/>
        </w:rPr>
        <w:t xml:space="preserve">accommodation programs are targeted to those </w:t>
      </w:r>
      <w:r w:rsidR="0078597C">
        <w:rPr>
          <w:rFonts w:ascii="Arial" w:hAnsi="Arial" w:cs="Arial"/>
          <w:iCs/>
          <w:sz w:val="24"/>
          <w:szCs w:val="24"/>
          <w:lang w:eastAsia="en-AU"/>
        </w:rPr>
        <w:t>who are eligible for assistance</w:t>
      </w:r>
      <w:r w:rsidRPr="00264F34">
        <w:rPr>
          <w:rFonts w:ascii="Arial" w:hAnsi="Arial" w:cs="Arial"/>
          <w:iCs/>
          <w:sz w:val="24"/>
          <w:szCs w:val="24"/>
          <w:lang w:eastAsia="en-AU"/>
        </w:rPr>
        <w:t>.</w:t>
      </w:r>
    </w:p>
    <w:p w14:paraId="21031F4A" w14:textId="3D517B5D" w:rsidR="00687ABF" w:rsidRPr="00264F34" w:rsidRDefault="00687ABF" w:rsidP="00DA6700">
      <w:pPr>
        <w:ind w:left="360" w:firstLine="360"/>
        <w:rPr>
          <w:rFonts w:ascii="Arial" w:hAnsi="Arial" w:cs="Arial"/>
          <w:i/>
          <w:sz w:val="24"/>
          <w:szCs w:val="24"/>
          <w:u w:val="single"/>
          <w:lang w:eastAsia="en-AU"/>
        </w:rPr>
      </w:pPr>
      <w:r w:rsidRPr="00264F34">
        <w:rPr>
          <w:rFonts w:ascii="Arial" w:hAnsi="Arial" w:cs="Arial"/>
          <w:i/>
          <w:sz w:val="24"/>
          <w:szCs w:val="24"/>
          <w:u w:val="single"/>
          <w:lang w:eastAsia="en-AU"/>
        </w:rPr>
        <w:t>Rational connection between the limitation and the purpose (s 28</w:t>
      </w:r>
      <w:r w:rsidR="00267B88">
        <w:rPr>
          <w:rFonts w:ascii="Arial" w:hAnsi="Arial" w:cs="Arial"/>
          <w:i/>
          <w:sz w:val="24"/>
          <w:szCs w:val="24"/>
          <w:u w:val="single"/>
          <w:lang w:eastAsia="en-AU"/>
        </w:rPr>
        <w:t xml:space="preserve"> </w:t>
      </w:r>
      <w:r w:rsidRPr="00264F34">
        <w:rPr>
          <w:rFonts w:ascii="Arial" w:hAnsi="Arial" w:cs="Arial"/>
          <w:i/>
          <w:sz w:val="24"/>
          <w:szCs w:val="24"/>
          <w:u w:val="single"/>
          <w:lang w:eastAsia="en-AU"/>
        </w:rPr>
        <w:t>(2)</w:t>
      </w:r>
      <w:r w:rsidR="00267B88">
        <w:rPr>
          <w:rFonts w:ascii="Arial" w:hAnsi="Arial" w:cs="Arial"/>
          <w:i/>
          <w:sz w:val="24"/>
          <w:szCs w:val="24"/>
          <w:u w:val="single"/>
          <w:lang w:eastAsia="en-AU"/>
        </w:rPr>
        <w:t xml:space="preserve"> </w:t>
      </w:r>
      <w:r w:rsidRPr="00264F34">
        <w:rPr>
          <w:rFonts w:ascii="Arial" w:hAnsi="Arial" w:cs="Arial"/>
          <w:i/>
          <w:sz w:val="24"/>
          <w:szCs w:val="24"/>
          <w:u w:val="single"/>
          <w:lang w:eastAsia="en-AU"/>
        </w:rPr>
        <w:t>(d))</w:t>
      </w:r>
    </w:p>
    <w:p w14:paraId="0FD419E0" w14:textId="6584CDC8" w:rsidR="00687ABF" w:rsidRPr="00264F34" w:rsidRDefault="00687ABF" w:rsidP="00DA6700">
      <w:pPr>
        <w:rPr>
          <w:rFonts w:ascii="Arial" w:hAnsi="Arial" w:cs="Arial"/>
          <w:iCs/>
          <w:sz w:val="24"/>
          <w:szCs w:val="24"/>
          <w:lang w:eastAsia="en-AU"/>
        </w:rPr>
      </w:pPr>
      <w:r w:rsidRPr="00264F34">
        <w:rPr>
          <w:rFonts w:ascii="Arial" w:hAnsi="Arial" w:cs="Arial"/>
          <w:iCs/>
          <w:sz w:val="24"/>
          <w:szCs w:val="24"/>
          <w:lang w:eastAsia="en-AU"/>
        </w:rPr>
        <w:t>The measures are rationally connected to the objective of supporting housing assistance program</w:t>
      </w:r>
      <w:r w:rsidR="00267B88">
        <w:rPr>
          <w:rFonts w:ascii="Arial" w:hAnsi="Arial" w:cs="Arial"/>
          <w:iCs/>
          <w:sz w:val="24"/>
          <w:szCs w:val="24"/>
          <w:lang w:eastAsia="en-AU"/>
        </w:rPr>
        <w:t>s</w:t>
      </w:r>
      <w:r w:rsidRPr="00264F34">
        <w:rPr>
          <w:rFonts w:ascii="Arial" w:hAnsi="Arial" w:cs="Arial"/>
          <w:iCs/>
          <w:sz w:val="24"/>
          <w:szCs w:val="24"/>
          <w:lang w:eastAsia="en-AU"/>
        </w:rPr>
        <w:t>, as the new tenancy termination provisions allow the Housing Commissioner</w:t>
      </w:r>
      <w:r w:rsidR="00F04E9D">
        <w:rPr>
          <w:rFonts w:ascii="Arial" w:hAnsi="Arial" w:cs="Arial"/>
          <w:iCs/>
          <w:sz w:val="24"/>
          <w:szCs w:val="24"/>
          <w:lang w:eastAsia="en-AU"/>
        </w:rPr>
        <w:t>, community housing providers</w:t>
      </w:r>
      <w:r w:rsidRPr="00264F34">
        <w:rPr>
          <w:rFonts w:ascii="Arial" w:hAnsi="Arial" w:cs="Arial"/>
          <w:iCs/>
          <w:sz w:val="24"/>
          <w:szCs w:val="24"/>
          <w:lang w:eastAsia="en-AU"/>
        </w:rPr>
        <w:t xml:space="preserve"> or </w:t>
      </w:r>
      <w:r w:rsidR="00F7433E">
        <w:rPr>
          <w:rFonts w:ascii="Arial" w:hAnsi="Arial" w:cs="Arial"/>
          <w:iCs/>
          <w:sz w:val="24"/>
          <w:szCs w:val="24"/>
          <w:lang w:eastAsia="en-AU"/>
        </w:rPr>
        <w:t>subsidised</w:t>
      </w:r>
      <w:r w:rsidR="00F7433E" w:rsidRPr="00264F34">
        <w:rPr>
          <w:rFonts w:ascii="Arial" w:hAnsi="Arial" w:cs="Arial"/>
          <w:iCs/>
          <w:sz w:val="24"/>
          <w:szCs w:val="24"/>
          <w:lang w:eastAsia="en-AU"/>
        </w:rPr>
        <w:t xml:space="preserve"> </w:t>
      </w:r>
      <w:r w:rsidRPr="00264F34">
        <w:rPr>
          <w:rFonts w:ascii="Arial" w:hAnsi="Arial" w:cs="Arial"/>
          <w:iCs/>
          <w:sz w:val="24"/>
          <w:szCs w:val="24"/>
          <w:lang w:eastAsia="en-AU"/>
        </w:rPr>
        <w:t xml:space="preserve">accommodation provider </w:t>
      </w:r>
      <w:r w:rsidRPr="00264F34">
        <w:rPr>
          <w:rFonts w:ascii="Arial" w:hAnsi="Arial" w:cs="Arial"/>
          <w:iCs/>
          <w:sz w:val="24"/>
          <w:szCs w:val="24"/>
          <w:lang w:eastAsia="en-AU"/>
        </w:rPr>
        <w:lastRenderedPageBreak/>
        <w:t>to recover possession of the premises from a tenant who is no longer eligible for assistance or where the tenancy is no longer operating in a way that supports the overarching goals of the housing assistance program. This then allows the Housing Commissioner</w:t>
      </w:r>
      <w:r w:rsidR="00F04E9D">
        <w:rPr>
          <w:rFonts w:ascii="Arial" w:hAnsi="Arial" w:cs="Arial"/>
          <w:iCs/>
          <w:sz w:val="24"/>
          <w:szCs w:val="24"/>
          <w:lang w:eastAsia="en-AU"/>
        </w:rPr>
        <w:t>, community housing provider</w:t>
      </w:r>
      <w:r w:rsidRPr="00264F34">
        <w:rPr>
          <w:rFonts w:ascii="Arial" w:hAnsi="Arial" w:cs="Arial"/>
          <w:iCs/>
          <w:sz w:val="24"/>
          <w:szCs w:val="24"/>
          <w:lang w:eastAsia="en-AU"/>
        </w:rPr>
        <w:t xml:space="preserve"> or </w:t>
      </w:r>
      <w:r w:rsidR="00F7433E">
        <w:rPr>
          <w:rFonts w:ascii="Arial" w:hAnsi="Arial" w:cs="Arial"/>
          <w:iCs/>
          <w:sz w:val="24"/>
          <w:szCs w:val="24"/>
          <w:lang w:eastAsia="en-AU"/>
        </w:rPr>
        <w:t xml:space="preserve">subsidised </w:t>
      </w:r>
      <w:r w:rsidRPr="00264F34">
        <w:rPr>
          <w:rFonts w:ascii="Arial" w:hAnsi="Arial" w:cs="Arial"/>
          <w:iCs/>
          <w:sz w:val="24"/>
          <w:szCs w:val="24"/>
          <w:lang w:eastAsia="en-AU"/>
        </w:rPr>
        <w:t xml:space="preserve">accommodation provider to make the premises available to someone who is eligible for assistance. </w:t>
      </w:r>
    </w:p>
    <w:p w14:paraId="56F15E7F" w14:textId="6E53C183" w:rsidR="00687ABF" w:rsidRPr="00264F34" w:rsidRDefault="00687ABF" w:rsidP="00DA6700">
      <w:pPr>
        <w:ind w:left="360" w:firstLine="360"/>
        <w:rPr>
          <w:rFonts w:ascii="Arial" w:hAnsi="Arial" w:cs="Arial"/>
          <w:i/>
          <w:sz w:val="24"/>
          <w:szCs w:val="24"/>
          <w:u w:val="single"/>
          <w:lang w:eastAsia="en-AU"/>
        </w:rPr>
      </w:pPr>
      <w:r w:rsidRPr="00264F34">
        <w:rPr>
          <w:rFonts w:ascii="Arial" w:hAnsi="Arial" w:cs="Arial"/>
          <w:i/>
          <w:sz w:val="24"/>
          <w:szCs w:val="24"/>
          <w:u w:val="single"/>
          <w:lang w:eastAsia="en-AU"/>
        </w:rPr>
        <w:t>Proportionality (s 28</w:t>
      </w:r>
      <w:r w:rsidR="00267B88">
        <w:rPr>
          <w:rFonts w:ascii="Arial" w:hAnsi="Arial" w:cs="Arial"/>
          <w:i/>
          <w:sz w:val="24"/>
          <w:szCs w:val="24"/>
          <w:u w:val="single"/>
          <w:lang w:eastAsia="en-AU"/>
        </w:rPr>
        <w:t xml:space="preserve"> </w:t>
      </w:r>
      <w:r w:rsidRPr="00264F34">
        <w:rPr>
          <w:rFonts w:ascii="Arial" w:hAnsi="Arial" w:cs="Arial"/>
          <w:i/>
          <w:sz w:val="24"/>
          <w:szCs w:val="24"/>
          <w:u w:val="single"/>
          <w:lang w:eastAsia="en-AU"/>
        </w:rPr>
        <w:t>(2)</w:t>
      </w:r>
      <w:r w:rsidR="00267B88">
        <w:rPr>
          <w:rFonts w:ascii="Arial" w:hAnsi="Arial" w:cs="Arial"/>
          <w:i/>
          <w:sz w:val="24"/>
          <w:szCs w:val="24"/>
          <w:u w:val="single"/>
          <w:lang w:eastAsia="en-AU"/>
        </w:rPr>
        <w:t xml:space="preserve"> </w:t>
      </w:r>
      <w:r w:rsidRPr="00264F34">
        <w:rPr>
          <w:rFonts w:ascii="Arial" w:hAnsi="Arial" w:cs="Arial"/>
          <w:i/>
          <w:sz w:val="24"/>
          <w:szCs w:val="24"/>
          <w:u w:val="single"/>
          <w:lang w:eastAsia="en-AU"/>
        </w:rPr>
        <w:t>(e))</w:t>
      </w:r>
    </w:p>
    <w:p w14:paraId="04C309DA" w14:textId="65501000" w:rsidR="00687ABF" w:rsidRPr="00264F34" w:rsidRDefault="00687ABF" w:rsidP="00DA6700">
      <w:pPr>
        <w:spacing w:before="240" w:after="0"/>
        <w:rPr>
          <w:rFonts w:ascii="Arial" w:hAnsi="Arial" w:cs="Arial"/>
          <w:sz w:val="24"/>
          <w:szCs w:val="24"/>
        </w:rPr>
      </w:pPr>
      <w:r w:rsidRPr="00264F34">
        <w:rPr>
          <w:rFonts w:ascii="Arial" w:hAnsi="Arial" w:cs="Arial"/>
          <w:sz w:val="24"/>
          <w:szCs w:val="24"/>
        </w:rPr>
        <w:t xml:space="preserve">The new tenancy termination provisions for the </w:t>
      </w:r>
      <w:r w:rsidR="0078597C">
        <w:rPr>
          <w:rFonts w:ascii="Arial" w:hAnsi="Arial" w:cs="Arial"/>
          <w:sz w:val="24"/>
          <w:szCs w:val="24"/>
        </w:rPr>
        <w:t xml:space="preserve">Housing </w:t>
      </w:r>
      <w:r w:rsidRPr="00264F34">
        <w:rPr>
          <w:rFonts w:ascii="Arial" w:hAnsi="Arial" w:cs="Arial"/>
          <w:sz w:val="24"/>
          <w:szCs w:val="24"/>
        </w:rPr>
        <w:t>Commissioner</w:t>
      </w:r>
      <w:r w:rsidR="00F04E9D">
        <w:rPr>
          <w:rFonts w:ascii="Arial" w:hAnsi="Arial" w:cs="Arial"/>
          <w:sz w:val="24"/>
          <w:szCs w:val="24"/>
        </w:rPr>
        <w:t>, community housing provider</w:t>
      </w:r>
      <w:r w:rsidRPr="00264F34">
        <w:rPr>
          <w:rFonts w:ascii="Arial" w:hAnsi="Arial" w:cs="Arial"/>
          <w:sz w:val="24"/>
          <w:szCs w:val="24"/>
        </w:rPr>
        <w:t xml:space="preserve"> and </w:t>
      </w:r>
      <w:r w:rsidR="00F7433E">
        <w:rPr>
          <w:rFonts w:ascii="Arial" w:hAnsi="Arial" w:cs="Arial"/>
          <w:sz w:val="24"/>
          <w:szCs w:val="24"/>
        </w:rPr>
        <w:t xml:space="preserve">subsidised </w:t>
      </w:r>
      <w:r w:rsidRPr="00264F34">
        <w:rPr>
          <w:rFonts w:ascii="Arial" w:hAnsi="Arial" w:cs="Arial"/>
          <w:sz w:val="24"/>
          <w:szCs w:val="24"/>
        </w:rPr>
        <w:t xml:space="preserve">accommodation programs have procedural safeguards to ensure that where the right to equality before the law may be engaged and limited, the limitation is proportionate and aligned with the legitimate purpose of supporting the housing assistance program </w:t>
      </w:r>
      <w:r w:rsidR="007531F5">
        <w:rPr>
          <w:rFonts w:ascii="Arial" w:hAnsi="Arial" w:cs="Arial"/>
          <w:iCs/>
          <w:sz w:val="24"/>
          <w:szCs w:val="24"/>
        </w:rPr>
        <w:t>to address inequality of access to housing and enable access to housing for those most in need</w:t>
      </w:r>
      <w:r w:rsidR="007531F5" w:rsidRPr="00264F34">
        <w:rPr>
          <w:rFonts w:ascii="Arial" w:hAnsi="Arial" w:cs="Arial"/>
          <w:iCs/>
          <w:sz w:val="24"/>
          <w:szCs w:val="24"/>
        </w:rPr>
        <w:t>.</w:t>
      </w:r>
      <w:r w:rsidR="00830312">
        <w:rPr>
          <w:rFonts w:ascii="Arial" w:hAnsi="Arial" w:cs="Arial"/>
          <w:iCs/>
          <w:sz w:val="24"/>
          <w:szCs w:val="24"/>
        </w:rPr>
        <w:t xml:space="preserve"> </w:t>
      </w:r>
    </w:p>
    <w:p w14:paraId="495DB042" w14:textId="77D7C762" w:rsidR="00687ABF" w:rsidRDefault="00687ABF" w:rsidP="00DA6700">
      <w:pPr>
        <w:spacing w:before="240" w:after="0"/>
        <w:rPr>
          <w:rFonts w:ascii="Arial" w:hAnsi="Arial" w:cs="Arial"/>
          <w:sz w:val="24"/>
          <w:szCs w:val="24"/>
        </w:rPr>
      </w:pPr>
      <w:r w:rsidRPr="00264F34">
        <w:rPr>
          <w:rFonts w:ascii="Arial" w:hAnsi="Arial" w:cs="Arial"/>
          <w:sz w:val="24"/>
          <w:szCs w:val="24"/>
        </w:rPr>
        <w:t>The human rights safeguards for each provision</w:t>
      </w:r>
      <w:r w:rsidR="00830312">
        <w:rPr>
          <w:rFonts w:ascii="Arial" w:hAnsi="Arial" w:cs="Arial"/>
          <w:sz w:val="24"/>
          <w:szCs w:val="24"/>
        </w:rPr>
        <w:t xml:space="preserve"> </w:t>
      </w:r>
      <w:r w:rsidRPr="00264F34">
        <w:rPr>
          <w:rFonts w:ascii="Arial" w:hAnsi="Arial" w:cs="Arial"/>
          <w:sz w:val="24"/>
          <w:szCs w:val="24"/>
        </w:rPr>
        <w:t xml:space="preserve">have been outlined in detail in the right to privacy section above. </w:t>
      </w:r>
      <w:r w:rsidR="00830312">
        <w:rPr>
          <w:rFonts w:ascii="Arial" w:hAnsi="Arial" w:cs="Arial"/>
          <w:sz w:val="24"/>
          <w:szCs w:val="24"/>
        </w:rPr>
        <w:t xml:space="preserve">It is also noted that the reasonable and proportionate test for tenancy termination will apply to all of these provisions. </w:t>
      </w:r>
      <w:r w:rsidRPr="00264F34">
        <w:rPr>
          <w:rFonts w:ascii="Arial" w:hAnsi="Arial" w:cs="Arial"/>
          <w:sz w:val="24"/>
          <w:szCs w:val="24"/>
        </w:rPr>
        <w:t xml:space="preserve">Further, it is considered that there are no less restrictive means available to ensuring the housing assistance program </w:t>
      </w:r>
      <w:r w:rsidR="00F04E9D">
        <w:rPr>
          <w:rFonts w:ascii="Arial" w:hAnsi="Arial" w:cs="Arial"/>
          <w:sz w:val="24"/>
          <w:szCs w:val="24"/>
        </w:rPr>
        <w:t xml:space="preserve">and other community based programs </w:t>
      </w:r>
      <w:r w:rsidRPr="00264F34">
        <w:rPr>
          <w:rFonts w:ascii="Arial" w:hAnsi="Arial" w:cs="Arial"/>
          <w:sz w:val="24"/>
          <w:szCs w:val="24"/>
        </w:rPr>
        <w:t xml:space="preserve">can continue to operate </w:t>
      </w:r>
      <w:r w:rsidR="007531F5">
        <w:rPr>
          <w:rFonts w:ascii="Arial" w:hAnsi="Arial" w:cs="Arial"/>
          <w:sz w:val="24"/>
          <w:szCs w:val="24"/>
        </w:rPr>
        <w:t>effectively</w:t>
      </w:r>
      <w:r w:rsidRPr="00264F34">
        <w:rPr>
          <w:rFonts w:ascii="Arial" w:hAnsi="Arial" w:cs="Arial"/>
          <w:sz w:val="24"/>
          <w:szCs w:val="24"/>
        </w:rPr>
        <w:t xml:space="preserve"> without incorporating these termination provisions. This is because the Housing Commissioner</w:t>
      </w:r>
      <w:r w:rsidR="00F04E9D">
        <w:rPr>
          <w:rFonts w:ascii="Arial" w:hAnsi="Arial" w:cs="Arial"/>
          <w:sz w:val="24"/>
          <w:szCs w:val="24"/>
        </w:rPr>
        <w:t>, community housing providers</w:t>
      </w:r>
      <w:r w:rsidRPr="00264F34">
        <w:rPr>
          <w:rFonts w:ascii="Arial" w:hAnsi="Arial" w:cs="Arial"/>
          <w:sz w:val="24"/>
          <w:szCs w:val="24"/>
        </w:rPr>
        <w:t xml:space="preserve"> and </w:t>
      </w:r>
      <w:r w:rsidR="00B21FF4">
        <w:rPr>
          <w:rFonts w:ascii="Arial" w:hAnsi="Arial" w:cs="Arial"/>
          <w:sz w:val="24"/>
          <w:szCs w:val="24"/>
        </w:rPr>
        <w:t xml:space="preserve">subsidised accommodation </w:t>
      </w:r>
      <w:r w:rsidRPr="00264F34">
        <w:rPr>
          <w:rFonts w:ascii="Arial" w:hAnsi="Arial" w:cs="Arial"/>
          <w:sz w:val="24"/>
          <w:szCs w:val="24"/>
        </w:rPr>
        <w:t xml:space="preserve">providers must be able to terminate a tenancy where required to support the housing assistance program </w:t>
      </w:r>
      <w:r w:rsidR="007531F5">
        <w:rPr>
          <w:rFonts w:ascii="Arial" w:hAnsi="Arial" w:cs="Arial"/>
          <w:sz w:val="24"/>
          <w:szCs w:val="24"/>
        </w:rPr>
        <w:t>objective of</w:t>
      </w:r>
      <w:r w:rsidR="00946AA0" w:rsidRPr="00946AA0">
        <w:rPr>
          <w:rFonts w:ascii="Arial" w:hAnsi="Arial" w:cs="Arial"/>
          <w:iCs/>
          <w:sz w:val="24"/>
          <w:szCs w:val="24"/>
        </w:rPr>
        <w:t xml:space="preserve"> </w:t>
      </w:r>
      <w:r w:rsidR="00946AA0">
        <w:rPr>
          <w:rFonts w:ascii="Arial" w:hAnsi="Arial" w:cs="Arial"/>
          <w:iCs/>
          <w:sz w:val="24"/>
          <w:szCs w:val="24"/>
        </w:rPr>
        <w:t xml:space="preserve">providing access to housing for </w:t>
      </w:r>
      <w:r w:rsidR="00946AA0" w:rsidRPr="00264F34">
        <w:rPr>
          <w:rFonts w:ascii="Arial" w:hAnsi="Arial" w:cs="Arial"/>
          <w:iCs/>
          <w:sz w:val="24"/>
          <w:szCs w:val="24"/>
        </w:rPr>
        <w:t>those most in need</w:t>
      </w:r>
      <w:r w:rsidRPr="00264F34">
        <w:rPr>
          <w:rFonts w:ascii="Arial" w:hAnsi="Arial" w:cs="Arial"/>
          <w:sz w:val="24"/>
          <w:szCs w:val="24"/>
        </w:rPr>
        <w:t xml:space="preserve"> and ensure it operates in a way that enables </w:t>
      </w:r>
      <w:r w:rsidR="00946AA0">
        <w:rPr>
          <w:rFonts w:ascii="Arial" w:hAnsi="Arial" w:cs="Arial"/>
          <w:sz w:val="24"/>
          <w:szCs w:val="24"/>
        </w:rPr>
        <w:t>the Housing Commissioner</w:t>
      </w:r>
      <w:r w:rsidR="00946AA0" w:rsidRPr="00264F34">
        <w:rPr>
          <w:rFonts w:ascii="Arial" w:hAnsi="Arial" w:cs="Arial"/>
          <w:sz w:val="24"/>
          <w:szCs w:val="24"/>
        </w:rPr>
        <w:t xml:space="preserve"> </w:t>
      </w:r>
      <w:r w:rsidRPr="00264F34">
        <w:rPr>
          <w:rFonts w:ascii="Arial" w:hAnsi="Arial" w:cs="Arial"/>
          <w:sz w:val="24"/>
          <w:szCs w:val="24"/>
        </w:rPr>
        <w:t xml:space="preserve">to assist as many disadvantaged persons as possible. </w:t>
      </w:r>
    </w:p>
    <w:p w14:paraId="6479F341" w14:textId="58D54565" w:rsidR="00CF3C3D" w:rsidRPr="00CF3C3D" w:rsidRDefault="00CF3C3D" w:rsidP="00D4599F">
      <w:pPr>
        <w:keepNext/>
        <w:keepLines/>
        <w:spacing w:before="240" w:after="0"/>
        <w:rPr>
          <w:rFonts w:ascii="Arial" w:hAnsi="Arial" w:cs="Arial"/>
          <w:b/>
          <w:bCs/>
          <w:i/>
          <w:iCs/>
          <w:sz w:val="24"/>
          <w:szCs w:val="24"/>
        </w:rPr>
      </w:pPr>
      <w:r w:rsidRPr="00CF3C3D">
        <w:rPr>
          <w:rFonts w:ascii="Arial" w:hAnsi="Arial" w:cs="Arial"/>
          <w:b/>
          <w:bCs/>
          <w:i/>
          <w:iCs/>
          <w:sz w:val="24"/>
          <w:szCs w:val="24"/>
        </w:rPr>
        <w:t>Right to equality before the law – length of notice periods</w:t>
      </w:r>
    </w:p>
    <w:p w14:paraId="17751B40" w14:textId="08D41540" w:rsidR="00CF3C3D" w:rsidRPr="00264F34" w:rsidRDefault="00CF3C3D" w:rsidP="00141744">
      <w:pPr>
        <w:pStyle w:val="normalweb0"/>
        <w:shd w:val="clear" w:color="auto" w:fill="FFFFFF"/>
        <w:spacing w:line="276" w:lineRule="auto"/>
        <w:rPr>
          <w:rFonts w:ascii="Arial" w:hAnsi="Arial" w:cs="Arial"/>
          <w:color w:val="000000"/>
        </w:rPr>
      </w:pPr>
      <w:r w:rsidRPr="00264F34">
        <w:rPr>
          <w:rFonts w:ascii="Arial" w:hAnsi="Arial" w:cs="Arial"/>
          <w:color w:val="000000"/>
        </w:rPr>
        <w:t xml:space="preserve">The Bill will introduce some notice periods for the new tenancy termination provisions which are shorter than the 26-week period a lessor is required to provide to a tenant under the </w:t>
      </w:r>
      <w:r>
        <w:rPr>
          <w:rFonts w:ascii="Arial" w:hAnsi="Arial" w:cs="Arial"/>
          <w:color w:val="000000"/>
        </w:rPr>
        <w:t xml:space="preserve">without </w:t>
      </w:r>
      <w:r w:rsidRPr="00264F34">
        <w:rPr>
          <w:rFonts w:ascii="Arial" w:hAnsi="Arial" w:cs="Arial"/>
          <w:color w:val="000000"/>
        </w:rPr>
        <w:t xml:space="preserve">cause termination provision. Specifically, the Bill will reduce the notice periods for the following tenancy termination provisions with less than 26 </w:t>
      </w:r>
      <w:r w:rsidR="00976B1D" w:rsidRPr="00264F34">
        <w:rPr>
          <w:rFonts w:ascii="Arial" w:hAnsi="Arial" w:cs="Arial"/>
          <w:color w:val="000000"/>
        </w:rPr>
        <w:t>weeks’ notice</w:t>
      </w:r>
      <w:r w:rsidRPr="00264F34">
        <w:rPr>
          <w:rFonts w:ascii="Arial" w:hAnsi="Arial" w:cs="Arial"/>
          <w:color w:val="000000"/>
        </w:rPr>
        <w:t>:</w:t>
      </w:r>
    </w:p>
    <w:p w14:paraId="02A32F16" w14:textId="3F9DF9F0" w:rsidR="00CF3C3D" w:rsidRPr="00264F34" w:rsidRDefault="00CF3C3D" w:rsidP="00CF3C3D">
      <w:pPr>
        <w:pStyle w:val="normalweb0"/>
        <w:numPr>
          <w:ilvl w:val="0"/>
          <w:numId w:val="13"/>
        </w:numPr>
        <w:shd w:val="clear" w:color="auto" w:fill="FFFFFF"/>
        <w:spacing w:line="276" w:lineRule="auto"/>
        <w:rPr>
          <w:rFonts w:ascii="Arial" w:hAnsi="Arial" w:cs="Arial"/>
          <w:color w:val="000000"/>
        </w:rPr>
      </w:pPr>
      <w:r w:rsidRPr="00264F34">
        <w:rPr>
          <w:rFonts w:ascii="Arial" w:hAnsi="Arial" w:cs="Arial"/>
          <w:color w:val="000000"/>
        </w:rPr>
        <w:t xml:space="preserve">Termination when the </w:t>
      </w:r>
      <w:r w:rsidR="00830312">
        <w:rPr>
          <w:rFonts w:ascii="Arial" w:hAnsi="Arial" w:cs="Arial"/>
          <w:color w:val="000000"/>
        </w:rPr>
        <w:t>community housing provider</w:t>
      </w:r>
      <w:r w:rsidR="00830312" w:rsidRPr="00264F34">
        <w:rPr>
          <w:rFonts w:ascii="Arial" w:hAnsi="Arial" w:cs="Arial"/>
          <w:color w:val="000000"/>
        </w:rPr>
        <w:t xml:space="preserve"> </w:t>
      </w:r>
      <w:r w:rsidRPr="00264F34">
        <w:rPr>
          <w:rFonts w:ascii="Arial" w:hAnsi="Arial" w:cs="Arial"/>
          <w:color w:val="000000"/>
        </w:rPr>
        <w:t xml:space="preserve">is required to return the premises to the </w:t>
      </w:r>
      <w:r w:rsidR="00830312">
        <w:rPr>
          <w:rFonts w:ascii="Arial" w:hAnsi="Arial" w:cs="Arial"/>
          <w:color w:val="000000"/>
        </w:rPr>
        <w:t>owner</w:t>
      </w:r>
      <w:r w:rsidRPr="00264F34">
        <w:rPr>
          <w:rFonts w:ascii="Arial" w:hAnsi="Arial" w:cs="Arial"/>
          <w:color w:val="000000"/>
        </w:rPr>
        <w:t>. (Notice period varies from 8 to 26 weeks’ notice)</w:t>
      </w:r>
      <w:r w:rsidR="00D65FF6">
        <w:rPr>
          <w:rFonts w:ascii="Arial" w:hAnsi="Arial" w:cs="Arial"/>
          <w:color w:val="000000"/>
        </w:rPr>
        <w:t xml:space="preserve"> (New SRTT 103)</w:t>
      </w:r>
      <w:r w:rsidRPr="00264F34">
        <w:rPr>
          <w:rFonts w:ascii="Arial" w:hAnsi="Arial" w:cs="Arial"/>
          <w:color w:val="000000"/>
        </w:rPr>
        <w:t>;</w:t>
      </w:r>
      <w:r>
        <w:rPr>
          <w:rFonts w:ascii="Arial" w:hAnsi="Arial" w:cs="Arial"/>
          <w:color w:val="000000"/>
        </w:rPr>
        <w:t xml:space="preserve"> </w:t>
      </w:r>
    </w:p>
    <w:p w14:paraId="4A60E55E" w14:textId="2A8A42BB" w:rsidR="00830312" w:rsidRDefault="00CF3C3D" w:rsidP="00CF3C3D">
      <w:pPr>
        <w:pStyle w:val="normalweb0"/>
        <w:numPr>
          <w:ilvl w:val="0"/>
          <w:numId w:val="13"/>
        </w:numPr>
        <w:shd w:val="clear" w:color="auto" w:fill="FFFFFF"/>
        <w:spacing w:line="276" w:lineRule="auto"/>
        <w:rPr>
          <w:rFonts w:ascii="Arial" w:hAnsi="Arial" w:cs="Arial"/>
          <w:color w:val="000000"/>
        </w:rPr>
      </w:pPr>
      <w:r w:rsidRPr="00264F34">
        <w:rPr>
          <w:rFonts w:ascii="Arial" w:hAnsi="Arial" w:cs="Arial"/>
          <w:color w:val="000000"/>
        </w:rPr>
        <w:t>Termination where the tenant has two tenancies (1 weeks’ notice)</w:t>
      </w:r>
      <w:r w:rsidR="00D65FF6">
        <w:rPr>
          <w:rFonts w:ascii="Arial" w:hAnsi="Arial" w:cs="Arial"/>
          <w:color w:val="000000"/>
        </w:rPr>
        <w:t xml:space="preserve"> (New SRTT 106);</w:t>
      </w:r>
    </w:p>
    <w:p w14:paraId="49520162" w14:textId="3F82AB07" w:rsidR="00CF3C3D" w:rsidRDefault="00830312" w:rsidP="00CF3C3D">
      <w:pPr>
        <w:pStyle w:val="normalweb0"/>
        <w:numPr>
          <w:ilvl w:val="0"/>
          <w:numId w:val="13"/>
        </w:numPr>
        <w:shd w:val="clear" w:color="auto" w:fill="FFFFFF"/>
        <w:spacing w:line="276" w:lineRule="auto"/>
        <w:rPr>
          <w:rFonts w:ascii="Arial" w:hAnsi="Arial" w:cs="Arial"/>
          <w:color w:val="000000"/>
        </w:rPr>
      </w:pPr>
      <w:r>
        <w:rPr>
          <w:rFonts w:ascii="Arial" w:hAnsi="Arial" w:cs="Arial"/>
          <w:color w:val="000000"/>
        </w:rPr>
        <w:t>Termination on the grounds of ineligibility (following the earlier provision of a NTV on the grounds of a failure to provide information (the later of the original 26 week NTV day or 12 weeks after the new notice)</w:t>
      </w:r>
      <w:r w:rsidR="00D65FF6" w:rsidRPr="00D65FF6">
        <w:rPr>
          <w:rFonts w:ascii="Arial" w:hAnsi="Arial" w:cs="Arial"/>
          <w:color w:val="000000"/>
        </w:rPr>
        <w:t xml:space="preserve"> </w:t>
      </w:r>
      <w:r w:rsidR="00D65FF6">
        <w:rPr>
          <w:rFonts w:ascii="Arial" w:hAnsi="Arial" w:cs="Arial"/>
          <w:color w:val="000000"/>
        </w:rPr>
        <w:t>(New SRTT</w:t>
      </w:r>
      <w:r w:rsidR="006E43FD">
        <w:rPr>
          <w:rFonts w:ascii="Arial" w:hAnsi="Arial" w:cs="Arial"/>
          <w:color w:val="000000"/>
        </w:rPr>
        <w:t>s</w:t>
      </w:r>
      <w:r w:rsidR="00D65FF6">
        <w:rPr>
          <w:rFonts w:ascii="Arial" w:hAnsi="Arial" w:cs="Arial"/>
          <w:color w:val="000000"/>
        </w:rPr>
        <w:t xml:space="preserve"> 104</w:t>
      </w:r>
      <w:r w:rsidR="006E43FD">
        <w:rPr>
          <w:rFonts w:ascii="Arial" w:hAnsi="Arial" w:cs="Arial"/>
          <w:color w:val="000000"/>
        </w:rPr>
        <w:t xml:space="preserve"> and 111</w:t>
      </w:r>
      <w:r w:rsidR="00D65FF6">
        <w:rPr>
          <w:rFonts w:ascii="Arial" w:hAnsi="Arial" w:cs="Arial"/>
          <w:color w:val="000000"/>
        </w:rPr>
        <w:t>); and</w:t>
      </w:r>
    </w:p>
    <w:p w14:paraId="4D105C85" w14:textId="7BE727E0" w:rsidR="00830312" w:rsidRPr="00264F34" w:rsidRDefault="00830312" w:rsidP="00CF3C3D">
      <w:pPr>
        <w:pStyle w:val="normalweb0"/>
        <w:numPr>
          <w:ilvl w:val="0"/>
          <w:numId w:val="13"/>
        </w:numPr>
        <w:shd w:val="clear" w:color="auto" w:fill="FFFFFF"/>
        <w:spacing w:line="276" w:lineRule="auto"/>
        <w:rPr>
          <w:rFonts w:ascii="Arial" w:hAnsi="Arial" w:cs="Arial"/>
          <w:color w:val="000000"/>
        </w:rPr>
      </w:pPr>
      <w:r>
        <w:rPr>
          <w:rFonts w:ascii="Arial" w:hAnsi="Arial" w:cs="Arial"/>
          <w:color w:val="000000"/>
        </w:rPr>
        <w:lastRenderedPageBreak/>
        <w:t>Termination on the grounds of ineligibility where a temporary period of housing assistance has already ended (12 weeks)</w:t>
      </w:r>
      <w:r w:rsidR="00D65FF6" w:rsidRPr="00D65FF6">
        <w:rPr>
          <w:rFonts w:ascii="Arial" w:hAnsi="Arial" w:cs="Arial"/>
          <w:color w:val="000000"/>
        </w:rPr>
        <w:t xml:space="preserve"> </w:t>
      </w:r>
      <w:r w:rsidR="00D65FF6">
        <w:rPr>
          <w:rFonts w:ascii="Arial" w:hAnsi="Arial" w:cs="Arial"/>
          <w:color w:val="000000"/>
        </w:rPr>
        <w:t>(New SRTT 107).</w:t>
      </w:r>
    </w:p>
    <w:p w14:paraId="6A0BF4C1" w14:textId="01BBB1CB" w:rsidR="00CF3C3D" w:rsidRPr="00264F34" w:rsidRDefault="00CF3C3D" w:rsidP="00CF3C3D">
      <w:pPr>
        <w:pStyle w:val="normalweb0"/>
        <w:shd w:val="clear" w:color="auto" w:fill="FFFFFF"/>
        <w:spacing w:line="276" w:lineRule="auto"/>
        <w:rPr>
          <w:rFonts w:ascii="Arial" w:hAnsi="Arial" w:cs="Arial"/>
          <w:color w:val="000000"/>
        </w:rPr>
      </w:pPr>
      <w:r w:rsidRPr="00264F34">
        <w:rPr>
          <w:rFonts w:ascii="Arial" w:hAnsi="Arial" w:cs="Arial"/>
          <w:color w:val="000000"/>
        </w:rPr>
        <w:t xml:space="preserve">From a human rights perspective this may be considered a </w:t>
      </w:r>
      <w:r>
        <w:rPr>
          <w:rFonts w:ascii="Arial" w:hAnsi="Arial" w:cs="Arial"/>
          <w:color w:val="000000"/>
        </w:rPr>
        <w:t>potential limitation on the right to equality</w:t>
      </w:r>
      <w:r w:rsidRPr="00264F34">
        <w:rPr>
          <w:rFonts w:ascii="Arial" w:hAnsi="Arial" w:cs="Arial"/>
          <w:color w:val="000000"/>
        </w:rPr>
        <w:t xml:space="preserve"> as it will </w:t>
      </w:r>
      <w:r>
        <w:rPr>
          <w:rFonts w:ascii="Arial" w:hAnsi="Arial" w:cs="Arial"/>
          <w:color w:val="000000"/>
        </w:rPr>
        <w:t>result in a disadvantage to tenants</w:t>
      </w:r>
      <w:r w:rsidR="00022103">
        <w:rPr>
          <w:rFonts w:ascii="Arial" w:hAnsi="Arial" w:cs="Arial"/>
          <w:color w:val="000000"/>
        </w:rPr>
        <w:t xml:space="preserve"> in circumstances where they may previously have received a 26 week notice to vacate under the ‘no cause’ ground for tenancy termination</w:t>
      </w:r>
      <w:r w:rsidRPr="00264F34">
        <w:rPr>
          <w:rFonts w:ascii="Arial" w:hAnsi="Arial" w:cs="Arial"/>
          <w:color w:val="000000"/>
        </w:rPr>
        <w:t xml:space="preserve">.  </w:t>
      </w:r>
      <w:r w:rsidR="00E54554">
        <w:rPr>
          <w:rFonts w:ascii="Arial" w:hAnsi="Arial" w:cs="Arial"/>
          <w:color w:val="000000"/>
        </w:rPr>
        <w:t xml:space="preserve">Further, the termination provisions with shorter notice periods only apply to tenants in public, community or subsidised accommodation who, by virtue of their eligibility to live in these forms of accommodation, are more likely to experience vulnerabilities or to have protected attributes than the general population. </w:t>
      </w:r>
    </w:p>
    <w:p w14:paraId="67B96D06" w14:textId="43243ECD" w:rsidR="00CF3C3D" w:rsidRPr="00264F34" w:rsidRDefault="00CF3C3D" w:rsidP="00CF3C3D">
      <w:pPr>
        <w:pStyle w:val="normalweb0"/>
        <w:shd w:val="clear" w:color="auto" w:fill="FFFFFF"/>
        <w:spacing w:line="276" w:lineRule="auto"/>
        <w:rPr>
          <w:rFonts w:ascii="Arial" w:hAnsi="Arial" w:cs="Arial"/>
          <w:color w:val="000000"/>
        </w:rPr>
      </w:pPr>
      <w:r w:rsidRPr="00264F34">
        <w:rPr>
          <w:rFonts w:ascii="Arial" w:hAnsi="Arial" w:cs="Arial"/>
          <w:color w:val="000000"/>
        </w:rPr>
        <w:t xml:space="preserve">The notice periods for these tenancy termination provisions have been shortened in accordance with the nature of the respective tenancy termination provisions and are discussed in more detail below. </w:t>
      </w:r>
      <w:r w:rsidR="00A52F49">
        <w:rPr>
          <w:rFonts w:ascii="Arial" w:hAnsi="Arial" w:cs="Arial"/>
          <w:color w:val="000000"/>
        </w:rPr>
        <w:t xml:space="preserve">The purpose of the shorter termination provision and the safeguards to ensure the measures is proportionate are also discussed. </w:t>
      </w:r>
    </w:p>
    <w:p w14:paraId="4F986202" w14:textId="4F9C464E" w:rsidR="00CF3C3D" w:rsidRPr="00CF3C3D" w:rsidRDefault="00CF3C3D" w:rsidP="00CF3C3D">
      <w:pPr>
        <w:pStyle w:val="normalweb0"/>
        <w:shd w:val="clear" w:color="auto" w:fill="FFFFFF"/>
        <w:spacing w:line="276" w:lineRule="auto"/>
        <w:ind w:left="720"/>
        <w:rPr>
          <w:rFonts w:ascii="Arial" w:hAnsi="Arial" w:cs="Arial"/>
          <w:i/>
          <w:iCs/>
          <w:color w:val="000000"/>
        </w:rPr>
      </w:pPr>
      <w:r w:rsidRPr="00CF3C3D">
        <w:rPr>
          <w:rFonts w:ascii="Arial" w:hAnsi="Arial" w:cs="Arial"/>
          <w:i/>
          <w:iCs/>
          <w:color w:val="000000"/>
        </w:rPr>
        <w:t>Termination</w:t>
      </w:r>
      <w:r w:rsidR="00C21682">
        <w:rPr>
          <w:rFonts w:ascii="Arial" w:hAnsi="Arial" w:cs="Arial"/>
          <w:i/>
          <w:iCs/>
          <w:color w:val="000000"/>
        </w:rPr>
        <w:t xml:space="preserve"> by community housing provider where premises </w:t>
      </w:r>
      <w:r w:rsidRPr="00CF3C3D">
        <w:rPr>
          <w:rFonts w:ascii="Arial" w:hAnsi="Arial" w:cs="Arial"/>
          <w:i/>
          <w:iCs/>
          <w:color w:val="000000"/>
        </w:rPr>
        <w:t xml:space="preserve">is required </w:t>
      </w:r>
      <w:r w:rsidR="00C21682">
        <w:rPr>
          <w:rFonts w:ascii="Arial" w:hAnsi="Arial" w:cs="Arial"/>
          <w:i/>
          <w:iCs/>
          <w:color w:val="000000"/>
        </w:rPr>
        <w:t xml:space="preserve">by the </w:t>
      </w:r>
      <w:r w:rsidR="00022103">
        <w:rPr>
          <w:rFonts w:ascii="Arial" w:hAnsi="Arial" w:cs="Arial"/>
          <w:i/>
          <w:iCs/>
          <w:color w:val="000000"/>
        </w:rPr>
        <w:t>owner</w:t>
      </w:r>
    </w:p>
    <w:p w14:paraId="23F4D6F9" w14:textId="290CEC9D" w:rsidR="00CF3C3D" w:rsidRPr="00264F34" w:rsidRDefault="00CF3C3D" w:rsidP="00CF3C3D">
      <w:pPr>
        <w:pStyle w:val="normalweb0"/>
        <w:shd w:val="clear" w:color="auto" w:fill="FFFFFF"/>
        <w:spacing w:line="276" w:lineRule="auto"/>
        <w:rPr>
          <w:rFonts w:ascii="Arial" w:hAnsi="Arial" w:cs="Arial"/>
          <w:color w:val="000000"/>
        </w:rPr>
      </w:pPr>
      <w:r w:rsidRPr="00264F34">
        <w:rPr>
          <w:rFonts w:ascii="Arial" w:hAnsi="Arial" w:cs="Arial"/>
          <w:color w:val="000000"/>
        </w:rPr>
        <w:t>Under this termination provision</w:t>
      </w:r>
      <w:r w:rsidR="00987DD9">
        <w:rPr>
          <w:rFonts w:ascii="Arial" w:hAnsi="Arial" w:cs="Arial"/>
          <w:color w:val="000000"/>
        </w:rPr>
        <w:t>,</w:t>
      </w:r>
      <w:r w:rsidRPr="00264F34">
        <w:rPr>
          <w:rFonts w:ascii="Arial" w:hAnsi="Arial" w:cs="Arial"/>
          <w:color w:val="000000"/>
        </w:rPr>
        <w:t xml:space="preserve"> the lessor is required to provide the tenant with 8 weeks’ notice if the </w:t>
      </w:r>
      <w:r w:rsidR="00830312">
        <w:rPr>
          <w:rFonts w:ascii="Arial" w:hAnsi="Arial" w:cs="Arial"/>
          <w:color w:val="000000"/>
        </w:rPr>
        <w:t xml:space="preserve">owner </w:t>
      </w:r>
      <w:r w:rsidRPr="00264F34">
        <w:rPr>
          <w:rFonts w:ascii="Arial" w:hAnsi="Arial" w:cs="Arial"/>
          <w:color w:val="000000"/>
        </w:rPr>
        <w:t>wishes to sell</w:t>
      </w:r>
      <w:r w:rsidR="00830312">
        <w:rPr>
          <w:rFonts w:ascii="Arial" w:hAnsi="Arial" w:cs="Arial"/>
          <w:color w:val="000000"/>
        </w:rPr>
        <w:t>, move in (or have someone close to them move in) to</w:t>
      </w:r>
      <w:r w:rsidRPr="00264F34">
        <w:rPr>
          <w:rFonts w:ascii="Arial" w:hAnsi="Arial" w:cs="Arial"/>
          <w:color w:val="000000"/>
        </w:rPr>
        <w:t xml:space="preserve"> the property, 12 </w:t>
      </w:r>
      <w:r w:rsidR="00976B1D" w:rsidRPr="00264F34">
        <w:rPr>
          <w:rFonts w:ascii="Arial" w:hAnsi="Arial" w:cs="Arial"/>
          <w:color w:val="000000"/>
        </w:rPr>
        <w:t>weeks’ notice</w:t>
      </w:r>
      <w:r w:rsidRPr="00264F34">
        <w:rPr>
          <w:rFonts w:ascii="Arial" w:hAnsi="Arial" w:cs="Arial"/>
          <w:color w:val="000000"/>
        </w:rPr>
        <w:t xml:space="preserve"> if the </w:t>
      </w:r>
      <w:r w:rsidR="00480D5F">
        <w:rPr>
          <w:rFonts w:ascii="Arial" w:hAnsi="Arial" w:cs="Arial"/>
          <w:color w:val="000000"/>
        </w:rPr>
        <w:t>owner</w:t>
      </w:r>
      <w:r w:rsidRPr="00264F34">
        <w:rPr>
          <w:rFonts w:ascii="Arial" w:hAnsi="Arial" w:cs="Arial"/>
          <w:color w:val="000000"/>
        </w:rPr>
        <w:t xml:space="preserve"> wishes to reconstruct, renovate or make major repairs to the premises and, in all other circumstances, 26 weeks’ notice must be provided. This means the notice period is only shorter than the 26</w:t>
      </w:r>
      <w:r w:rsidR="00976B1D">
        <w:rPr>
          <w:rFonts w:ascii="Arial" w:hAnsi="Arial" w:cs="Arial"/>
          <w:color w:val="000000"/>
        </w:rPr>
        <w:t>-</w:t>
      </w:r>
      <w:r w:rsidRPr="00264F34">
        <w:rPr>
          <w:rFonts w:ascii="Arial" w:hAnsi="Arial" w:cs="Arial"/>
          <w:color w:val="000000"/>
        </w:rPr>
        <w:t xml:space="preserve">week </w:t>
      </w:r>
      <w:r>
        <w:rPr>
          <w:rFonts w:ascii="Arial" w:hAnsi="Arial" w:cs="Arial"/>
          <w:color w:val="000000"/>
        </w:rPr>
        <w:t>without</w:t>
      </w:r>
      <w:r w:rsidRPr="00264F34">
        <w:rPr>
          <w:rFonts w:ascii="Arial" w:hAnsi="Arial" w:cs="Arial"/>
          <w:color w:val="000000"/>
        </w:rPr>
        <w:t xml:space="preserve"> cause provision where the property is to be sold</w:t>
      </w:r>
      <w:r w:rsidR="00CB10AB">
        <w:rPr>
          <w:rFonts w:ascii="Arial" w:hAnsi="Arial" w:cs="Arial"/>
          <w:color w:val="000000"/>
        </w:rPr>
        <w:t>,</w:t>
      </w:r>
      <w:r w:rsidRPr="00264F34">
        <w:rPr>
          <w:rFonts w:ascii="Arial" w:hAnsi="Arial" w:cs="Arial"/>
          <w:color w:val="000000"/>
        </w:rPr>
        <w:t xml:space="preserve"> renovated</w:t>
      </w:r>
      <w:r w:rsidR="00CB10AB">
        <w:rPr>
          <w:rFonts w:ascii="Arial" w:hAnsi="Arial" w:cs="Arial"/>
          <w:color w:val="000000"/>
        </w:rPr>
        <w:t xml:space="preserve"> or where the owner (or someone close to them) wants to move in</w:t>
      </w:r>
      <w:r w:rsidRPr="00264F34">
        <w:rPr>
          <w:rFonts w:ascii="Arial" w:hAnsi="Arial" w:cs="Arial"/>
          <w:color w:val="000000"/>
        </w:rPr>
        <w:t xml:space="preserve">. Here, the notice periods align with the notice periods for all other lessors </w:t>
      </w:r>
      <w:r w:rsidR="00CB10AB">
        <w:rPr>
          <w:rFonts w:ascii="Arial" w:hAnsi="Arial" w:cs="Arial"/>
          <w:color w:val="000000"/>
        </w:rPr>
        <w:t xml:space="preserve">(who own the property themselves) </w:t>
      </w:r>
      <w:r w:rsidRPr="00264F34">
        <w:rPr>
          <w:rFonts w:ascii="Arial" w:hAnsi="Arial" w:cs="Arial"/>
          <w:color w:val="000000"/>
        </w:rPr>
        <w:t xml:space="preserve">in </w:t>
      </w:r>
      <w:r w:rsidR="00CB10AB">
        <w:rPr>
          <w:rFonts w:ascii="Arial" w:hAnsi="Arial" w:cs="Arial"/>
          <w:color w:val="000000"/>
        </w:rPr>
        <w:t xml:space="preserve">the same </w:t>
      </w:r>
      <w:r w:rsidRPr="00264F34">
        <w:rPr>
          <w:rFonts w:ascii="Arial" w:hAnsi="Arial" w:cs="Arial"/>
          <w:color w:val="000000"/>
        </w:rPr>
        <w:t xml:space="preserve">circumstances. </w:t>
      </w:r>
    </w:p>
    <w:p w14:paraId="02E7C5AF" w14:textId="51F1EF35" w:rsidR="00CF3C3D" w:rsidRPr="00264F34" w:rsidRDefault="00CF3C3D" w:rsidP="00CF3C3D">
      <w:pPr>
        <w:pStyle w:val="normalweb0"/>
        <w:shd w:val="clear" w:color="auto" w:fill="FFFFFF"/>
        <w:spacing w:line="276" w:lineRule="auto"/>
        <w:rPr>
          <w:rFonts w:ascii="Arial" w:hAnsi="Arial" w:cs="Arial"/>
          <w:color w:val="000000"/>
        </w:rPr>
      </w:pPr>
      <w:r w:rsidRPr="00264F34">
        <w:rPr>
          <w:rFonts w:ascii="Arial" w:hAnsi="Arial" w:cs="Arial"/>
          <w:color w:val="000000"/>
        </w:rPr>
        <w:t xml:space="preserve">The purpose of this variable notice period is to enable the </w:t>
      </w:r>
      <w:r w:rsidR="00CB10AB">
        <w:rPr>
          <w:rFonts w:ascii="Arial" w:hAnsi="Arial" w:cs="Arial"/>
          <w:color w:val="000000"/>
        </w:rPr>
        <w:t>property owner</w:t>
      </w:r>
      <w:r w:rsidRPr="00264F34">
        <w:rPr>
          <w:rFonts w:ascii="Arial" w:hAnsi="Arial" w:cs="Arial"/>
          <w:color w:val="000000"/>
        </w:rPr>
        <w:t xml:space="preserve"> to recover the premises in the same timeframe as they would be able to if they were managing the property directly and to ensure that they have the same ability to recover the premises in the event of sale or renovation as any other landlord. </w:t>
      </w:r>
      <w:r w:rsidR="00C21682">
        <w:rPr>
          <w:rFonts w:ascii="Arial" w:hAnsi="Arial" w:cs="Arial"/>
          <w:color w:val="000000"/>
        </w:rPr>
        <w:t xml:space="preserve">  A further purpose for these variable notice periods is to support the continued availability of community housing by incentivising property owners to make their properties available to community housing providers to provide accommodation programs.  Where it is unduly arduous to regain possession of a property, this may create a disincentive to participation.  </w:t>
      </w:r>
      <w:r w:rsidRPr="00264F34">
        <w:rPr>
          <w:rFonts w:ascii="Arial" w:hAnsi="Arial" w:cs="Arial"/>
          <w:color w:val="000000"/>
        </w:rPr>
        <w:t xml:space="preserve">The safeguard associated with this change is that where the </w:t>
      </w:r>
      <w:r w:rsidR="00CB10AB">
        <w:rPr>
          <w:rFonts w:ascii="Arial" w:hAnsi="Arial" w:cs="Arial"/>
          <w:color w:val="000000"/>
        </w:rPr>
        <w:t>owner</w:t>
      </w:r>
      <w:r w:rsidRPr="00264F34">
        <w:rPr>
          <w:rFonts w:ascii="Arial" w:hAnsi="Arial" w:cs="Arial"/>
          <w:color w:val="000000"/>
        </w:rPr>
        <w:t xml:space="preserve"> requires the lessor to return the use of the premises in </w:t>
      </w:r>
      <w:r>
        <w:rPr>
          <w:rFonts w:ascii="Arial" w:hAnsi="Arial" w:cs="Arial"/>
          <w:color w:val="000000"/>
        </w:rPr>
        <w:t>an</w:t>
      </w:r>
      <w:r w:rsidRPr="00264F34">
        <w:rPr>
          <w:rFonts w:ascii="Arial" w:hAnsi="Arial" w:cs="Arial"/>
          <w:color w:val="000000"/>
        </w:rPr>
        <w:t xml:space="preserve">y </w:t>
      </w:r>
      <w:r>
        <w:rPr>
          <w:rFonts w:ascii="Arial" w:hAnsi="Arial" w:cs="Arial"/>
          <w:color w:val="000000"/>
        </w:rPr>
        <w:t xml:space="preserve">other </w:t>
      </w:r>
      <w:r w:rsidRPr="00264F34">
        <w:rPr>
          <w:rFonts w:ascii="Arial" w:hAnsi="Arial" w:cs="Arial"/>
          <w:color w:val="000000"/>
        </w:rPr>
        <w:t xml:space="preserve">circumstance, the notice period will be 26 weeks. </w:t>
      </w:r>
    </w:p>
    <w:p w14:paraId="10977908" w14:textId="29C3FB00" w:rsidR="00CF3C3D" w:rsidRPr="00D65FF6" w:rsidRDefault="00CF3C3D" w:rsidP="00D4599F">
      <w:pPr>
        <w:pStyle w:val="normalweb0"/>
        <w:keepNext/>
        <w:keepLines/>
        <w:shd w:val="clear" w:color="auto" w:fill="FFFFFF"/>
        <w:spacing w:line="276" w:lineRule="auto"/>
        <w:ind w:left="720"/>
        <w:rPr>
          <w:rFonts w:ascii="Arial" w:hAnsi="Arial" w:cs="Arial"/>
          <w:color w:val="000000"/>
        </w:rPr>
      </w:pPr>
      <w:r w:rsidRPr="00CF3C3D">
        <w:rPr>
          <w:rFonts w:ascii="Arial" w:hAnsi="Arial" w:cs="Arial"/>
          <w:i/>
          <w:iCs/>
          <w:color w:val="000000"/>
        </w:rPr>
        <w:lastRenderedPageBreak/>
        <w:t xml:space="preserve">Termination where the tenant has two tenancies </w:t>
      </w:r>
    </w:p>
    <w:p w14:paraId="3015E490" w14:textId="5DEE80F1" w:rsidR="00C558C1" w:rsidRDefault="00CF3C3D" w:rsidP="00CF3C3D">
      <w:pPr>
        <w:pStyle w:val="normalweb0"/>
        <w:shd w:val="clear" w:color="auto" w:fill="FFFFFF"/>
        <w:spacing w:line="276" w:lineRule="auto"/>
        <w:rPr>
          <w:rFonts w:ascii="Arial" w:hAnsi="Arial" w:cs="Arial"/>
          <w:color w:val="000000"/>
        </w:rPr>
      </w:pPr>
      <w:r w:rsidRPr="00264F34">
        <w:rPr>
          <w:rFonts w:ascii="Arial" w:hAnsi="Arial" w:cs="Arial"/>
          <w:color w:val="000000"/>
        </w:rPr>
        <w:t>Under this termination provision the lessor is required to provide the tenant with 1</w:t>
      </w:r>
      <w:r w:rsidR="00C558C1">
        <w:rPr>
          <w:rFonts w:ascii="Arial" w:hAnsi="Arial" w:cs="Arial"/>
          <w:color w:val="000000"/>
        </w:rPr>
        <w:t> </w:t>
      </w:r>
      <w:r w:rsidRPr="00264F34">
        <w:rPr>
          <w:rFonts w:ascii="Arial" w:hAnsi="Arial" w:cs="Arial"/>
          <w:color w:val="000000"/>
        </w:rPr>
        <w:t xml:space="preserve">weeks’ notice of the tenancy termination only. </w:t>
      </w:r>
      <w:r w:rsidR="00C21682">
        <w:rPr>
          <w:rFonts w:ascii="Arial" w:hAnsi="Arial" w:cs="Arial"/>
          <w:color w:val="000000"/>
        </w:rPr>
        <w:t xml:space="preserve">It is noted that the 1 week notice period provided in this section is designed to align with the time period for tenancy transfer provided in the current Program (section 22 (4)) which allows a tenant 7 days to transfer between premises).  </w:t>
      </w:r>
      <w:r w:rsidR="00C558C1">
        <w:rPr>
          <w:rFonts w:ascii="Arial" w:hAnsi="Arial" w:cs="Arial"/>
          <w:color w:val="000000"/>
        </w:rPr>
        <w:t>T</w:t>
      </w:r>
      <w:r w:rsidRPr="00264F34">
        <w:rPr>
          <w:rFonts w:ascii="Arial" w:hAnsi="Arial" w:cs="Arial"/>
          <w:color w:val="000000"/>
        </w:rPr>
        <w:t xml:space="preserve">his notice period </w:t>
      </w:r>
      <w:r w:rsidR="00C21682">
        <w:rPr>
          <w:rFonts w:ascii="Arial" w:hAnsi="Arial" w:cs="Arial"/>
          <w:color w:val="000000"/>
        </w:rPr>
        <w:t xml:space="preserve">also </w:t>
      </w:r>
      <w:r w:rsidRPr="00264F34">
        <w:rPr>
          <w:rFonts w:ascii="Arial" w:hAnsi="Arial" w:cs="Arial"/>
          <w:color w:val="000000"/>
        </w:rPr>
        <w:t xml:space="preserve">needs to be viewed in the context in which the availability to terminate the tenancy can arise, that is, where the tenant holds two tenancies simultaneously (most likely due to the tenant having transferred from one premises to another). </w:t>
      </w:r>
    </w:p>
    <w:p w14:paraId="1E0AF310" w14:textId="3085046D" w:rsidR="00CF3C3D" w:rsidRPr="00264F34" w:rsidRDefault="00C558C1" w:rsidP="00CF3C3D">
      <w:pPr>
        <w:pStyle w:val="normalweb0"/>
        <w:shd w:val="clear" w:color="auto" w:fill="FFFFFF"/>
        <w:spacing w:line="276" w:lineRule="auto"/>
        <w:rPr>
          <w:rFonts w:ascii="Arial" w:hAnsi="Arial" w:cs="Arial"/>
          <w:color w:val="000000"/>
        </w:rPr>
      </w:pPr>
      <w:r>
        <w:rPr>
          <w:rFonts w:ascii="Arial" w:hAnsi="Arial" w:cs="Arial"/>
          <w:color w:val="000000"/>
        </w:rPr>
        <w:t>I</w:t>
      </w:r>
      <w:r w:rsidR="00CF3C3D" w:rsidRPr="00264F34">
        <w:rPr>
          <w:rFonts w:ascii="Arial" w:hAnsi="Arial" w:cs="Arial"/>
          <w:color w:val="000000"/>
        </w:rPr>
        <w:t xml:space="preserve">n most circumstances where a </w:t>
      </w:r>
      <w:r w:rsidR="00CF3C3D">
        <w:rPr>
          <w:rFonts w:ascii="Arial" w:hAnsi="Arial" w:cs="Arial"/>
          <w:color w:val="000000"/>
        </w:rPr>
        <w:t>NTV</w:t>
      </w:r>
      <w:r w:rsidR="00CF3C3D" w:rsidRPr="00264F34">
        <w:rPr>
          <w:rFonts w:ascii="Arial" w:hAnsi="Arial" w:cs="Arial"/>
          <w:color w:val="000000"/>
        </w:rPr>
        <w:t xml:space="preserve"> period is provided, the purpose of </w:t>
      </w:r>
      <w:r>
        <w:rPr>
          <w:rFonts w:ascii="Arial" w:hAnsi="Arial" w:cs="Arial"/>
          <w:color w:val="000000"/>
        </w:rPr>
        <w:t>a more exten</w:t>
      </w:r>
      <w:r w:rsidR="00C21682">
        <w:rPr>
          <w:rFonts w:ascii="Arial" w:hAnsi="Arial" w:cs="Arial"/>
          <w:color w:val="000000"/>
        </w:rPr>
        <w:t>ded</w:t>
      </w:r>
      <w:r w:rsidRPr="00264F34">
        <w:rPr>
          <w:rFonts w:ascii="Arial" w:hAnsi="Arial" w:cs="Arial"/>
          <w:color w:val="000000"/>
        </w:rPr>
        <w:t xml:space="preserve"> </w:t>
      </w:r>
      <w:r w:rsidR="00CF3C3D" w:rsidRPr="00264F34">
        <w:rPr>
          <w:rFonts w:ascii="Arial" w:hAnsi="Arial" w:cs="Arial"/>
          <w:color w:val="000000"/>
        </w:rPr>
        <w:t xml:space="preserve">notice period is to allow time for the tenant to prepare for the move and, if necessary, to source alternative accommodation. However, in the circumstance of this termination provision, the </w:t>
      </w:r>
      <w:r w:rsidR="00CF3C3D">
        <w:rPr>
          <w:rFonts w:ascii="Arial" w:hAnsi="Arial" w:cs="Arial"/>
          <w:color w:val="000000"/>
        </w:rPr>
        <w:t>NTV</w:t>
      </w:r>
      <w:r w:rsidR="00CF3C3D" w:rsidRPr="00264F34">
        <w:rPr>
          <w:rFonts w:ascii="Arial" w:hAnsi="Arial" w:cs="Arial"/>
          <w:color w:val="000000"/>
        </w:rPr>
        <w:t xml:space="preserve"> </w:t>
      </w:r>
      <w:r w:rsidR="000D07D4">
        <w:rPr>
          <w:rFonts w:ascii="Arial" w:hAnsi="Arial" w:cs="Arial"/>
          <w:color w:val="000000"/>
        </w:rPr>
        <w:t xml:space="preserve">on the original tenancy </w:t>
      </w:r>
      <w:r w:rsidR="00CF3C3D" w:rsidRPr="00264F34">
        <w:rPr>
          <w:rFonts w:ascii="Arial" w:hAnsi="Arial" w:cs="Arial"/>
          <w:color w:val="000000"/>
        </w:rPr>
        <w:t xml:space="preserve">cannot be issued until the </w:t>
      </w:r>
      <w:r w:rsidR="00CB10AB">
        <w:rPr>
          <w:rFonts w:ascii="Arial" w:hAnsi="Arial" w:cs="Arial"/>
          <w:color w:val="000000"/>
        </w:rPr>
        <w:t>second tenancy has commenced</w:t>
      </w:r>
      <w:r w:rsidR="00CF3C3D" w:rsidRPr="00264F34">
        <w:rPr>
          <w:rFonts w:ascii="Arial" w:hAnsi="Arial" w:cs="Arial"/>
          <w:color w:val="000000"/>
        </w:rPr>
        <w:t xml:space="preserve">. In this way, the impacts on the tenant of the shorter notice period are limited as they will have already </w:t>
      </w:r>
      <w:r w:rsidR="00CB10AB">
        <w:rPr>
          <w:rFonts w:ascii="Arial" w:hAnsi="Arial" w:cs="Arial"/>
          <w:color w:val="000000"/>
        </w:rPr>
        <w:t xml:space="preserve">been able to </w:t>
      </w:r>
      <w:r w:rsidR="00CF3C3D" w:rsidRPr="00264F34">
        <w:rPr>
          <w:rFonts w:ascii="Arial" w:hAnsi="Arial" w:cs="Arial"/>
          <w:color w:val="000000"/>
        </w:rPr>
        <w:t>assume occupation of an alternative premises</w:t>
      </w:r>
      <w:r w:rsidR="000D07D4">
        <w:rPr>
          <w:rFonts w:ascii="Arial" w:hAnsi="Arial" w:cs="Arial"/>
          <w:color w:val="000000"/>
        </w:rPr>
        <w:t xml:space="preserve"> and do not need time to source alternate accommodation</w:t>
      </w:r>
      <w:r w:rsidR="00CF3C3D" w:rsidRPr="00264F34">
        <w:rPr>
          <w:rFonts w:ascii="Arial" w:hAnsi="Arial" w:cs="Arial"/>
          <w:color w:val="000000"/>
        </w:rPr>
        <w:t xml:space="preserve">. Further, in circumstances where it is likely a tenant will need a longer period in which to move between premises, the provision allows a longer notice period to be given.   </w:t>
      </w:r>
    </w:p>
    <w:p w14:paraId="251B7E69" w14:textId="3CD9B536" w:rsidR="00CF3C3D" w:rsidRDefault="00CF3C3D" w:rsidP="00CF3C3D">
      <w:pPr>
        <w:pStyle w:val="normalweb0"/>
        <w:shd w:val="clear" w:color="auto" w:fill="FFFFFF"/>
        <w:spacing w:line="276" w:lineRule="auto"/>
        <w:rPr>
          <w:rFonts w:ascii="Arial" w:hAnsi="Arial" w:cs="Arial"/>
          <w:color w:val="000000"/>
        </w:rPr>
      </w:pPr>
      <w:r w:rsidRPr="00264F34">
        <w:rPr>
          <w:rFonts w:ascii="Arial" w:hAnsi="Arial" w:cs="Arial"/>
          <w:color w:val="000000"/>
        </w:rPr>
        <w:t xml:space="preserve">The short notice period is also considered justified on the basis that the </w:t>
      </w:r>
      <w:r>
        <w:rPr>
          <w:rFonts w:ascii="Arial" w:hAnsi="Arial" w:cs="Arial"/>
          <w:color w:val="000000"/>
        </w:rPr>
        <w:t xml:space="preserve">Housing </w:t>
      </w:r>
      <w:r w:rsidRPr="00264F34">
        <w:rPr>
          <w:rFonts w:ascii="Arial" w:hAnsi="Arial" w:cs="Arial"/>
          <w:color w:val="000000"/>
        </w:rPr>
        <w:t xml:space="preserve">Commissioner has significant wait lists for </w:t>
      </w:r>
      <w:r w:rsidR="00F7433E">
        <w:rPr>
          <w:rFonts w:ascii="Arial" w:hAnsi="Arial" w:cs="Arial"/>
          <w:color w:val="000000"/>
        </w:rPr>
        <w:t>public</w:t>
      </w:r>
      <w:r w:rsidR="00F7433E" w:rsidRPr="00264F34">
        <w:rPr>
          <w:rFonts w:ascii="Arial" w:hAnsi="Arial" w:cs="Arial"/>
          <w:color w:val="000000"/>
        </w:rPr>
        <w:t xml:space="preserve"> </w:t>
      </w:r>
      <w:r w:rsidRPr="00264F34">
        <w:rPr>
          <w:rFonts w:ascii="Arial" w:hAnsi="Arial" w:cs="Arial"/>
          <w:color w:val="000000"/>
        </w:rPr>
        <w:t xml:space="preserve">housing and needs to recover vacant properties in a timely manner to make them available to others in need. To provide a tenant with a </w:t>
      </w:r>
      <w:r w:rsidR="00C558C1">
        <w:rPr>
          <w:rFonts w:ascii="Arial" w:hAnsi="Arial" w:cs="Arial"/>
          <w:color w:val="000000"/>
        </w:rPr>
        <w:t>longer</w:t>
      </w:r>
      <w:r w:rsidRPr="00264F34">
        <w:rPr>
          <w:rFonts w:ascii="Arial" w:hAnsi="Arial" w:cs="Arial"/>
          <w:color w:val="000000"/>
        </w:rPr>
        <w:t xml:space="preserve"> notice period when they are already occupying a second premises would be unreasonable and deny other disadvantaged persons in need of housing access to </w:t>
      </w:r>
      <w:r>
        <w:rPr>
          <w:rFonts w:ascii="Arial" w:hAnsi="Arial" w:cs="Arial"/>
          <w:color w:val="000000"/>
        </w:rPr>
        <w:t>a</w:t>
      </w:r>
      <w:r w:rsidRPr="00264F34">
        <w:rPr>
          <w:rFonts w:ascii="Arial" w:hAnsi="Arial" w:cs="Arial"/>
          <w:color w:val="000000"/>
        </w:rPr>
        <w:t xml:space="preserve"> tenancy. Thus, it is considered reasonable and proportionate to reduce the notice period for the purpose of achieving the legitimate aim of supporting the housing assistance program to effectively operate housing assistance services.</w:t>
      </w:r>
    </w:p>
    <w:p w14:paraId="5C0720AB" w14:textId="5E80FEB9" w:rsidR="00D65FF6" w:rsidRPr="00D65FF6" w:rsidRDefault="000D07D4" w:rsidP="00D65FF6">
      <w:pPr>
        <w:pStyle w:val="normalweb0"/>
        <w:shd w:val="clear" w:color="auto" w:fill="FFFFFF"/>
        <w:spacing w:line="276" w:lineRule="auto"/>
        <w:ind w:left="720"/>
        <w:rPr>
          <w:rFonts w:ascii="Arial" w:hAnsi="Arial" w:cs="Arial"/>
          <w:color w:val="000000"/>
        </w:rPr>
      </w:pPr>
      <w:r w:rsidRPr="000D07D4">
        <w:rPr>
          <w:rFonts w:ascii="Arial" w:hAnsi="Arial" w:cs="Arial"/>
          <w:i/>
          <w:iCs/>
          <w:color w:val="000000"/>
        </w:rPr>
        <w:t>Termination on the grounds of ineligibility (following the earlier provision of a NTV on the grounds of a failure to provide information (the later of the original 26 week NTV day or 12 weeks after the new notice)</w:t>
      </w:r>
      <w:r w:rsidR="00D65FF6">
        <w:rPr>
          <w:rFonts w:ascii="Arial" w:hAnsi="Arial" w:cs="Arial"/>
          <w:i/>
          <w:iCs/>
          <w:color w:val="000000"/>
        </w:rPr>
        <w:t xml:space="preserve"> </w:t>
      </w:r>
      <w:r w:rsidR="00D65FF6">
        <w:rPr>
          <w:rFonts w:ascii="Arial" w:hAnsi="Arial" w:cs="Arial"/>
          <w:color w:val="000000"/>
        </w:rPr>
        <w:t xml:space="preserve">and </w:t>
      </w:r>
      <w:r w:rsidRPr="000D07D4">
        <w:rPr>
          <w:rFonts w:ascii="Arial" w:hAnsi="Arial" w:cs="Arial"/>
          <w:i/>
          <w:iCs/>
          <w:color w:val="000000"/>
        </w:rPr>
        <w:t>Termination on the grounds of ineligibility where a temporary period of housing assistance has already ended (12 weeks)</w:t>
      </w:r>
      <w:r w:rsidR="00D65FF6">
        <w:rPr>
          <w:rFonts w:ascii="Arial" w:hAnsi="Arial" w:cs="Arial"/>
          <w:color w:val="000000"/>
        </w:rPr>
        <w:t xml:space="preserve"> </w:t>
      </w:r>
    </w:p>
    <w:p w14:paraId="2E69085E" w14:textId="5128C1C9" w:rsidR="00D65FF6" w:rsidRPr="00D65FF6" w:rsidRDefault="00070B87" w:rsidP="00D65FF6">
      <w:pPr>
        <w:pStyle w:val="normalweb0"/>
        <w:shd w:val="clear" w:color="auto" w:fill="FFFFFF"/>
        <w:spacing w:line="276" w:lineRule="auto"/>
        <w:rPr>
          <w:rFonts w:ascii="Arial" w:hAnsi="Arial" w:cs="Arial"/>
          <w:color w:val="000000"/>
        </w:rPr>
      </w:pPr>
      <w:r>
        <w:rPr>
          <w:rFonts w:ascii="Arial" w:hAnsi="Arial" w:cs="Arial"/>
          <w:color w:val="000000"/>
        </w:rPr>
        <w:t>New SRTTs 104</w:t>
      </w:r>
      <w:r w:rsidR="006E43FD">
        <w:rPr>
          <w:rFonts w:ascii="Arial" w:hAnsi="Arial" w:cs="Arial"/>
          <w:color w:val="000000"/>
        </w:rPr>
        <w:t>,</w:t>
      </w:r>
      <w:r>
        <w:rPr>
          <w:rFonts w:ascii="Arial" w:hAnsi="Arial" w:cs="Arial"/>
          <w:color w:val="000000"/>
        </w:rPr>
        <w:t xml:space="preserve"> 107 </w:t>
      </w:r>
      <w:r w:rsidR="006E43FD">
        <w:rPr>
          <w:rFonts w:ascii="Arial" w:hAnsi="Arial" w:cs="Arial"/>
          <w:color w:val="000000"/>
        </w:rPr>
        <w:t xml:space="preserve">and 111 </w:t>
      </w:r>
      <w:r>
        <w:rPr>
          <w:rFonts w:ascii="Arial" w:hAnsi="Arial" w:cs="Arial"/>
          <w:color w:val="000000"/>
        </w:rPr>
        <w:t>allow for</w:t>
      </w:r>
      <w:r w:rsidR="006E43FD">
        <w:rPr>
          <w:rFonts w:ascii="Arial" w:hAnsi="Arial" w:cs="Arial"/>
          <w:color w:val="000000"/>
        </w:rPr>
        <w:t xml:space="preserve"> </w:t>
      </w:r>
      <w:r>
        <w:rPr>
          <w:rFonts w:ascii="Arial" w:hAnsi="Arial" w:cs="Arial"/>
          <w:color w:val="000000"/>
        </w:rPr>
        <w:t xml:space="preserve">12 week NTV instead of at 26 week NTV to be issued in certain circumstances. </w:t>
      </w:r>
    </w:p>
    <w:p w14:paraId="0709A2CD" w14:textId="7CDED799" w:rsidR="000D07D4" w:rsidRDefault="006E43FD" w:rsidP="00CF3C3D">
      <w:pPr>
        <w:pStyle w:val="normalweb0"/>
        <w:shd w:val="clear" w:color="auto" w:fill="FFFFFF"/>
        <w:spacing w:line="276" w:lineRule="auto"/>
        <w:rPr>
          <w:rFonts w:ascii="Arial" w:hAnsi="Arial" w:cs="Arial"/>
          <w:color w:val="000000"/>
        </w:rPr>
      </w:pPr>
      <w:r>
        <w:rPr>
          <w:rFonts w:ascii="Arial" w:hAnsi="Arial" w:cs="Arial"/>
          <w:color w:val="000000"/>
        </w:rPr>
        <w:t xml:space="preserve">In the case of termination on the grounds of </w:t>
      </w:r>
      <w:r w:rsidR="006C3629">
        <w:rPr>
          <w:rFonts w:ascii="Arial" w:hAnsi="Arial" w:cs="Arial"/>
          <w:color w:val="000000"/>
        </w:rPr>
        <w:t>in</w:t>
      </w:r>
      <w:r>
        <w:rPr>
          <w:rFonts w:ascii="Arial" w:hAnsi="Arial" w:cs="Arial"/>
          <w:color w:val="000000"/>
        </w:rPr>
        <w:t xml:space="preserve">eligibility </w:t>
      </w:r>
      <w:r w:rsidR="00CC018F">
        <w:rPr>
          <w:rFonts w:ascii="Arial" w:hAnsi="Arial" w:cs="Arial"/>
          <w:color w:val="000000"/>
        </w:rPr>
        <w:t xml:space="preserve">(SRTTs 104 and 111) </w:t>
      </w:r>
      <w:r>
        <w:rPr>
          <w:rFonts w:ascii="Arial" w:hAnsi="Arial" w:cs="Arial"/>
          <w:color w:val="000000"/>
        </w:rPr>
        <w:t xml:space="preserve">the shorter notice period </w:t>
      </w:r>
      <w:r w:rsidR="006C3629">
        <w:rPr>
          <w:rFonts w:ascii="Arial" w:hAnsi="Arial" w:cs="Arial"/>
          <w:color w:val="000000"/>
        </w:rPr>
        <w:t xml:space="preserve">is only permitted in circumstances where the tenant had previously been issued with a NTV on the grounds of a failure to provide information.  The permitted notice period is the later of the end date of the original 26 week or 12 </w:t>
      </w:r>
      <w:r w:rsidR="006C3629">
        <w:rPr>
          <w:rFonts w:ascii="Arial" w:hAnsi="Arial" w:cs="Arial"/>
          <w:color w:val="000000"/>
        </w:rPr>
        <w:lastRenderedPageBreak/>
        <w:t xml:space="preserve">weeks after the NTV is issued. In this circumstance it is noted that the tenant will have already been put on notice of the potential end to their tenancy due to the prior notice to vacate so the new notice to vacate will give them at least as much time as they would have had originally, if not longer. The 12 week notice period is designed to balance the competing policy objectives of providing a reasonable time in which to locate alternative accommodation and prepare for a move whilst also not creating a significant incentive for the tenant to delay the provision of information in response to the lessor’s request in order to extend the period of time an ineligible tenant can remain in the property. </w:t>
      </w:r>
    </w:p>
    <w:p w14:paraId="0BCAB876" w14:textId="7F3BD7FA" w:rsidR="00323C97" w:rsidRDefault="00323C97" w:rsidP="00CF3C3D">
      <w:pPr>
        <w:pStyle w:val="normalweb0"/>
        <w:shd w:val="clear" w:color="auto" w:fill="FFFFFF"/>
        <w:spacing w:line="276" w:lineRule="auto"/>
        <w:rPr>
          <w:rFonts w:ascii="Arial" w:hAnsi="Arial" w:cs="Arial"/>
          <w:color w:val="000000"/>
        </w:rPr>
      </w:pPr>
      <w:r>
        <w:rPr>
          <w:rFonts w:ascii="Arial" w:hAnsi="Arial" w:cs="Arial"/>
          <w:color w:val="000000"/>
        </w:rPr>
        <w:t xml:space="preserve">As noted above, the purpose of the temporary tenancy is to give a person the temporary ability to remain in a property following the breakdown of the previous tenancy for that property and to allow a period of time for the Housing Commissioner to assess their ongoing eligibility to remain in a public housing property. When a person is provided with a period of temporary housing assistance they must be advised that the that the assistance they are being provided with is temporary at the start of the tenancy.  As such, the tenant will have already been on notice as to the temporary nature of their tenancy and that their ability to remain in the property is contingent upon them demonstrating establishing eligibility for housing assistance.  As such, it is expected that, where a person who is receiving temporary housing assistance wishes to remain in the property they will have submitted an application for housing assistance. </w:t>
      </w:r>
      <w:r w:rsidR="006867FA">
        <w:rPr>
          <w:rFonts w:ascii="Arial" w:hAnsi="Arial" w:cs="Arial"/>
          <w:color w:val="000000"/>
        </w:rPr>
        <w:t>Where a person is found to be ineligible during the temporary housing assistance period, the Commissioner must give them at least 26 week NTV  However, i</w:t>
      </w:r>
      <w:r>
        <w:rPr>
          <w:rFonts w:ascii="Arial" w:hAnsi="Arial" w:cs="Arial"/>
          <w:color w:val="000000"/>
        </w:rPr>
        <w:t>n circumstances where the Housing Commissioner does not determine</w:t>
      </w:r>
      <w:r w:rsidR="006867FA">
        <w:rPr>
          <w:rFonts w:ascii="Arial" w:hAnsi="Arial" w:cs="Arial"/>
          <w:color w:val="000000"/>
        </w:rPr>
        <w:t xml:space="preserve"> ineligibility until after the temporary period of housing assistance has ended then the Housing Commissioner will be able to issue a 12 week NTV.</w:t>
      </w:r>
    </w:p>
    <w:p w14:paraId="0501677E" w14:textId="728E641C" w:rsidR="006C3629" w:rsidRDefault="00323C97" w:rsidP="00CF3C3D">
      <w:pPr>
        <w:pStyle w:val="normalweb0"/>
        <w:shd w:val="clear" w:color="auto" w:fill="FFFFFF"/>
        <w:spacing w:line="276" w:lineRule="auto"/>
        <w:rPr>
          <w:rFonts w:ascii="Arial" w:hAnsi="Arial" w:cs="Arial"/>
          <w:color w:val="000000"/>
        </w:rPr>
      </w:pPr>
      <w:r>
        <w:rPr>
          <w:rFonts w:ascii="Arial" w:hAnsi="Arial" w:cs="Arial"/>
          <w:color w:val="000000"/>
        </w:rPr>
        <w:t xml:space="preserve">In a similar way, SRTT 107 allows for a shorter 12 week notice period in circumstances where a person’s period of temporary housing assistance has already ended (but where a decision as to their ongoing eligibility for housing assistance was not made during the period of temporary housing assistance). </w:t>
      </w:r>
      <w:r w:rsidR="006867FA">
        <w:rPr>
          <w:rFonts w:ascii="Arial" w:hAnsi="Arial" w:cs="Arial"/>
          <w:color w:val="000000"/>
        </w:rPr>
        <w:t xml:space="preserve">The policy rationale here is that the person will have already been on notice as to the temporary nature of their tenancy.  The 12 week NTV period balances the competing policy aims of allowing a person a reasonable of time to move following a decision of ineligibility against not providing an extended additional period (after a temporary period of housing assistance has already been provided) for an ineligible tenant to remain in a public housing property. </w:t>
      </w:r>
    </w:p>
    <w:p w14:paraId="5BA38C11" w14:textId="12E5407A" w:rsidR="00A52F49" w:rsidRDefault="00A52F49" w:rsidP="00CF3C3D">
      <w:pPr>
        <w:pStyle w:val="normalweb0"/>
        <w:shd w:val="clear" w:color="auto" w:fill="FFFFFF"/>
        <w:spacing w:line="276" w:lineRule="auto"/>
        <w:rPr>
          <w:rFonts w:ascii="Arial" w:hAnsi="Arial" w:cs="Arial"/>
          <w:color w:val="000000"/>
        </w:rPr>
      </w:pPr>
      <w:r>
        <w:rPr>
          <w:rFonts w:ascii="Arial" w:hAnsi="Arial" w:cs="Arial"/>
          <w:color w:val="000000"/>
        </w:rPr>
        <w:t xml:space="preserve">As noted above, the purpose of these shorter notice periods are to ensure that ineligible tenants are not given significant additional time to remain in the premises in certain specific situations where the tenant has already had been put on notice that their tenancy may end. The safeguards associated with these provisions are that they shorter notice periods cannot be used unless the tenant has already received a NTV on due to a failure to provide information or the tenant has already been notified </w:t>
      </w:r>
      <w:r>
        <w:rPr>
          <w:rFonts w:ascii="Arial" w:hAnsi="Arial" w:cs="Arial"/>
          <w:color w:val="000000"/>
        </w:rPr>
        <w:lastRenderedPageBreak/>
        <w:t xml:space="preserve">of the temporary nature of the assistance being given to them. It is considered there is no less restrictive means available of achieving this purpose. </w:t>
      </w:r>
    </w:p>
    <w:p w14:paraId="3F68C72C" w14:textId="00FF5D96" w:rsidR="00F72584" w:rsidRPr="00F72584" w:rsidRDefault="00F72584" w:rsidP="00CF3C3D">
      <w:pPr>
        <w:pStyle w:val="normalweb0"/>
        <w:shd w:val="clear" w:color="auto" w:fill="FFFFFF"/>
        <w:spacing w:line="276" w:lineRule="auto"/>
        <w:rPr>
          <w:rFonts w:ascii="Arial" w:hAnsi="Arial" w:cs="Arial"/>
          <w:b/>
          <w:bCs/>
          <w:iCs/>
        </w:rPr>
      </w:pPr>
      <w:r w:rsidRPr="00F72584">
        <w:rPr>
          <w:rFonts w:ascii="Arial" w:hAnsi="Arial" w:cs="Arial"/>
          <w:b/>
          <w:bCs/>
          <w:color w:val="000000"/>
        </w:rPr>
        <w:t>Right to equality before the law – sections 51A</w:t>
      </w:r>
    </w:p>
    <w:p w14:paraId="6F2B10EE" w14:textId="7E6290E3" w:rsidR="00F72584" w:rsidRDefault="00F72584" w:rsidP="00DA6700">
      <w:pPr>
        <w:pStyle w:val="normalweb0"/>
        <w:shd w:val="clear" w:color="auto" w:fill="FFFFFF"/>
        <w:spacing w:before="240" w:beforeAutospacing="0" w:after="120" w:afterAutospacing="0" w:line="276" w:lineRule="auto"/>
        <w:rPr>
          <w:rFonts w:ascii="Arial" w:hAnsi="Arial" w:cs="Arial"/>
          <w:color w:val="000000"/>
        </w:rPr>
      </w:pPr>
      <w:r>
        <w:rPr>
          <w:rFonts w:ascii="Arial" w:hAnsi="Arial" w:cs="Arial"/>
          <w:color w:val="000000"/>
        </w:rPr>
        <w:t>As noted above, the bill introduces new grounds to terminate a tenancy agreement when one party to the agreement threatens, harasses, intimidates, or abuses the other party</w:t>
      </w:r>
      <w:r w:rsidR="00331F8B">
        <w:rPr>
          <w:rFonts w:ascii="Arial" w:hAnsi="Arial" w:cs="Arial"/>
          <w:color w:val="000000"/>
        </w:rPr>
        <w:t xml:space="preserve"> (sections 45A and 51A)</w:t>
      </w:r>
      <w:r>
        <w:rPr>
          <w:rFonts w:ascii="Arial" w:hAnsi="Arial" w:cs="Arial"/>
          <w:color w:val="000000"/>
        </w:rPr>
        <w:t xml:space="preserve">. </w:t>
      </w:r>
      <w:r w:rsidR="00331F8B">
        <w:rPr>
          <w:rFonts w:ascii="Arial" w:hAnsi="Arial" w:cs="Arial"/>
          <w:color w:val="000000"/>
        </w:rPr>
        <w:t xml:space="preserve">Circumstances where a tenant acts in this manner towards their landlord are covered by section 51A.  As discussed above in relation to the right to privacy, the outcomes of section 45A and 51A are different for lessors and tenants as the outcome of a lessor engaging in inappropriate conduct under section 45A is simply an end to the contractual relationship with the tenant, whereas the outcome for a tenant under section 51A is that they can be made homeless at short notice. </w:t>
      </w:r>
    </w:p>
    <w:p w14:paraId="443046B9" w14:textId="64F12084" w:rsidR="00F72584" w:rsidRDefault="00F72584" w:rsidP="00F72584">
      <w:pPr>
        <w:ind w:firstLine="720"/>
        <w:rPr>
          <w:rFonts w:ascii="Arial" w:hAnsi="Arial" w:cs="Arial"/>
          <w:i/>
          <w:sz w:val="24"/>
          <w:szCs w:val="24"/>
          <w:u w:val="single"/>
          <w:lang w:eastAsia="en-AU"/>
        </w:rPr>
      </w:pPr>
      <w:r w:rsidRPr="00264F34">
        <w:rPr>
          <w:rFonts w:ascii="Arial" w:hAnsi="Arial" w:cs="Arial"/>
          <w:i/>
          <w:sz w:val="24"/>
          <w:szCs w:val="24"/>
          <w:u w:val="single"/>
          <w:lang w:eastAsia="en-AU"/>
        </w:rPr>
        <w:t>Nature of the right and the limitation (ss 28(2)(a) and (c))</w:t>
      </w:r>
    </w:p>
    <w:p w14:paraId="58621824" w14:textId="6B4A0F50" w:rsidR="00F72584" w:rsidRPr="00264F34" w:rsidRDefault="00F72584" w:rsidP="00F72584">
      <w:pPr>
        <w:rPr>
          <w:rFonts w:ascii="Arial" w:hAnsi="Arial" w:cs="Arial"/>
          <w:iCs/>
          <w:sz w:val="24"/>
          <w:szCs w:val="24"/>
          <w:lang w:eastAsia="en-AU"/>
        </w:rPr>
      </w:pPr>
      <w:r>
        <w:rPr>
          <w:rFonts w:ascii="Arial" w:hAnsi="Arial" w:cs="Arial"/>
          <w:iCs/>
          <w:sz w:val="24"/>
          <w:szCs w:val="24"/>
          <w:lang w:eastAsia="en-AU"/>
        </w:rPr>
        <w:t>As noted above, s</w:t>
      </w:r>
      <w:r w:rsidRPr="00264F34">
        <w:rPr>
          <w:rFonts w:ascii="Arial" w:hAnsi="Arial" w:cs="Arial"/>
          <w:iCs/>
          <w:sz w:val="24"/>
          <w:szCs w:val="24"/>
          <w:lang w:eastAsia="en-AU"/>
        </w:rPr>
        <w:t xml:space="preserve">ection 8 of the </w:t>
      </w:r>
      <w:r>
        <w:rPr>
          <w:rFonts w:ascii="Arial" w:hAnsi="Arial" w:cs="Arial"/>
          <w:iCs/>
          <w:sz w:val="24"/>
          <w:szCs w:val="24"/>
          <w:lang w:eastAsia="en-AU"/>
        </w:rPr>
        <w:t>HRA</w:t>
      </w:r>
      <w:r w:rsidRPr="00264F34">
        <w:rPr>
          <w:rFonts w:ascii="Arial" w:hAnsi="Arial" w:cs="Arial"/>
          <w:iCs/>
          <w:sz w:val="24"/>
          <w:szCs w:val="24"/>
          <w:lang w:eastAsia="en-AU"/>
        </w:rPr>
        <w:t xml:space="preserve"> provides that everyone is equal before the law and is entitled to the equal protection of the law without discrimination. Discrimination under the HRA encompasses a distinction based on particular grounds (e.g. race, colour or sex) which has either the purpose (‘direct’ discrimination), or the effect (‘indirect’ discrimination’) of adversely affecting human rights. Not all differential treatment will amount to discrimination. To be discrimination, the differential treatment must be linked to a prohibited ground of discrimination.</w:t>
      </w:r>
    </w:p>
    <w:p w14:paraId="03B9537E" w14:textId="49ECA134" w:rsidR="00331F8B" w:rsidRPr="00F72584" w:rsidRDefault="00331F8B" w:rsidP="00F72584">
      <w:pPr>
        <w:rPr>
          <w:rFonts w:ascii="Arial" w:hAnsi="Arial" w:cs="Arial"/>
          <w:iCs/>
          <w:sz w:val="24"/>
          <w:szCs w:val="24"/>
          <w:lang w:eastAsia="en-AU"/>
        </w:rPr>
      </w:pPr>
      <w:r>
        <w:rPr>
          <w:rFonts w:ascii="Arial" w:hAnsi="Arial" w:cs="Arial"/>
          <w:iCs/>
          <w:sz w:val="24"/>
          <w:szCs w:val="24"/>
          <w:lang w:eastAsia="en-AU"/>
        </w:rPr>
        <w:t>Disability is considered a protected attribute for the purposes of human rights law.  It is noted that f</w:t>
      </w:r>
      <w:r w:rsidR="00F72584" w:rsidRPr="00F72584">
        <w:rPr>
          <w:rFonts w:ascii="Arial" w:hAnsi="Arial" w:cs="Arial"/>
          <w:iCs/>
          <w:sz w:val="24"/>
          <w:szCs w:val="24"/>
          <w:lang w:eastAsia="en-AU"/>
        </w:rPr>
        <w:t xml:space="preserve">or </w:t>
      </w:r>
      <w:r w:rsidR="00F72584">
        <w:rPr>
          <w:rFonts w:ascii="Arial" w:hAnsi="Arial" w:cs="Arial"/>
          <w:iCs/>
          <w:sz w:val="24"/>
          <w:szCs w:val="24"/>
          <w:lang w:eastAsia="en-AU"/>
        </w:rPr>
        <w:t xml:space="preserve">people who live with a disability or mental health issue that impacts </w:t>
      </w:r>
      <w:r>
        <w:rPr>
          <w:rFonts w:ascii="Arial" w:hAnsi="Arial" w:cs="Arial"/>
          <w:iCs/>
          <w:sz w:val="24"/>
          <w:szCs w:val="24"/>
          <w:lang w:eastAsia="en-AU"/>
        </w:rPr>
        <w:t xml:space="preserve">on their emotional regulation, impulse control, understanding of social situations or their communication skills, section 51A may have a disproportionate impact on them as it may make them more likely to engage in the conduct described in section 51A. As such, this provision may engage and limit the right to equality before the law for some people living with a disability. </w:t>
      </w:r>
    </w:p>
    <w:p w14:paraId="2137CE6C" w14:textId="3849C3F9" w:rsidR="00A8042D" w:rsidRDefault="00A8042D" w:rsidP="00A8042D">
      <w:pPr>
        <w:rPr>
          <w:rFonts w:ascii="Arial" w:hAnsi="Arial" w:cs="Arial"/>
          <w:iCs/>
          <w:sz w:val="24"/>
          <w:szCs w:val="24"/>
        </w:rPr>
      </w:pPr>
      <w:r w:rsidRPr="00264F34">
        <w:rPr>
          <w:rFonts w:ascii="Arial" w:hAnsi="Arial" w:cs="Arial"/>
          <w:iCs/>
          <w:sz w:val="24"/>
          <w:szCs w:val="24"/>
        </w:rPr>
        <w:t>The purpose of th</w:t>
      </w:r>
      <w:r>
        <w:rPr>
          <w:rFonts w:ascii="Arial" w:hAnsi="Arial" w:cs="Arial"/>
          <w:iCs/>
          <w:sz w:val="24"/>
          <w:szCs w:val="24"/>
        </w:rPr>
        <w:t>ese</w:t>
      </w:r>
      <w:r w:rsidRPr="00264F34">
        <w:rPr>
          <w:rFonts w:ascii="Arial" w:hAnsi="Arial" w:cs="Arial"/>
          <w:iCs/>
          <w:sz w:val="24"/>
          <w:szCs w:val="24"/>
        </w:rPr>
        <w:t xml:space="preserve"> termination provision</w:t>
      </w:r>
      <w:r>
        <w:rPr>
          <w:rFonts w:ascii="Arial" w:hAnsi="Arial" w:cs="Arial"/>
          <w:iCs/>
          <w:sz w:val="24"/>
          <w:szCs w:val="24"/>
        </w:rPr>
        <w:t>s</w:t>
      </w:r>
      <w:r w:rsidRPr="00264F34">
        <w:rPr>
          <w:rFonts w:ascii="Arial" w:hAnsi="Arial" w:cs="Arial"/>
          <w:iCs/>
          <w:sz w:val="24"/>
          <w:szCs w:val="24"/>
        </w:rPr>
        <w:t xml:space="preserve"> is to support an individual’s ability to live free from intimidation, harassment or abuse. The provision provides both parties timely recourse </w:t>
      </w:r>
      <w:r>
        <w:rPr>
          <w:rFonts w:ascii="Arial" w:hAnsi="Arial" w:cs="Arial"/>
          <w:iCs/>
          <w:sz w:val="24"/>
          <w:szCs w:val="24"/>
        </w:rPr>
        <w:t>– t</w:t>
      </w:r>
      <w:r w:rsidRPr="00264F34">
        <w:rPr>
          <w:rFonts w:ascii="Arial" w:hAnsi="Arial" w:cs="Arial"/>
          <w:iCs/>
          <w:sz w:val="24"/>
          <w:szCs w:val="24"/>
        </w:rPr>
        <w:t xml:space="preserve">he ability to end the tenancy in a relatively short timeframe – in circumstances where they are subjected to inappropriate behaviour by the other party.  </w:t>
      </w:r>
    </w:p>
    <w:p w14:paraId="133AA91A" w14:textId="77777777" w:rsidR="00A8042D" w:rsidRPr="00264F34" w:rsidRDefault="00A8042D" w:rsidP="00A8042D">
      <w:pPr>
        <w:pStyle w:val="ListParagraph"/>
        <w:rPr>
          <w:rFonts w:ascii="Arial" w:hAnsi="Arial" w:cs="Arial"/>
          <w:i/>
          <w:sz w:val="24"/>
          <w:szCs w:val="24"/>
          <w:u w:val="single"/>
        </w:rPr>
      </w:pPr>
      <w:r w:rsidRPr="00264F34">
        <w:rPr>
          <w:rFonts w:ascii="Arial" w:hAnsi="Arial" w:cs="Arial"/>
          <w:i/>
          <w:sz w:val="24"/>
          <w:szCs w:val="24"/>
          <w:u w:val="single"/>
        </w:rPr>
        <w:t>Legitimate purpose (s 28 (2) (b))</w:t>
      </w:r>
    </w:p>
    <w:p w14:paraId="4C760BC9" w14:textId="77777777" w:rsidR="00A8042D" w:rsidRPr="00264F34" w:rsidRDefault="00A8042D" w:rsidP="00A8042D">
      <w:pPr>
        <w:spacing w:after="0"/>
        <w:rPr>
          <w:rFonts w:ascii="Arial" w:hAnsi="Arial" w:cs="Arial"/>
          <w:iCs/>
          <w:sz w:val="24"/>
          <w:szCs w:val="24"/>
          <w:u w:val="single"/>
        </w:rPr>
      </w:pPr>
    </w:p>
    <w:p w14:paraId="00F0069F" w14:textId="7D65F9F4" w:rsidR="00A8042D" w:rsidRPr="00264F34" w:rsidRDefault="00A8042D" w:rsidP="00A8042D">
      <w:pPr>
        <w:rPr>
          <w:rFonts w:ascii="Arial" w:hAnsi="Arial" w:cs="Arial"/>
          <w:iCs/>
          <w:sz w:val="24"/>
          <w:szCs w:val="24"/>
        </w:rPr>
      </w:pPr>
      <w:r w:rsidRPr="00264F34">
        <w:rPr>
          <w:rFonts w:ascii="Arial" w:hAnsi="Arial" w:cs="Arial"/>
          <w:iCs/>
          <w:sz w:val="24"/>
          <w:szCs w:val="24"/>
        </w:rPr>
        <w:t>The purpose of th</w:t>
      </w:r>
      <w:r>
        <w:rPr>
          <w:rFonts w:ascii="Arial" w:hAnsi="Arial" w:cs="Arial"/>
          <w:iCs/>
          <w:sz w:val="24"/>
          <w:szCs w:val="24"/>
        </w:rPr>
        <w:t>ese</w:t>
      </w:r>
      <w:r w:rsidRPr="00264F34">
        <w:rPr>
          <w:rFonts w:ascii="Arial" w:hAnsi="Arial" w:cs="Arial"/>
          <w:iCs/>
          <w:sz w:val="24"/>
          <w:szCs w:val="24"/>
        </w:rPr>
        <w:t xml:space="preserve"> termination provision</w:t>
      </w:r>
      <w:r>
        <w:rPr>
          <w:rFonts w:ascii="Arial" w:hAnsi="Arial" w:cs="Arial"/>
          <w:iCs/>
          <w:sz w:val="24"/>
          <w:szCs w:val="24"/>
        </w:rPr>
        <w:t>s</w:t>
      </w:r>
      <w:r w:rsidRPr="00264F34">
        <w:rPr>
          <w:rFonts w:ascii="Arial" w:hAnsi="Arial" w:cs="Arial"/>
          <w:iCs/>
          <w:sz w:val="24"/>
          <w:szCs w:val="24"/>
        </w:rPr>
        <w:t xml:space="preserve"> is to support an individual’s ability to live free from intimidation, harassment or abuse. The provision provides </w:t>
      </w:r>
      <w:r>
        <w:rPr>
          <w:rFonts w:ascii="Arial" w:hAnsi="Arial" w:cs="Arial"/>
          <w:iCs/>
          <w:sz w:val="24"/>
          <w:szCs w:val="24"/>
        </w:rPr>
        <w:t>the lessor</w:t>
      </w:r>
      <w:r w:rsidRPr="00264F34">
        <w:rPr>
          <w:rFonts w:ascii="Arial" w:hAnsi="Arial" w:cs="Arial"/>
          <w:iCs/>
          <w:sz w:val="24"/>
          <w:szCs w:val="24"/>
        </w:rPr>
        <w:t xml:space="preserve"> timely recourse </w:t>
      </w:r>
      <w:r>
        <w:rPr>
          <w:rFonts w:ascii="Arial" w:hAnsi="Arial" w:cs="Arial"/>
          <w:iCs/>
          <w:sz w:val="24"/>
          <w:szCs w:val="24"/>
        </w:rPr>
        <w:t>– t</w:t>
      </w:r>
      <w:r w:rsidRPr="00264F34">
        <w:rPr>
          <w:rFonts w:ascii="Arial" w:hAnsi="Arial" w:cs="Arial"/>
          <w:iCs/>
          <w:sz w:val="24"/>
          <w:szCs w:val="24"/>
        </w:rPr>
        <w:t xml:space="preserve">he ability to end the tenancy in a relatively short timeframe – in circumstances where they are subjected to inappropriate behaviour by the </w:t>
      </w:r>
      <w:r>
        <w:rPr>
          <w:rFonts w:ascii="Arial" w:hAnsi="Arial" w:cs="Arial"/>
          <w:iCs/>
          <w:sz w:val="24"/>
          <w:szCs w:val="24"/>
        </w:rPr>
        <w:t>tenant</w:t>
      </w:r>
      <w:r w:rsidRPr="00264F34">
        <w:rPr>
          <w:rFonts w:ascii="Arial" w:hAnsi="Arial" w:cs="Arial"/>
          <w:iCs/>
          <w:sz w:val="24"/>
          <w:szCs w:val="24"/>
        </w:rPr>
        <w:t xml:space="preserve">.  </w:t>
      </w:r>
    </w:p>
    <w:p w14:paraId="74F6C9CA" w14:textId="77777777" w:rsidR="00A8042D" w:rsidRPr="00264F34" w:rsidRDefault="00A8042D" w:rsidP="00A8042D">
      <w:pPr>
        <w:pStyle w:val="ListParagraph"/>
        <w:rPr>
          <w:rFonts w:ascii="Arial" w:hAnsi="Arial" w:cs="Arial"/>
          <w:i/>
          <w:sz w:val="24"/>
          <w:szCs w:val="24"/>
          <w:u w:val="single"/>
        </w:rPr>
      </w:pPr>
      <w:r w:rsidRPr="00264F34">
        <w:rPr>
          <w:rFonts w:ascii="Arial" w:hAnsi="Arial" w:cs="Arial"/>
          <w:i/>
          <w:sz w:val="24"/>
          <w:szCs w:val="24"/>
          <w:u w:val="single"/>
        </w:rPr>
        <w:t>Rational connection between the limitation and the purpose (s 28 (2) (d))</w:t>
      </w:r>
    </w:p>
    <w:p w14:paraId="3AA8524E" w14:textId="77777777" w:rsidR="00A8042D" w:rsidRPr="00264F34" w:rsidRDefault="00A8042D" w:rsidP="00A8042D">
      <w:pPr>
        <w:spacing w:after="0"/>
        <w:rPr>
          <w:rFonts w:ascii="Arial" w:hAnsi="Arial" w:cs="Arial"/>
          <w:i/>
          <w:sz w:val="24"/>
          <w:szCs w:val="24"/>
          <w:u w:val="single"/>
        </w:rPr>
      </w:pPr>
    </w:p>
    <w:p w14:paraId="666A40FE" w14:textId="77777777" w:rsidR="00A8042D" w:rsidRPr="00264F34" w:rsidRDefault="00A8042D" w:rsidP="00A8042D">
      <w:pPr>
        <w:rPr>
          <w:rFonts w:ascii="Arial" w:hAnsi="Arial" w:cs="Arial"/>
          <w:iCs/>
          <w:sz w:val="24"/>
          <w:szCs w:val="24"/>
        </w:rPr>
      </w:pPr>
      <w:r w:rsidRPr="00264F34">
        <w:rPr>
          <w:rFonts w:ascii="Arial" w:hAnsi="Arial" w:cs="Arial"/>
          <w:iCs/>
          <w:sz w:val="24"/>
          <w:szCs w:val="24"/>
        </w:rPr>
        <w:t>There is a rational connection between allowing a tenancy to be terminated when a party has engaged in inappropriate conduct and ensuring a person can live free from intimidation, harassment or abuse as ending the tenancy severs the contractual relationship between the parties</w:t>
      </w:r>
      <w:r>
        <w:rPr>
          <w:rFonts w:ascii="Arial" w:hAnsi="Arial" w:cs="Arial"/>
          <w:iCs/>
          <w:sz w:val="24"/>
          <w:szCs w:val="24"/>
        </w:rPr>
        <w:t>,</w:t>
      </w:r>
      <w:r w:rsidRPr="00264F34">
        <w:rPr>
          <w:rFonts w:ascii="Arial" w:hAnsi="Arial" w:cs="Arial"/>
          <w:iCs/>
          <w:sz w:val="24"/>
          <w:szCs w:val="24"/>
        </w:rPr>
        <w:t xml:space="preserve"> allow</w:t>
      </w:r>
      <w:r>
        <w:rPr>
          <w:rFonts w:ascii="Arial" w:hAnsi="Arial" w:cs="Arial"/>
          <w:iCs/>
          <w:sz w:val="24"/>
          <w:szCs w:val="24"/>
        </w:rPr>
        <w:t>ing</w:t>
      </w:r>
      <w:r w:rsidRPr="00264F34">
        <w:rPr>
          <w:rFonts w:ascii="Arial" w:hAnsi="Arial" w:cs="Arial"/>
          <w:iCs/>
          <w:sz w:val="24"/>
          <w:szCs w:val="24"/>
        </w:rPr>
        <w:t xml:space="preserve"> them to part ways.   </w:t>
      </w:r>
    </w:p>
    <w:p w14:paraId="3ED6E63C" w14:textId="77777777" w:rsidR="00F72584" w:rsidRPr="00264F34" w:rsidRDefault="00F72584" w:rsidP="00F72584">
      <w:pPr>
        <w:ind w:left="360" w:firstLine="360"/>
        <w:rPr>
          <w:rFonts w:ascii="Arial" w:hAnsi="Arial" w:cs="Arial"/>
          <w:i/>
          <w:sz w:val="24"/>
          <w:szCs w:val="24"/>
          <w:u w:val="single"/>
          <w:lang w:eastAsia="en-AU"/>
        </w:rPr>
      </w:pPr>
      <w:r w:rsidRPr="00264F34">
        <w:rPr>
          <w:rFonts w:ascii="Arial" w:hAnsi="Arial" w:cs="Arial"/>
          <w:i/>
          <w:sz w:val="24"/>
          <w:szCs w:val="24"/>
          <w:u w:val="single"/>
          <w:lang w:eastAsia="en-AU"/>
        </w:rPr>
        <w:t>Proportionality (s 28</w:t>
      </w:r>
      <w:r>
        <w:rPr>
          <w:rFonts w:ascii="Arial" w:hAnsi="Arial" w:cs="Arial"/>
          <w:i/>
          <w:sz w:val="24"/>
          <w:szCs w:val="24"/>
          <w:u w:val="single"/>
          <w:lang w:eastAsia="en-AU"/>
        </w:rPr>
        <w:t xml:space="preserve"> </w:t>
      </w:r>
      <w:r w:rsidRPr="00264F34">
        <w:rPr>
          <w:rFonts w:ascii="Arial" w:hAnsi="Arial" w:cs="Arial"/>
          <w:i/>
          <w:sz w:val="24"/>
          <w:szCs w:val="24"/>
          <w:u w:val="single"/>
          <w:lang w:eastAsia="en-AU"/>
        </w:rPr>
        <w:t>(2)</w:t>
      </w:r>
      <w:r>
        <w:rPr>
          <w:rFonts w:ascii="Arial" w:hAnsi="Arial" w:cs="Arial"/>
          <w:i/>
          <w:sz w:val="24"/>
          <w:szCs w:val="24"/>
          <w:u w:val="single"/>
          <w:lang w:eastAsia="en-AU"/>
        </w:rPr>
        <w:t xml:space="preserve"> </w:t>
      </w:r>
      <w:r w:rsidRPr="00264F34">
        <w:rPr>
          <w:rFonts w:ascii="Arial" w:hAnsi="Arial" w:cs="Arial"/>
          <w:i/>
          <w:sz w:val="24"/>
          <w:szCs w:val="24"/>
          <w:u w:val="single"/>
          <w:lang w:eastAsia="en-AU"/>
        </w:rPr>
        <w:t>(e))</w:t>
      </w:r>
    </w:p>
    <w:p w14:paraId="42ABEB32" w14:textId="45529415" w:rsidR="000E6C96" w:rsidRPr="00264F34" w:rsidRDefault="00A8042D" w:rsidP="00A81B2D">
      <w:pPr>
        <w:pStyle w:val="normalweb0"/>
        <w:shd w:val="clear" w:color="auto" w:fill="FFFFFF"/>
        <w:spacing w:before="240" w:beforeAutospacing="0" w:after="120" w:afterAutospacing="0" w:line="276" w:lineRule="auto"/>
        <w:rPr>
          <w:rFonts w:ascii="Arial" w:hAnsi="Arial" w:cs="Arial"/>
        </w:rPr>
      </w:pPr>
      <w:r>
        <w:rPr>
          <w:rFonts w:ascii="Arial" w:hAnsi="Arial" w:cs="Arial"/>
          <w:color w:val="000000"/>
        </w:rPr>
        <w:t xml:space="preserve">As noted above in the section on the right to privacy, this provision incorporates a number of safeguards to ensure any limitation on the right to privacy or the right to equality before the law are proportionate to are proportionate to the legitimate aim. </w:t>
      </w:r>
      <w:r w:rsidR="000E6C96">
        <w:rPr>
          <w:rFonts w:ascii="Arial" w:hAnsi="Arial" w:cs="Arial"/>
          <w:color w:val="000000"/>
        </w:rPr>
        <w:t xml:space="preserve">Those safeguards are relevant to the limitation to the right to equality before the law as well. In particular it is noted that </w:t>
      </w:r>
      <w:r w:rsidR="000E6C96" w:rsidRPr="00264F34">
        <w:rPr>
          <w:rFonts w:ascii="Arial" w:hAnsi="Arial" w:cs="Arial"/>
          <w:iCs/>
        </w:rPr>
        <w:t xml:space="preserve">the provision expressly grants ACAT a discretion as to whether to end the tenancy, providing that it may only end the tenancy in these circumstances where it is appropriate to do so. </w:t>
      </w:r>
      <w:r w:rsidR="00A81B2D">
        <w:rPr>
          <w:rFonts w:ascii="Arial" w:hAnsi="Arial" w:cs="Arial"/>
          <w:iCs/>
        </w:rPr>
        <w:t>T</w:t>
      </w:r>
      <w:r w:rsidR="000E6C96" w:rsidRPr="00264F34">
        <w:rPr>
          <w:rFonts w:ascii="Arial" w:hAnsi="Arial" w:cs="Arial"/>
          <w:iCs/>
        </w:rPr>
        <w:t>he provision gives ACAT significant guidance as to factors it must consider when determining if tenancy termination is appropriate in the circumstances</w:t>
      </w:r>
      <w:r w:rsidR="00A81B2D">
        <w:rPr>
          <w:rFonts w:ascii="Arial" w:hAnsi="Arial" w:cs="Arial"/>
          <w:iCs/>
        </w:rPr>
        <w:t>, which includes ‘</w:t>
      </w:r>
      <w:r w:rsidR="000E6C96" w:rsidRPr="00264F34">
        <w:rPr>
          <w:rFonts w:ascii="Arial" w:hAnsi="Arial" w:cs="Arial"/>
        </w:rPr>
        <w:t>any other matter the ACAT considers relevant.</w:t>
      </w:r>
      <w:r w:rsidR="00A81B2D">
        <w:rPr>
          <w:rFonts w:ascii="Arial" w:hAnsi="Arial" w:cs="Arial"/>
        </w:rPr>
        <w:t xml:space="preserve">’  In circumstances where a tenant’s behaviour towards their lessor is impacted by a disability or mental health issue, then the disability or mental health issue would be among ‘other relevant matters’ ACAT could consider when determining if the tenancy termination is appropriate in the circumstances. </w:t>
      </w:r>
    </w:p>
    <w:p w14:paraId="40944144" w14:textId="191E5017" w:rsidR="000E6C96" w:rsidRPr="00264F34" w:rsidRDefault="000E6C96" w:rsidP="000E6C96">
      <w:pPr>
        <w:rPr>
          <w:rFonts w:ascii="Arial" w:hAnsi="Arial" w:cs="Arial"/>
          <w:sz w:val="24"/>
          <w:szCs w:val="24"/>
        </w:rPr>
      </w:pPr>
      <w:r w:rsidRPr="00264F34">
        <w:rPr>
          <w:rFonts w:ascii="Arial" w:hAnsi="Arial" w:cs="Arial"/>
          <w:sz w:val="24"/>
          <w:szCs w:val="24"/>
        </w:rPr>
        <w:t xml:space="preserve">The safeguards </w:t>
      </w:r>
      <w:r w:rsidR="00A81B2D">
        <w:rPr>
          <w:rFonts w:ascii="Arial" w:hAnsi="Arial" w:cs="Arial"/>
          <w:sz w:val="24"/>
          <w:szCs w:val="24"/>
        </w:rPr>
        <w:t xml:space="preserve">discussed in this section and above in the right to privacy </w:t>
      </w:r>
      <w:r w:rsidRPr="00264F34">
        <w:rPr>
          <w:rFonts w:ascii="Arial" w:hAnsi="Arial" w:cs="Arial"/>
          <w:sz w:val="24"/>
          <w:szCs w:val="24"/>
        </w:rPr>
        <w:t>help to ensure that</w:t>
      </w:r>
      <w:r>
        <w:rPr>
          <w:rFonts w:ascii="Arial" w:hAnsi="Arial" w:cs="Arial"/>
          <w:sz w:val="24"/>
          <w:szCs w:val="24"/>
        </w:rPr>
        <w:t xml:space="preserve"> a</w:t>
      </w:r>
      <w:r w:rsidRPr="00264F34">
        <w:rPr>
          <w:rFonts w:ascii="Arial" w:hAnsi="Arial" w:cs="Arial"/>
          <w:sz w:val="24"/>
          <w:szCs w:val="24"/>
        </w:rPr>
        <w:t xml:space="preserve"> tenancy</w:t>
      </w:r>
      <w:r>
        <w:rPr>
          <w:rFonts w:ascii="Arial" w:hAnsi="Arial" w:cs="Arial"/>
          <w:sz w:val="24"/>
          <w:szCs w:val="24"/>
        </w:rPr>
        <w:t xml:space="preserve"> is only</w:t>
      </w:r>
      <w:r w:rsidRPr="00264F34">
        <w:rPr>
          <w:rFonts w:ascii="Arial" w:hAnsi="Arial" w:cs="Arial"/>
          <w:sz w:val="24"/>
          <w:szCs w:val="24"/>
        </w:rPr>
        <w:t xml:space="preserve"> terminat</w:t>
      </w:r>
      <w:r>
        <w:rPr>
          <w:rFonts w:ascii="Arial" w:hAnsi="Arial" w:cs="Arial"/>
          <w:sz w:val="24"/>
          <w:szCs w:val="24"/>
        </w:rPr>
        <w:t>ed under this pathway</w:t>
      </w:r>
      <w:r w:rsidRPr="00264F34">
        <w:rPr>
          <w:rFonts w:ascii="Arial" w:hAnsi="Arial" w:cs="Arial"/>
          <w:sz w:val="24"/>
          <w:szCs w:val="24"/>
        </w:rPr>
        <w:t xml:space="preserve"> when the nature of the conduct that has occurred warrants such an outcome, thereby limiting any potential impacts on the right to </w:t>
      </w:r>
      <w:r w:rsidR="00A81B2D">
        <w:rPr>
          <w:rFonts w:ascii="Arial" w:hAnsi="Arial" w:cs="Arial"/>
          <w:sz w:val="24"/>
          <w:szCs w:val="24"/>
        </w:rPr>
        <w:t>equality before the law</w:t>
      </w:r>
      <w:r w:rsidRPr="00264F34">
        <w:rPr>
          <w:rFonts w:ascii="Arial" w:hAnsi="Arial" w:cs="Arial"/>
          <w:sz w:val="24"/>
          <w:szCs w:val="24"/>
        </w:rPr>
        <w:t xml:space="preserve">. </w:t>
      </w:r>
    </w:p>
    <w:p w14:paraId="7F4A90B8" w14:textId="0016363A" w:rsidR="00687ABF" w:rsidRPr="00264F34" w:rsidRDefault="00687ABF" w:rsidP="00DA6700">
      <w:pPr>
        <w:pStyle w:val="normalweb0"/>
        <w:shd w:val="clear" w:color="auto" w:fill="FFFFFF"/>
        <w:spacing w:before="240" w:beforeAutospacing="0" w:after="120" w:afterAutospacing="0" w:line="276" w:lineRule="auto"/>
        <w:rPr>
          <w:rFonts w:ascii="Arial" w:hAnsi="Arial" w:cs="Arial"/>
          <w:b/>
          <w:bCs/>
          <w:color w:val="000000"/>
        </w:rPr>
      </w:pPr>
      <w:r w:rsidRPr="00264F34">
        <w:rPr>
          <w:rFonts w:ascii="Arial" w:hAnsi="Arial" w:cs="Arial"/>
          <w:b/>
          <w:bCs/>
          <w:color w:val="000000"/>
        </w:rPr>
        <w:t>Right to be presumed innocent until proven guilty</w:t>
      </w:r>
    </w:p>
    <w:p w14:paraId="6A9ECF0A" w14:textId="77777777" w:rsidR="00687ABF" w:rsidRPr="00264F34" w:rsidRDefault="00687ABF" w:rsidP="00DA6700">
      <w:pPr>
        <w:rPr>
          <w:rFonts w:ascii="Arial" w:hAnsi="Arial" w:cs="Arial"/>
          <w:iCs/>
          <w:sz w:val="24"/>
          <w:szCs w:val="24"/>
        </w:rPr>
      </w:pPr>
      <w:r w:rsidRPr="00264F34">
        <w:rPr>
          <w:rFonts w:ascii="Arial" w:hAnsi="Arial" w:cs="Arial"/>
          <w:iCs/>
          <w:sz w:val="24"/>
          <w:szCs w:val="24"/>
        </w:rPr>
        <w:t>This Bill introduces new strict liability offences which will support the effective operation of the minimum housing standards and protect renters from solicited rent bidding. Specifically, the Bill will introduce the following strict liability offences:</w:t>
      </w:r>
    </w:p>
    <w:p w14:paraId="6979978F" w14:textId="1107E404" w:rsidR="00687ABF" w:rsidRDefault="001155C5" w:rsidP="00DA6700">
      <w:pPr>
        <w:pStyle w:val="ListParagraph"/>
        <w:numPr>
          <w:ilvl w:val="0"/>
          <w:numId w:val="10"/>
        </w:numPr>
        <w:spacing w:before="120" w:after="120" w:line="276" w:lineRule="auto"/>
        <w:rPr>
          <w:rFonts w:ascii="Arial" w:hAnsi="Arial" w:cs="Arial"/>
          <w:iCs/>
          <w:sz w:val="24"/>
          <w:szCs w:val="24"/>
        </w:rPr>
      </w:pPr>
      <w:r>
        <w:rPr>
          <w:rFonts w:ascii="Arial" w:hAnsi="Arial" w:cs="Arial"/>
          <w:iCs/>
          <w:sz w:val="24"/>
          <w:szCs w:val="24"/>
        </w:rPr>
        <w:t>f</w:t>
      </w:r>
      <w:r w:rsidR="00687ABF" w:rsidRPr="00264F34">
        <w:rPr>
          <w:rFonts w:ascii="Arial" w:hAnsi="Arial" w:cs="Arial"/>
          <w:iCs/>
          <w:sz w:val="24"/>
          <w:szCs w:val="24"/>
        </w:rPr>
        <w:t>ailure to disclose if a rental property meets the minimum housing standard when advertised for rent - Section 11AB (1)</w:t>
      </w:r>
      <w:r>
        <w:rPr>
          <w:rFonts w:ascii="Arial" w:hAnsi="Arial" w:cs="Arial"/>
          <w:iCs/>
          <w:sz w:val="24"/>
          <w:szCs w:val="24"/>
        </w:rPr>
        <w:t>;</w:t>
      </w:r>
    </w:p>
    <w:p w14:paraId="7A464964" w14:textId="77777777" w:rsidR="00267B88" w:rsidRDefault="001155C5" w:rsidP="00DA6700">
      <w:pPr>
        <w:pStyle w:val="ListParagraph"/>
        <w:numPr>
          <w:ilvl w:val="0"/>
          <w:numId w:val="10"/>
        </w:numPr>
        <w:spacing w:before="120" w:after="120" w:line="276" w:lineRule="auto"/>
        <w:rPr>
          <w:rFonts w:ascii="Arial" w:hAnsi="Arial" w:cs="Arial"/>
          <w:iCs/>
          <w:sz w:val="24"/>
          <w:szCs w:val="24"/>
        </w:rPr>
      </w:pPr>
      <w:r>
        <w:rPr>
          <w:rFonts w:ascii="Arial" w:hAnsi="Arial" w:cs="Arial"/>
          <w:iCs/>
          <w:sz w:val="24"/>
          <w:szCs w:val="24"/>
        </w:rPr>
        <w:t>p</w:t>
      </w:r>
      <w:r w:rsidR="00687ABF" w:rsidRPr="00264F34">
        <w:rPr>
          <w:rFonts w:ascii="Arial" w:hAnsi="Arial" w:cs="Arial"/>
          <w:iCs/>
          <w:sz w:val="24"/>
          <w:szCs w:val="24"/>
        </w:rPr>
        <w:t>ublishing an advertisement for a rental property that makes a false or misleading statement about its compliance with a minimum housing standard – Section 11AB (3)</w:t>
      </w:r>
      <w:r>
        <w:rPr>
          <w:rFonts w:ascii="Arial" w:hAnsi="Arial" w:cs="Arial"/>
          <w:iCs/>
          <w:sz w:val="24"/>
          <w:szCs w:val="24"/>
        </w:rPr>
        <w:t xml:space="preserve">; </w:t>
      </w:r>
    </w:p>
    <w:p w14:paraId="78B83C7C" w14:textId="3DE96856" w:rsidR="00687ABF" w:rsidRPr="00264F34" w:rsidRDefault="006745AE" w:rsidP="00DA6700">
      <w:pPr>
        <w:pStyle w:val="ListParagraph"/>
        <w:numPr>
          <w:ilvl w:val="0"/>
          <w:numId w:val="10"/>
        </w:numPr>
        <w:spacing w:before="120" w:after="120" w:line="276" w:lineRule="auto"/>
        <w:rPr>
          <w:rFonts w:ascii="Arial" w:hAnsi="Arial" w:cs="Arial"/>
          <w:iCs/>
          <w:sz w:val="24"/>
          <w:szCs w:val="24"/>
        </w:rPr>
      </w:pPr>
      <w:r>
        <w:rPr>
          <w:rFonts w:ascii="Arial" w:hAnsi="Arial" w:cs="Arial"/>
          <w:iCs/>
          <w:sz w:val="24"/>
          <w:szCs w:val="24"/>
        </w:rPr>
        <w:t xml:space="preserve">failure to advertise a rental rate for a premises – section </w:t>
      </w:r>
      <w:r w:rsidRPr="00264F34">
        <w:rPr>
          <w:rFonts w:ascii="Arial" w:hAnsi="Arial" w:cs="Arial"/>
          <w:iCs/>
          <w:sz w:val="24"/>
          <w:szCs w:val="24"/>
        </w:rPr>
        <w:t>11A</w:t>
      </w:r>
      <w:r>
        <w:rPr>
          <w:rFonts w:ascii="Arial" w:hAnsi="Arial" w:cs="Arial"/>
          <w:iCs/>
          <w:sz w:val="24"/>
          <w:szCs w:val="24"/>
        </w:rPr>
        <w:t xml:space="preserve">C (1); </w:t>
      </w:r>
      <w:r w:rsidR="001155C5">
        <w:rPr>
          <w:rFonts w:ascii="Arial" w:hAnsi="Arial" w:cs="Arial"/>
          <w:iCs/>
          <w:sz w:val="24"/>
          <w:szCs w:val="24"/>
        </w:rPr>
        <w:t>and</w:t>
      </w:r>
    </w:p>
    <w:p w14:paraId="4EF564B2" w14:textId="4E57FF33" w:rsidR="00687ABF" w:rsidRPr="00264F34" w:rsidRDefault="001155C5" w:rsidP="00DA6700">
      <w:pPr>
        <w:pStyle w:val="ListParagraph"/>
        <w:numPr>
          <w:ilvl w:val="0"/>
          <w:numId w:val="10"/>
        </w:numPr>
        <w:spacing w:before="120" w:after="200" w:line="276" w:lineRule="auto"/>
        <w:ind w:left="714" w:hanging="357"/>
        <w:rPr>
          <w:rFonts w:ascii="Arial" w:hAnsi="Arial" w:cs="Arial"/>
          <w:iCs/>
          <w:sz w:val="24"/>
          <w:szCs w:val="24"/>
        </w:rPr>
      </w:pPr>
      <w:r>
        <w:rPr>
          <w:rFonts w:ascii="Arial" w:hAnsi="Arial" w:cs="Arial"/>
          <w:iCs/>
          <w:sz w:val="24"/>
          <w:szCs w:val="24"/>
        </w:rPr>
        <w:t>f</w:t>
      </w:r>
      <w:r w:rsidR="00687ABF" w:rsidRPr="00264F34">
        <w:rPr>
          <w:rFonts w:ascii="Arial" w:hAnsi="Arial" w:cs="Arial"/>
          <w:iCs/>
          <w:sz w:val="24"/>
          <w:szCs w:val="24"/>
        </w:rPr>
        <w:t xml:space="preserve">or a lessor or their agent to solicit a rent bid from a tenant – Section </w:t>
      </w:r>
      <w:r w:rsidR="006745AE" w:rsidRPr="00264F34">
        <w:rPr>
          <w:rFonts w:ascii="Arial" w:hAnsi="Arial" w:cs="Arial"/>
          <w:iCs/>
          <w:sz w:val="24"/>
          <w:szCs w:val="24"/>
        </w:rPr>
        <w:t>11A</w:t>
      </w:r>
      <w:r w:rsidR="006745AE">
        <w:rPr>
          <w:rFonts w:ascii="Arial" w:hAnsi="Arial" w:cs="Arial"/>
          <w:iCs/>
          <w:sz w:val="24"/>
          <w:szCs w:val="24"/>
        </w:rPr>
        <w:t>D (1).</w:t>
      </w:r>
    </w:p>
    <w:p w14:paraId="3724E00C" w14:textId="77777777" w:rsidR="00687ABF" w:rsidRPr="00264F34" w:rsidRDefault="00687ABF" w:rsidP="00DA6700">
      <w:pPr>
        <w:rPr>
          <w:rFonts w:ascii="Arial" w:hAnsi="Arial" w:cs="Arial"/>
          <w:iCs/>
          <w:sz w:val="24"/>
          <w:szCs w:val="24"/>
        </w:rPr>
      </w:pPr>
      <w:r w:rsidRPr="00264F34">
        <w:rPr>
          <w:rFonts w:ascii="Arial" w:hAnsi="Arial" w:cs="Arial"/>
          <w:iCs/>
          <w:sz w:val="24"/>
          <w:szCs w:val="24"/>
        </w:rPr>
        <w:t>These new strict liability offences are designed to deter non-compliance with the minimum housing standards and strengthen consumer protections for renters by ensuring renters are not asked to engage in rent bidding. These offences address consumer risks for tenants arising out of the power and information asymmetry that favours lessors and their agents in the ACT rental market.</w:t>
      </w:r>
    </w:p>
    <w:p w14:paraId="1CB40EF8" w14:textId="77777777" w:rsidR="00687ABF" w:rsidRPr="00264F34" w:rsidRDefault="00687ABF" w:rsidP="00D4599F">
      <w:pPr>
        <w:spacing w:after="0"/>
        <w:ind w:firstLine="720"/>
        <w:rPr>
          <w:rFonts w:ascii="Arial" w:hAnsi="Arial" w:cs="Arial"/>
          <w:iCs/>
          <w:sz w:val="24"/>
          <w:szCs w:val="24"/>
        </w:rPr>
      </w:pPr>
      <w:r w:rsidRPr="00264F34">
        <w:rPr>
          <w:rFonts w:ascii="Arial" w:hAnsi="Arial" w:cs="Arial"/>
          <w:i/>
          <w:sz w:val="24"/>
          <w:szCs w:val="24"/>
          <w:u w:val="single"/>
          <w:lang w:eastAsia="en-AU"/>
        </w:rPr>
        <w:lastRenderedPageBreak/>
        <w:t>Nature of the right and the limitation (ss 28 (2) (a) and (c))</w:t>
      </w:r>
    </w:p>
    <w:p w14:paraId="42AEF511" w14:textId="77777777" w:rsidR="00687ABF" w:rsidRPr="00264F34" w:rsidRDefault="00687ABF" w:rsidP="00DA6700">
      <w:pPr>
        <w:pStyle w:val="ListParagraph"/>
        <w:ind w:left="360"/>
        <w:rPr>
          <w:rFonts w:ascii="Arial" w:hAnsi="Arial" w:cs="Arial"/>
          <w:i/>
          <w:color w:val="FF0000"/>
          <w:sz w:val="24"/>
          <w:szCs w:val="24"/>
        </w:rPr>
      </w:pPr>
    </w:p>
    <w:p w14:paraId="4CFC7720" w14:textId="3D227D7E" w:rsidR="00687ABF" w:rsidRPr="00264F34" w:rsidRDefault="00687ABF" w:rsidP="00DA6700">
      <w:pPr>
        <w:rPr>
          <w:rFonts w:ascii="Arial" w:hAnsi="Arial" w:cs="Arial"/>
          <w:iCs/>
          <w:sz w:val="24"/>
          <w:szCs w:val="24"/>
        </w:rPr>
      </w:pPr>
      <w:r w:rsidRPr="00264F34">
        <w:rPr>
          <w:rFonts w:ascii="Arial" w:hAnsi="Arial" w:cs="Arial"/>
          <w:iCs/>
          <w:sz w:val="24"/>
          <w:szCs w:val="24"/>
        </w:rPr>
        <w:t>Section 22 (1) of the HRA provides that everyone charged with a criminal offence has the right to be presumed innocent until proven guilty according to law. The Bill introduces new strict liability offences to support the effective operation of the new minimum housing standard</w:t>
      </w:r>
      <w:bookmarkStart w:id="1" w:name="_Hlk104446733"/>
      <w:r w:rsidRPr="00264F34">
        <w:rPr>
          <w:rFonts w:ascii="Arial" w:hAnsi="Arial" w:cs="Arial"/>
          <w:iCs/>
          <w:sz w:val="24"/>
          <w:szCs w:val="24"/>
        </w:rPr>
        <w:t xml:space="preserve">s and to prevent lessors </w:t>
      </w:r>
      <w:r w:rsidR="006745AE">
        <w:rPr>
          <w:rFonts w:ascii="Arial" w:hAnsi="Arial" w:cs="Arial"/>
          <w:iCs/>
          <w:sz w:val="24"/>
          <w:szCs w:val="24"/>
        </w:rPr>
        <w:t xml:space="preserve">from advertising a property without a fixed rental rate </w:t>
      </w:r>
      <w:r w:rsidRPr="00264F34">
        <w:rPr>
          <w:rFonts w:ascii="Arial" w:hAnsi="Arial" w:cs="Arial"/>
          <w:iCs/>
          <w:sz w:val="24"/>
          <w:szCs w:val="24"/>
        </w:rPr>
        <w:t xml:space="preserve">and </w:t>
      </w:r>
      <w:r w:rsidR="006745AE">
        <w:rPr>
          <w:rFonts w:ascii="Arial" w:hAnsi="Arial" w:cs="Arial"/>
          <w:iCs/>
          <w:sz w:val="24"/>
          <w:szCs w:val="24"/>
        </w:rPr>
        <w:t xml:space="preserve">to prevent lessors or </w:t>
      </w:r>
      <w:r w:rsidRPr="00264F34">
        <w:rPr>
          <w:rFonts w:ascii="Arial" w:hAnsi="Arial" w:cs="Arial"/>
          <w:iCs/>
          <w:sz w:val="24"/>
          <w:szCs w:val="24"/>
        </w:rPr>
        <w:t>their agents from sol</w:t>
      </w:r>
      <w:bookmarkEnd w:id="1"/>
      <w:r w:rsidRPr="00264F34">
        <w:rPr>
          <w:rFonts w:ascii="Arial" w:hAnsi="Arial" w:cs="Arial"/>
          <w:iCs/>
          <w:sz w:val="24"/>
          <w:szCs w:val="24"/>
        </w:rPr>
        <w:t>iciting rent bids from tenants. Strict liability offences engage and may limit the right to be presumed innocent until proven guilty as they impose guilt without the need to prove the person’s fault.</w:t>
      </w:r>
    </w:p>
    <w:p w14:paraId="5B6BE54C" w14:textId="3D6B0447" w:rsidR="00687ABF" w:rsidRDefault="00687ABF" w:rsidP="00976B1D">
      <w:pPr>
        <w:pStyle w:val="ListParagraph"/>
        <w:ind w:left="360" w:firstLine="360"/>
        <w:rPr>
          <w:rFonts w:ascii="Arial" w:hAnsi="Arial" w:cs="Arial"/>
          <w:i/>
          <w:sz w:val="24"/>
          <w:szCs w:val="24"/>
          <w:u w:val="single"/>
        </w:rPr>
      </w:pPr>
      <w:r w:rsidRPr="00264F34">
        <w:rPr>
          <w:rFonts w:ascii="Arial" w:hAnsi="Arial" w:cs="Arial"/>
          <w:i/>
          <w:sz w:val="24"/>
          <w:szCs w:val="24"/>
          <w:u w:val="single"/>
        </w:rPr>
        <w:t>Legitimate purpose (s 28 (2) (b))</w:t>
      </w:r>
    </w:p>
    <w:p w14:paraId="4D8FFD18" w14:textId="77777777" w:rsidR="00976B1D" w:rsidRPr="00976B1D" w:rsidRDefault="00976B1D" w:rsidP="00976B1D">
      <w:pPr>
        <w:pStyle w:val="ListParagraph"/>
        <w:ind w:left="360" w:firstLine="360"/>
        <w:rPr>
          <w:rFonts w:ascii="Arial" w:hAnsi="Arial" w:cs="Arial"/>
          <w:i/>
          <w:sz w:val="24"/>
          <w:szCs w:val="24"/>
          <w:u w:val="single"/>
        </w:rPr>
      </w:pPr>
    </w:p>
    <w:p w14:paraId="57ADB8D8" w14:textId="0F098E60" w:rsidR="00687ABF" w:rsidRPr="00976B1D" w:rsidRDefault="00687ABF" w:rsidP="00976B1D">
      <w:pPr>
        <w:rPr>
          <w:rFonts w:ascii="Arial" w:hAnsi="Arial" w:cs="Arial"/>
          <w:iCs/>
          <w:sz w:val="24"/>
          <w:szCs w:val="24"/>
        </w:rPr>
      </w:pPr>
      <w:r w:rsidRPr="00264F34">
        <w:rPr>
          <w:rFonts w:ascii="Arial" w:hAnsi="Arial" w:cs="Arial"/>
          <w:iCs/>
          <w:sz w:val="24"/>
          <w:szCs w:val="24"/>
        </w:rPr>
        <w:t xml:space="preserve">The intention of the strict liability offences introduced by this Bill is to deter non-compliance with minimum housing standards and strengthen consumer protection outcomes for tenants by deterring non-compliance with the prohibition on soliciting rent bids. These offences are regulatory in nature and making the offences strict liability offences aids in their enforcement. </w:t>
      </w:r>
    </w:p>
    <w:p w14:paraId="4BECFE62" w14:textId="77777777" w:rsidR="00993A60" w:rsidRDefault="00687ABF" w:rsidP="00976B1D">
      <w:pPr>
        <w:rPr>
          <w:rFonts w:ascii="Arial" w:hAnsi="Arial" w:cs="Arial"/>
          <w:iCs/>
          <w:sz w:val="24"/>
          <w:szCs w:val="24"/>
        </w:rPr>
      </w:pPr>
      <w:r w:rsidRPr="00264F34">
        <w:rPr>
          <w:rFonts w:ascii="Arial" w:hAnsi="Arial" w:cs="Arial"/>
          <w:iCs/>
          <w:sz w:val="24"/>
          <w:szCs w:val="24"/>
        </w:rPr>
        <w:t xml:space="preserve">The purpose of the strict liability offences to be introduced for non-disclosure and false or misleading disclosure of compliance with the minimum housing standards is to ensure that tenants are provided with correct and transparent information about properties they are seeking to rent. </w:t>
      </w:r>
    </w:p>
    <w:p w14:paraId="121BEC7A" w14:textId="2C50D1CB" w:rsidR="00687ABF" w:rsidRPr="00976B1D" w:rsidRDefault="00993A60" w:rsidP="00976B1D">
      <w:pPr>
        <w:rPr>
          <w:rFonts w:ascii="Arial" w:hAnsi="Arial" w:cs="Arial"/>
          <w:iCs/>
          <w:sz w:val="24"/>
          <w:szCs w:val="24"/>
        </w:rPr>
      </w:pPr>
      <w:r>
        <w:rPr>
          <w:rFonts w:ascii="Arial" w:hAnsi="Arial" w:cs="Arial"/>
          <w:iCs/>
          <w:sz w:val="24"/>
          <w:szCs w:val="24"/>
        </w:rPr>
        <w:t>I</w:t>
      </w:r>
      <w:r w:rsidR="00687ABF" w:rsidRPr="00264F34">
        <w:rPr>
          <w:rFonts w:ascii="Arial" w:hAnsi="Arial" w:cs="Arial"/>
          <w:iCs/>
          <w:sz w:val="24"/>
          <w:szCs w:val="24"/>
        </w:rPr>
        <w:t xml:space="preserve">nformation asymmetry between tenants and lessors or agents when entering into a lease for a rental property </w:t>
      </w:r>
      <w:r>
        <w:rPr>
          <w:rFonts w:ascii="Arial" w:hAnsi="Arial" w:cs="Arial"/>
          <w:iCs/>
          <w:sz w:val="24"/>
          <w:szCs w:val="24"/>
        </w:rPr>
        <w:t>can</w:t>
      </w:r>
      <w:r w:rsidRPr="00264F34">
        <w:rPr>
          <w:rFonts w:ascii="Arial" w:hAnsi="Arial" w:cs="Arial"/>
          <w:iCs/>
          <w:sz w:val="24"/>
          <w:szCs w:val="24"/>
        </w:rPr>
        <w:t xml:space="preserve"> </w:t>
      </w:r>
      <w:r w:rsidR="00687ABF" w:rsidRPr="00264F34">
        <w:rPr>
          <w:rFonts w:ascii="Arial" w:hAnsi="Arial" w:cs="Arial"/>
          <w:iCs/>
          <w:sz w:val="24"/>
          <w:szCs w:val="24"/>
        </w:rPr>
        <w:t>disadvantage tenants, who must rely on the information provided to them by lessors or agents when deciding to rent a property. Knowing whether a property complies with minimum standards may be an important factor for a tenant to take into account when deciding whether to apply to rent a particular rental property. To address this power and information imbalance, disclosure of compliance with the minimum housing standards by lessors and agents has been mandated. To encourage compliance with this requirement non-compliance by lessors or their agents has been penalised.</w:t>
      </w:r>
    </w:p>
    <w:p w14:paraId="787217CB" w14:textId="2A0161CF" w:rsidR="00687ABF" w:rsidRPr="00976B1D" w:rsidRDefault="00687ABF" w:rsidP="00976B1D">
      <w:pPr>
        <w:rPr>
          <w:rFonts w:ascii="Arial" w:hAnsi="Arial" w:cs="Arial"/>
          <w:iCs/>
          <w:sz w:val="24"/>
          <w:szCs w:val="24"/>
        </w:rPr>
      </w:pPr>
      <w:r w:rsidRPr="00264F34">
        <w:rPr>
          <w:rFonts w:ascii="Arial" w:hAnsi="Arial" w:cs="Arial"/>
          <w:iCs/>
          <w:sz w:val="24"/>
          <w:szCs w:val="24"/>
        </w:rPr>
        <w:t xml:space="preserve">The purpose of introducing a strict liability offence for lessors or agents </w:t>
      </w:r>
      <w:r w:rsidR="006745AE">
        <w:rPr>
          <w:rFonts w:ascii="Arial" w:hAnsi="Arial" w:cs="Arial"/>
          <w:iCs/>
          <w:sz w:val="24"/>
          <w:szCs w:val="24"/>
        </w:rPr>
        <w:t xml:space="preserve">advertising a property without a fixed rental rate or for </w:t>
      </w:r>
      <w:r w:rsidRPr="00264F34">
        <w:rPr>
          <w:rFonts w:ascii="Arial" w:hAnsi="Arial" w:cs="Arial"/>
          <w:iCs/>
          <w:sz w:val="24"/>
          <w:szCs w:val="24"/>
        </w:rPr>
        <w:t>solicit</w:t>
      </w:r>
      <w:r w:rsidR="006745AE">
        <w:rPr>
          <w:rFonts w:ascii="Arial" w:hAnsi="Arial" w:cs="Arial"/>
          <w:iCs/>
          <w:sz w:val="24"/>
          <w:szCs w:val="24"/>
        </w:rPr>
        <w:t>ing</w:t>
      </w:r>
      <w:r w:rsidRPr="00264F34">
        <w:rPr>
          <w:rFonts w:ascii="Arial" w:hAnsi="Arial" w:cs="Arial"/>
          <w:iCs/>
          <w:sz w:val="24"/>
          <w:szCs w:val="24"/>
        </w:rPr>
        <w:t xml:space="preserve"> a rent bid</w:t>
      </w:r>
      <w:r w:rsidR="006745AE">
        <w:rPr>
          <w:rFonts w:ascii="Arial" w:hAnsi="Arial" w:cs="Arial"/>
          <w:iCs/>
          <w:sz w:val="24"/>
          <w:szCs w:val="24"/>
        </w:rPr>
        <w:t xml:space="preserve"> </w:t>
      </w:r>
      <w:r w:rsidRPr="00264F34">
        <w:rPr>
          <w:rFonts w:ascii="Arial" w:hAnsi="Arial" w:cs="Arial"/>
          <w:iCs/>
          <w:sz w:val="24"/>
          <w:szCs w:val="24"/>
        </w:rPr>
        <w:t xml:space="preserve">is to protect tenants from this practice, which undermines transparency in the market and may disadvantage low-income tenants. Housing is a fundamental human need, </w:t>
      </w:r>
      <w:r w:rsidR="00993A60">
        <w:rPr>
          <w:rFonts w:ascii="Arial" w:hAnsi="Arial" w:cs="Arial"/>
          <w:iCs/>
          <w:sz w:val="24"/>
          <w:szCs w:val="24"/>
        </w:rPr>
        <w:t>and</w:t>
      </w:r>
      <w:r w:rsidRPr="00264F34">
        <w:rPr>
          <w:rFonts w:ascii="Arial" w:hAnsi="Arial" w:cs="Arial"/>
          <w:iCs/>
          <w:sz w:val="24"/>
          <w:szCs w:val="24"/>
        </w:rPr>
        <w:t xml:space="preserve"> it is important to implement measures that facilitate transparency in the market and mitigate undue upward pressure on rents to ensure low-income tenants are not unfairly priced out of the rental market. </w:t>
      </w:r>
    </w:p>
    <w:p w14:paraId="4C07CE24" w14:textId="77777777" w:rsidR="00687ABF" w:rsidRPr="00264F34" w:rsidRDefault="00687ABF" w:rsidP="00DA6700">
      <w:pPr>
        <w:rPr>
          <w:rFonts w:ascii="Arial" w:hAnsi="Arial" w:cs="Arial"/>
          <w:iCs/>
          <w:sz w:val="24"/>
          <w:szCs w:val="24"/>
        </w:rPr>
      </w:pPr>
      <w:r w:rsidRPr="00264F34">
        <w:rPr>
          <w:rFonts w:ascii="Arial" w:hAnsi="Arial" w:cs="Arial"/>
          <w:iCs/>
          <w:sz w:val="24"/>
          <w:szCs w:val="24"/>
        </w:rPr>
        <w:t xml:space="preserve">The purpose of the specific penalties attributable to these offences is to provide an appropriate disincentive to individuals from undertaking the actions subject to the offence provisions. </w:t>
      </w:r>
    </w:p>
    <w:p w14:paraId="6EEF73B3" w14:textId="63C618B2" w:rsidR="00687ABF" w:rsidRPr="00976B1D" w:rsidRDefault="00687ABF" w:rsidP="00976B1D">
      <w:pPr>
        <w:ind w:firstLine="720"/>
        <w:rPr>
          <w:rFonts w:ascii="Arial" w:hAnsi="Arial" w:cs="Arial"/>
          <w:b/>
          <w:bCs/>
          <w:i/>
          <w:sz w:val="24"/>
          <w:szCs w:val="24"/>
        </w:rPr>
      </w:pPr>
      <w:r w:rsidRPr="00264F34">
        <w:rPr>
          <w:rFonts w:ascii="Arial" w:hAnsi="Arial" w:cs="Arial"/>
          <w:i/>
          <w:sz w:val="24"/>
          <w:szCs w:val="24"/>
          <w:u w:val="single"/>
        </w:rPr>
        <w:t>Rational connection between the limitation and the purpose (s 28 (2) (d))</w:t>
      </w:r>
    </w:p>
    <w:p w14:paraId="0FCD865C" w14:textId="1079C1F0" w:rsidR="00687ABF" w:rsidRPr="00976B1D" w:rsidRDefault="00687ABF" w:rsidP="00976B1D">
      <w:pPr>
        <w:rPr>
          <w:rFonts w:ascii="Arial" w:hAnsi="Arial" w:cs="Arial"/>
          <w:iCs/>
          <w:sz w:val="24"/>
          <w:szCs w:val="24"/>
        </w:rPr>
      </w:pPr>
      <w:r w:rsidRPr="00264F34">
        <w:rPr>
          <w:rFonts w:ascii="Arial" w:hAnsi="Arial" w:cs="Arial"/>
          <w:iCs/>
          <w:sz w:val="24"/>
          <w:szCs w:val="24"/>
        </w:rPr>
        <w:lastRenderedPageBreak/>
        <w:t>Making non-compliance with these legislative requirements a strict liability criminal offence demonstrates the seriousness of the conduct and is an effective means of deterring non-compliance. It is intended that this will provide enhanced consumer protection outcomes for tenants by facilitating transparency in the rental market and preventing predatory practices.</w:t>
      </w:r>
    </w:p>
    <w:p w14:paraId="5AA837C9" w14:textId="77777777" w:rsidR="00687ABF" w:rsidRPr="00264F34" w:rsidRDefault="00687ABF" w:rsidP="00DA6700">
      <w:pPr>
        <w:rPr>
          <w:rFonts w:ascii="Arial" w:hAnsi="Arial" w:cs="Arial"/>
          <w:iCs/>
          <w:sz w:val="24"/>
          <w:szCs w:val="24"/>
        </w:rPr>
      </w:pPr>
      <w:r w:rsidRPr="00264F34">
        <w:rPr>
          <w:rFonts w:ascii="Arial" w:hAnsi="Arial" w:cs="Arial"/>
          <w:iCs/>
          <w:sz w:val="24"/>
          <w:szCs w:val="24"/>
        </w:rPr>
        <w:t>The limitation on the right to the presumption of innocence imposed by the strict liability offences is rationally connected to the legitimate purpose as it provides a measure to enhance consumer protection outcomes for the community by ensuring lessors and their agents must disclose if they comply with the minimum housing standards and preventing solicited rent bidding.</w:t>
      </w:r>
    </w:p>
    <w:p w14:paraId="0270F4FD" w14:textId="77777777" w:rsidR="00687ABF" w:rsidRPr="00264F34" w:rsidRDefault="00687ABF" w:rsidP="00DA6700">
      <w:pPr>
        <w:pStyle w:val="ListParagraph"/>
        <w:rPr>
          <w:rFonts w:ascii="Arial" w:hAnsi="Arial" w:cs="Arial"/>
          <w:i/>
          <w:color w:val="FF0000"/>
          <w:sz w:val="24"/>
          <w:szCs w:val="24"/>
        </w:rPr>
      </w:pPr>
    </w:p>
    <w:p w14:paraId="20B2A8F2" w14:textId="4146EB9C" w:rsidR="00687ABF" w:rsidRPr="00976B1D" w:rsidRDefault="00687ABF" w:rsidP="00976B1D">
      <w:pPr>
        <w:ind w:firstLine="720"/>
        <w:rPr>
          <w:rFonts w:ascii="Arial" w:hAnsi="Arial" w:cs="Arial"/>
          <w:i/>
          <w:sz w:val="24"/>
          <w:szCs w:val="24"/>
          <w:u w:val="single"/>
        </w:rPr>
      </w:pPr>
      <w:r w:rsidRPr="00264F34">
        <w:rPr>
          <w:rFonts w:ascii="Arial" w:hAnsi="Arial" w:cs="Arial"/>
          <w:i/>
          <w:sz w:val="24"/>
          <w:szCs w:val="24"/>
          <w:u w:val="single"/>
        </w:rPr>
        <w:t>Proportionality (s 28 (2) (e))</w:t>
      </w:r>
    </w:p>
    <w:p w14:paraId="2AFA2FB5" w14:textId="7910D5B9" w:rsidR="00687ABF" w:rsidRPr="00976B1D" w:rsidRDefault="00687ABF" w:rsidP="00976B1D">
      <w:pPr>
        <w:rPr>
          <w:rFonts w:ascii="Arial" w:hAnsi="Arial" w:cs="Arial"/>
          <w:iCs/>
          <w:sz w:val="24"/>
          <w:szCs w:val="24"/>
        </w:rPr>
      </w:pPr>
      <w:r w:rsidRPr="00264F34">
        <w:rPr>
          <w:rFonts w:ascii="Arial" w:hAnsi="Arial" w:cs="Arial"/>
          <w:iCs/>
          <w:sz w:val="24"/>
          <w:szCs w:val="24"/>
        </w:rPr>
        <w:t>The strict liability offences are necessary to deter lessors and agents from soliciting rent bidding and from providing false or misleading information about their compliance with the minimum housing standards or failing to disclose their compliance altogether. It is appropriate for these provisions to be strict liability offences as the RTA places obligations on lessors and agents with respect to renting properties to tenants, and although it does not provide a licensing scheme, it does regulate their behaviour when renting to tenants. Strict liability offences are not uncommon in a regulatory framework as strict liability aids in enforcement. Indeed</w:t>
      </w:r>
      <w:r w:rsidR="001155C5">
        <w:rPr>
          <w:rFonts w:ascii="Arial" w:hAnsi="Arial" w:cs="Arial"/>
          <w:iCs/>
          <w:sz w:val="24"/>
          <w:szCs w:val="24"/>
        </w:rPr>
        <w:t>,</w:t>
      </w:r>
      <w:r w:rsidRPr="00264F34">
        <w:rPr>
          <w:rFonts w:ascii="Arial" w:hAnsi="Arial" w:cs="Arial"/>
          <w:iCs/>
          <w:sz w:val="24"/>
          <w:szCs w:val="24"/>
        </w:rPr>
        <w:t xml:space="preserve"> the RTA already contains a number of strict liability offences</w:t>
      </w:r>
      <w:r w:rsidR="001155C5">
        <w:rPr>
          <w:rFonts w:ascii="Arial" w:hAnsi="Arial" w:cs="Arial"/>
          <w:iCs/>
          <w:sz w:val="24"/>
          <w:szCs w:val="24"/>
        </w:rPr>
        <w:t xml:space="preserve"> of a similar nature</w:t>
      </w:r>
      <w:r w:rsidRPr="00264F34">
        <w:rPr>
          <w:rFonts w:ascii="Arial" w:hAnsi="Arial" w:cs="Arial"/>
          <w:iCs/>
          <w:sz w:val="24"/>
          <w:szCs w:val="24"/>
        </w:rPr>
        <w:t>.  However, to ensure</w:t>
      </w:r>
      <w:r w:rsidR="006745AE">
        <w:rPr>
          <w:rFonts w:ascii="Arial" w:hAnsi="Arial" w:cs="Arial"/>
          <w:iCs/>
          <w:sz w:val="24"/>
          <w:szCs w:val="24"/>
        </w:rPr>
        <w:t xml:space="preserve"> </w:t>
      </w:r>
      <w:r w:rsidRPr="00264F34">
        <w:rPr>
          <w:rFonts w:ascii="Arial" w:hAnsi="Arial" w:cs="Arial"/>
          <w:iCs/>
          <w:sz w:val="24"/>
          <w:szCs w:val="24"/>
        </w:rPr>
        <w:t>lessors and agents are aware of the new offences targeted communications will be prepared to notify them of the new offences.</w:t>
      </w:r>
    </w:p>
    <w:p w14:paraId="6B428615" w14:textId="4A084CEE" w:rsidR="00687ABF" w:rsidRPr="00976B1D" w:rsidRDefault="00687ABF" w:rsidP="00976B1D">
      <w:pPr>
        <w:rPr>
          <w:rFonts w:ascii="Arial" w:hAnsi="Arial" w:cs="Arial"/>
          <w:iCs/>
          <w:sz w:val="24"/>
          <w:szCs w:val="24"/>
        </w:rPr>
      </w:pPr>
      <w:r w:rsidRPr="00264F34">
        <w:rPr>
          <w:rFonts w:ascii="Arial" w:hAnsi="Arial" w:cs="Arial"/>
          <w:iCs/>
          <w:sz w:val="24"/>
          <w:szCs w:val="24"/>
        </w:rPr>
        <w:t>The strict liability offences introduced or amended by this Bill are framed with clear criteria as to whether the offence has occurred. This means individuals can reasonably be aware they have an obligation under the law</w:t>
      </w:r>
      <w:r w:rsidR="006745AE">
        <w:rPr>
          <w:rFonts w:ascii="Arial" w:hAnsi="Arial" w:cs="Arial"/>
          <w:iCs/>
          <w:sz w:val="24"/>
          <w:szCs w:val="24"/>
        </w:rPr>
        <w:t>,</w:t>
      </w:r>
      <w:r w:rsidRPr="00264F34">
        <w:rPr>
          <w:rFonts w:ascii="Arial" w:hAnsi="Arial" w:cs="Arial"/>
          <w:iCs/>
          <w:sz w:val="24"/>
          <w:szCs w:val="24"/>
        </w:rPr>
        <w:t xml:space="preserve"> and it will be clear what conduct constitutes an offence. </w:t>
      </w:r>
    </w:p>
    <w:p w14:paraId="1E7E7FEE" w14:textId="1C17B6CA" w:rsidR="00687ABF" w:rsidRPr="00976B1D" w:rsidRDefault="00687ABF" w:rsidP="00976B1D">
      <w:pPr>
        <w:rPr>
          <w:rFonts w:ascii="Arial" w:hAnsi="Arial" w:cs="Arial"/>
          <w:iCs/>
          <w:sz w:val="24"/>
          <w:szCs w:val="24"/>
        </w:rPr>
      </w:pPr>
      <w:r w:rsidRPr="00264F34">
        <w:rPr>
          <w:rFonts w:ascii="Arial" w:hAnsi="Arial" w:cs="Arial"/>
          <w:iCs/>
          <w:sz w:val="24"/>
          <w:szCs w:val="24"/>
        </w:rPr>
        <w:t xml:space="preserve">In addition, the strict liability offences for failing to disclose or </w:t>
      </w:r>
      <w:r w:rsidR="00267282">
        <w:rPr>
          <w:rFonts w:ascii="Arial" w:hAnsi="Arial" w:cs="Arial"/>
          <w:iCs/>
          <w:sz w:val="24"/>
          <w:szCs w:val="24"/>
        </w:rPr>
        <w:t xml:space="preserve">for </w:t>
      </w:r>
      <w:r w:rsidRPr="00264F34">
        <w:rPr>
          <w:rFonts w:ascii="Arial" w:hAnsi="Arial" w:cs="Arial"/>
          <w:iCs/>
          <w:sz w:val="24"/>
          <w:szCs w:val="24"/>
        </w:rPr>
        <w:t xml:space="preserve">providing false or misleading disclosure about compliance with the minimum housing standards have been framed to provide safeguards for individuals. Specifically, the </w:t>
      </w:r>
      <w:r w:rsidR="006745AE">
        <w:rPr>
          <w:rFonts w:ascii="Arial" w:hAnsi="Arial" w:cs="Arial"/>
          <w:iCs/>
          <w:sz w:val="24"/>
          <w:szCs w:val="24"/>
        </w:rPr>
        <w:t xml:space="preserve">minimum housing standards advertising </w:t>
      </w:r>
      <w:r w:rsidRPr="00264F34">
        <w:rPr>
          <w:rFonts w:ascii="Arial" w:hAnsi="Arial" w:cs="Arial"/>
          <w:iCs/>
          <w:sz w:val="24"/>
          <w:szCs w:val="24"/>
        </w:rPr>
        <w:t>offence provisions do not apply if the individual has a reasonable excuse. Further, the offence provision for providing false or misleading disclosure provides an additional safeguard for individuals, in that the provision does not apply if the disclosure statement is not false or misleading in a material particular. These safeguards minimise the limitation on human rights and ensure the offence provisions are proportionate and carefully targeted.</w:t>
      </w:r>
    </w:p>
    <w:p w14:paraId="43D298C0" w14:textId="284C46A3" w:rsidR="00687ABF" w:rsidRPr="00976B1D" w:rsidRDefault="00687ABF" w:rsidP="00976B1D">
      <w:pPr>
        <w:rPr>
          <w:rFonts w:ascii="Arial" w:hAnsi="Arial" w:cs="Arial"/>
          <w:iCs/>
          <w:sz w:val="24"/>
          <w:szCs w:val="24"/>
        </w:rPr>
      </w:pPr>
      <w:r w:rsidRPr="00264F34">
        <w:rPr>
          <w:rFonts w:ascii="Arial" w:hAnsi="Arial" w:cs="Arial"/>
          <w:iCs/>
          <w:sz w:val="24"/>
          <w:szCs w:val="24"/>
        </w:rPr>
        <w:t xml:space="preserve">The penalty amount for these offences have been designed to ensure they are proportionate to the seriousness of the conduct and align with the ACT Government Guide for Framing Offences. </w:t>
      </w:r>
    </w:p>
    <w:p w14:paraId="499B8B75" w14:textId="15E41BC3" w:rsidR="00687ABF" w:rsidRPr="00976B1D" w:rsidRDefault="00687ABF" w:rsidP="00976B1D">
      <w:pPr>
        <w:rPr>
          <w:rFonts w:ascii="Arial" w:hAnsi="Arial" w:cs="Arial"/>
          <w:iCs/>
          <w:sz w:val="24"/>
          <w:szCs w:val="24"/>
        </w:rPr>
      </w:pPr>
      <w:r w:rsidRPr="00264F34">
        <w:rPr>
          <w:rFonts w:ascii="Arial" w:hAnsi="Arial" w:cs="Arial"/>
          <w:iCs/>
          <w:sz w:val="24"/>
          <w:szCs w:val="24"/>
        </w:rPr>
        <w:lastRenderedPageBreak/>
        <w:t xml:space="preserve">The strict liability offences for failing to disclose or providing false or misleading disclosure about compliance with the minimum housing standards </w:t>
      </w:r>
      <w:r w:rsidR="006745AE">
        <w:rPr>
          <w:rFonts w:ascii="Arial" w:hAnsi="Arial" w:cs="Arial"/>
          <w:iCs/>
          <w:sz w:val="24"/>
          <w:szCs w:val="24"/>
        </w:rPr>
        <w:t xml:space="preserve">and the offence of advertising a property without a rental rate </w:t>
      </w:r>
      <w:r w:rsidRPr="00264F34">
        <w:rPr>
          <w:rFonts w:ascii="Arial" w:hAnsi="Arial" w:cs="Arial"/>
          <w:iCs/>
          <w:sz w:val="24"/>
          <w:szCs w:val="24"/>
        </w:rPr>
        <w:t>are subject to a maximum penalty unit of 5 penalty units. It is also consistent with the framing of existing offence provisions in the RTA that penalise a failure to disclose required information to tenants</w:t>
      </w:r>
      <w:r w:rsidR="00267282">
        <w:rPr>
          <w:rFonts w:ascii="Arial" w:hAnsi="Arial" w:cs="Arial"/>
          <w:iCs/>
          <w:sz w:val="24"/>
          <w:szCs w:val="24"/>
        </w:rPr>
        <w:t>,</w:t>
      </w:r>
      <w:r w:rsidRPr="00264F34">
        <w:rPr>
          <w:rFonts w:ascii="Arial" w:hAnsi="Arial" w:cs="Arial"/>
          <w:iCs/>
          <w:sz w:val="24"/>
          <w:szCs w:val="24"/>
        </w:rPr>
        <w:t xml:space="preserve"> such as </w:t>
      </w:r>
      <w:r w:rsidR="00267282">
        <w:rPr>
          <w:rFonts w:ascii="Arial" w:hAnsi="Arial" w:cs="Arial"/>
          <w:iCs/>
          <w:sz w:val="24"/>
          <w:szCs w:val="24"/>
        </w:rPr>
        <w:t>s</w:t>
      </w:r>
      <w:r w:rsidRPr="00264F34">
        <w:rPr>
          <w:rFonts w:ascii="Arial" w:hAnsi="Arial" w:cs="Arial"/>
          <w:iCs/>
          <w:sz w:val="24"/>
          <w:szCs w:val="24"/>
        </w:rPr>
        <w:t>ection 11AA that has a maximum penalty of 5 penalty units for failing to disclose that the residential tenancy agreement has a term endorsed by ACAT but inconsistent with the Standard Residential Tenancy Terms. As a result, these offence provisions are considered proportionate to meet the legitimate purpose of providing a necessary deterrent to non-compliance.</w:t>
      </w:r>
    </w:p>
    <w:p w14:paraId="6F41EBAE" w14:textId="1C0A99F6" w:rsidR="00687ABF" w:rsidRDefault="00687ABF" w:rsidP="00DA6700">
      <w:pPr>
        <w:rPr>
          <w:rFonts w:ascii="Arial" w:hAnsi="Arial" w:cs="Arial"/>
          <w:iCs/>
          <w:sz w:val="24"/>
          <w:szCs w:val="24"/>
        </w:rPr>
      </w:pPr>
      <w:r w:rsidRPr="00264F34">
        <w:rPr>
          <w:rFonts w:ascii="Arial" w:hAnsi="Arial" w:cs="Arial"/>
          <w:iCs/>
          <w:sz w:val="24"/>
          <w:szCs w:val="24"/>
        </w:rPr>
        <w:t xml:space="preserve">The strict liability offence for lessors or their agents to solicit a rent bid from tenants or for a lessor to direct their agent to solicit a rent bid from a </w:t>
      </w:r>
      <w:r w:rsidR="00267282">
        <w:rPr>
          <w:rFonts w:ascii="Arial" w:hAnsi="Arial" w:cs="Arial"/>
          <w:iCs/>
          <w:sz w:val="24"/>
          <w:szCs w:val="24"/>
        </w:rPr>
        <w:t>tenant,</w:t>
      </w:r>
      <w:r w:rsidR="001155C5">
        <w:rPr>
          <w:rFonts w:ascii="Arial" w:hAnsi="Arial" w:cs="Arial"/>
          <w:iCs/>
          <w:sz w:val="24"/>
          <w:szCs w:val="24"/>
        </w:rPr>
        <w:t xml:space="preserve"> has a </w:t>
      </w:r>
      <w:r w:rsidR="001155C5" w:rsidRPr="00264F34">
        <w:rPr>
          <w:rFonts w:ascii="Arial" w:hAnsi="Arial" w:cs="Arial"/>
          <w:iCs/>
          <w:sz w:val="24"/>
          <w:szCs w:val="24"/>
        </w:rPr>
        <w:t xml:space="preserve">maximum penalty </w:t>
      </w:r>
      <w:r w:rsidR="00267282">
        <w:rPr>
          <w:rFonts w:ascii="Arial" w:hAnsi="Arial" w:cs="Arial"/>
          <w:iCs/>
          <w:sz w:val="24"/>
          <w:szCs w:val="24"/>
        </w:rPr>
        <w:t>of</w:t>
      </w:r>
      <w:r w:rsidR="001155C5" w:rsidRPr="00264F34">
        <w:rPr>
          <w:rFonts w:ascii="Arial" w:hAnsi="Arial" w:cs="Arial"/>
          <w:iCs/>
          <w:sz w:val="24"/>
          <w:szCs w:val="24"/>
        </w:rPr>
        <w:t xml:space="preserve"> 20 penalty units</w:t>
      </w:r>
      <w:r w:rsidRPr="00264F34">
        <w:rPr>
          <w:rFonts w:ascii="Arial" w:hAnsi="Arial" w:cs="Arial"/>
          <w:iCs/>
          <w:sz w:val="24"/>
          <w:szCs w:val="24"/>
        </w:rPr>
        <w:t>. Solicited rent bidding is a practice that produces inequitable outcomes for renters, undermines transparency in the market and is a result of a power imbalance between lessors and tenants that favours lessors. As the practice of rent bidding allows lessors to receive a significant financial benefit, the penalty must act as an effective deterrent. Th</w:t>
      </w:r>
      <w:r w:rsidR="00267282">
        <w:rPr>
          <w:rFonts w:ascii="Arial" w:hAnsi="Arial" w:cs="Arial"/>
          <w:iCs/>
          <w:sz w:val="24"/>
          <w:szCs w:val="24"/>
        </w:rPr>
        <w:t>e</w:t>
      </w:r>
      <w:r w:rsidRPr="00264F34">
        <w:rPr>
          <w:rFonts w:ascii="Arial" w:hAnsi="Arial" w:cs="Arial"/>
          <w:iCs/>
          <w:sz w:val="24"/>
          <w:szCs w:val="24"/>
        </w:rPr>
        <w:t xml:space="preserve"> framing of the penalty unit is also consistent with the framing of other offences in the RTA which penalise conduct similar in severity, such as failure by the lessor to lodge the bond, which may also result in financial enrichment for the lessor at the expense of the tenant. This framing is considered proportionate to meet the legitimate purpose of deterring soliciting rent bidding by lessors and their agents.</w:t>
      </w:r>
    </w:p>
    <w:p w14:paraId="5DC1308E" w14:textId="0B6E73B8" w:rsidR="00B84F40" w:rsidRDefault="00B84F40">
      <w:pPr>
        <w:spacing w:after="0" w:line="240" w:lineRule="auto"/>
        <w:rPr>
          <w:rFonts w:ascii="Arial" w:hAnsi="Arial" w:cs="Arial"/>
          <w:iCs/>
          <w:sz w:val="24"/>
          <w:szCs w:val="24"/>
        </w:rPr>
      </w:pPr>
      <w:r>
        <w:rPr>
          <w:rFonts w:ascii="Arial" w:hAnsi="Arial" w:cs="Arial"/>
          <w:iCs/>
          <w:sz w:val="24"/>
          <w:szCs w:val="24"/>
        </w:rPr>
        <w:br w:type="page"/>
      </w:r>
    </w:p>
    <w:p w14:paraId="4295ED4B" w14:textId="47906F82" w:rsidR="00B84F40" w:rsidRPr="00943C7F" w:rsidRDefault="00B84F40" w:rsidP="00B84F40">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lastRenderedPageBreak/>
        <w:t>Residential Tenancies Legislation Amendment</w:t>
      </w:r>
      <w:r w:rsidRPr="00943C7F">
        <w:rPr>
          <w:rFonts w:asciiTheme="minorHAnsi" w:hAnsiTheme="minorHAnsi" w:cs="Arial"/>
          <w:b w:val="0"/>
          <w:sz w:val="28"/>
          <w:szCs w:val="28"/>
          <w:lang w:eastAsia="en-AU"/>
        </w:rPr>
        <w:t xml:space="preserve"> Bill 20</w:t>
      </w:r>
      <w:r>
        <w:rPr>
          <w:rFonts w:asciiTheme="minorHAnsi" w:hAnsiTheme="minorHAnsi" w:cs="Arial"/>
          <w:b w:val="0"/>
          <w:sz w:val="28"/>
          <w:szCs w:val="28"/>
          <w:lang w:eastAsia="en-AU"/>
        </w:rPr>
        <w:t>22</w:t>
      </w:r>
    </w:p>
    <w:p w14:paraId="0CBD2141" w14:textId="77777777" w:rsidR="00B84F40" w:rsidRPr="003E5EE6" w:rsidRDefault="00B84F40" w:rsidP="00B84F40">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4EB16745" w14:textId="77777777" w:rsidR="00B84F40" w:rsidRDefault="00B84F40" w:rsidP="00B84F40"/>
    <w:p w14:paraId="06D3A5CD" w14:textId="77777777" w:rsidR="00B84F40" w:rsidRPr="00D77995" w:rsidRDefault="00B84F40" w:rsidP="00B84F40"/>
    <w:p w14:paraId="008C53E3" w14:textId="0DE252FD" w:rsidR="00B84F40" w:rsidRDefault="00B84F40" w:rsidP="00B84F40">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FF4CDB">
        <w:rPr>
          <w:rFonts w:asciiTheme="minorHAnsi" w:hAnsiTheme="minorHAnsi"/>
          <w:b/>
        </w:rPr>
        <w:t>Residential Tenancies Legislation</w:t>
      </w:r>
      <w:r>
        <w:rPr>
          <w:rFonts w:asciiTheme="minorHAnsi" w:hAnsiTheme="minorHAnsi"/>
          <w:b/>
        </w:rPr>
        <w:t> Amendment Bill 202</w:t>
      </w:r>
      <w:r w:rsidR="00FF4CDB">
        <w:rPr>
          <w:rFonts w:asciiTheme="minorHAnsi" w:hAnsiTheme="minorHAnsi"/>
          <w:b/>
        </w:rPr>
        <w:t>2</w:t>
      </w:r>
      <w:r w:rsidRPr="00521950">
        <w:rPr>
          <w:rFonts w:asciiTheme="minorHAnsi" w:hAnsiTheme="minorHAnsi"/>
        </w:rPr>
        <w:t>.  In my opinion,</w:t>
      </w:r>
      <w:r>
        <w:rPr>
          <w:rFonts w:asciiTheme="minorHAnsi" w:hAnsiTheme="minorHAnsi"/>
        </w:rPr>
        <w:t xml:space="preserve"> having regard to the Bill and the outline of the policy considerations and justification of any limitations on rights outlined in this explanatory statement, </w:t>
      </w:r>
      <w:r w:rsidRPr="00521950">
        <w:rPr>
          <w:rFonts w:asciiTheme="minorHAnsi" w:hAnsiTheme="minorHAnsi"/>
        </w:rPr>
        <w:t>the Bill</w:t>
      </w:r>
      <w:r w:rsidRPr="005162FA">
        <w:rPr>
          <w:rFonts w:asciiTheme="minorHAnsi" w:hAnsiTheme="minorHAnsi"/>
        </w:rPr>
        <w:t xml:space="preserve"> </w:t>
      </w:r>
      <w:r w:rsidRPr="00521950">
        <w:rPr>
          <w:rFonts w:asciiTheme="minorHAnsi" w:hAnsiTheme="minorHAnsi"/>
        </w:rPr>
        <w:t xml:space="preserve">as presented </w:t>
      </w:r>
      <w:r>
        <w:rPr>
          <w:rFonts w:asciiTheme="minorHAnsi" w:hAnsiTheme="minorHAnsi"/>
        </w:rPr>
        <w:t xml:space="preserve">to the Legislative </w:t>
      </w:r>
      <w:r w:rsidRPr="00B84F40">
        <w:rPr>
          <w:rFonts w:asciiTheme="minorHAnsi" w:hAnsiTheme="minorHAnsi"/>
        </w:rPr>
        <w:t>Assembly</w:t>
      </w:r>
      <w:r w:rsidRPr="00B84F40">
        <w:rPr>
          <w:rFonts w:asciiTheme="minorHAnsi" w:hAnsiTheme="minorHAnsi"/>
          <w:b/>
        </w:rPr>
        <w:t xml:space="preserve"> is </w:t>
      </w:r>
      <w:r w:rsidRPr="00521950">
        <w:rPr>
          <w:rFonts w:asciiTheme="minorHAnsi" w:hAnsiTheme="minorHAnsi"/>
        </w:rPr>
        <w:t xml:space="preserve">consistent with the </w:t>
      </w:r>
      <w:r w:rsidRPr="00521950">
        <w:rPr>
          <w:rFonts w:asciiTheme="minorHAnsi" w:hAnsiTheme="minorHAnsi"/>
          <w:i/>
          <w:iCs/>
        </w:rPr>
        <w:t>Human Rights Act 2004</w:t>
      </w:r>
      <w:r>
        <w:rPr>
          <w:rFonts w:asciiTheme="minorHAnsi" w:hAnsiTheme="minorHAnsi"/>
          <w:i/>
          <w:iCs/>
        </w:rPr>
        <w:t>.</w:t>
      </w:r>
    </w:p>
    <w:p w14:paraId="227AD79A" w14:textId="77777777" w:rsidR="00B84F40" w:rsidRDefault="00B84F40" w:rsidP="00B84F40">
      <w:pPr>
        <w:rPr>
          <w:rFonts w:asciiTheme="minorHAnsi" w:hAnsiTheme="minorHAnsi" w:cstheme="minorHAnsi"/>
        </w:rPr>
      </w:pPr>
    </w:p>
    <w:p w14:paraId="5DADE1E5" w14:textId="77777777" w:rsidR="00B84F40" w:rsidRDefault="00B84F40" w:rsidP="00B84F40">
      <w:pPr>
        <w:rPr>
          <w:rFonts w:asciiTheme="minorHAnsi" w:hAnsiTheme="minorHAnsi" w:cstheme="minorHAnsi"/>
        </w:rPr>
      </w:pPr>
    </w:p>
    <w:p w14:paraId="72C0074F" w14:textId="77777777" w:rsidR="00B84F40" w:rsidRDefault="00B84F40" w:rsidP="00B84F40">
      <w:pPr>
        <w:rPr>
          <w:rFonts w:asciiTheme="minorHAnsi" w:hAnsiTheme="minorHAnsi" w:cstheme="minorHAnsi"/>
        </w:rPr>
      </w:pPr>
      <w:r>
        <w:rPr>
          <w:rFonts w:asciiTheme="minorHAnsi" w:hAnsiTheme="minorHAnsi" w:cstheme="minorHAnsi"/>
        </w:rPr>
        <w:t>………………………………………………….</w:t>
      </w:r>
    </w:p>
    <w:p w14:paraId="4BE5669F" w14:textId="77777777" w:rsidR="00B84F40" w:rsidRDefault="00B84F40" w:rsidP="00B84F40">
      <w:pPr>
        <w:rPr>
          <w:rFonts w:asciiTheme="minorHAnsi" w:hAnsiTheme="minorHAnsi" w:cstheme="minorHAnsi"/>
        </w:rPr>
      </w:pPr>
      <w:r>
        <w:rPr>
          <w:rFonts w:asciiTheme="minorHAnsi" w:hAnsiTheme="minorHAnsi" w:cstheme="minorHAnsi"/>
        </w:rPr>
        <w:t>Shane Rattenbury MLA</w:t>
      </w:r>
      <w:r>
        <w:rPr>
          <w:rFonts w:asciiTheme="minorHAnsi" w:hAnsiTheme="minorHAnsi" w:cstheme="minorHAnsi"/>
        </w:rPr>
        <w:br/>
        <w:t>Attorney-General</w:t>
      </w:r>
    </w:p>
    <w:p w14:paraId="3A9EC498" w14:textId="77777777" w:rsidR="00B84F40" w:rsidRPr="006D52AC" w:rsidRDefault="00B84F40" w:rsidP="00B84F40">
      <w:pPr>
        <w:spacing w:before="200"/>
        <w:rPr>
          <w:rFonts w:ascii="Arial" w:hAnsi="Arial" w:cs="Arial"/>
          <w:sz w:val="24"/>
          <w:szCs w:val="24"/>
        </w:rPr>
      </w:pPr>
    </w:p>
    <w:p w14:paraId="2759FEEF" w14:textId="05506BA4" w:rsidR="00B84F40" w:rsidRDefault="00B84F40">
      <w:pPr>
        <w:spacing w:after="0" w:line="240" w:lineRule="auto"/>
        <w:rPr>
          <w:rFonts w:ascii="Arial" w:hAnsi="Arial" w:cs="Arial"/>
          <w:iCs/>
          <w:sz w:val="24"/>
          <w:szCs w:val="24"/>
        </w:rPr>
      </w:pPr>
      <w:r>
        <w:rPr>
          <w:rFonts w:ascii="Arial" w:hAnsi="Arial" w:cs="Arial"/>
          <w:iCs/>
          <w:sz w:val="24"/>
          <w:szCs w:val="24"/>
        </w:rPr>
        <w:br w:type="page"/>
      </w:r>
    </w:p>
    <w:p w14:paraId="6173867E" w14:textId="11ABFDA6" w:rsidR="008C76C4" w:rsidRPr="00264F34" w:rsidRDefault="008C76C4">
      <w:pPr>
        <w:pStyle w:val="Heading2"/>
        <w:pageBreakBefore/>
        <w:spacing w:before="240" w:after="240"/>
        <w:rPr>
          <w:rFonts w:cs="Arial"/>
          <w:szCs w:val="24"/>
        </w:rPr>
      </w:pPr>
      <w:r w:rsidRPr="00264F34">
        <w:rPr>
          <w:rFonts w:cs="Arial"/>
          <w:szCs w:val="24"/>
        </w:rPr>
        <w:lastRenderedPageBreak/>
        <w:t>CLAUSE NOTES</w:t>
      </w:r>
    </w:p>
    <w:p w14:paraId="0E53FE37" w14:textId="6F6F2A28" w:rsidR="008065A9" w:rsidRPr="00264F34" w:rsidRDefault="008065A9" w:rsidP="00C65E0C">
      <w:pPr>
        <w:pStyle w:val="Heading3"/>
        <w:rPr>
          <w:rFonts w:cs="Arial"/>
        </w:rPr>
      </w:pPr>
      <w:r w:rsidRPr="00264F34">
        <w:rPr>
          <w:rFonts w:cs="Arial"/>
        </w:rPr>
        <w:t>Part 1</w:t>
      </w:r>
      <w:r w:rsidRPr="00264F34">
        <w:rPr>
          <w:rFonts w:cs="Arial"/>
        </w:rPr>
        <w:tab/>
      </w:r>
      <w:r w:rsidRPr="00264F34">
        <w:rPr>
          <w:rFonts w:cs="Arial"/>
        </w:rPr>
        <w:tab/>
        <w:t>Preliminary</w:t>
      </w:r>
    </w:p>
    <w:p w14:paraId="27FB735B" w14:textId="43157A15" w:rsidR="00C61B07" w:rsidRPr="00264F34" w:rsidRDefault="00C61B07" w:rsidP="00C65E0C">
      <w:pPr>
        <w:pStyle w:val="Heading3"/>
        <w:rPr>
          <w:rFonts w:cs="Arial"/>
        </w:rPr>
      </w:pPr>
      <w:r w:rsidRPr="00264F34">
        <w:rPr>
          <w:rFonts w:cs="Arial"/>
        </w:rPr>
        <w:t>Clause 1</w:t>
      </w:r>
      <w:r w:rsidRPr="00264F34">
        <w:rPr>
          <w:rFonts w:cs="Arial"/>
        </w:rPr>
        <w:tab/>
        <w:t>Name of Act</w:t>
      </w:r>
    </w:p>
    <w:p w14:paraId="0928FD9C" w14:textId="4D53623B" w:rsidR="00C677E6" w:rsidRPr="00264F34" w:rsidRDefault="00C677E6" w:rsidP="00C677E6">
      <w:pPr>
        <w:rPr>
          <w:rFonts w:ascii="Arial" w:hAnsi="Arial" w:cs="Arial"/>
          <w:i/>
          <w:iCs/>
          <w:sz w:val="24"/>
          <w:szCs w:val="24"/>
        </w:rPr>
      </w:pPr>
      <w:r w:rsidRPr="00264F34">
        <w:rPr>
          <w:rFonts w:ascii="Arial" w:hAnsi="Arial" w:cs="Arial"/>
          <w:sz w:val="24"/>
          <w:szCs w:val="24"/>
        </w:rPr>
        <w:t xml:space="preserve">This clause provides that the name of the Act is the </w:t>
      </w:r>
      <w:r w:rsidRPr="00264F34">
        <w:rPr>
          <w:rFonts w:ascii="Arial" w:hAnsi="Arial" w:cs="Arial"/>
          <w:i/>
          <w:iCs/>
          <w:sz w:val="24"/>
          <w:szCs w:val="24"/>
        </w:rPr>
        <w:t>Residential Tenancies</w:t>
      </w:r>
      <w:r w:rsidR="00907517">
        <w:rPr>
          <w:rFonts w:ascii="Arial" w:hAnsi="Arial" w:cs="Arial"/>
          <w:i/>
          <w:iCs/>
          <w:sz w:val="24"/>
          <w:szCs w:val="24"/>
        </w:rPr>
        <w:t xml:space="preserve"> Legislation</w:t>
      </w:r>
      <w:r w:rsidRPr="00264F34">
        <w:rPr>
          <w:rFonts w:ascii="Arial" w:hAnsi="Arial" w:cs="Arial"/>
          <w:i/>
          <w:iCs/>
          <w:sz w:val="24"/>
          <w:szCs w:val="24"/>
        </w:rPr>
        <w:t xml:space="preserve"> Amendment Act 2022</w:t>
      </w:r>
      <w:r w:rsidR="00992DCA">
        <w:rPr>
          <w:rFonts w:ascii="Arial" w:hAnsi="Arial" w:cs="Arial"/>
          <w:i/>
          <w:iCs/>
          <w:sz w:val="24"/>
          <w:szCs w:val="24"/>
        </w:rPr>
        <w:t xml:space="preserve"> </w:t>
      </w:r>
      <w:r w:rsidR="00992DCA">
        <w:rPr>
          <w:rFonts w:ascii="Arial" w:hAnsi="Arial" w:cs="Arial"/>
          <w:sz w:val="24"/>
          <w:szCs w:val="24"/>
        </w:rPr>
        <w:t>(the Act)</w:t>
      </w:r>
      <w:r w:rsidRPr="00264F34">
        <w:rPr>
          <w:rFonts w:ascii="Arial" w:hAnsi="Arial" w:cs="Arial"/>
          <w:i/>
          <w:iCs/>
          <w:sz w:val="24"/>
          <w:szCs w:val="24"/>
        </w:rPr>
        <w:t>.</w:t>
      </w:r>
    </w:p>
    <w:p w14:paraId="341827EE" w14:textId="5A18818A" w:rsidR="00C61B07" w:rsidRPr="0048099F" w:rsidRDefault="00C61B07" w:rsidP="008C225D">
      <w:pPr>
        <w:pStyle w:val="Heading3"/>
        <w:rPr>
          <w:rFonts w:cs="Arial"/>
        </w:rPr>
      </w:pPr>
      <w:r w:rsidRPr="0048099F">
        <w:rPr>
          <w:rFonts w:cs="Arial"/>
        </w:rPr>
        <w:t>Clause 2</w:t>
      </w:r>
      <w:r w:rsidRPr="0048099F">
        <w:rPr>
          <w:rFonts w:cs="Arial"/>
        </w:rPr>
        <w:tab/>
        <w:t>Commencement</w:t>
      </w:r>
    </w:p>
    <w:p w14:paraId="1507D932" w14:textId="4D57229F" w:rsidR="00C677E6" w:rsidRDefault="00C677E6" w:rsidP="00C677E6">
      <w:pPr>
        <w:rPr>
          <w:rFonts w:ascii="Arial" w:hAnsi="Arial" w:cs="Arial"/>
          <w:sz w:val="24"/>
          <w:szCs w:val="24"/>
        </w:rPr>
      </w:pPr>
      <w:r w:rsidRPr="0048099F">
        <w:rPr>
          <w:rFonts w:ascii="Arial" w:hAnsi="Arial" w:cs="Arial"/>
          <w:sz w:val="24"/>
          <w:szCs w:val="24"/>
        </w:rPr>
        <w:t xml:space="preserve">This clause </w:t>
      </w:r>
      <w:r w:rsidR="007F5C3C" w:rsidRPr="0048099F">
        <w:rPr>
          <w:rFonts w:ascii="Arial" w:hAnsi="Arial" w:cs="Arial"/>
          <w:sz w:val="24"/>
          <w:szCs w:val="24"/>
        </w:rPr>
        <w:t>sets out the scheme of commencement for the provisions of the Act</w:t>
      </w:r>
      <w:r w:rsidRPr="0048099F">
        <w:rPr>
          <w:rFonts w:ascii="Arial" w:hAnsi="Arial" w:cs="Arial"/>
          <w:sz w:val="24"/>
          <w:szCs w:val="24"/>
        </w:rPr>
        <w:t xml:space="preserve">. </w:t>
      </w:r>
      <w:r w:rsidR="007F5C3C" w:rsidRPr="0048099F">
        <w:rPr>
          <w:rFonts w:ascii="Arial" w:hAnsi="Arial" w:cs="Arial"/>
          <w:sz w:val="24"/>
          <w:szCs w:val="24"/>
        </w:rPr>
        <w:t>It provides that the</w:t>
      </w:r>
      <w:r w:rsidRPr="0048099F">
        <w:rPr>
          <w:rFonts w:ascii="Arial" w:hAnsi="Arial" w:cs="Arial"/>
          <w:sz w:val="24"/>
          <w:szCs w:val="24"/>
        </w:rPr>
        <w:t xml:space="preserve"> Act (other than the specified </w:t>
      </w:r>
      <w:r w:rsidR="00992DCA">
        <w:rPr>
          <w:rFonts w:ascii="Arial" w:hAnsi="Arial" w:cs="Arial"/>
          <w:sz w:val="24"/>
          <w:szCs w:val="24"/>
        </w:rPr>
        <w:t>provisions</w:t>
      </w:r>
      <w:r w:rsidRPr="0048099F">
        <w:rPr>
          <w:rFonts w:ascii="Arial" w:hAnsi="Arial" w:cs="Arial"/>
          <w:sz w:val="24"/>
          <w:szCs w:val="24"/>
        </w:rPr>
        <w:t xml:space="preserve">, listed below) commence on </w:t>
      </w:r>
      <w:r w:rsidR="007A707F">
        <w:rPr>
          <w:rFonts w:ascii="Arial" w:hAnsi="Arial" w:cs="Arial"/>
          <w:sz w:val="24"/>
          <w:szCs w:val="24"/>
        </w:rPr>
        <w:t>1 April 2023</w:t>
      </w:r>
      <w:r w:rsidRPr="0048099F">
        <w:rPr>
          <w:rFonts w:ascii="Arial" w:hAnsi="Arial" w:cs="Arial"/>
          <w:sz w:val="24"/>
          <w:szCs w:val="24"/>
        </w:rPr>
        <w:t>.</w:t>
      </w:r>
    </w:p>
    <w:p w14:paraId="1D6EB524" w14:textId="13CDDDEA" w:rsidR="006D2698" w:rsidRPr="00F6657C" w:rsidRDefault="006D2698" w:rsidP="00C677E6">
      <w:pPr>
        <w:rPr>
          <w:rFonts w:ascii="Arial" w:hAnsi="Arial" w:cs="Arial"/>
          <w:sz w:val="24"/>
          <w:szCs w:val="24"/>
        </w:rPr>
      </w:pPr>
      <w:r>
        <w:rPr>
          <w:rFonts w:ascii="Arial" w:hAnsi="Arial" w:cs="Arial"/>
          <w:sz w:val="24"/>
          <w:szCs w:val="24"/>
        </w:rPr>
        <w:t>Schedule 1, section</w:t>
      </w:r>
      <w:r w:rsidR="00DA3A40">
        <w:rPr>
          <w:rFonts w:ascii="Arial" w:hAnsi="Arial" w:cs="Arial"/>
          <w:sz w:val="24"/>
          <w:szCs w:val="24"/>
        </w:rPr>
        <w:t>s</w:t>
      </w:r>
      <w:r>
        <w:rPr>
          <w:rFonts w:ascii="Arial" w:hAnsi="Arial" w:cs="Arial"/>
          <w:sz w:val="24"/>
          <w:szCs w:val="24"/>
        </w:rPr>
        <w:t xml:space="preserve"> [1.2] and [1.3] will commence o</w:t>
      </w:r>
      <w:r w:rsidR="00DA3A40">
        <w:rPr>
          <w:rFonts w:ascii="Arial" w:hAnsi="Arial" w:cs="Arial"/>
          <w:sz w:val="24"/>
          <w:szCs w:val="24"/>
        </w:rPr>
        <w:t>n</w:t>
      </w:r>
      <w:r>
        <w:rPr>
          <w:rFonts w:ascii="Arial" w:hAnsi="Arial" w:cs="Arial"/>
          <w:sz w:val="24"/>
          <w:szCs w:val="24"/>
        </w:rPr>
        <w:t xml:space="preserve"> the day after </w:t>
      </w:r>
      <w:r w:rsidR="00DA3A40">
        <w:rPr>
          <w:rFonts w:ascii="Arial" w:hAnsi="Arial" w:cs="Arial"/>
          <w:sz w:val="24"/>
          <w:szCs w:val="24"/>
        </w:rPr>
        <w:t xml:space="preserve">the Act’s </w:t>
      </w:r>
      <w:r w:rsidRPr="00F6657C">
        <w:rPr>
          <w:rFonts w:ascii="Arial" w:hAnsi="Arial" w:cs="Arial"/>
          <w:sz w:val="24"/>
          <w:szCs w:val="24"/>
        </w:rPr>
        <w:t>notification day.</w:t>
      </w:r>
    </w:p>
    <w:p w14:paraId="47995BDC" w14:textId="03BE1DD8" w:rsidR="00C677E6" w:rsidRPr="00F6657C" w:rsidRDefault="00C677E6" w:rsidP="00C677E6">
      <w:pPr>
        <w:rPr>
          <w:rFonts w:ascii="Arial" w:hAnsi="Arial" w:cs="Arial"/>
          <w:sz w:val="24"/>
          <w:szCs w:val="24"/>
        </w:rPr>
      </w:pPr>
      <w:r w:rsidRPr="00F6657C">
        <w:rPr>
          <w:rFonts w:ascii="Arial" w:hAnsi="Arial" w:cs="Arial"/>
          <w:sz w:val="24"/>
          <w:szCs w:val="24"/>
        </w:rPr>
        <w:t xml:space="preserve">The following sections </w:t>
      </w:r>
      <w:r w:rsidR="00266E1F">
        <w:rPr>
          <w:rFonts w:ascii="Arial" w:hAnsi="Arial" w:cs="Arial"/>
          <w:sz w:val="24"/>
          <w:szCs w:val="24"/>
        </w:rPr>
        <w:t xml:space="preserve">will </w:t>
      </w:r>
      <w:r w:rsidRPr="00F6657C">
        <w:rPr>
          <w:rFonts w:ascii="Arial" w:hAnsi="Arial" w:cs="Arial"/>
          <w:sz w:val="24"/>
          <w:szCs w:val="24"/>
        </w:rPr>
        <w:t xml:space="preserve">commence </w:t>
      </w:r>
      <w:r w:rsidR="00266E1F">
        <w:rPr>
          <w:rFonts w:ascii="Arial" w:hAnsi="Arial" w:cs="Arial"/>
          <w:sz w:val="24"/>
          <w:szCs w:val="24"/>
        </w:rPr>
        <w:t>on a da</w:t>
      </w:r>
      <w:r w:rsidR="00CC4180">
        <w:rPr>
          <w:rFonts w:ascii="Arial" w:hAnsi="Arial" w:cs="Arial"/>
          <w:sz w:val="24"/>
          <w:szCs w:val="24"/>
        </w:rPr>
        <w:t xml:space="preserve">y fixed </w:t>
      </w:r>
      <w:r w:rsidR="00266E1F">
        <w:rPr>
          <w:rFonts w:ascii="Arial" w:hAnsi="Arial" w:cs="Arial"/>
          <w:sz w:val="24"/>
          <w:szCs w:val="24"/>
        </w:rPr>
        <w:t>by the Minister</w:t>
      </w:r>
      <w:r w:rsidR="00CC4180">
        <w:rPr>
          <w:rFonts w:ascii="Arial" w:hAnsi="Arial" w:cs="Arial"/>
          <w:sz w:val="24"/>
          <w:szCs w:val="24"/>
        </w:rPr>
        <w:t xml:space="preserve"> by written notice</w:t>
      </w:r>
      <w:r w:rsidRPr="00F6657C">
        <w:rPr>
          <w:rFonts w:ascii="Arial" w:hAnsi="Arial" w:cs="Arial"/>
          <w:sz w:val="24"/>
          <w:szCs w:val="24"/>
        </w:rPr>
        <w:t>:</w:t>
      </w:r>
    </w:p>
    <w:p w14:paraId="34912812" w14:textId="147DB5C5" w:rsidR="00D61814" w:rsidRPr="00F6657C" w:rsidRDefault="0048099F" w:rsidP="00153FBB">
      <w:pPr>
        <w:pStyle w:val="ListParagraph"/>
        <w:numPr>
          <w:ilvl w:val="0"/>
          <w:numId w:val="4"/>
        </w:numPr>
        <w:rPr>
          <w:rFonts w:ascii="Arial" w:hAnsi="Arial" w:cs="Arial"/>
          <w:sz w:val="24"/>
          <w:szCs w:val="24"/>
        </w:rPr>
      </w:pPr>
      <w:r w:rsidRPr="00F6657C">
        <w:rPr>
          <w:rFonts w:ascii="Arial" w:hAnsi="Arial" w:cs="Arial"/>
          <w:sz w:val="24"/>
          <w:szCs w:val="24"/>
        </w:rPr>
        <w:t xml:space="preserve">section </w:t>
      </w:r>
      <w:r w:rsidR="00FF7800">
        <w:rPr>
          <w:rFonts w:ascii="Arial" w:hAnsi="Arial" w:cs="Arial"/>
          <w:sz w:val="24"/>
          <w:szCs w:val="24"/>
        </w:rPr>
        <w:t xml:space="preserve">4 </w:t>
      </w:r>
      <w:r w:rsidR="00D44BD4">
        <w:rPr>
          <w:rFonts w:ascii="Arial" w:hAnsi="Arial" w:cs="Arial"/>
          <w:sz w:val="24"/>
          <w:szCs w:val="24"/>
        </w:rPr>
        <w:t>and</w:t>
      </w:r>
      <w:r w:rsidR="00FF7800">
        <w:rPr>
          <w:rFonts w:ascii="Arial" w:hAnsi="Arial" w:cs="Arial"/>
          <w:sz w:val="24"/>
          <w:szCs w:val="24"/>
        </w:rPr>
        <w:t xml:space="preserve"> </w:t>
      </w:r>
      <w:r w:rsidR="00791A34" w:rsidRPr="00F6657C">
        <w:rPr>
          <w:rFonts w:ascii="Arial" w:hAnsi="Arial" w:cs="Arial"/>
          <w:sz w:val="24"/>
          <w:szCs w:val="24"/>
        </w:rPr>
        <w:t>5</w:t>
      </w:r>
      <w:r w:rsidRPr="00F6657C">
        <w:rPr>
          <w:rFonts w:ascii="Arial" w:hAnsi="Arial" w:cs="Arial"/>
          <w:sz w:val="24"/>
          <w:szCs w:val="24"/>
        </w:rPr>
        <w:t>;</w:t>
      </w:r>
    </w:p>
    <w:p w14:paraId="0A8BE34B" w14:textId="0790CCFA" w:rsidR="0048099F" w:rsidRPr="00F6657C" w:rsidRDefault="0048099F" w:rsidP="0048099F">
      <w:pPr>
        <w:pStyle w:val="ListParagraph"/>
        <w:numPr>
          <w:ilvl w:val="0"/>
          <w:numId w:val="4"/>
        </w:numPr>
        <w:rPr>
          <w:rFonts w:ascii="Arial" w:hAnsi="Arial" w:cs="Arial"/>
          <w:sz w:val="24"/>
          <w:szCs w:val="24"/>
        </w:rPr>
      </w:pPr>
      <w:r w:rsidRPr="00F6657C">
        <w:rPr>
          <w:rFonts w:ascii="Arial" w:hAnsi="Arial" w:cs="Arial"/>
          <w:sz w:val="24"/>
          <w:szCs w:val="24"/>
        </w:rPr>
        <w:t xml:space="preserve">section </w:t>
      </w:r>
      <w:r w:rsidR="00791A34" w:rsidRPr="00F6657C">
        <w:rPr>
          <w:rFonts w:ascii="Arial" w:hAnsi="Arial" w:cs="Arial"/>
          <w:sz w:val="24"/>
          <w:szCs w:val="24"/>
        </w:rPr>
        <w:t>9</w:t>
      </w:r>
      <w:r w:rsidRPr="00F6657C">
        <w:rPr>
          <w:rFonts w:ascii="Arial" w:hAnsi="Arial" w:cs="Arial"/>
          <w:sz w:val="24"/>
          <w:szCs w:val="24"/>
        </w:rPr>
        <w:t>;</w:t>
      </w:r>
    </w:p>
    <w:p w14:paraId="6CA47FDB" w14:textId="59145AAD" w:rsidR="00BB24F1" w:rsidRPr="00F6657C" w:rsidRDefault="00BB24F1" w:rsidP="0048099F">
      <w:pPr>
        <w:pStyle w:val="ListParagraph"/>
        <w:numPr>
          <w:ilvl w:val="0"/>
          <w:numId w:val="4"/>
        </w:numPr>
        <w:rPr>
          <w:rFonts w:ascii="Arial" w:hAnsi="Arial" w:cs="Arial"/>
          <w:sz w:val="24"/>
          <w:szCs w:val="24"/>
        </w:rPr>
      </w:pPr>
      <w:r w:rsidRPr="00F6657C">
        <w:rPr>
          <w:rFonts w:ascii="Arial" w:hAnsi="Arial" w:cs="Arial"/>
          <w:sz w:val="24"/>
          <w:szCs w:val="24"/>
        </w:rPr>
        <w:t xml:space="preserve">section </w:t>
      </w:r>
      <w:r w:rsidR="00791A34" w:rsidRPr="00F6657C">
        <w:rPr>
          <w:rFonts w:ascii="Arial" w:hAnsi="Arial" w:cs="Arial"/>
          <w:sz w:val="24"/>
          <w:szCs w:val="24"/>
        </w:rPr>
        <w:t>11</w:t>
      </w:r>
      <w:r w:rsidRPr="00F6657C">
        <w:rPr>
          <w:rFonts w:ascii="Arial" w:hAnsi="Arial" w:cs="Arial"/>
          <w:sz w:val="24"/>
          <w:szCs w:val="24"/>
        </w:rPr>
        <w:t>;</w:t>
      </w:r>
    </w:p>
    <w:p w14:paraId="7EEBAFF1" w14:textId="7CE7801A" w:rsidR="0048099F" w:rsidRPr="00F6657C" w:rsidRDefault="0048099F" w:rsidP="0048099F">
      <w:pPr>
        <w:pStyle w:val="ListParagraph"/>
        <w:numPr>
          <w:ilvl w:val="0"/>
          <w:numId w:val="4"/>
        </w:numPr>
        <w:rPr>
          <w:rFonts w:ascii="Arial" w:hAnsi="Arial" w:cs="Arial"/>
          <w:sz w:val="24"/>
          <w:szCs w:val="24"/>
        </w:rPr>
      </w:pPr>
      <w:r w:rsidRPr="00F6657C">
        <w:rPr>
          <w:rFonts w:ascii="Arial" w:hAnsi="Arial" w:cs="Arial"/>
          <w:sz w:val="24"/>
          <w:szCs w:val="24"/>
        </w:rPr>
        <w:t>sections 1</w:t>
      </w:r>
      <w:r w:rsidR="00791A34" w:rsidRPr="00F6657C">
        <w:rPr>
          <w:rFonts w:ascii="Arial" w:hAnsi="Arial" w:cs="Arial"/>
          <w:sz w:val="24"/>
          <w:szCs w:val="24"/>
        </w:rPr>
        <w:t>3</w:t>
      </w:r>
      <w:r w:rsidRPr="00F6657C">
        <w:rPr>
          <w:rFonts w:ascii="Arial" w:hAnsi="Arial" w:cs="Arial"/>
          <w:sz w:val="24"/>
          <w:szCs w:val="24"/>
        </w:rPr>
        <w:t>;</w:t>
      </w:r>
    </w:p>
    <w:p w14:paraId="6CDFE9B4" w14:textId="6C37324F" w:rsidR="00BB24F1" w:rsidRPr="00F6657C" w:rsidRDefault="00BB24F1" w:rsidP="0048099F">
      <w:pPr>
        <w:pStyle w:val="ListParagraph"/>
        <w:numPr>
          <w:ilvl w:val="0"/>
          <w:numId w:val="4"/>
        </w:numPr>
        <w:rPr>
          <w:rFonts w:ascii="Arial" w:hAnsi="Arial" w:cs="Arial"/>
          <w:sz w:val="24"/>
          <w:szCs w:val="24"/>
        </w:rPr>
      </w:pPr>
      <w:r w:rsidRPr="00F6657C">
        <w:rPr>
          <w:rFonts w:ascii="Arial" w:hAnsi="Arial" w:cs="Arial"/>
          <w:sz w:val="24"/>
          <w:szCs w:val="24"/>
        </w:rPr>
        <w:t>sections 1</w:t>
      </w:r>
      <w:r w:rsidR="00791A34" w:rsidRPr="00F6657C">
        <w:rPr>
          <w:rFonts w:ascii="Arial" w:hAnsi="Arial" w:cs="Arial"/>
          <w:sz w:val="24"/>
          <w:szCs w:val="24"/>
        </w:rPr>
        <w:t>5</w:t>
      </w:r>
      <w:r w:rsidRPr="00F6657C">
        <w:rPr>
          <w:rFonts w:ascii="Arial" w:hAnsi="Arial" w:cs="Arial"/>
          <w:sz w:val="24"/>
          <w:szCs w:val="24"/>
        </w:rPr>
        <w:t xml:space="preserve"> to 1</w:t>
      </w:r>
      <w:r w:rsidR="00791A34" w:rsidRPr="00F6657C">
        <w:rPr>
          <w:rFonts w:ascii="Arial" w:hAnsi="Arial" w:cs="Arial"/>
          <w:sz w:val="24"/>
          <w:szCs w:val="24"/>
        </w:rPr>
        <w:t>8</w:t>
      </w:r>
      <w:r w:rsidRPr="00F6657C">
        <w:rPr>
          <w:rFonts w:ascii="Arial" w:hAnsi="Arial" w:cs="Arial"/>
          <w:sz w:val="24"/>
          <w:szCs w:val="24"/>
        </w:rPr>
        <w:t>;</w:t>
      </w:r>
    </w:p>
    <w:p w14:paraId="4A5F4C2D" w14:textId="36C01FE2" w:rsidR="0048099F" w:rsidRPr="00F6657C" w:rsidRDefault="0048099F" w:rsidP="0048099F">
      <w:pPr>
        <w:pStyle w:val="ListParagraph"/>
        <w:numPr>
          <w:ilvl w:val="0"/>
          <w:numId w:val="4"/>
        </w:numPr>
        <w:rPr>
          <w:rFonts w:ascii="Arial" w:hAnsi="Arial" w:cs="Arial"/>
          <w:sz w:val="24"/>
          <w:szCs w:val="24"/>
        </w:rPr>
      </w:pPr>
      <w:r w:rsidRPr="00F6657C">
        <w:rPr>
          <w:rFonts w:ascii="Arial" w:hAnsi="Arial" w:cs="Arial"/>
          <w:sz w:val="24"/>
          <w:szCs w:val="24"/>
        </w:rPr>
        <w:t xml:space="preserve">sections </w:t>
      </w:r>
      <w:r w:rsidR="00791A34" w:rsidRPr="00F6657C">
        <w:rPr>
          <w:rFonts w:ascii="Arial" w:hAnsi="Arial" w:cs="Arial"/>
          <w:sz w:val="24"/>
          <w:szCs w:val="24"/>
        </w:rPr>
        <w:t>20</w:t>
      </w:r>
      <w:r w:rsidRPr="00F6657C">
        <w:rPr>
          <w:rFonts w:ascii="Arial" w:hAnsi="Arial" w:cs="Arial"/>
          <w:sz w:val="24"/>
          <w:szCs w:val="24"/>
        </w:rPr>
        <w:t xml:space="preserve"> to 2</w:t>
      </w:r>
      <w:r w:rsidR="00791A34" w:rsidRPr="00F6657C">
        <w:rPr>
          <w:rFonts w:ascii="Arial" w:hAnsi="Arial" w:cs="Arial"/>
          <w:sz w:val="24"/>
          <w:szCs w:val="24"/>
        </w:rPr>
        <w:t>6</w:t>
      </w:r>
      <w:r w:rsidRPr="00F6657C">
        <w:rPr>
          <w:rFonts w:ascii="Arial" w:hAnsi="Arial" w:cs="Arial"/>
          <w:sz w:val="24"/>
          <w:szCs w:val="24"/>
        </w:rPr>
        <w:t>;</w:t>
      </w:r>
    </w:p>
    <w:p w14:paraId="5E87AB70" w14:textId="5EA18623" w:rsidR="0048099F" w:rsidRPr="00F6657C" w:rsidRDefault="0048099F" w:rsidP="0048099F">
      <w:pPr>
        <w:pStyle w:val="ListParagraph"/>
        <w:numPr>
          <w:ilvl w:val="0"/>
          <w:numId w:val="4"/>
        </w:numPr>
        <w:rPr>
          <w:rFonts w:ascii="Arial" w:hAnsi="Arial" w:cs="Arial"/>
          <w:sz w:val="24"/>
          <w:szCs w:val="24"/>
        </w:rPr>
      </w:pPr>
      <w:r w:rsidRPr="00F6657C">
        <w:rPr>
          <w:rFonts w:ascii="Arial" w:hAnsi="Arial" w:cs="Arial"/>
          <w:sz w:val="24"/>
          <w:szCs w:val="24"/>
        </w:rPr>
        <w:t>sections 2</w:t>
      </w:r>
      <w:r w:rsidR="00791A34" w:rsidRPr="00F6657C">
        <w:rPr>
          <w:rFonts w:ascii="Arial" w:hAnsi="Arial" w:cs="Arial"/>
          <w:sz w:val="24"/>
          <w:szCs w:val="24"/>
        </w:rPr>
        <w:t>9</w:t>
      </w:r>
      <w:r w:rsidRPr="00F6657C">
        <w:rPr>
          <w:rFonts w:ascii="Arial" w:hAnsi="Arial" w:cs="Arial"/>
          <w:sz w:val="24"/>
          <w:szCs w:val="24"/>
        </w:rPr>
        <w:t xml:space="preserve"> to 3</w:t>
      </w:r>
      <w:r w:rsidR="00791A34" w:rsidRPr="00F6657C">
        <w:rPr>
          <w:rFonts w:ascii="Arial" w:hAnsi="Arial" w:cs="Arial"/>
          <w:sz w:val="24"/>
          <w:szCs w:val="24"/>
        </w:rPr>
        <w:t>5</w:t>
      </w:r>
      <w:r w:rsidRPr="00F6657C">
        <w:rPr>
          <w:rFonts w:ascii="Arial" w:hAnsi="Arial" w:cs="Arial"/>
          <w:sz w:val="24"/>
          <w:szCs w:val="24"/>
        </w:rPr>
        <w:t>;</w:t>
      </w:r>
    </w:p>
    <w:p w14:paraId="4547D10D" w14:textId="276C829B" w:rsidR="0048099F" w:rsidRPr="00F6657C" w:rsidRDefault="0048099F" w:rsidP="0048099F">
      <w:pPr>
        <w:pStyle w:val="ListParagraph"/>
        <w:numPr>
          <w:ilvl w:val="0"/>
          <w:numId w:val="4"/>
        </w:numPr>
        <w:rPr>
          <w:rFonts w:ascii="Arial" w:hAnsi="Arial" w:cs="Arial"/>
          <w:sz w:val="24"/>
          <w:szCs w:val="24"/>
        </w:rPr>
      </w:pPr>
      <w:r w:rsidRPr="00F6657C">
        <w:rPr>
          <w:rFonts w:ascii="Arial" w:hAnsi="Arial" w:cs="Arial"/>
          <w:sz w:val="24"/>
          <w:szCs w:val="24"/>
        </w:rPr>
        <w:t>sections 4</w:t>
      </w:r>
      <w:r w:rsidR="00791A34" w:rsidRPr="00F6657C">
        <w:rPr>
          <w:rFonts w:ascii="Arial" w:hAnsi="Arial" w:cs="Arial"/>
          <w:sz w:val="24"/>
          <w:szCs w:val="24"/>
        </w:rPr>
        <w:t>3</w:t>
      </w:r>
      <w:r w:rsidRPr="00F6657C">
        <w:rPr>
          <w:rFonts w:ascii="Arial" w:hAnsi="Arial" w:cs="Arial"/>
          <w:sz w:val="24"/>
          <w:szCs w:val="24"/>
        </w:rPr>
        <w:t xml:space="preserve"> to 4</w:t>
      </w:r>
      <w:r w:rsidR="00791A34" w:rsidRPr="00F6657C">
        <w:rPr>
          <w:rFonts w:ascii="Arial" w:hAnsi="Arial" w:cs="Arial"/>
          <w:sz w:val="24"/>
          <w:szCs w:val="24"/>
        </w:rPr>
        <w:t>9</w:t>
      </w:r>
      <w:r w:rsidRPr="00F6657C">
        <w:rPr>
          <w:rFonts w:ascii="Arial" w:hAnsi="Arial" w:cs="Arial"/>
          <w:sz w:val="24"/>
          <w:szCs w:val="24"/>
        </w:rPr>
        <w:t>;</w:t>
      </w:r>
    </w:p>
    <w:p w14:paraId="2154C6F0" w14:textId="5B4A136A" w:rsidR="0048099F" w:rsidRPr="00F6657C" w:rsidRDefault="0048099F" w:rsidP="0048099F">
      <w:pPr>
        <w:pStyle w:val="ListParagraph"/>
        <w:numPr>
          <w:ilvl w:val="0"/>
          <w:numId w:val="4"/>
        </w:numPr>
        <w:rPr>
          <w:rFonts w:ascii="Arial" w:hAnsi="Arial" w:cs="Arial"/>
          <w:sz w:val="24"/>
          <w:szCs w:val="24"/>
        </w:rPr>
      </w:pPr>
      <w:r w:rsidRPr="00F6657C">
        <w:rPr>
          <w:rFonts w:ascii="Arial" w:hAnsi="Arial" w:cs="Arial"/>
          <w:sz w:val="24"/>
          <w:szCs w:val="24"/>
        </w:rPr>
        <w:t xml:space="preserve">sections </w:t>
      </w:r>
      <w:r w:rsidR="00791A34" w:rsidRPr="00F6657C">
        <w:rPr>
          <w:rFonts w:ascii="Arial" w:hAnsi="Arial" w:cs="Arial"/>
          <w:sz w:val="24"/>
          <w:szCs w:val="24"/>
        </w:rPr>
        <w:t>51</w:t>
      </w:r>
      <w:r w:rsidR="00BB24F1" w:rsidRPr="00F6657C">
        <w:rPr>
          <w:rFonts w:ascii="Arial" w:hAnsi="Arial" w:cs="Arial"/>
          <w:sz w:val="24"/>
          <w:szCs w:val="24"/>
        </w:rPr>
        <w:t xml:space="preserve"> to 5</w:t>
      </w:r>
      <w:r w:rsidR="00791A34" w:rsidRPr="00F6657C">
        <w:rPr>
          <w:rFonts w:ascii="Arial" w:hAnsi="Arial" w:cs="Arial"/>
          <w:sz w:val="24"/>
          <w:szCs w:val="24"/>
        </w:rPr>
        <w:t>3</w:t>
      </w:r>
      <w:r w:rsidRPr="00F6657C">
        <w:rPr>
          <w:rFonts w:ascii="Arial" w:hAnsi="Arial" w:cs="Arial"/>
          <w:sz w:val="24"/>
          <w:szCs w:val="24"/>
        </w:rPr>
        <w:t>;</w:t>
      </w:r>
    </w:p>
    <w:p w14:paraId="63FF52F9" w14:textId="66178069" w:rsidR="0048099F" w:rsidRPr="00F6657C" w:rsidRDefault="0048099F" w:rsidP="0048099F">
      <w:pPr>
        <w:pStyle w:val="ListParagraph"/>
        <w:numPr>
          <w:ilvl w:val="0"/>
          <w:numId w:val="4"/>
        </w:numPr>
        <w:rPr>
          <w:rFonts w:ascii="Arial" w:hAnsi="Arial" w:cs="Arial"/>
          <w:sz w:val="24"/>
          <w:szCs w:val="24"/>
        </w:rPr>
      </w:pPr>
      <w:r w:rsidRPr="00F6657C">
        <w:rPr>
          <w:rFonts w:ascii="Arial" w:hAnsi="Arial" w:cs="Arial"/>
          <w:sz w:val="24"/>
          <w:szCs w:val="24"/>
        </w:rPr>
        <w:t xml:space="preserve">sections </w:t>
      </w:r>
      <w:r w:rsidR="00BB24F1" w:rsidRPr="00F6657C">
        <w:rPr>
          <w:rFonts w:ascii="Arial" w:hAnsi="Arial" w:cs="Arial"/>
          <w:sz w:val="24"/>
          <w:szCs w:val="24"/>
        </w:rPr>
        <w:t>5</w:t>
      </w:r>
      <w:r w:rsidR="00791A34" w:rsidRPr="00F6657C">
        <w:rPr>
          <w:rFonts w:ascii="Arial" w:hAnsi="Arial" w:cs="Arial"/>
          <w:sz w:val="24"/>
          <w:szCs w:val="24"/>
        </w:rPr>
        <w:t>5</w:t>
      </w:r>
      <w:r w:rsidRPr="00F6657C">
        <w:rPr>
          <w:rFonts w:ascii="Arial" w:hAnsi="Arial" w:cs="Arial"/>
          <w:sz w:val="24"/>
          <w:szCs w:val="24"/>
        </w:rPr>
        <w:t xml:space="preserve"> to </w:t>
      </w:r>
      <w:r w:rsidR="00791A34" w:rsidRPr="00F6657C">
        <w:rPr>
          <w:rFonts w:ascii="Arial" w:hAnsi="Arial" w:cs="Arial"/>
          <w:sz w:val="24"/>
          <w:szCs w:val="24"/>
        </w:rPr>
        <w:t>60</w:t>
      </w:r>
      <w:r w:rsidRPr="00F6657C">
        <w:rPr>
          <w:rFonts w:ascii="Arial" w:hAnsi="Arial" w:cs="Arial"/>
          <w:sz w:val="24"/>
          <w:szCs w:val="24"/>
        </w:rPr>
        <w:t>;</w:t>
      </w:r>
    </w:p>
    <w:p w14:paraId="69E9BC44" w14:textId="362A44C3" w:rsidR="008065A9" w:rsidRPr="00F6657C" w:rsidRDefault="0048099F" w:rsidP="0048099F">
      <w:pPr>
        <w:pStyle w:val="ListParagraph"/>
        <w:numPr>
          <w:ilvl w:val="0"/>
          <w:numId w:val="4"/>
        </w:numPr>
        <w:rPr>
          <w:rFonts w:ascii="Arial" w:hAnsi="Arial" w:cs="Arial"/>
          <w:sz w:val="24"/>
          <w:szCs w:val="24"/>
        </w:rPr>
      </w:pPr>
      <w:r w:rsidRPr="00F6657C">
        <w:rPr>
          <w:rFonts w:ascii="Arial" w:hAnsi="Arial" w:cs="Arial"/>
          <w:sz w:val="24"/>
          <w:szCs w:val="24"/>
        </w:rPr>
        <w:t>schedule 1</w:t>
      </w:r>
      <w:r w:rsidR="007A707F" w:rsidRPr="00F6657C">
        <w:rPr>
          <w:rFonts w:ascii="Arial" w:hAnsi="Arial" w:cs="Arial"/>
          <w:sz w:val="24"/>
          <w:szCs w:val="24"/>
        </w:rPr>
        <w:t xml:space="preserve"> (other than </w:t>
      </w:r>
      <w:r w:rsidR="00791A34" w:rsidRPr="00F6657C">
        <w:rPr>
          <w:rFonts w:ascii="Arial" w:hAnsi="Arial" w:cs="Arial"/>
          <w:sz w:val="24"/>
          <w:szCs w:val="24"/>
        </w:rPr>
        <w:t>amendment 1.2)</w:t>
      </w:r>
      <w:r w:rsidRPr="00F6657C">
        <w:rPr>
          <w:rFonts w:ascii="Arial" w:hAnsi="Arial" w:cs="Arial"/>
          <w:sz w:val="24"/>
          <w:szCs w:val="24"/>
        </w:rPr>
        <w:br/>
      </w:r>
    </w:p>
    <w:p w14:paraId="7D213B1B" w14:textId="2F8B8CA2" w:rsidR="00CC4180" w:rsidRDefault="00153FBB" w:rsidP="00153FBB">
      <w:pPr>
        <w:rPr>
          <w:rFonts w:ascii="Arial" w:hAnsi="Arial" w:cs="Arial"/>
          <w:sz w:val="24"/>
          <w:szCs w:val="24"/>
        </w:rPr>
      </w:pPr>
      <w:r w:rsidRPr="00F6657C">
        <w:rPr>
          <w:rFonts w:ascii="Arial" w:hAnsi="Arial" w:cs="Arial"/>
          <w:sz w:val="24"/>
          <w:szCs w:val="24"/>
        </w:rPr>
        <w:t xml:space="preserve">The </w:t>
      </w:r>
      <w:r w:rsidR="008065A9" w:rsidRPr="00F6657C">
        <w:rPr>
          <w:rFonts w:ascii="Arial" w:hAnsi="Arial" w:cs="Arial"/>
          <w:sz w:val="24"/>
          <w:szCs w:val="24"/>
        </w:rPr>
        <w:t xml:space="preserve">clause also contains </w:t>
      </w:r>
      <w:r w:rsidR="00F92A21" w:rsidRPr="00F6657C">
        <w:rPr>
          <w:rFonts w:ascii="Arial" w:hAnsi="Arial" w:cs="Arial"/>
          <w:sz w:val="24"/>
          <w:szCs w:val="24"/>
        </w:rPr>
        <w:t xml:space="preserve"> </w:t>
      </w:r>
      <w:r w:rsidR="008065A9" w:rsidRPr="00F6657C">
        <w:rPr>
          <w:rFonts w:ascii="Arial" w:hAnsi="Arial" w:cs="Arial"/>
          <w:sz w:val="24"/>
          <w:szCs w:val="24"/>
        </w:rPr>
        <w:t>note</w:t>
      </w:r>
      <w:r w:rsidR="00CC4180">
        <w:rPr>
          <w:rFonts w:ascii="Arial" w:hAnsi="Arial" w:cs="Arial"/>
          <w:sz w:val="24"/>
          <w:szCs w:val="24"/>
        </w:rPr>
        <w:t>s</w:t>
      </w:r>
      <w:r w:rsidR="008065A9" w:rsidRPr="00F6657C">
        <w:rPr>
          <w:rFonts w:ascii="Arial" w:hAnsi="Arial" w:cs="Arial"/>
          <w:sz w:val="24"/>
          <w:szCs w:val="24"/>
        </w:rPr>
        <w:t xml:space="preserve"> which explain</w:t>
      </w:r>
      <w:r w:rsidR="00CC4180">
        <w:rPr>
          <w:rFonts w:ascii="Arial" w:hAnsi="Arial" w:cs="Arial"/>
          <w:sz w:val="24"/>
          <w:szCs w:val="24"/>
        </w:rPr>
        <w:t>:</w:t>
      </w:r>
    </w:p>
    <w:p w14:paraId="6909C9A4" w14:textId="179F004A" w:rsidR="008065A9" w:rsidRDefault="00F92A21" w:rsidP="00CC4180">
      <w:pPr>
        <w:pStyle w:val="ListParagraph"/>
        <w:numPr>
          <w:ilvl w:val="0"/>
          <w:numId w:val="45"/>
        </w:numPr>
        <w:rPr>
          <w:rFonts w:ascii="Arial" w:hAnsi="Arial" w:cs="Arial"/>
          <w:sz w:val="24"/>
          <w:szCs w:val="24"/>
        </w:rPr>
      </w:pPr>
      <w:r w:rsidRPr="00B00407">
        <w:rPr>
          <w:rFonts w:ascii="Arial" w:hAnsi="Arial" w:cs="Arial"/>
          <w:sz w:val="24"/>
          <w:szCs w:val="24"/>
        </w:rPr>
        <w:t xml:space="preserve"> t</w:t>
      </w:r>
      <w:r w:rsidR="008065A9" w:rsidRPr="00B00407">
        <w:rPr>
          <w:rFonts w:ascii="Arial" w:hAnsi="Arial" w:cs="Arial"/>
          <w:sz w:val="24"/>
          <w:szCs w:val="24"/>
        </w:rPr>
        <w:t>hat the naming and commencement provisions automatically commence on the notification day. This note also refers the read</w:t>
      </w:r>
      <w:r w:rsidR="00825A42" w:rsidRPr="00B00407">
        <w:rPr>
          <w:rFonts w:ascii="Arial" w:hAnsi="Arial" w:cs="Arial"/>
          <w:sz w:val="24"/>
          <w:szCs w:val="24"/>
        </w:rPr>
        <w:t>er</w:t>
      </w:r>
      <w:r w:rsidR="008065A9" w:rsidRPr="00B00407">
        <w:rPr>
          <w:rFonts w:ascii="Arial" w:hAnsi="Arial" w:cs="Arial"/>
          <w:sz w:val="24"/>
          <w:szCs w:val="24"/>
        </w:rPr>
        <w:t xml:space="preserve"> to the </w:t>
      </w:r>
      <w:r w:rsidR="008065A9" w:rsidRPr="00B00407">
        <w:rPr>
          <w:rFonts w:ascii="Arial" w:hAnsi="Arial" w:cs="Arial"/>
          <w:i/>
          <w:iCs/>
          <w:sz w:val="24"/>
          <w:szCs w:val="24"/>
        </w:rPr>
        <w:t>Legislation Act</w:t>
      </w:r>
      <w:r w:rsidR="00B02200" w:rsidRPr="00B00407">
        <w:rPr>
          <w:rFonts w:ascii="Arial" w:hAnsi="Arial" w:cs="Arial"/>
          <w:i/>
          <w:iCs/>
          <w:sz w:val="24"/>
          <w:szCs w:val="24"/>
        </w:rPr>
        <w:t xml:space="preserve"> 2001 (ACT)</w:t>
      </w:r>
      <w:r w:rsidR="00A936B6" w:rsidRPr="00B00407">
        <w:rPr>
          <w:rFonts w:ascii="Arial" w:hAnsi="Arial" w:cs="Arial"/>
          <w:i/>
          <w:iCs/>
          <w:sz w:val="24"/>
          <w:szCs w:val="24"/>
        </w:rPr>
        <w:t xml:space="preserve"> </w:t>
      </w:r>
      <w:r w:rsidR="00A936B6" w:rsidRPr="00B00407">
        <w:rPr>
          <w:rFonts w:ascii="Arial" w:hAnsi="Arial" w:cs="Arial"/>
          <w:sz w:val="24"/>
          <w:szCs w:val="24"/>
        </w:rPr>
        <w:t xml:space="preserve">(the </w:t>
      </w:r>
      <w:r w:rsidR="00A936B6" w:rsidRPr="00B00407">
        <w:rPr>
          <w:rFonts w:ascii="Arial" w:hAnsi="Arial" w:cs="Arial"/>
          <w:b/>
          <w:bCs/>
          <w:sz w:val="24"/>
          <w:szCs w:val="24"/>
        </w:rPr>
        <w:t>Legislation Act</w:t>
      </w:r>
      <w:r w:rsidR="00A936B6" w:rsidRPr="00B00407">
        <w:rPr>
          <w:rFonts w:ascii="Arial" w:hAnsi="Arial" w:cs="Arial"/>
          <w:sz w:val="24"/>
          <w:szCs w:val="24"/>
        </w:rPr>
        <w:t>)</w:t>
      </w:r>
      <w:r w:rsidR="008065A9" w:rsidRPr="00B00407">
        <w:rPr>
          <w:rFonts w:ascii="Arial" w:hAnsi="Arial" w:cs="Arial"/>
          <w:sz w:val="24"/>
          <w:szCs w:val="24"/>
        </w:rPr>
        <w:t xml:space="preserve">, s 75 (1) for more detail about automatic commencement. </w:t>
      </w:r>
    </w:p>
    <w:p w14:paraId="615328D0" w14:textId="19139C29" w:rsidR="00CC4180" w:rsidRDefault="00CC4180" w:rsidP="00CC4180">
      <w:pPr>
        <w:pStyle w:val="ListParagraph"/>
        <w:numPr>
          <w:ilvl w:val="0"/>
          <w:numId w:val="45"/>
        </w:numPr>
        <w:rPr>
          <w:rFonts w:ascii="Arial" w:hAnsi="Arial" w:cs="Arial"/>
          <w:sz w:val="24"/>
          <w:szCs w:val="24"/>
        </w:rPr>
      </w:pPr>
      <w:r>
        <w:rPr>
          <w:rFonts w:ascii="Arial" w:hAnsi="Arial" w:cs="Arial"/>
          <w:sz w:val="24"/>
          <w:szCs w:val="24"/>
        </w:rPr>
        <w:t xml:space="preserve">that when the Minister fixes a day for commencement, a single day or time may be fixed or different days or times may be fixed for the commencement of different provisions.  The Legislation Act at section 77(1) provides more detail on this. </w:t>
      </w:r>
    </w:p>
    <w:p w14:paraId="0A779BF1" w14:textId="452F8535" w:rsidR="00CC4180" w:rsidRPr="00B00407" w:rsidRDefault="008B20A2" w:rsidP="00B00407">
      <w:pPr>
        <w:pStyle w:val="ListParagraph"/>
        <w:numPr>
          <w:ilvl w:val="0"/>
          <w:numId w:val="45"/>
        </w:numPr>
        <w:rPr>
          <w:rFonts w:ascii="Arial" w:hAnsi="Arial" w:cs="Arial"/>
          <w:sz w:val="24"/>
          <w:szCs w:val="24"/>
        </w:rPr>
      </w:pPr>
      <w:r>
        <w:rPr>
          <w:rFonts w:ascii="Arial" w:hAnsi="Arial" w:cs="Arial"/>
          <w:sz w:val="24"/>
          <w:szCs w:val="24"/>
        </w:rPr>
        <w:t xml:space="preserve">that if a provision has not commenced within 6 months beginning on the notification day, it automatically commences on the first day after that period.  The Legislation Act at section 79 provides more detail on this. </w:t>
      </w:r>
    </w:p>
    <w:p w14:paraId="3C758ABA" w14:textId="688EF37B" w:rsidR="001A1EB3" w:rsidRPr="00264F34" w:rsidRDefault="001A1EB3" w:rsidP="001A1EB3">
      <w:pPr>
        <w:pStyle w:val="Heading3"/>
        <w:rPr>
          <w:rFonts w:cs="Arial"/>
          <w:b w:val="0"/>
        </w:rPr>
      </w:pPr>
      <w:r w:rsidRPr="00264F34">
        <w:rPr>
          <w:rFonts w:cs="Arial"/>
        </w:rPr>
        <w:lastRenderedPageBreak/>
        <w:t>Clause 3</w:t>
      </w:r>
      <w:r w:rsidRPr="00264F34">
        <w:rPr>
          <w:rFonts w:cs="Arial"/>
        </w:rPr>
        <w:tab/>
        <w:t>Legislation amended</w:t>
      </w:r>
    </w:p>
    <w:p w14:paraId="1145DA3D" w14:textId="1CA822BD" w:rsidR="00480D5F" w:rsidRPr="00F6657C" w:rsidRDefault="001A1EB3" w:rsidP="005A14D5">
      <w:pPr>
        <w:rPr>
          <w:rFonts w:ascii="Arial" w:hAnsi="Arial" w:cs="Arial"/>
          <w:sz w:val="24"/>
          <w:szCs w:val="24"/>
        </w:rPr>
      </w:pPr>
      <w:r w:rsidRPr="00264F34">
        <w:rPr>
          <w:rFonts w:ascii="Arial" w:hAnsi="Arial" w:cs="Arial"/>
          <w:sz w:val="24"/>
          <w:szCs w:val="24"/>
        </w:rPr>
        <w:t xml:space="preserve">This clause provides that the Act amends the </w:t>
      </w:r>
      <w:r w:rsidRPr="00264F34">
        <w:rPr>
          <w:rFonts w:ascii="Arial" w:hAnsi="Arial" w:cs="Arial"/>
          <w:i/>
          <w:iCs/>
          <w:sz w:val="24"/>
          <w:szCs w:val="24"/>
        </w:rPr>
        <w:t>Residential Tenancies Act 1997</w:t>
      </w:r>
      <w:r w:rsidRPr="00264F34">
        <w:rPr>
          <w:rFonts w:ascii="Arial" w:hAnsi="Arial" w:cs="Arial"/>
          <w:sz w:val="24"/>
          <w:szCs w:val="24"/>
        </w:rPr>
        <w:t xml:space="preserve"> (</w:t>
      </w:r>
      <w:r w:rsidRPr="00264F34">
        <w:rPr>
          <w:rFonts w:ascii="Arial" w:hAnsi="Arial" w:cs="Arial"/>
          <w:b/>
          <w:bCs/>
          <w:sz w:val="24"/>
          <w:szCs w:val="24"/>
        </w:rPr>
        <w:t>RTA</w:t>
      </w:r>
      <w:r w:rsidRPr="00264F34">
        <w:rPr>
          <w:rFonts w:ascii="Arial" w:hAnsi="Arial" w:cs="Arial"/>
          <w:sz w:val="24"/>
          <w:szCs w:val="24"/>
        </w:rPr>
        <w:t>)</w:t>
      </w:r>
      <w:r w:rsidRPr="00264F34">
        <w:rPr>
          <w:rFonts w:ascii="Arial" w:hAnsi="Arial" w:cs="Arial"/>
          <w:b/>
          <w:bCs/>
          <w:sz w:val="24"/>
          <w:szCs w:val="24"/>
        </w:rPr>
        <w:t xml:space="preserve"> </w:t>
      </w:r>
      <w:r w:rsidRPr="00264F34">
        <w:rPr>
          <w:rFonts w:ascii="Arial" w:hAnsi="Arial" w:cs="Arial"/>
          <w:sz w:val="24"/>
          <w:szCs w:val="24"/>
        </w:rPr>
        <w:t xml:space="preserve">and the </w:t>
      </w:r>
      <w:r w:rsidRPr="00264F34">
        <w:rPr>
          <w:rFonts w:ascii="Arial" w:hAnsi="Arial" w:cs="Arial"/>
          <w:i/>
          <w:iCs/>
          <w:sz w:val="24"/>
          <w:szCs w:val="24"/>
        </w:rPr>
        <w:t>Residential Tenancies Regulation 1998</w:t>
      </w:r>
      <w:r w:rsidRPr="00264F34">
        <w:rPr>
          <w:rFonts w:ascii="Arial" w:hAnsi="Arial" w:cs="Arial"/>
          <w:sz w:val="24"/>
          <w:szCs w:val="24"/>
        </w:rPr>
        <w:t xml:space="preserve"> (the </w:t>
      </w:r>
      <w:r w:rsidR="00DA3A40" w:rsidRPr="00264F34">
        <w:rPr>
          <w:rFonts w:ascii="Arial" w:hAnsi="Arial" w:cs="Arial"/>
          <w:b/>
          <w:bCs/>
          <w:sz w:val="24"/>
          <w:szCs w:val="24"/>
        </w:rPr>
        <w:t>R</w:t>
      </w:r>
      <w:r w:rsidR="00DA3A40">
        <w:rPr>
          <w:rFonts w:ascii="Arial" w:hAnsi="Arial" w:cs="Arial"/>
          <w:b/>
          <w:bCs/>
          <w:sz w:val="24"/>
          <w:szCs w:val="24"/>
        </w:rPr>
        <w:t>TR</w:t>
      </w:r>
      <w:r w:rsidRPr="00264F34">
        <w:rPr>
          <w:rFonts w:ascii="Arial" w:hAnsi="Arial" w:cs="Arial"/>
          <w:sz w:val="24"/>
          <w:szCs w:val="24"/>
        </w:rPr>
        <w:t>)</w:t>
      </w:r>
      <w:r w:rsidR="003F6B70">
        <w:rPr>
          <w:rFonts w:ascii="Arial" w:hAnsi="Arial" w:cs="Arial"/>
          <w:sz w:val="24"/>
          <w:szCs w:val="24"/>
        </w:rPr>
        <w:t xml:space="preserve">. </w:t>
      </w:r>
      <w:r w:rsidRPr="00F6657C">
        <w:rPr>
          <w:rFonts w:ascii="Arial" w:hAnsi="Arial" w:cs="Arial"/>
          <w:sz w:val="24"/>
          <w:szCs w:val="24"/>
        </w:rPr>
        <w:t xml:space="preserve">This clause also includes a note which explains that the Act also amends the </w:t>
      </w:r>
      <w:r w:rsidRPr="00F6657C">
        <w:rPr>
          <w:rFonts w:ascii="Arial" w:hAnsi="Arial" w:cs="Arial"/>
          <w:i/>
          <w:iCs/>
          <w:sz w:val="24"/>
          <w:szCs w:val="24"/>
        </w:rPr>
        <w:t>Housing Assistance Act 2007</w:t>
      </w:r>
      <w:r w:rsidRPr="00F6657C">
        <w:rPr>
          <w:rFonts w:ascii="Arial" w:hAnsi="Arial" w:cs="Arial"/>
          <w:sz w:val="24"/>
          <w:szCs w:val="24"/>
        </w:rPr>
        <w:t xml:space="preserve"> (ACT) (the </w:t>
      </w:r>
      <w:r w:rsidR="00DA3A40" w:rsidRPr="00F6657C">
        <w:rPr>
          <w:rFonts w:ascii="Arial" w:hAnsi="Arial" w:cs="Arial"/>
          <w:b/>
          <w:bCs/>
          <w:sz w:val="24"/>
          <w:szCs w:val="24"/>
        </w:rPr>
        <w:t>HAA</w:t>
      </w:r>
      <w:r w:rsidRPr="00F6657C">
        <w:rPr>
          <w:rFonts w:ascii="Arial" w:hAnsi="Arial" w:cs="Arial"/>
          <w:sz w:val="24"/>
          <w:szCs w:val="24"/>
        </w:rPr>
        <w:t xml:space="preserve">). It refers the reader to schedule 1 for further </w:t>
      </w:r>
      <w:r w:rsidR="00480D5F" w:rsidRPr="00F6657C">
        <w:rPr>
          <w:rFonts w:ascii="Arial" w:hAnsi="Arial" w:cs="Arial"/>
          <w:sz w:val="24"/>
          <w:szCs w:val="24"/>
        </w:rPr>
        <w:t xml:space="preserve">details. </w:t>
      </w:r>
    </w:p>
    <w:p w14:paraId="741202D2" w14:textId="56A19E61" w:rsidR="00DA3A40" w:rsidRPr="00264F34" w:rsidRDefault="00480D5F" w:rsidP="00DA3A40">
      <w:pPr>
        <w:pStyle w:val="Heading3"/>
        <w:rPr>
          <w:rFonts w:cs="Arial"/>
          <w:b w:val="0"/>
        </w:rPr>
      </w:pPr>
      <w:r w:rsidRPr="00B56AE9">
        <w:rPr>
          <w:rFonts w:cs="Arial"/>
        </w:rPr>
        <w:t>Clause</w:t>
      </w:r>
      <w:r w:rsidR="00DA3A40" w:rsidRPr="00B56AE9">
        <w:rPr>
          <w:rFonts w:cs="Arial"/>
        </w:rPr>
        <w:t xml:space="preserve"> 4</w:t>
      </w:r>
      <w:r w:rsidR="00DA3A40" w:rsidRPr="00B56AE9">
        <w:rPr>
          <w:rFonts w:cs="Arial"/>
        </w:rPr>
        <w:tab/>
        <w:t>Legislation repealed</w:t>
      </w:r>
    </w:p>
    <w:p w14:paraId="30CCA189" w14:textId="085D8AE6" w:rsidR="001A1EB3" w:rsidRDefault="00791A34" w:rsidP="00B02200">
      <w:pPr>
        <w:rPr>
          <w:rFonts w:ascii="Arial" w:hAnsi="Arial" w:cs="Arial"/>
          <w:sz w:val="24"/>
          <w:szCs w:val="24"/>
        </w:rPr>
      </w:pPr>
      <w:r>
        <w:rPr>
          <w:rFonts w:ascii="Arial" w:hAnsi="Arial" w:cs="Arial"/>
          <w:sz w:val="24"/>
          <w:szCs w:val="24"/>
        </w:rPr>
        <w:t>This clause provides that the</w:t>
      </w:r>
      <w:r w:rsidRPr="00791A34">
        <w:rPr>
          <w:rFonts w:ascii="Arial" w:hAnsi="Arial" w:cs="Arial"/>
          <w:sz w:val="24"/>
          <w:szCs w:val="24"/>
        </w:rPr>
        <w:t xml:space="preserve"> </w:t>
      </w:r>
      <w:r w:rsidRPr="00B56AE9">
        <w:rPr>
          <w:rFonts w:ascii="Arial" w:hAnsi="Arial" w:cs="Arial"/>
          <w:i/>
          <w:iCs/>
          <w:sz w:val="24"/>
          <w:szCs w:val="24"/>
        </w:rPr>
        <w:t>Housing Assistance Public Rental Housing Assistance Program (Review of entitlement to housing assistance) Operation Guideline 2013 (No 1)</w:t>
      </w:r>
      <w:r w:rsidRPr="005A14D5">
        <w:rPr>
          <w:rFonts w:ascii="Arial" w:hAnsi="Arial" w:cs="Arial"/>
          <w:sz w:val="24"/>
          <w:szCs w:val="24"/>
        </w:rPr>
        <w:t xml:space="preserve"> (NI2013 534) is repealed</w:t>
      </w:r>
      <w:r>
        <w:rPr>
          <w:rFonts w:ascii="Arial" w:hAnsi="Arial" w:cs="Arial"/>
          <w:sz w:val="24"/>
          <w:szCs w:val="24"/>
        </w:rPr>
        <w:t>.</w:t>
      </w:r>
    </w:p>
    <w:p w14:paraId="2828EC26" w14:textId="52CDDD97" w:rsidR="008065A9" w:rsidRPr="00480D5F" w:rsidRDefault="008065A9" w:rsidP="008C225D">
      <w:pPr>
        <w:pStyle w:val="Heading3"/>
        <w:rPr>
          <w:rFonts w:cs="Arial"/>
          <w:sz w:val="32"/>
          <w:szCs w:val="32"/>
        </w:rPr>
      </w:pPr>
      <w:r w:rsidRPr="00480D5F">
        <w:rPr>
          <w:rFonts w:cs="Arial"/>
          <w:sz w:val="32"/>
          <w:szCs w:val="32"/>
        </w:rPr>
        <w:t xml:space="preserve">Part 2 </w:t>
      </w:r>
      <w:r w:rsidRPr="00480D5F">
        <w:rPr>
          <w:rFonts w:cs="Arial"/>
          <w:sz w:val="32"/>
          <w:szCs w:val="32"/>
        </w:rPr>
        <w:tab/>
        <w:t>Residential Tenancies Act 1997</w:t>
      </w:r>
    </w:p>
    <w:p w14:paraId="721ACE0A" w14:textId="1AD37B53" w:rsidR="00D61814" w:rsidRPr="00264F34" w:rsidRDefault="00C677E6" w:rsidP="00C677E6">
      <w:pPr>
        <w:pStyle w:val="Heading3"/>
        <w:rPr>
          <w:rFonts w:cs="Arial"/>
        </w:rPr>
      </w:pPr>
      <w:r w:rsidRPr="00264F34">
        <w:rPr>
          <w:rFonts w:cs="Arial"/>
        </w:rPr>
        <w:t xml:space="preserve">Clause </w:t>
      </w:r>
      <w:r w:rsidR="00DA3A40">
        <w:rPr>
          <w:rFonts w:cs="Arial"/>
        </w:rPr>
        <w:t>5</w:t>
      </w:r>
      <w:r w:rsidRPr="00264F34">
        <w:rPr>
          <w:rFonts w:cs="Arial"/>
        </w:rPr>
        <w:tab/>
      </w:r>
      <w:r w:rsidR="00D61814" w:rsidRPr="00264F34">
        <w:rPr>
          <w:rFonts w:cs="Arial"/>
        </w:rPr>
        <w:t>Section 8</w:t>
      </w:r>
    </w:p>
    <w:p w14:paraId="3EB93481" w14:textId="29F666C0" w:rsidR="00D61814" w:rsidRPr="008906BD" w:rsidRDefault="008906BD" w:rsidP="006B1522">
      <w:pPr>
        <w:rPr>
          <w:rFonts w:ascii="Arial" w:hAnsi="Arial" w:cs="Arial"/>
          <w:sz w:val="24"/>
          <w:szCs w:val="24"/>
        </w:rPr>
      </w:pPr>
      <w:r>
        <w:rPr>
          <w:rFonts w:ascii="Arial" w:hAnsi="Arial" w:cs="Arial"/>
          <w:sz w:val="24"/>
          <w:szCs w:val="24"/>
        </w:rPr>
        <w:t xml:space="preserve">Clause </w:t>
      </w:r>
      <w:r w:rsidR="00DA3A40">
        <w:rPr>
          <w:rFonts w:ascii="Arial" w:hAnsi="Arial" w:cs="Arial"/>
          <w:sz w:val="24"/>
          <w:szCs w:val="24"/>
        </w:rPr>
        <w:t>5</w:t>
      </w:r>
      <w:r>
        <w:rPr>
          <w:rFonts w:ascii="Arial" w:hAnsi="Arial" w:cs="Arial"/>
          <w:sz w:val="24"/>
          <w:szCs w:val="24"/>
        </w:rPr>
        <w:t xml:space="preserve"> </w:t>
      </w:r>
      <w:r w:rsidR="0048099F">
        <w:rPr>
          <w:rFonts w:ascii="Arial" w:hAnsi="Arial" w:cs="Arial"/>
          <w:sz w:val="24"/>
          <w:szCs w:val="24"/>
        </w:rPr>
        <w:t xml:space="preserve">substitutes section </w:t>
      </w:r>
      <w:r>
        <w:rPr>
          <w:rFonts w:ascii="Arial" w:hAnsi="Arial" w:cs="Arial"/>
          <w:sz w:val="24"/>
          <w:szCs w:val="24"/>
        </w:rPr>
        <w:t xml:space="preserve">8 to clarify when and how the standard residential tenancy terms (the </w:t>
      </w:r>
      <w:r>
        <w:rPr>
          <w:rFonts w:ascii="Arial" w:hAnsi="Arial" w:cs="Arial"/>
          <w:b/>
          <w:bCs/>
          <w:sz w:val="24"/>
          <w:szCs w:val="24"/>
        </w:rPr>
        <w:t>SRTTs</w:t>
      </w:r>
      <w:r>
        <w:rPr>
          <w:rFonts w:ascii="Arial" w:hAnsi="Arial" w:cs="Arial"/>
          <w:sz w:val="24"/>
          <w:szCs w:val="24"/>
        </w:rPr>
        <w:t>) are intended to operate.</w:t>
      </w:r>
      <w:r w:rsidR="001A1EB3">
        <w:rPr>
          <w:rFonts w:ascii="Arial" w:hAnsi="Arial" w:cs="Arial"/>
          <w:sz w:val="24"/>
          <w:szCs w:val="24"/>
        </w:rPr>
        <w:t xml:space="preserve"> As the Bill introduces new tenancy terms that apply in some circumstances but not others</w:t>
      </w:r>
      <w:r w:rsidR="00825A42">
        <w:rPr>
          <w:rFonts w:ascii="Arial" w:hAnsi="Arial" w:cs="Arial"/>
          <w:sz w:val="24"/>
          <w:szCs w:val="24"/>
        </w:rPr>
        <w:t>,</w:t>
      </w:r>
      <w:r w:rsidR="001A1EB3">
        <w:rPr>
          <w:rFonts w:ascii="Arial" w:hAnsi="Arial" w:cs="Arial"/>
          <w:sz w:val="24"/>
          <w:szCs w:val="24"/>
        </w:rPr>
        <w:t xml:space="preserve"> section 8 has been reworked to indicate when a tenancy agreement is taken to contain certain tenancy termination provisions. </w:t>
      </w:r>
    </w:p>
    <w:p w14:paraId="60D354FC" w14:textId="5C616C84" w:rsidR="00F97A33" w:rsidRDefault="0048099F" w:rsidP="00F97A33">
      <w:pPr>
        <w:rPr>
          <w:rFonts w:ascii="Arial" w:hAnsi="Arial" w:cs="Arial"/>
          <w:sz w:val="24"/>
          <w:szCs w:val="24"/>
        </w:rPr>
      </w:pPr>
      <w:r>
        <w:rPr>
          <w:rFonts w:ascii="Arial" w:hAnsi="Arial" w:cs="Arial"/>
          <w:sz w:val="24"/>
          <w:szCs w:val="24"/>
        </w:rPr>
        <w:t>Section 8 provides that a</w:t>
      </w:r>
      <w:r w:rsidR="00FF1BD2">
        <w:rPr>
          <w:rFonts w:ascii="Arial" w:hAnsi="Arial" w:cs="Arial"/>
          <w:sz w:val="24"/>
          <w:szCs w:val="24"/>
        </w:rPr>
        <w:t xml:space="preserve"> fixed term</w:t>
      </w:r>
      <w:r>
        <w:rPr>
          <w:rFonts w:ascii="Arial" w:hAnsi="Arial" w:cs="Arial"/>
          <w:sz w:val="24"/>
          <w:szCs w:val="24"/>
        </w:rPr>
        <w:t xml:space="preserve"> residential tenancy agreement is taken to contain the </w:t>
      </w:r>
      <w:r w:rsidR="008906BD">
        <w:rPr>
          <w:rFonts w:ascii="Arial" w:hAnsi="Arial" w:cs="Arial"/>
          <w:sz w:val="24"/>
          <w:szCs w:val="24"/>
        </w:rPr>
        <w:t>SRTTs</w:t>
      </w:r>
      <w:r w:rsidR="00DA3A40">
        <w:rPr>
          <w:rFonts w:ascii="Arial" w:hAnsi="Arial" w:cs="Arial"/>
          <w:sz w:val="24"/>
          <w:szCs w:val="24"/>
        </w:rPr>
        <w:t xml:space="preserve"> set out in schedule 1</w:t>
      </w:r>
      <w:r w:rsidR="00FF1BD2">
        <w:rPr>
          <w:rFonts w:ascii="Arial" w:hAnsi="Arial" w:cs="Arial"/>
          <w:sz w:val="24"/>
          <w:szCs w:val="24"/>
        </w:rPr>
        <w:t xml:space="preserve">, as in force on the day the lessor and tenant(s) enter the agreement. </w:t>
      </w:r>
      <w:r w:rsidR="00F97A33">
        <w:rPr>
          <w:rFonts w:ascii="Arial" w:hAnsi="Arial" w:cs="Arial"/>
          <w:sz w:val="24"/>
          <w:szCs w:val="24"/>
        </w:rPr>
        <w:t>However, this section also clarifies that any amendments to the Act that effect the operation (rather than substantive content) of the SRTTs will apply to a fixed term agreement.</w:t>
      </w:r>
    </w:p>
    <w:p w14:paraId="682FD00D" w14:textId="66F3195F" w:rsidR="00DA3A40" w:rsidRDefault="00DA3A40" w:rsidP="00F97A33">
      <w:pPr>
        <w:rPr>
          <w:rFonts w:ascii="Arial" w:hAnsi="Arial" w:cs="Arial"/>
          <w:sz w:val="24"/>
          <w:szCs w:val="24"/>
        </w:rPr>
      </w:pPr>
      <w:r>
        <w:rPr>
          <w:rFonts w:ascii="Arial" w:hAnsi="Arial" w:cs="Arial"/>
          <w:sz w:val="24"/>
          <w:szCs w:val="24"/>
        </w:rPr>
        <w:t>Section 8 also provides that a periodic agreement is taken to contain the SRTTs</w:t>
      </w:r>
      <w:r w:rsidR="008A1488">
        <w:rPr>
          <w:rFonts w:ascii="Arial" w:hAnsi="Arial" w:cs="Arial"/>
          <w:sz w:val="24"/>
          <w:szCs w:val="24"/>
        </w:rPr>
        <w:t xml:space="preserve"> in schedule 1</w:t>
      </w:r>
      <w:r>
        <w:rPr>
          <w:rFonts w:ascii="Arial" w:hAnsi="Arial" w:cs="Arial"/>
          <w:sz w:val="24"/>
          <w:szCs w:val="24"/>
        </w:rPr>
        <w:t xml:space="preserve">, as in force from time to time This means that if the standard terms are updated, the updated terms will automatically be incorporated into an existing periodic tenancy agreement. </w:t>
      </w:r>
    </w:p>
    <w:p w14:paraId="0BDD96B3" w14:textId="17212ECD" w:rsidR="0048099F" w:rsidRDefault="00F97A33" w:rsidP="006B1522">
      <w:pPr>
        <w:rPr>
          <w:rFonts w:ascii="Arial" w:hAnsi="Arial" w:cs="Arial"/>
          <w:sz w:val="24"/>
          <w:szCs w:val="24"/>
        </w:rPr>
      </w:pPr>
      <w:r>
        <w:rPr>
          <w:rFonts w:ascii="Arial" w:hAnsi="Arial" w:cs="Arial"/>
          <w:sz w:val="24"/>
          <w:szCs w:val="24"/>
        </w:rPr>
        <w:t xml:space="preserve">Section 8 </w:t>
      </w:r>
      <w:r w:rsidR="00DA3A40">
        <w:rPr>
          <w:rFonts w:ascii="Arial" w:hAnsi="Arial" w:cs="Arial"/>
          <w:sz w:val="24"/>
          <w:szCs w:val="24"/>
        </w:rPr>
        <w:t>also clarifies</w:t>
      </w:r>
      <w:r w:rsidR="00FF1BD2">
        <w:rPr>
          <w:rFonts w:ascii="Arial" w:hAnsi="Arial" w:cs="Arial"/>
          <w:sz w:val="24"/>
          <w:szCs w:val="24"/>
        </w:rPr>
        <w:t xml:space="preserve"> that </w:t>
      </w:r>
      <w:r>
        <w:rPr>
          <w:rFonts w:ascii="Arial" w:hAnsi="Arial" w:cs="Arial"/>
          <w:sz w:val="24"/>
          <w:szCs w:val="24"/>
        </w:rPr>
        <w:t xml:space="preserve">where </w:t>
      </w:r>
      <w:r w:rsidR="00FF1BD2">
        <w:rPr>
          <w:rFonts w:ascii="Arial" w:hAnsi="Arial" w:cs="Arial"/>
          <w:sz w:val="24"/>
          <w:szCs w:val="24"/>
        </w:rPr>
        <w:t>a periodic residential tenancy agreement</w:t>
      </w:r>
      <w:r w:rsidR="008906BD">
        <w:rPr>
          <w:rFonts w:ascii="Arial" w:hAnsi="Arial" w:cs="Arial"/>
          <w:sz w:val="24"/>
          <w:szCs w:val="24"/>
        </w:rPr>
        <w:t xml:space="preserve"> has commenced at the expiry of a fixed term </w:t>
      </w:r>
      <w:r>
        <w:rPr>
          <w:rFonts w:ascii="Arial" w:hAnsi="Arial" w:cs="Arial"/>
          <w:sz w:val="24"/>
          <w:szCs w:val="24"/>
        </w:rPr>
        <w:t xml:space="preserve">residential tenancy </w:t>
      </w:r>
      <w:r w:rsidR="008906BD">
        <w:rPr>
          <w:rFonts w:ascii="Arial" w:hAnsi="Arial" w:cs="Arial"/>
          <w:sz w:val="24"/>
          <w:szCs w:val="24"/>
        </w:rPr>
        <w:t>agreement</w:t>
      </w:r>
      <w:r>
        <w:rPr>
          <w:rFonts w:ascii="Arial" w:hAnsi="Arial" w:cs="Arial"/>
          <w:sz w:val="24"/>
          <w:szCs w:val="24"/>
        </w:rPr>
        <w:t>, it</w:t>
      </w:r>
      <w:r w:rsidR="00FF1BD2">
        <w:rPr>
          <w:rFonts w:ascii="Arial" w:hAnsi="Arial" w:cs="Arial"/>
          <w:sz w:val="24"/>
          <w:szCs w:val="24"/>
        </w:rPr>
        <w:t xml:space="preserve"> is taken to contain the SRTTs </w:t>
      </w:r>
      <w:r w:rsidR="00B1430B">
        <w:rPr>
          <w:rFonts w:ascii="Arial" w:hAnsi="Arial" w:cs="Arial"/>
          <w:sz w:val="24"/>
          <w:szCs w:val="24"/>
        </w:rPr>
        <w:t xml:space="preserve">that are in force at any given time. </w:t>
      </w:r>
    </w:p>
    <w:p w14:paraId="6AC20C46" w14:textId="765FBA0F" w:rsidR="00FF1BD2" w:rsidRDefault="00F97A33" w:rsidP="006B1522">
      <w:pPr>
        <w:rPr>
          <w:rFonts w:ascii="Arial" w:hAnsi="Arial" w:cs="Arial"/>
          <w:sz w:val="24"/>
          <w:szCs w:val="24"/>
        </w:rPr>
      </w:pPr>
      <w:r>
        <w:rPr>
          <w:rFonts w:ascii="Arial" w:hAnsi="Arial" w:cs="Arial"/>
          <w:sz w:val="24"/>
          <w:szCs w:val="24"/>
        </w:rPr>
        <w:t xml:space="preserve">This section also clarifies </w:t>
      </w:r>
      <w:r w:rsidR="00DA3A40">
        <w:rPr>
          <w:rFonts w:ascii="Arial" w:hAnsi="Arial" w:cs="Arial"/>
          <w:sz w:val="24"/>
          <w:szCs w:val="24"/>
        </w:rPr>
        <w:t>when</w:t>
      </w:r>
      <w:r>
        <w:rPr>
          <w:rFonts w:ascii="Arial" w:hAnsi="Arial" w:cs="Arial"/>
          <w:sz w:val="24"/>
          <w:szCs w:val="24"/>
        </w:rPr>
        <w:t xml:space="preserve"> </w:t>
      </w:r>
      <w:r w:rsidR="00B1430B">
        <w:rPr>
          <w:rFonts w:ascii="Arial" w:hAnsi="Arial" w:cs="Arial"/>
          <w:sz w:val="24"/>
          <w:szCs w:val="24"/>
        </w:rPr>
        <w:t>particular</w:t>
      </w:r>
      <w:r>
        <w:rPr>
          <w:rFonts w:ascii="Arial" w:hAnsi="Arial" w:cs="Arial"/>
          <w:sz w:val="24"/>
          <w:szCs w:val="24"/>
        </w:rPr>
        <w:t xml:space="preserve"> residential tenancy agreement</w:t>
      </w:r>
      <w:r w:rsidR="00B1430B">
        <w:rPr>
          <w:rFonts w:ascii="Arial" w:hAnsi="Arial" w:cs="Arial"/>
          <w:sz w:val="24"/>
          <w:szCs w:val="24"/>
        </w:rPr>
        <w:t>s</w:t>
      </w:r>
      <w:r w:rsidR="00DA3A40">
        <w:rPr>
          <w:rFonts w:ascii="Arial" w:hAnsi="Arial" w:cs="Arial"/>
          <w:sz w:val="24"/>
          <w:szCs w:val="24"/>
        </w:rPr>
        <w:t xml:space="preserve"> are taken to contain additional SRTTs</w:t>
      </w:r>
      <w:r w:rsidR="008A1488">
        <w:rPr>
          <w:rFonts w:ascii="Arial" w:hAnsi="Arial" w:cs="Arial"/>
          <w:sz w:val="24"/>
          <w:szCs w:val="24"/>
        </w:rPr>
        <w:t>.  A tenancy agreement</w:t>
      </w:r>
      <w:r w:rsidR="00FF1BD2">
        <w:rPr>
          <w:rFonts w:ascii="Arial" w:hAnsi="Arial" w:cs="Arial"/>
          <w:sz w:val="24"/>
          <w:szCs w:val="24"/>
        </w:rPr>
        <w:t>:</w:t>
      </w:r>
    </w:p>
    <w:p w14:paraId="4E093AF2" w14:textId="718D62B7" w:rsidR="00FF1BD2" w:rsidRDefault="008A1488" w:rsidP="00FF1BD2">
      <w:pPr>
        <w:pStyle w:val="ListParagraph"/>
        <w:numPr>
          <w:ilvl w:val="0"/>
          <w:numId w:val="22"/>
        </w:numPr>
        <w:rPr>
          <w:rFonts w:ascii="Arial" w:hAnsi="Arial" w:cs="Arial"/>
          <w:sz w:val="24"/>
          <w:szCs w:val="24"/>
        </w:rPr>
      </w:pPr>
      <w:r>
        <w:rPr>
          <w:rFonts w:ascii="Arial" w:hAnsi="Arial" w:cs="Arial"/>
          <w:sz w:val="24"/>
          <w:szCs w:val="24"/>
        </w:rPr>
        <w:t xml:space="preserve">includes the </w:t>
      </w:r>
      <w:r w:rsidRPr="00480D5F">
        <w:rPr>
          <w:rFonts w:ascii="Arial" w:hAnsi="Arial" w:cs="Arial"/>
          <w:b/>
          <w:bCs/>
          <w:sz w:val="24"/>
          <w:szCs w:val="24"/>
        </w:rPr>
        <w:t>public housing termination clauses</w:t>
      </w:r>
      <w:r>
        <w:rPr>
          <w:rFonts w:ascii="Arial" w:hAnsi="Arial" w:cs="Arial"/>
          <w:sz w:val="24"/>
          <w:szCs w:val="24"/>
        </w:rPr>
        <w:t xml:space="preserve"> if </w:t>
      </w:r>
      <w:r w:rsidR="00FF1BD2" w:rsidRPr="008906BD">
        <w:rPr>
          <w:rFonts w:ascii="Arial" w:hAnsi="Arial" w:cs="Arial"/>
          <w:sz w:val="24"/>
          <w:szCs w:val="24"/>
        </w:rPr>
        <w:t xml:space="preserve">the lessor is the </w:t>
      </w:r>
      <w:r w:rsidR="000B3FB6">
        <w:rPr>
          <w:rFonts w:ascii="Arial" w:hAnsi="Arial" w:cs="Arial"/>
          <w:sz w:val="24"/>
          <w:szCs w:val="24"/>
        </w:rPr>
        <w:t>Housing Commissioner</w:t>
      </w:r>
      <w:r w:rsidR="00095A66">
        <w:rPr>
          <w:rFonts w:ascii="Arial" w:hAnsi="Arial" w:cs="Arial"/>
          <w:sz w:val="24"/>
          <w:szCs w:val="24"/>
        </w:rPr>
        <w:t>;</w:t>
      </w:r>
      <w:r w:rsidR="00FF1BD2" w:rsidRPr="008906BD">
        <w:rPr>
          <w:rFonts w:ascii="Arial" w:hAnsi="Arial" w:cs="Arial"/>
          <w:sz w:val="24"/>
          <w:szCs w:val="24"/>
        </w:rPr>
        <w:t xml:space="preserve"> </w:t>
      </w:r>
    </w:p>
    <w:p w14:paraId="2719B6D0" w14:textId="370D63EA" w:rsidR="00FF1BD2" w:rsidRDefault="008A1488" w:rsidP="00FF1BD2">
      <w:pPr>
        <w:pStyle w:val="ListParagraph"/>
        <w:numPr>
          <w:ilvl w:val="0"/>
          <w:numId w:val="22"/>
        </w:numPr>
        <w:rPr>
          <w:rFonts w:ascii="Arial" w:hAnsi="Arial" w:cs="Arial"/>
          <w:sz w:val="24"/>
          <w:szCs w:val="24"/>
        </w:rPr>
      </w:pPr>
      <w:r>
        <w:rPr>
          <w:rFonts w:ascii="Arial" w:hAnsi="Arial" w:cs="Arial"/>
          <w:sz w:val="24"/>
          <w:szCs w:val="24"/>
        </w:rPr>
        <w:t xml:space="preserve">includes the </w:t>
      </w:r>
      <w:r w:rsidRPr="00480D5F">
        <w:rPr>
          <w:rFonts w:ascii="Arial" w:hAnsi="Arial" w:cs="Arial"/>
          <w:b/>
          <w:bCs/>
          <w:sz w:val="24"/>
          <w:szCs w:val="24"/>
        </w:rPr>
        <w:t>temporary housing assistance termination clause</w:t>
      </w:r>
      <w:r>
        <w:rPr>
          <w:rFonts w:ascii="Arial" w:hAnsi="Arial" w:cs="Arial"/>
          <w:sz w:val="24"/>
          <w:szCs w:val="24"/>
        </w:rPr>
        <w:t xml:space="preserve"> if </w:t>
      </w:r>
      <w:r w:rsidR="00FF1BD2">
        <w:rPr>
          <w:rFonts w:ascii="Arial" w:hAnsi="Arial" w:cs="Arial"/>
          <w:sz w:val="24"/>
          <w:szCs w:val="24"/>
        </w:rPr>
        <w:t xml:space="preserve">the lessor is the </w:t>
      </w:r>
      <w:r w:rsidR="000B3FB6">
        <w:rPr>
          <w:rFonts w:ascii="Arial" w:hAnsi="Arial" w:cs="Arial"/>
          <w:sz w:val="24"/>
          <w:szCs w:val="24"/>
        </w:rPr>
        <w:t>Housing Commissioner</w:t>
      </w:r>
      <w:r w:rsidR="00FF1BD2">
        <w:rPr>
          <w:rFonts w:ascii="Arial" w:hAnsi="Arial" w:cs="Arial"/>
          <w:sz w:val="24"/>
          <w:szCs w:val="24"/>
        </w:rPr>
        <w:t xml:space="preserve"> and the tenant is receiving temporary housing assistance</w:t>
      </w:r>
      <w:r>
        <w:rPr>
          <w:rFonts w:ascii="Arial" w:hAnsi="Arial" w:cs="Arial"/>
          <w:sz w:val="24"/>
          <w:szCs w:val="24"/>
        </w:rPr>
        <w:t xml:space="preserve"> for the premises</w:t>
      </w:r>
      <w:r w:rsidR="00095A66">
        <w:rPr>
          <w:rFonts w:ascii="Arial" w:hAnsi="Arial" w:cs="Arial"/>
          <w:sz w:val="24"/>
          <w:szCs w:val="24"/>
        </w:rPr>
        <w:t>;</w:t>
      </w:r>
      <w:r>
        <w:rPr>
          <w:rFonts w:ascii="Arial" w:hAnsi="Arial" w:cs="Arial"/>
          <w:sz w:val="24"/>
          <w:szCs w:val="24"/>
        </w:rPr>
        <w:t xml:space="preserve"> </w:t>
      </w:r>
    </w:p>
    <w:p w14:paraId="371D0382" w14:textId="7021F31D" w:rsidR="008A1488" w:rsidRPr="00480D5F" w:rsidRDefault="008A1488" w:rsidP="008A1488">
      <w:pPr>
        <w:pStyle w:val="ListParagraph"/>
        <w:numPr>
          <w:ilvl w:val="0"/>
          <w:numId w:val="22"/>
        </w:numPr>
        <w:rPr>
          <w:rFonts w:ascii="Arial" w:hAnsi="Arial" w:cs="Arial"/>
          <w:sz w:val="24"/>
          <w:szCs w:val="24"/>
        </w:rPr>
      </w:pPr>
      <w:r>
        <w:rPr>
          <w:rFonts w:ascii="Arial" w:hAnsi="Arial" w:cs="Arial"/>
          <w:sz w:val="24"/>
          <w:szCs w:val="24"/>
        </w:rPr>
        <w:lastRenderedPageBreak/>
        <w:t xml:space="preserve">includes the </w:t>
      </w:r>
      <w:r w:rsidRPr="00480D5F">
        <w:rPr>
          <w:rFonts w:ascii="Arial" w:hAnsi="Arial" w:cs="Arial"/>
          <w:b/>
          <w:bCs/>
          <w:sz w:val="24"/>
          <w:szCs w:val="24"/>
        </w:rPr>
        <w:t>community housing provider termination clause</w:t>
      </w:r>
      <w:r>
        <w:rPr>
          <w:rFonts w:ascii="Arial" w:hAnsi="Arial" w:cs="Arial"/>
          <w:sz w:val="24"/>
          <w:szCs w:val="24"/>
        </w:rPr>
        <w:t xml:space="preserve"> if the lessor is a registered community housing provider that leases a property that is owned by another person by agreement with the owner</w:t>
      </w:r>
      <w:r w:rsidR="00095A66">
        <w:rPr>
          <w:rFonts w:ascii="Arial" w:hAnsi="Arial" w:cs="Arial"/>
          <w:sz w:val="24"/>
          <w:szCs w:val="24"/>
        </w:rPr>
        <w:t>; and</w:t>
      </w:r>
    </w:p>
    <w:p w14:paraId="4EAE0F21" w14:textId="6C317259" w:rsidR="00FF1BD2" w:rsidRDefault="008A1488" w:rsidP="00095A66">
      <w:pPr>
        <w:pStyle w:val="ListParagraph"/>
        <w:numPr>
          <w:ilvl w:val="0"/>
          <w:numId w:val="22"/>
        </w:numPr>
        <w:rPr>
          <w:rFonts w:ascii="Arial" w:hAnsi="Arial" w:cs="Arial"/>
          <w:sz w:val="24"/>
          <w:szCs w:val="24"/>
        </w:rPr>
      </w:pPr>
      <w:r>
        <w:rPr>
          <w:rFonts w:ascii="Arial" w:hAnsi="Arial" w:cs="Arial"/>
          <w:sz w:val="24"/>
          <w:szCs w:val="24"/>
        </w:rPr>
        <w:t xml:space="preserve">includes the </w:t>
      </w:r>
      <w:r w:rsidRPr="00480D5F">
        <w:rPr>
          <w:rFonts w:ascii="Arial" w:hAnsi="Arial" w:cs="Arial"/>
          <w:b/>
          <w:bCs/>
          <w:sz w:val="24"/>
          <w:szCs w:val="24"/>
        </w:rPr>
        <w:t>subsidised accommodation clauses</w:t>
      </w:r>
      <w:r>
        <w:rPr>
          <w:rFonts w:ascii="Arial" w:hAnsi="Arial" w:cs="Arial"/>
          <w:sz w:val="24"/>
          <w:szCs w:val="24"/>
        </w:rPr>
        <w:t xml:space="preserve"> </w:t>
      </w:r>
      <w:r w:rsidR="00E44423">
        <w:rPr>
          <w:rFonts w:ascii="Arial" w:hAnsi="Arial" w:cs="Arial"/>
          <w:sz w:val="24"/>
          <w:szCs w:val="24"/>
        </w:rPr>
        <w:t>if neither of the circumstances described above apply, the lessor</w:t>
      </w:r>
      <w:r w:rsidR="006D2698">
        <w:rPr>
          <w:rFonts w:ascii="Arial" w:hAnsi="Arial" w:cs="Arial"/>
          <w:sz w:val="24"/>
          <w:szCs w:val="24"/>
        </w:rPr>
        <w:t xml:space="preserve"> (or entity acting on the lessor’s behalf) </w:t>
      </w:r>
      <w:r w:rsidR="00E44423">
        <w:rPr>
          <w:rFonts w:ascii="Arial" w:hAnsi="Arial" w:cs="Arial"/>
          <w:sz w:val="24"/>
          <w:szCs w:val="24"/>
        </w:rPr>
        <w:t xml:space="preserve">is either a registered community housing provider, or the lessor </w:t>
      </w:r>
      <w:r w:rsidR="006D2698">
        <w:rPr>
          <w:rFonts w:ascii="Arial" w:hAnsi="Arial" w:cs="Arial"/>
          <w:sz w:val="24"/>
          <w:szCs w:val="24"/>
        </w:rPr>
        <w:t xml:space="preserve">or </w:t>
      </w:r>
      <w:r w:rsidR="00095A66">
        <w:rPr>
          <w:rFonts w:ascii="Arial" w:hAnsi="Arial" w:cs="Arial"/>
          <w:sz w:val="24"/>
          <w:szCs w:val="24"/>
        </w:rPr>
        <w:t>owner of the premises</w:t>
      </w:r>
      <w:r w:rsidR="006D2698">
        <w:rPr>
          <w:rFonts w:ascii="Arial" w:hAnsi="Arial" w:cs="Arial"/>
          <w:sz w:val="24"/>
          <w:szCs w:val="24"/>
        </w:rPr>
        <w:t xml:space="preserve"> </w:t>
      </w:r>
      <w:r w:rsidR="00E44423">
        <w:rPr>
          <w:rFonts w:ascii="Arial" w:hAnsi="Arial" w:cs="Arial"/>
          <w:sz w:val="24"/>
          <w:szCs w:val="24"/>
        </w:rPr>
        <w:t>receives government funding or assistance to provide the premises to the tenant</w:t>
      </w:r>
      <w:r w:rsidR="00095A66">
        <w:rPr>
          <w:rFonts w:ascii="Arial" w:hAnsi="Arial" w:cs="Arial"/>
          <w:sz w:val="24"/>
          <w:szCs w:val="24"/>
        </w:rPr>
        <w:t>.</w:t>
      </w:r>
    </w:p>
    <w:p w14:paraId="278C7CC3" w14:textId="213F2620" w:rsidR="004D1DDA" w:rsidRDefault="004E06EA" w:rsidP="004D1DDA">
      <w:pPr>
        <w:rPr>
          <w:rFonts w:ascii="Arial" w:hAnsi="Arial" w:cs="Arial"/>
          <w:sz w:val="24"/>
          <w:szCs w:val="24"/>
        </w:rPr>
      </w:pPr>
      <w:r>
        <w:rPr>
          <w:rFonts w:ascii="Arial" w:hAnsi="Arial" w:cs="Arial"/>
          <w:sz w:val="24"/>
          <w:szCs w:val="24"/>
        </w:rPr>
        <w:br/>
      </w:r>
      <w:r w:rsidR="004D1DDA">
        <w:rPr>
          <w:rFonts w:ascii="Arial" w:hAnsi="Arial" w:cs="Arial"/>
          <w:sz w:val="24"/>
          <w:szCs w:val="24"/>
        </w:rPr>
        <w:t xml:space="preserve">A residential tenancy agreement may also include a </w:t>
      </w:r>
      <w:r w:rsidR="004D1DDA" w:rsidRPr="00480D5F">
        <w:rPr>
          <w:rFonts w:ascii="Arial" w:hAnsi="Arial" w:cs="Arial"/>
          <w:b/>
          <w:bCs/>
          <w:sz w:val="24"/>
          <w:szCs w:val="24"/>
        </w:rPr>
        <w:t>posting termination clause</w:t>
      </w:r>
      <w:r w:rsidR="004D1DDA">
        <w:rPr>
          <w:rFonts w:ascii="Arial" w:hAnsi="Arial" w:cs="Arial"/>
          <w:sz w:val="24"/>
          <w:szCs w:val="24"/>
        </w:rPr>
        <w:t xml:space="preserve"> if both the lessor and the tenant agree.</w:t>
      </w:r>
    </w:p>
    <w:p w14:paraId="469E60F3" w14:textId="628BC835" w:rsidR="004D1DDA" w:rsidRPr="002838EC" w:rsidRDefault="004D1DDA" w:rsidP="004D1DDA">
      <w:pPr>
        <w:rPr>
          <w:rFonts w:ascii="Arial" w:hAnsi="Arial" w:cs="Arial"/>
          <w:sz w:val="24"/>
          <w:szCs w:val="24"/>
        </w:rPr>
      </w:pPr>
      <w:r>
        <w:rPr>
          <w:rFonts w:ascii="Arial" w:hAnsi="Arial" w:cs="Arial"/>
          <w:sz w:val="24"/>
          <w:szCs w:val="24"/>
        </w:rPr>
        <w:t xml:space="preserve">A fixed term residential tenancy agreement may also include a </w:t>
      </w:r>
      <w:r w:rsidRPr="00480D5F">
        <w:rPr>
          <w:rFonts w:ascii="Arial" w:hAnsi="Arial" w:cs="Arial"/>
          <w:b/>
          <w:bCs/>
          <w:sz w:val="24"/>
          <w:szCs w:val="24"/>
        </w:rPr>
        <w:t>break lease fee clause</w:t>
      </w:r>
      <w:r>
        <w:rPr>
          <w:rFonts w:ascii="Arial" w:hAnsi="Arial" w:cs="Arial"/>
          <w:sz w:val="24"/>
          <w:szCs w:val="24"/>
        </w:rPr>
        <w:t xml:space="preserve"> where both the lessor and the tenant agree to the clause being included.</w:t>
      </w:r>
    </w:p>
    <w:p w14:paraId="08BF42E4" w14:textId="6A45DFE9" w:rsidR="00F97A33" w:rsidRDefault="004D1DDA" w:rsidP="008906BD">
      <w:pPr>
        <w:rPr>
          <w:rFonts w:ascii="Arial" w:hAnsi="Arial" w:cs="Arial"/>
          <w:sz w:val="24"/>
          <w:szCs w:val="24"/>
        </w:rPr>
      </w:pPr>
      <w:r>
        <w:rPr>
          <w:rFonts w:ascii="Arial" w:hAnsi="Arial" w:cs="Arial"/>
          <w:sz w:val="24"/>
          <w:szCs w:val="24"/>
        </w:rPr>
        <w:t xml:space="preserve">This section further clarifies that any residential tenancy agreement may include an additional term that is consistent with the SRTTs. Should either the lessor or the tenant wish to include any terms that are inconsistent with the SRTTs, these terms must be endorsed by the </w:t>
      </w:r>
      <w:r w:rsidR="004E06EA">
        <w:rPr>
          <w:rFonts w:ascii="Arial" w:hAnsi="Arial" w:cs="Arial"/>
          <w:sz w:val="24"/>
          <w:szCs w:val="24"/>
        </w:rPr>
        <w:t xml:space="preserve">ACT Civil and Administrative </w:t>
      </w:r>
      <w:r>
        <w:rPr>
          <w:rFonts w:ascii="Arial" w:hAnsi="Arial" w:cs="Arial"/>
          <w:sz w:val="24"/>
          <w:szCs w:val="24"/>
        </w:rPr>
        <w:t xml:space="preserve">Tribunal </w:t>
      </w:r>
      <w:r w:rsidR="004E06EA">
        <w:rPr>
          <w:rFonts w:ascii="Arial" w:hAnsi="Arial" w:cs="Arial"/>
          <w:sz w:val="24"/>
          <w:szCs w:val="24"/>
        </w:rPr>
        <w:t>(</w:t>
      </w:r>
      <w:r w:rsidR="004E06EA">
        <w:rPr>
          <w:rFonts w:ascii="Arial" w:hAnsi="Arial" w:cs="Arial"/>
          <w:b/>
          <w:bCs/>
          <w:sz w:val="24"/>
          <w:szCs w:val="24"/>
        </w:rPr>
        <w:t>ACAT</w:t>
      </w:r>
      <w:r w:rsidR="004E06EA">
        <w:rPr>
          <w:rFonts w:ascii="Arial" w:hAnsi="Arial" w:cs="Arial"/>
          <w:sz w:val="24"/>
          <w:szCs w:val="24"/>
        </w:rPr>
        <w:t>)</w:t>
      </w:r>
      <w:r w:rsidR="004E06EA">
        <w:rPr>
          <w:rFonts w:ascii="Arial" w:hAnsi="Arial" w:cs="Arial"/>
          <w:b/>
          <w:bCs/>
          <w:sz w:val="24"/>
          <w:szCs w:val="24"/>
        </w:rPr>
        <w:t xml:space="preserve"> </w:t>
      </w:r>
      <w:r>
        <w:rPr>
          <w:rFonts w:ascii="Arial" w:hAnsi="Arial" w:cs="Arial"/>
          <w:sz w:val="24"/>
          <w:szCs w:val="24"/>
        </w:rPr>
        <w:t>under section 10 of the Act.</w:t>
      </w:r>
    </w:p>
    <w:p w14:paraId="15ABD25A" w14:textId="7EBFE476" w:rsidR="009645C2" w:rsidRDefault="009645C2" w:rsidP="008906BD">
      <w:pPr>
        <w:rPr>
          <w:rFonts w:ascii="Arial" w:hAnsi="Arial" w:cs="Arial"/>
          <w:sz w:val="24"/>
          <w:szCs w:val="24"/>
        </w:rPr>
      </w:pPr>
      <w:r>
        <w:rPr>
          <w:rFonts w:ascii="Arial" w:hAnsi="Arial" w:cs="Arial"/>
          <w:sz w:val="24"/>
          <w:szCs w:val="24"/>
        </w:rPr>
        <w:t xml:space="preserve">This section also includes examples to clarify what is meant by government funding or assistance for the purposes of the subsidised accommodation clauses. </w:t>
      </w:r>
      <w:r w:rsidR="006D2698">
        <w:rPr>
          <w:rFonts w:ascii="Arial" w:hAnsi="Arial" w:cs="Arial"/>
          <w:sz w:val="24"/>
          <w:szCs w:val="24"/>
        </w:rPr>
        <w:t>This includes: affordable housing provided or managed by a community housing provider, accommodation provided in accordance with the National Rental Affordability Scheme, and specialist disability accommodation.</w:t>
      </w:r>
    </w:p>
    <w:p w14:paraId="337AD535" w14:textId="75FD1298" w:rsidR="008906BD" w:rsidRDefault="008906BD" w:rsidP="008906BD">
      <w:pPr>
        <w:rPr>
          <w:rFonts w:ascii="Arial" w:hAnsi="Arial" w:cs="Arial"/>
          <w:sz w:val="24"/>
          <w:szCs w:val="24"/>
        </w:rPr>
      </w:pPr>
      <w:r>
        <w:rPr>
          <w:rFonts w:ascii="Arial" w:hAnsi="Arial" w:cs="Arial"/>
          <w:sz w:val="24"/>
          <w:szCs w:val="24"/>
        </w:rPr>
        <w:t>Section 8 also defines the following terms for the purposes of this section:</w:t>
      </w:r>
    </w:p>
    <w:p w14:paraId="4CD2A087" w14:textId="0C065E8E" w:rsidR="008906BD" w:rsidRDefault="008906BD" w:rsidP="008906BD">
      <w:pPr>
        <w:pStyle w:val="ListParagraph"/>
        <w:numPr>
          <w:ilvl w:val="0"/>
          <w:numId w:val="23"/>
        </w:numPr>
        <w:rPr>
          <w:rFonts w:ascii="Arial" w:hAnsi="Arial" w:cs="Arial"/>
          <w:sz w:val="24"/>
          <w:szCs w:val="24"/>
        </w:rPr>
      </w:pPr>
      <w:r>
        <w:rPr>
          <w:rFonts w:ascii="Arial" w:hAnsi="Arial" w:cs="Arial"/>
          <w:b/>
          <w:bCs/>
          <w:i/>
          <w:iCs/>
          <w:sz w:val="24"/>
          <w:szCs w:val="24"/>
        </w:rPr>
        <w:t xml:space="preserve">break lease fee clause </w:t>
      </w:r>
      <w:r>
        <w:rPr>
          <w:rFonts w:ascii="Arial" w:hAnsi="Arial" w:cs="Arial"/>
          <w:sz w:val="24"/>
          <w:szCs w:val="24"/>
        </w:rPr>
        <w:t>– refers the reader to schedule 2, section 2.1;</w:t>
      </w:r>
    </w:p>
    <w:p w14:paraId="6B661A77" w14:textId="66A02FEA" w:rsidR="008906BD" w:rsidRDefault="008906BD" w:rsidP="008906BD">
      <w:pPr>
        <w:pStyle w:val="ListParagraph"/>
        <w:numPr>
          <w:ilvl w:val="0"/>
          <w:numId w:val="23"/>
        </w:numPr>
        <w:rPr>
          <w:rFonts w:ascii="Arial" w:hAnsi="Arial" w:cs="Arial"/>
          <w:sz w:val="24"/>
          <w:szCs w:val="24"/>
        </w:rPr>
      </w:pPr>
      <w:r>
        <w:rPr>
          <w:rFonts w:ascii="Arial" w:hAnsi="Arial" w:cs="Arial"/>
          <w:b/>
          <w:bCs/>
          <w:i/>
          <w:iCs/>
          <w:sz w:val="24"/>
          <w:szCs w:val="24"/>
        </w:rPr>
        <w:t xml:space="preserve">community housing provider termination clause </w:t>
      </w:r>
      <w:r>
        <w:rPr>
          <w:rFonts w:ascii="Arial" w:hAnsi="Arial" w:cs="Arial"/>
          <w:sz w:val="24"/>
          <w:szCs w:val="24"/>
        </w:rPr>
        <w:t>– refers the reader to schedule 2, section 2.</w:t>
      </w:r>
      <w:r w:rsidR="006D2698">
        <w:rPr>
          <w:rFonts w:ascii="Arial" w:hAnsi="Arial" w:cs="Arial"/>
          <w:sz w:val="24"/>
          <w:szCs w:val="24"/>
        </w:rPr>
        <w:t>3</w:t>
      </w:r>
      <w:r>
        <w:rPr>
          <w:rFonts w:ascii="Arial" w:hAnsi="Arial" w:cs="Arial"/>
          <w:sz w:val="24"/>
          <w:szCs w:val="24"/>
        </w:rPr>
        <w:t>;</w:t>
      </w:r>
    </w:p>
    <w:p w14:paraId="3B5C98FE" w14:textId="2A5B0A23" w:rsidR="008906BD" w:rsidRDefault="008906BD" w:rsidP="008906BD">
      <w:pPr>
        <w:pStyle w:val="ListParagraph"/>
        <w:numPr>
          <w:ilvl w:val="0"/>
          <w:numId w:val="23"/>
        </w:numPr>
        <w:rPr>
          <w:rFonts w:ascii="Arial" w:hAnsi="Arial" w:cs="Arial"/>
          <w:sz w:val="24"/>
          <w:szCs w:val="24"/>
        </w:rPr>
      </w:pPr>
      <w:r>
        <w:rPr>
          <w:rFonts w:ascii="Arial" w:hAnsi="Arial" w:cs="Arial"/>
          <w:b/>
          <w:bCs/>
          <w:i/>
          <w:iCs/>
          <w:sz w:val="24"/>
          <w:szCs w:val="24"/>
        </w:rPr>
        <w:t xml:space="preserve">posting termination clause </w:t>
      </w:r>
      <w:r>
        <w:rPr>
          <w:rFonts w:ascii="Arial" w:hAnsi="Arial" w:cs="Arial"/>
          <w:sz w:val="24"/>
          <w:szCs w:val="24"/>
        </w:rPr>
        <w:t>– refers the reader to schedule 2, section 2.</w:t>
      </w:r>
      <w:r w:rsidR="006D2698">
        <w:rPr>
          <w:rFonts w:ascii="Arial" w:hAnsi="Arial" w:cs="Arial"/>
          <w:sz w:val="24"/>
          <w:szCs w:val="24"/>
        </w:rPr>
        <w:t>2</w:t>
      </w:r>
      <w:r>
        <w:rPr>
          <w:rFonts w:ascii="Arial" w:hAnsi="Arial" w:cs="Arial"/>
          <w:sz w:val="24"/>
          <w:szCs w:val="24"/>
        </w:rPr>
        <w:t>;</w:t>
      </w:r>
    </w:p>
    <w:p w14:paraId="6FF56F30" w14:textId="01A0AA4C" w:rsidR="008906BD" w:rsidRDefault="00F7433E" w:rsidP="008906BD">
      <w:pPr>
        <w:pStyle w:val="ListParagraph"/>
        <w:numPr>
          <w:ilvl w:val="0"/>
          <w:numId w:val="23"/>
        </w:numPr>
        <w:rPr>
          <w:rFonts w:ascii="Arial" w:hAnsi="Arial" w:cs="Arial"/>
          <w:sz w:val="24"/>
          <w:szCs w:val="24"/>
        </w:rPr>
      </w:pPr>
      <w:r>
        <w:rPr>
          <w:rFonts w:ascii="Arial" w:hAnsi="Arial" w:cs="Arial"/>
          <w:b/>
          <w:bCs/>
          <w:i/>
          <w:iCs/>
          <w:sz w:val="24"/>
          <w:szCs w:val="24"/>
        </w:rPr>
        <w:t xml:space="preserve">public </w:t>
      </w:r>
      <w:r w:rsidR="008906BD">
        <w:rPr>
          <w:rFonts w:ascii="Arial" w:hAnsi="Arial" w:cs="Arial"/>
          <w:b/>
          <w:bCs/>
          <w:i/>
          <w:iCs/>
          <w:sz w:val="24"/>
          <w:szCs w:val="24"/>
        </w:rPr>
        <w:t xml:space="preserve">housing termination clauses </w:t>
      </w:r>
      <w:r w:rsidR="008906BD">
        <w:rPr>
          <w:rFonts w:ascii="Arial" w:hAnsi="Arial" w:cs="Arial"/>
          <w:sz w:val="24"/>
          <w:szCs w:val="24"/>
        </w:rPr>
        <w:t>– refers the reader to schedule 2, section 2.4;</w:t>
      </w:r>
    </w:p>
    <w:p w14:paraId="66955ABD" w14:textId="43041A18" w:rsidR="008906BD" w:rsidRDefault="00F7433E" w:rsidP="008906BD">
      <w:pPr>
        <w:pStyle w:val="ListParagraph"/>
        <w:numPr>
          <w:ilvl w:val="0"/>
          <w:numId w:val="23"/>
        </w:numPr>
        <w:rPr>
          <w:rFonts w:ascii="Arial" w:hAnsi="Arial" w:cs="Arial"/>
          <w:sz w:val="24"/>
          <w:szCs w:val="24"/>
        </w:rPr>
      </w:pPr>
      <w:r>
        <w:rPr>
          <w:rFonts w:ascii="Arial" w:hAnsi="Arial" w:cs="Arial"/>
          <w:b/>
          <w:bCs/>
          <w:i/>
          <w:iCs/>
          <w:sz w:val="24"/>
          <w:szCs w:val="24"/>
        </w:rPr>
        <w:t xml:space="preserve">subsidised </w:t>
      </w:r>
      <w:r w:rsidR="008906BD">
        <w:rPr>
          <w:rFonts w:ascii="Arial" w:hAnsi="Arial" w:cs="Arial"/>
          <w:b/>
          <w:bCs/>
          <w:i/>
          <w:iCs/>
          <w:sz w:val="24"/>
          <w:szCs w:val="24"/>
        </w:rPr>
        <w:t xml:space="preserve">accommodation clauses </w:t>
      </w:r>
      <w:r w:rsidR="008906BD">
        <w:rPr>
          <w:rFonts w:ascii="Arial" w:hAnsi="Arial" w:cs="Arial"/>
          <w:sz w:val="24"/>
          <w:szCs w:val="24"/>
        </w:rPr>
        <w:t>– refers the reader to schedule 2, section 2.</w:t>
      </w:r>
      <w:r w:rsidR="006D2698">
        <w:rPr>
          <w:rFonts w:ascii="Arial" w:hAnsi="Arial" w:cs="Arial"/>
          <w:sz w:val="24"/>
          <w:szCs w:val="24"/>
        </w:rPr>
        <w:t>6</w:t>
      </w:r>
      <w:r w:rsidR="008906BD">
        <w:rPr>
          <w:rFonts w:ascii="Arial" w:hAnsi="Arial" w:cs="Arial"/>
          <w:sz w:val="24"/>
          <w:szCs w:val="24"/>
        </w:rPr>
        <w:t>;</w:t>
      </w:r>
    </w:p>
    <w:p w14:paraId="54E87E7A" w14:textId="6BBE6BBD" w:rsidR="00FF1BD2" w:rsidRPr="00480D5F" w:rsidRDefault="008906BD" w:rsidP="00480D5F">
      <w:pPr>
        <w:pStyle w:val="ListParagraph"/>
        <w:numPr>
          <w:ilvl w:val="0"/>
          <w:numId w:val="23"/>
        </w:numPr>
        <w:rPr>
          <w:rFonts w:ascii="Arial" w:hAnsi="Arial" w:cs="Arial"/>
          <w:sz w:val="24"/>
          <w:szCs w:val="24"/>
        </w:rPr>
      </w:pPr>
      <w:r>
        <w:rPr>
          <w:rFonts w:ascii="Arial" w:hAnsi="Arial" w:cs="Arial"/>
          <w:b/>
          <w:bCs/>
          <w:i/>
          <w:iCs/>
          <w:sz w:val="24"/>
          <w:szCs w:val="24"/>
        </w:rPr>
        <w:t xml:space="preserve">temporary housing assistance termination clause </w:t>
      </w:r>
      <w:r>
        <w:rPr>
          <w:rFonts w:ascii="Arial" w:hAnsi="Arial" w:cs="Arial"/>
          <w:sz w:val="24"/>
          <w:szCs w:val="24"/>
        </w:rPr>
        <w:t>– see schedule 2, section 2.</w:t>
      </w:r>
      <w:r w:rsidR="006D2698">
        <w:rPr>
          <w:rFonts w:ascii="Arial" w:hAnsi="Arial" w:cs="Arial"/>
          <w:sz w:val="24"/>
          <w:szCs w:val="24"/>
        </w:rPr>
        <w:t>5</w:t>
      </w:r>
    </w:p>
    <w:p w14:paraId="3E6A8016" w14:textId="3FD21852" w:rsidR="00C677E6" w:rsidRPr="00264F34" w:rsidRDefault="00D61814" w:rsidP="00C677E6">
      <w:pPr>
        <w:pStyle w:val="Heading3"/>
        <w:rPr>
          <w:rFonts w:cs="Arial"/>
        </w:rPr>
      </w:pPr>
      <w:r w:rsidRPr="00264F34">
        <w:rPr>
          <w:rFonts w:cs="Arial"/>
        </w:rPr>
        <w:t>Clause</w:t>
      </w:r>
      <w:r w:rsidR="00480D5F">
        <w:rPr>
          <w:rFonts w:cs="Arial"/>
        </w:rPr>
        <w:t xml:space="preserve"> </w:t>
      </w:r>
      <w:r w:rsidR="00095A66">
        <w:rPr>
          <w:rFonts w:cs="Arial"/>
        </w:rPr>
        <w:t>6</w:t>
      </w:r>
      <w:r w:rsidRPr="00264F34">
        <w:rPr>
          <w:rFonts w:cs="Arial"/>
        </w:rPr>
        <w:tab/>
      </w:r>
      <w:r w:rsidR="00C677E6" w:rsidRPr="00264F34">
        <w:rPr>
          <w:rFonts w:cs="Arial"/>
        </w:rPr>
        <w:t>New section 10A</w:t>
      </w:r>
    </w:p>
    <w:p w14:paraId="5285F8DD" w14:textId="5276FC69" w:rsidR="00C677E6" w:rsidRPr="00264F34" w:rsidRDefault="00C677E6" w:rsidP="00C677E6">
      <w:pPr>
        <w:rPr>
          <w:rFonts w:ascii="Arial" w:hAnsi="Arial" w:cs="Arial"/>
          <w:sz w:val="24"/>
          <w:szCs w:val="24"/>
        </w:rPr>
      </w:pPr>
      <w:r w:rsidRPr="00264F34">
        <w:rPr>
          <w:rFonts w:ascii="Arial" w:hAnsi="Arial" w:cs="Arial"/>
          <w:sz w:val="24"/>
          <w:szCs w:val="24"/>
        </w:rPr>
        <w:t xml:space="preserve">This clause </w:t>
      </w:r>
      <w:r w:rsidR="008065A9" w:rsidRPr="00264F34">
        <w:rPr>
          <w:rFonts w:ascii="Arial" w:hAnsi="Arial" w:cs="Arial"/>
          <w:sz w:val="24"/>
          <w:szCs w:val="24"/>
        </w:rPr>
        <w:t xml:space="preserve">inserts new section 10A which </w:t>
      </w:r>
      <w:r w:rsidRPr="00264F34">
        <w:rPr>
          <w:rFonts w:ascii="Arial" w:hAnsi="Arial" w:cs="Arial"/>
          <w:sz w:val="24"/>
          <w:szCs w:val="24"/>
        </w:rPr>
        <w:t>introduces a new definition of ‘</w:t>
      </w:r>
      <w:r w:rsidRPr="00264F34">
        <w:rPr>
          <w:rFonts w:ascii="Arial" w:hAnsi="Arial" w:cs="Arial"/>
          <w:b/>
          <w:bCs/>
          <w:i/>
          <w:iCs/>
          <w:sz w:val="24"/>
          <w:szCs w:val="24"/>
        </w:rPr>
        <w:t>publish</w:t>
      </w:r>
      <w:r w:rsidRPr="00264F34">
        <w:rPr>
          <w:rFonts w:ascii="Arial" w:hAnsi="Arial" w:cs="Arial"/>
          <w:sz w:val="24"/>
          <w:szCs w:val="24"/>
        </w:rPr>
        <w:t>’</w:t>
      </w:r>
      <w:r w:rsidR="00F02F72" w:rsidRPr="00264F34">
        <w:rPr>
          <w:rFonts w:ascii="Arial" w:hAnsi="Arial" w:cs="Arial"/>
          <w:sz w:val="24"/>
          <w:szCs w:val="24"/>
        </w:rPr>
        <w:t xml:space="preserve"> </w:t>
      </w:r>
      <w:r w:rsidR="000051BF" w:rsidRPr="00264F34">
        <w:rPr>
          <w:rFonts w:ascii="Arial" w:hAnsi="Arial" w:cs="Arial"/>
          <w:sz w:val="24"/>
          <w:szCs w:val="24"/>
        </w:rPr>
        <w:t>for the purposes of Part 2, Division 2.2.</w:t>
      </w:r>
    </w:p>
    <w:p w14:paraId="39BE1A7E" w14:textId="14973565" w:rsidR="008065A9" w:rsidRPr="00264F34" w:rsidRDefault="008065A9" w:rsidP="00C677E6">
      <w:pPr>
        <w:rPr>
          <w:rFonts w:ascii="Arial" w:hAnsi="Arial" w:cs="Arial"/>
          <w:sz w:val="24"/>
          <w:szCs w:val="24"/>
        </w:rPr>
      </w:pPr>
      <w:r w:rsidRPr="00264F34">
        <w:rPr>
          <w:rFonts w:ascii="Arial" w:hAnsi="Arial" w:cs="Arial"/>
          <w:sz w:val="24"/>
          <w:szCs w:val="24"/>
        </w:rPr>
        <w:t xml:space="preserve">It provides that </w:t>
      </w:r>
      <w:r w:rsidRPr="00264F34">
        <w:rPr>
          <w:rFonts w:ascii="Arial" w:hAnsi="Arial" w:cs="Arial"/>
          <w:b/>
          <w:bCs/>
          <w:i/>
          <w:iCs/>
          <w:sz w:val="24"/>
          <w:szCs w:val="24"/>
        </w:rPr>
        <w:t xml:space="preserve">publish </w:t>
      </w:r>
      <w:r w:rsidRPr="00264F34">
        <w:rPr>
          <w:rFonts w:ascii="Arial" w:hAnsi="Arial" w:cs="Arial"/>
          <w:sz w:val="24"/>
          <w:szCs w:val="24"/>
        </w:rPr>
        <w:t>means communicate or distribute information in a way or to an extent that makes it available to, or likely to come to the notice of, the public or a section of the public.</w:t>
      </w:r>
    </w:p>
    <w:p w14:paraId="7C20ADCE" w14:textId="078A8A83" w:rsidR="00C677E6" w:rsidRPr="00264F34" w:rsidRDefault="00C677E6" w:rsidP="00E31BF6">
      <w:pPr>
        <w:ind w:left="1440" w:hanging="1440"/>
        <w:rPr>
          <w:rFonts w:ascii="Arial" w:eastAsiaTheme="majorEastAsia" w:hAnsi="Arial" w:cs="Arial"/>
          <w:b/>
          <w:sz w:val="24"/>
          <w:szCs w:val="24"/>
        </w:rPr>
      </w:pPr>
      <w:r w:rsidRPr="00264F34">
        <w:rPr>
          <w:rFonts w:ascii="Arial" w:eastAsiaTheme="majorEastAsia" w:hAnsi="Arial" w:cs="Arial"/>
          <w:b/>
          <w:sz w:val="24"/>
          <w:szCs w:val="24"/>
        </w:rPr>
        <w:lastRenderedPageBreak/>
        <w:t xml:space="preserve">Clause </w:t>
      </w:r>
      <w:r w:rsidR="00095A66">
        <w:rPr>
          <w:rFonts w:ascii="Arial" w:eastAsiaTheme="majorEastAsia" w:hAnsi="Arial" w:cs="Arial"/>
          <w:b/>
          <w:sz w:val="24"/>
          <w:szCs w:val="24"/>
        </w:rPr>
        <w:t>7</w:t>
      </w:r>
      <w:r w:rsidRPr="00264F34">
        <w:rPr>
          <w:rFonts w:ascii="Arial" w:eastAsiaTheme="majorEastAsia" w:hAnsi="Arial" w:cs="Arial"/>
          <w:b/>
          <w:sz w:val="24"/>
          <w:szCs w:val="24"/>
        </w:rPr>
        <w:tab/>
      </w:r>
      <w:r w:rsidR="00AE6980" w:rsidRPr="00264F34">
        <w:rPr>
          <w:rFonts w:ascii="Arial" w:eastAsiaTheme="majorEastAsia" w:hAnsi="Arial" w:cs="Arial"/>
          <w:b/>
          <w:sz w:val="24"/>
          <w:szCs w:val="24"/>
        </w:rPr>
        <w:t xml:space="preserve">Energy efficiency rating – advertising </w:t>
      </w:r>
      <w:r w:rsidR="00E31BF6">
        <w:rPr>
          <w:rFonts w:ascii="Arial" w:eastAsiaTheme="majorEastAsia" w:hAnsi="Arial" w:cs="Arial"/>
          <w:b/>
          <w:sz w:val="24"/>
          <w:szCs w:val="24"/>
        </w:rPr>
        <w:br/>
      </w:r>
      <w:r w:rsidR="00AE6980" w:rsidRPr="00264F34">
        <w:rPr>
          <w:rFonts w:ascii="Arial" w:eastAsiaTheme="majorEastAsia" w:hAnsi="Arial" w:cs="Arial"/>
          <w:b/>
          <w:sz w:val="24"/>
          <w:szCs w:val="24"/>
        </w:rPr>
        <w:t>Section 11A (7)</w:t>
      </w:r>
    </w:p>
    <w:p w14:paraId="06F05C6C" w14:textId="7E845B31" w:rsidR="00AE6980" w:rsidRPr="00264F34" w:rsidRDefault="00237969" w:rsidP="00237969">
      <w:pPr>
        <w:rPr>
          <w:rFonts w:ascii="Arial" w:hAnsi="Arial" w:cs="Arial"/>
          <w:sz w:val="24"/>
          <w:szCs w:val="24"/>
        </w:rPr>
      </w:pPr>
      <w:r w:rsidRPr="00264F34">
        <w:rPr>
          <w:rFonts w:ascii="Arial" w:hAnsi="Arial" w:cs="Arial"/>
          <w:sz w:val="24"/>
          <w:szCs w:val="24"/>
        </w:rPr>
        <w:t xml:space="preserve">This is a consequential amendment to clause </w:t>
      </w:r>
      <w:r w:rsidR="00095A66">
        <w:rPr>
          <w:rFonts w:ascii="Arial" w:hAnsi="Arial" w:cs="Arial"/>
          <w:sz w:val="24"/>
          <w:szCs w:val="24"/>
        </w:rPr>
        <w:t>6</w:t>
      </w:r>
      <w:r w:rsidRPr="00264F34">
        <w:rPr>
          <w:rFonts w:ascii="Arial" w:hAnsi="Arial" w:cs="Arial"/>
          <w:sz w:val="24"/>
          <w:szCs w:val="24"/>
        </w:rPr>
        <w:t xml:space="preserve"> above. It removes a definition of ‘</w:t>
      </w:r>
      <w:r w:rsidRPr="0048099F">
        <w:rPr>
          <w:rFonts w:ascii="Arial" w:hAnsi="Arial" w:cs="Arial"/>
          <w:b/>
          <w:bCs/>
          <w:i/>
          <w:iCs/>
          <w:sz w:val="24"/>
          <w:szCs w:val="24"/>
        </w:rPr>
        <w:t>publish</w:t>
      </w:r>
      <w:r w:rsidRPr="00264F34">
        <w:rPr>
          <w:rFonts w:ascii="Arial" w:hAnsi="Arial" w:cs="Arial"/>
          <w:sz w:val="24"/>
          <w:szCs w:val="24"/>
        </w:rPr>
        <w:t xml:space="preserve">’ </w:t>
      </w:r>
      <w:r w:rsidR="00F075A5" w:rsidRPr="00264F34">
        <w:rPr>
          <w:rFonts w:ascii="Arial" w:hAnsi="Arial" w:cs="Arial"/>
          <w:sz w:val="24"/>
          <w:szCs w:val="24"/>
        </w:rPr>
        <w:t>that was specific</w:t>
      </w:r>
      <w:r w:rsidRPr="00264F34">
        <w:rPr>
          <w:rFonts w:ascii="Arial" w:hAnsi="Arial" w:cs="Arial"/>
          <w:sz w:val="24"/>
          <w:szCs w:val="24"/>
        </w:rPr>
        <w:t xml:space="preserve"> to </w:t>
      </w:r>
      <w:r w:rsidR="00F075A5" w:rsidRPr="00264F34">
        <w:rPr>
          <w:rFonts w:ascii="Arial" w:hAnsi="Arial" w:cs="Arial"/>
          <w:sz w:val="24"/>
          <w:szCs w:val="24"/>
        </w:rPr>
        <w:t>section 11A.</w:t>
      </w:r>
      <w:r w:rsidR="00B1430B">
        <w:rPr>
          <w:rFonts w:ascii="Arial" w:hAnsi="Arial" w:cs="Arial"/>
          <w:sz w:val="24"/>
          <w:szCs w:val="24"/>
        </w:rPr>
        <w:t xml:space="preserve"> Clause </w:t>
      </w:r>
      <w:r w:rsidR="00095A66">
        <w:rPr>
          <w:rFonts w:ascii="Arial" w:hAnsi="Arial" w:cs="Arial"/>
          <w:sz w:val="24"/>
          <w:szCs w:val="24"/>
        </w:rPr>
        <w:t>6</w:t>
      </w:r>
      <w:r w:rsidR="00B1430B">
        <w:rPr>
          <w:rFonts w:ascii="Arial" w:hAnsi="Arial" w:cs="Arial"/>
          <w:sz w:val="24"/>
          <w:szCs w:val="24"/>
        </w:rPr>
        <w:t xml:space="preserve"> applies the definition to the whole division. </w:t>
      </w:r>
    </w:p>
    <w:p w14:paraId="6B1D6C1F" w14:textId="652EAAA1" w:rsidR="00AE6980" w:rsidRPr="00264F34" w:rsidRDefault="00AE6980" w:rsidP="00C677E6">
      <w:pPr>
        <w:rPr>
          <w:rFonts w:ascii="Arial" w:eastAsiaTheme="majorEastAsia" w:hAnsi="Arial" w:cs="Arial"/>
          <w:b/>
          <w:sz w:val="24"/>
          <w:szCs w:val="24"/>
        </w:rPr>
      </w:pPr>
      <w:r w:rsidRPr="00B1430B">
        <w:rPr>
          <w:rFonts w:ascii="Arial" w:eastAsiaTheme="majorEastAsia" w:hAnsi="Arial" w:cs="Arial"/>
          <w:b/>
          <w:sz w:val="24"/>
          <w:szCs w:val="24"/>
        </w:rPr>
        <w:t xml:space="preserve">Clause </w:t>
      </w:r>
      <w:r w:rsidR="00095A66">
        <w:rPr>
          <w:rFonts w:ascii="Arial" w:eastAsiaTheme="majorEastAsia" w:hAnsi="Arial" w:cs="Arial"/>
          <w:b/>
          <w:sz w:val="24"/>
          <w:szCs w:val="24"/>
        </w:rPr>
        <w:t>8</w:t>
      </w:r>
      <w:r w:rsidRPr="00B1430B">
        <w:rPr>
          <w:rFonts w:ascii="Arial" w:eastAsiaTheme="majorEastAsia" w:hAnsi="Arial" w:cs="Arial"/>
          <w:b/>
          <w:sz w:val="24"/>
          <w:szCs w:val="24"/>
        </w:rPr>
        <w:t xml:space="preserve"> </w:t>
      </w:r>
      <w:r w:rsidRPr="00B1430B">
        <w:rPr>
          <w:rFonts w:ascii="Arial" w:eastAsiaTheme="majorEastAsia" w:hAnsi="Arial" w:cs="Arial"/>
          <w:b/>
          <w:sz w:val="24"/>
          <w:szCs w:val="24"/>
        </w:rPr>
        <w:tab/>
        <w:t>New section 11AB</w:t>
      </w:r>
      <w:r w:rsidR="00D61814" w:rsidRPr="00B1430B">
        <w:rPr>
          <w:rFonts w:ascii="Arial" w:eastAsiaTheme="majorEastAsia" w:hAnsi="Arial" w:cs="Arial"/>
          <w:b/>
          <w:sz w:val="24"/>
          <w:szCs w:val="24"/>
        </w:rPr>
        <w:t xml:space="preserve"> </w:t>
      </w:r>
    </w:p>
    <w:p w14:paraId="09619203" w14:textId="2824E18F" w:rsidR="00F3168C" w:rsidRPr="00264F34" w:rsidRDefault="00F3168C" w:rsidP="00C677E6">
      <w:pPr>
        <w:rPr>
          <w:rFonts w:ascii="Arial" w:hAnsi="Arial" w:cs="Arial"/>
          <w:sz w:val="24"/>
          <w:szCs w:val="24"/>
        </w:rPr>
      </w:pPr>
      <w:r w:rsidRPr="00264F34">
        <w:rPr>
          <w:rFonts w:ascii="Arial" w:hAnsi="Arial" w:cs="Arial"/>
          <w:sz w:val="24"/>
          <w:szCs w:val="24"/>
        </w:rPr>
        <w:t>New section 11AB makes it a</w:t>
      </w:r>
      <w:r w:rsidR="00094C01" w:rsidRPr="00264F34">
        <w:rPr>
          <w:rFonts w:ascii="Arial" w:hAnsi="Arial" w:cs="Arial"/>
          <w:sz w:val="24"/>
          <w:szCs w:val="24"/>
        </w:rPr>
        <w:t xml:space="preserve"> strict liability</w:t>
      </w:r>
      <w:r w:rsidRPr="00264F34">
        <w:rPr>
          <w:rFonts w:ascii="Arial" w:hAnsi="Arial" w:cs="Arial"/>
          <w:sz w:val="24"/>
          <w:szCs w:val="24"/>
        </w:rPr>
        <w:t xml:space="preserve"> offence for a lessor to publish an advertisement pertaining to </w:t>
      </w:r>
      <w:r w:rsidR="002A146C" w:rsidRPr="00264F34">
        <w:rPr>
          <w:rFonts w:ascii="Arial" w:hAnsi="Arial" w:cs="Arial"/>
          <w:sz w:val="24"/>
          <w:szCs w:val="24"/>
        </w:rPr>
        <w:t>the</w:t>
      </w:r>
      <w:r w:rsidRPr="00264F34">
        <w:rPr>
          <w:rFonts w:ascii="Arial" w:hAnsi="Arial" w:cs="Arial"/>
          <w:sz w:val="24"/>
          <w:szCs w:val="24"/>
        </w:rPr>
        <w:t xml:space="preserve"> </w:t>
      </w:r>
      <w:r w:rsidR="002A146C" w:rsidRPr="00264F34">
        <w:rPr>
          <w:rFonts w:ascii="Arial" w:hAnsi="Arial" w:cs="Arial"/>
          <w:sz w:val="24"/>
          <w:szCs w:val="24"/>
        </w:rPr>
        <w:t xml:space="preserve">lease of a residential premises </w:t>
      </w:r>
      <w:r w:rsidRPr="00264F34">
        <w:rPr>
          <w:rFonts w:ascii="Arial" w:hAnsi="Arial" w:cs="Arial"/>
          <w:sz w:val="24"/>
          <w:szCs w:val="24"/>
        </w:rPr>
        <w:t xml:space="preserve">if </w:t>
      </w:r>
      <w:r w:rsidR="002A146C" w:rsidRPr="00264F34">
        <w:rPr>
          <w:rFonts w:ascii="Arial" w:hAnsi="Arial" w:cs="Arial"/>
          <w:sz w:val="24"/>
          <w:szCs w:val="24"/>
        </w:rPr>
        <w:t>that advertisement</w:t>
      </w:r>
      <w:r w:rsidRPr="00264F34">
        <w:rPr>
          <w:rFonts w:ascii="Arial" w:hAnsi="Arial" w:cs="Arial"/>
          <w:sz w:val="24"/>
          <w:szCs w:val="24"/>
        </w:rPr>
        <w:t xml:space="preserve"> does not include a statement as to whether the premises </w:t>
      </w:r>
      <w:r w:rsidR="00727919" w:rsidRPr="00264F34">
        <w:rPr>
          <w:rFonts w:ascii="Arial" w:hAnsi="Arial" w:cs="Arial"/>
          <w:sz w:val="24"/>
          <w:szCs w:val="24"/>
        </w:rPr>
        <w:t>complies with</w:t>
      </w:r>
      <w:r w:rsidR="000F65CC" w:rsidRPr="00264F34">
        <w:rPr>
          <w:rFonts w:ascii="Arial" w:hAnsi="Arial" w:cs="Arial"/>
          <w:sz w:val="24"/>
          <w:szCs w:val="24"/>
        </w:rPr>
        <w:t>, or is otherwise exempt from complying with, any</w:t>
      </w:r>
      <w:r w:rsidRPr="00264F34">
        <w:rPr>
          <w:rFonts w:ascii="Arial" w:hAnsi="Arial" w:cs="Arial"/>
          <w:sz w:val="24"/>
          <w:szCs w:val="24"/>
        </w:rPr>
        <w:t xml:space="preserve"> minimum housing standards</w:t>
      </w:r>
      <w:r w:rsidR="002A146C" w:rsidRPr="00264F34">
        <w:rPr>
          <w:rFonts w:ascii="Arial" w:hAnsi="Arial" w:cs="Arial"/>
          <w:sz w:val="24"/>
          <w:szCs w:val="24"/>
        </w:rPr>
        <w:t xml:space="preserve"> that are in force at the time of publication.</w:t>
      </w:r>
    </w:p>
    <w:p w14:paraId="0991A257" w14:textId="524CD660" w:rsidR="002A146C" w:rsidRPr="00264F34" w:rsidRDefault="002A146C" w:rsidP="00C677E6">
      <w:pPr>
        <w:rPr>
          <w:rFonts w:ascii="Arial" w:hAnsi="Arial" w:cs="Arial"/>
          <w:sz w:val="24"/>
          <w:szCs w:val="24"/>
        </w:rPr>
      </w:pPr>
      <w:r w:rsidRPr="00264F34">
        <w:rPr>
          <w:rFonts w:ascii="Arial" w:hAnsi="Arial" w:cs="Arial"/>
          <w:sz w:val="24"/>
          <w:szCs w:val="24"/>
        </w:rPr>
        <w:t xml:space="preserve">It also provides that a </w:t>
      </w:r>
      <w:r w:rsidR="00546568">
        <w:rPr>
          <w:rFonts w:ascii="Arial" w:hAnsi="Arial" w:cs="Arial"/>
          <w:sz w:val="24"/>
          <w:szCs w:val="24"/>
        </w:rPr>
        <w:t>person</w:t>
      </w:r>
      <w:r w:rsidR="00546568" w:rsidRPr="00264F34">
        <w:rPr>
          <w:rFonts w:ascii="Arial" w:hAnsi="Arial" w:cs="Arial"/>
          <w:sz w:val="24"/>
          <w:szCs w:val="24"/>
        </w:rPr>
        <w:t xml:space="preserve"> </w:t>
      </w:r>
      <w:r w:rsidRPr="00264F34">
        <w:rPr>
          <w:rFonts w:ascii="Arial" w:hAnsi="Arial" w:cs="Arial"/>
          <w:sz w:val="24"/>
          <w:szCs w:val="24"/>
        </w:rPr>
        <w:t>commits a</w:t>
      </w:r>
      <w:r w:rsidR="00094C01" w:rsidRPr="00264F34">
        <w:rPr>
          <w:rFonts w:ascii="Arial" w:hAnsi="Arial" w:cs="Arial"/>
          <w:sz w:val="24"/>
          <w:szCs w:val="24"/>
        </w:rPr>
        <w:t xml:space="preserve"> strict liability</w:t>
      </w:r>
      <w:r w:rsidRPr="00264F34">
        <w:rPr>
          <w:rFonts w:ascii="Arial" w:hAnsi="Arial" w:cs="Arial"/>
          <w:sz w:val="24"/>
          <w:szCs w:val="24"/>
        </w:rPr>
        <w:t xml:space="preserve"> offence if</w:t>
      </w:r>
      <w:r w:rsidR="009A51B0">
        <w:rPr>
          <w:rFonts w:ascii="Arial" w:hAnsi="Arial" w:cs="Arial"/>
          <w:sz w:val="24"/>
          <w:szCs w:val="24"/>
        </w:rPr>
        <w:t>, in</w:t>
      </w:r>
      <w:r w:rsidRPr="00264F34">
        <w:rPr>
          <w:rFonts w:ascii="Arial" w:hAnsi="Arial" w:cs="Arial"/>
          <w:sz w:val="24"/>
          <w:szCs w:val="24"/>
        </w:rPr>
        <w:t xml:space="preserve"> an advertisement </w:t>
      </w:r>
      <w:r w:rsidR="0042515E" w:rsidRPr="00264F34">
        <w:rPr>
          <w:rFonts w:ascii="Arial" w:hAnsi="Arial" w:cs="Arial"/>
          <w:sz w:val="24"/>
          <w:szCs w:val="24"/>
        </w:rPr>
        <w:t>for</w:t>
      </w:r>
      <w:r w:rsidRPr="00264F34">
        <w:rPr>
          <w:rFonts w:ascii="Arial" w:hAnsi="Arial" w:cs="Arial"/>
          <w:sz w:val="24"/>
          <w:szCs w:val="24"/>
        </w:rPr>
        <w:t xml:space="preserve"> the lease of a residential premises</w:t>
      </w:r>
      <w:r w:rsidR="009A51B0">
        <w:rPr>
          <w:rFonts w:ascii="Arial" w:hAnsi="Arial" w:cs="Arial"/>
          <w:sz w:val="24"/>
          <w:szCs w:val="24"/>
        </w:rPr>
        <w:t>,</w:t>
      </w:r>
      <w:r w:rsidRPr="00264F34">
        <w:rPr>
          <w:rFonts w:ascii="Arial" w:hAnsi="Arial" w:cs="Arial"/>
          <w:sz w:val="24"/>
          <w:szCs w:val="24"/>
        </w:rPr>
        <w:t xml:space="preserve"> </w:t>
      </w:r>
      <w:r w:rsidR="006D2698">
        <w:rPr>
          <w:rFonts w:ascii="Arial" w:hAnsi="Arial" w:cs="Arial"/>
          <w:sz w:val="24"/>
          <w:szCs w:val="24"/>
        </w:rPr>
        <w:t>they</w:t>
      </w:r>
      <w:r w:rsidRPr="00264F34">
        <w:rPr>
          <w:rFonts w:ascii="Arial" w:hAnsi="Arial" w:cs="Arial"/>
          <w:sz w:val="24"/>
          <w:szCs w:val="24"/>
        </w:rPr>
        <w:t xml:space="preserve"> include a statement regarding</w:t>
      </w:r>
      <w:r w:rsidR="00F43319" w:rsidRPr="00264F34">
        <w:rPr>
          <w:rFonts w:ascii="Arial" w:hAnsi="Arial" w:cs="Arial"/>
          <w:sz w:val="24"/>
          <w:szCs w:val="24"/>
        </w:rPr>
        <w:t xml:space="preserve"> compliance with</w:t>
      </w:r>
      <w:r w:rsidRPr="00264F34">
        <w:rPr>
          <w:rFonts w:ascii="Arial" w:hAnsi="Arial" w:cs="Arial"/>
          <w:sz w:val="24"/>
          <w:szCs w:val="24"/>
        </w:rPr>
        <w:t xml:space="preserve"> minimum housing standards that is false or misleading.</w:t>
      </w:r>
      <w:r w:rsidR="00094C01" w:rsidRPr="00264F34">
        <w:rPr>
          <w:rFonts w:ascii="Arial" w:hAnsi="Arial" w:cs="Arial"/>
          <w:sz w:val="24"/>
          <w:szCs w:val="24"/>
        </w:rPr>
        <w:t xml:space="preserve"> However, this does not apply if the statement is not false or misleading in a material particular. </w:t>
      </w:r>
    </w:p>
    <w:p w14:paraId="45988FBD" w14:textId="398C9280" w:rsidR="00094C01" w:rsidRPr="00264F34" w:rsidRDefault="00094C01" w:rsidP="00C677E6">
      <w:pPr>
        <w:rPr>
          <w:rFonts w:ascii="Arial" w:hAnsi="Arial" w:cs="Arial"/>
          <w:sz w:val="24"/>
          <w:szCs w:val="24"/>
        </w:rPr>
      </w:pPr>
      <w:r w:rsidRPr="00264F34">
        <w:rPr>
          <w:rFonts w:ascii="Arial" w:hAnsi="Arial" w:cs="Arial"/>
          <w:sz w:val="24"/>
          <w:szCs w:val="24"/>
        </w:rPr>
        <w:t>The provision also contains the safeguard that the strict liability offences will not apply if the person has a reasonable excuse.</w:t>
      </w:r>
    </w:p>
    <w:p w14:paraId="60DD145C" w14:textId="2AA66F60" w:rsidR="00094C01" w:rsidRPr="00264F34" w:rsidRDefault="00094C01" w:rsidP="00C677E6">
      <w:pPr>
        <w:rPr>
          <w:rFonts w:ascii="Arial" w:hAnsi="Arial" w:cs="Arial"/>
          <w:sz w:val="24"/>
          <w:szCs w:val="24"/>
        </w:rPr>
      </w:pPr>
      <w:r w:rsidRPr="00264F34">
        <w:rPr>
          <w:rFonts w:ascii="Arial" w:hAnsi="Arial" w:cs="Arial"/>
          <w:sz w:val="24"/>
          <w:szCs w:val="24"/>
        </w:rPr>
        <w:t xml:space="preserve">The maximum penalty for both offences is 5 penalty units. </w:t>
      </w:r>
    </w:p>
    <w:p w14:paraId="7EE703AB" w14:textId="18B4CF15" w:rsidR="008F3AEB" w:rsidRPr="00264F34" w:rsidRDefault="008F3AEB" w:rsidP="00C677E6">
      <w:pPr>
        <w:rPr>
          <w:rFonts w:ascii="Arial" w:hAnsi="Arial" w:cs="Arial"/>
          <w:sz w:val="24"/>
          <w:szCs w:val="24"/>
        </w:rPr>
      </w:pPr>
      <w:r w:rsidRPr="00264F34">
        <w:rPr>
          <w:rFonts w:ascii="Arial" w:hAnsi="Arial" w:cs="Arial"/>
          <w:sz w:val="24"/>
          <w:szCs w:val="24"/>
        </w:rPr>
        <w:t xml:space="preserve">This amendment is intended to ensure that </w:t>
      </w:r>
      <w:r w:rsidR="00094C01" w:rsidRPr="00264F34">
        <w:rPr>
          <w:rFonts w:ascii="Arial" w:hAnsi="Arial" w:cs="Arial"/>
          <w:sz w:val="24"/>
          <w:szCs w:val="24"/>
        </w:rPr>
        <w:t xml:space="preserve">lessors disclose to prospective </w:t>
      </w:r>
      <w:r w:rsidRPr="00264F34">
        <w:rPr>
          <w:rFonts w:ascii="Arial" w:hAnsi="Arial" w:cs="Arial"/>
          <w:sz w:val="24"/>
          <w:szCs w:val="24"/>
        </w:rPr>
        <w:t xml:space="preserve">tenants whether </w:t>
      </w:r>
      <w:r w:rsidR="001962AD" w:rsidRPr="00264F34">
        <w:rPr>
          <w:rFonts w:ascii="Arial" w:hAnsi="Arial" w:cs="Arial"/>
          <w:sz w:val="24"/>
          <w:szCs w:val="24"/>
        </w:rPr>
        <w:t>the</w:t>
      </w:r>
      <w:r w:rsidRPr="00264F34">
        <w:rPr>
          <w:rFonts w:ascii="Arial" w:hAnsi="Arial" w:cs="Arial"/>
          <w:sz w:val="24"/>
          <w:szCs w:val="24"/>
        </w:rPr>
        <w:t xml:space="preserve"> rental </w:t>
      </w:r>
      <w:r w:rsidR="00094C01" w:rsidRPr="00264F34">
        <w:rPr>
          <w:rFonts w:ascii="Arial" w:hAnsi="Arial" w:cs="Arial"/>
          <w:sz w:val="24"/>
          <w:szCs w:val="24"/>
        </w:rPr>
        <w:t xml:space="preserve">premises </w:t>
      </w:r>
      <w:r w:rsidRPr="00264F34">
        <w:rPr>
          <w:rFonts w:ascii="Arial" w:hAnsi="Arial" w:cs="Arial"/>
          <w:sz w:val="24"/>
          <w:szCs w:val="24"/>
        </w:rPr>
        <w:t>complies with minimum housing standards</w:t>
      </w:r>
      <w:r w:rsidR="005048F6" w:rsidRPr="00264F34">
        <w:rPr>
          <w:rFonts w:ascii="Arial" w:hAnsi="Arial" w:cs="Arial"/>
          <w:sz w:val="24"/>
          <w:szCs w:val="24"/>
        </w:rPr>
        <w:t xml:space="preserve"> so that tenants have information about the premises when deciding whether to apply </w:t>
      </w:r>
      <w:r w:rsidR="009A51B0">
        <w:rPr>
          <w:rFonts w:ascii="Arial" w:hAnsi="Arial" w:cs="Arial"/>
          <w:sz w:val="24"/>
          <w:szCs w:val="24"/>
        </w:rPr>
        <w:t>to rent</w:t>
      </w:r>
      <w:r w:rsidR="005048F6" w:rsidRPr="00264F34">
        <w:rPr>
          <w:rFonts w:ascii="Arial" w:hAnsi="Arial" w:cs="Arial"/>
          <w:sz w:val="24"/>
          <w:szCs w:val="24"/>
        </w:rPr>
        <w:t xml:space="preserve"> the premises</w:t>
      </w:r>
      <w:r w:rsidR="00AB17AC" w:rsidRPr="00264F34">
        <w:rPr>
          <w:rFonts w:ascii="Arial" w:hAnsi="Arial" w:cs="Arial"/>
          <w:sz w:val="24"/>
          <w:szCs w:val="24"/>
        </w:rPr>
        <w:t xml:space="preserve">. </w:t>
      </w:r>
    </w:p>
    <w:p w14:paraId="6083420F" w14:textId="02D97E0D" w:rsidR="00E31BF6" w:rsidRPr="005E3D58" w:rsidRDefault="00E31BF6" w:rsidP="002860A9">
      <w:pPr>
        <w:ind w:left="1440" w:hanging="1440"/>
        <w:rPr>
          <w:rFonts w:ascii="Arial" w:eastAsiaTheme="majorEastAsia" w:hAnsi="Arial" w:cs="Arial"/>
          <w:b/>
          <w:sz w:val="24"/>
          <w:szCs w:val="24"/>
        </w:rPr>
      </w:pPr>
      <w:r w:rsidRPr="005E3D58">
        <w:rPr>
          <w:rFonts w:ascii="Arial" w:eastAsiaTheme="majorEastAsia" w:hAnsi="Arial" w:cs="Arial"/>
          <w:b/>
          <w:sz w:val="24"/>
          <w:szCs w:val="24"/>
        </w:rPr>
        <w:t xml:space="preserve">Clause </w:t>
      </w:r>
      <w:r w:rsidR="00546568">
        <w:rPr>
          <w:rFonts w:ascii="Arial" w:eastAsiaTheme="majorEastAsia" w:hAnsi="Arial" w:cs="Arial"/>
          <w:b/>
          <w:sz w:val="24"/>
          <w:szCs w:val="24"/>
        </w:rPr>
        <w:t>9</w:t>
      </w:r>
      <w:r w:rsidRPr="005E3D58">
        <w:rPr>
          <w:rFonts w:ascii="Arial" w:eastAsiaTheme="majorEastAsia" w:hAnsi="Arial" w:cs="Arial"/>
          <w:b/>
          <w:sz w:val="24"/>
          <w:szCs w:val="24"/>
        </w:rPr>
        <w:tab/>
        <w:t>New sections 11AC and 11AD</w:t>
      </w:r>
    </w:p>
    <w:p w14:paraId="486AD76C" w14:textId="711A66CE" w:rsidR="00E31BF6" w:rsidRDefault="00E31BF6" w:rsidP="00E31BF6">
      <w:pPr>
        <w:rPr>
          <w:rFonts w:ascii="Arial" w:hAnsi="Arial" w:cs="Arial"/>
          <w:sz w:val="24"/>
          <w:szCs w:val="24"/>
        </w:rPr>
      </w:pPr>
      <w:r>
        <w:rPr>
          <w:rFonts w:ascii="Arial" w:hAnsi="Arial" w:cs="Arial"/>
          <w:sz w:val="24"/>
          <w:szCs w:val="24"/>
        </w:rPr>
        <w:t xml:space="preserve">New section 11AC makes it a strict liability offence for a lessor or agent to publish an advertisement for the lease of a residential premises which does not state the rental rate payable for the premises. </w:t>
      </w:r>
    </w:p>
    <w:p w14:paraId="1CE6CDA5" w14:textId="5D13286D" w:rsidR="004D1DDA" w:rsidRDefault="004D1DDA" w:rsidP="00E31BF6">
      <w:pPr>
        <w:rPr>
          <w:rFonts w:ascii="Arial" w:hAnsi="Arial" w:cs="Arial"/>
          <w:sz w:val="24"/>
          <w:szCs w:val="24"/>
        </w:rPr>
      </w:pPr>
      <w:r>
        <w:rPr>
          <w:rFonts w:ascii="Arial" w:hAnsi="Arial" w:cs="Arial"/>
          <w:sz w:val="24"/>
          <w:szCs w:val="24"/>
        </w:rPr>
        <w:t xml:space="preserve">New section 11AC introduces </w:t>
      </w:r>
      <w:r>
        <w:rPr>
          <w:rFonts w:ascii="Arial" w:hAnsi="Arial" w:cs="Arial"/>
          <w:b/>
          <w:bCs/>
          <w:i/>
          <w:iCs/>
          <w:sz w:val="24"/>
          <w:szCs w:val="24"/>
        </w:rPr>
        <w:t xml:space="preserve">rental rate </w:t>
      </w:r>
      <w:r>
        <w:rPr>
          <w:rFonts w:ascii="Arial" w:hAnsi="Arial" w:cs="Arial"/>
          <w:sz w:val="24"/>
          <w:szCs w:val="24"/>
        </w:rPr>
        <w:t xml:space="preserve">as a defined term for the purposes of this section. </w:t>
      </w:r>
      <w:r>
        <w:rPr>
          <w:rFonts w:ascii="Arial" w:hAnsi="Arial" w:cs="Arial"/>
          <w:b/>
          <w:bCs/>
          <w:i/>
          <w:iCs/>
          <w:sz w:val="24"/>
          <w:szCs w:val="24"/>
        </w:rPr>
        <w:t xml:space="preserve">Rental rate </w:t>
      </w:r>
      <w:r>
        <w:rPr>
          <w:rFonts w:ascii="Arial" w:hAnsi="Arial" w:cs="Arial"/>
          <w:sz w:val="24"/>
          <w:szCs w:val="24"/>
        </w:rPr>
        <w:t>is defined as</w:t>
      </w:r>
      <w:r w:rsidR="009645C2">
        <w:rPr>
          <w:rFonts w:ascii="Arial" w:hAnsi="Arial" w:cs="Arial"/>
          <w:sz w:val="24"/>
          <w:szCs w:val="24"/>
        </w:rPr>
        <w:t xml:space="preserve"> either</w:t>
      </w:r>
      <w:r>
        <w:rPr>
          <w:rFonts w:ascii="Arial" w:hAnsi="Arial" w:cs="Arial"/>
          <w:sz w:val="24"/>
          <w:szCs w:val="24"/>
        </w:rPr>
        <w:t xml:space="preserve"> a single amount</w:t>
      </w:r>
      <w:r w:rsidR="00121208">
        <w:rPr>
          <w:rFonts w:ascii="Arial" w:hAnsi="Arial" w:cs="Arial"/>
          <w:sz w:val="24"/>
          <w:szCs w:val="24"/>
        </w:rPr>
        <w:t xml:space="preserve">, </w:t>
      </w:r>
      <w:r w:rsidR="009645C2">
        <w:rPr>
          <w:rFonts w:ascii="Arial" w:hAnsi="Arial" w:cs="Arial"/>
          <w:sz w:val="24"/>
          <w:szCs w:val="24"/>
        </w:rPr>
        <w:t>or 2 or more single amounts if each single amount relates</w:t>
      </w:r>
      <w:r w:rsidR="00121208" w:rsidRPr="00480D5F">
        <w:rPr>
          <w:rFonts w:ascii="Arial" w:hAnsi="Arial" w:cs="Arial"/>
          <w:sz w:val="24"/>
          <w:szCs w:val="24"/>
        </w:rPr>
        <w:t xml:space="preserve"> to</w:t>
      </w:r>
      <w:r w:rsidR="009645C2" w:rsidRPr="00480D5F">
        <w:rPr>
          <w:sz w:val="24"/>
          <w:szCs w:val="24"/>
        </w:rPr>
        <w:t xml:space="preserve"> </w:t>
      </w:r>
      <w:r w:rsidR="009645C2" w:rsidRPr="00480D5F">
        <w:rPr>
          <w:rFonts w:ascii="Arial" w:hAnsi="Arial" w:cs="Arial"/>
          <w:sz w:val="24"/>
          <w:szCs w:val="24"/>
        </w:rPr>
        <w:t>an inclusions that may come with the premises</w:t>
      </w:r>
      <w:r w:rsidR="006D2698">
        <w:rPr>
          <w:rFonts w:ascii="Arial" w:hAnsi="Arial" w:cs="Arial"/>
          <w:sz w:val="24"/>
          <w:szCs w:val="24"/>
        </w:rPr>
        <w:t xml:space="preserve">. For example, a lessor or agent may publish an advertisement for a rental premises with two fixed, but alternative rental rate prices – one amount would reflect the fixed rental rate should a tenant wish to have the premises fully furnished, while the alternative amount would reflect the fixed rental rate should a tenant wish to rent the premises unfurnished. </w:t>
      </w:r>
      <w:r w:rsidR="00121208">
        <w:rPr>
          <w:rFonts w:ascii="Arial" w:hAnsi="Arial" w:cs="Arial"/>
          <w:sz w:val="24"/>
          <w:szCs w:val="24"/>
        </w:rPr>
        <w:t xml:space="preserve">However, </w:t>
      </w:r>
      <w:r w:rsidR="00121208">
        <w:rPr>
          <w:rFonts w:ascii="Arial" w:hAnsi="Arial" w:cs="Arial"/>
          <w:b/>
          <w:bCs/>
          <w:i/>
          <w:iCs/>
          <w:sz w:val="24"/>
          <w:szCs w:val="24"/>
        </w:rPr>
        <w:t xml:space="preserve">rental rate </w:t>
      </w:r>
      <w:r w:rsidR="00121208">
        <w:rPr>
          <w:rFonts w:ascii="Arial" w:hAnsi="Arial" w:cs="Arial"/>
          <w:sz w:val="24"/>
          <w:szCs w:val="24"/>
        </w:rPr>
        <w:t>does not include a range of amounts, or a minimum or maximum amount.</w:t>
      </w:r>
    </w:p>
    <w:p w14:paraId="1CAF35A2" w14:textId="4302B710" w:rsidR="009645C2" w:rsidRPr="009645C2" w:rsidRDefault="009645C2" w:rsidP="00E31BF6">
      <w:pPr>
        <w:rPr>
          <w:rFonts w:ascii="Arial" w:hAnsi="Arial" w:cs="Arial"/>
          <w:sz w:val="24"/>
          <w:szCs w:val="24"/>
        </w:rPr>
      </w:pPr>
      <w:r>
        <w:rPr>
          <w:rFonts w:ascii="Arial" w:hAnsi="Arial" w:cs="Arial"/>
          <w:sz w:val="24"/>
          <w:szCs w:val="24"/>
        </w:rPr>
        <w:t xml:space="preserve">This section also introduces </w:t>
      </w:r>
      <w:r w:rsidRPr="00480D5F">
        <w:rPr>
          <w:rFonts w:ascii="Arial" w:hAnsi="Arial" w:cs="Arial"/>
          <w:b/>
          <w:bCs/>
          <w:i/>
          <w:iCs/>
          <w:sz w:val="24"/>
          <w:szCs w:val="24"/>
        </w:rPr>
        <w:t>inclusion</w:t>
      </w:r>
      <w:r>
        <w:rPr>
          <w:rFonts w:ascii="Arial" w:hAnsi="Arial" w:cs="Arial"/>
          <w:sz w:val="24"/>
          <w:szCs w:val="24"/>
        </w:rPr>
        <w:t xml:space="preserve"> as a defined term for the purposes of th</w:t>
      </w:r>
      <w:r w:rsidR="00546568">
        <w:rPr>
          <w:rFonts w:ascii="Arial" w:hAnsi="Arial" w:cs="Arial"/>
          <w:sz w:val="24"/>
          <w:szCs w:val="24"/>
        </w:rPr>
        <w:t>e</w:t>
      </w:r>
      <w:r>
        <w:rPr>
          <w:rFonts w:ascii="Arial" w:hAnsi="Arial" w:cs="Arial"/>
          <w:sz w:val="24"/>
          <w:szCs w:val="24"/>
        </w:rPr>
        <w:t xml:space="preserve"> section.  </w:t>
      </w:r>
      <w:r w:rsidRPr="00480D5F">
        <w:rPr>
          <w:rFonts w:ascii="Arial" w:hAnsi="Arial" w:cs="Arial"/>
          <w:b/>
          <w:bCs/>
          <w:i/>
          <w:iCs/>
          <w:sz w:val="24"/>
          <w:szCs w:val="24"/>
        </w:rPr>
        <w:t xml:space="preserve">Inclusion </w:t>
      </w:r>
      <w:r>
        <w:rPr>
          <w:rFonts w:ascii="Arial" w:hAnsi="Arial" w:cs="Arial"/>
          <w:sz w:val="24"/>
          <w:szCs w:val="24"/>
        </w:rPr>
        <w:t xml:space="preserve">is defined as meaning property or a right or entitlement that </w:t>
      </w:r>
      <w:r>
        <w:rPr>
          <w:rFonts w:ascii="Arial" w:hAnsi="Arial" w:cs="Arial"/>
          <w:sz w:val="24"/>
          <w:szCs w:val="24"/>
        </w:rPr>
        <w:lastRenderedPageBreak/>
        <w:t xml:space="preserve">relates to the premises. Examples include access to a basement car park, </w:t>
      </w:r>
      <w:r w:rsidR="00121208">
        <w:rPr>
          <w:rFonts w:ascii="Arial" w:hAnsi="Arial" w:cs="Arial"/>
          <w:sz w:val="24"/>
          <w:szCs w:val="24"/>
        </w:rPr>
        <w:t xml:space="preserve">and </w:t>
      </w:r>
      <w:r>
        <w:rPr>
          <w:rFonts w:ascii="Arial" w:hAnsi="Arial" w:cs="Arial"/>
          <w:sz w:val="24"/>
          <w:szCs w:val="24"/>
        </w:rPr>
        <w:t xml:space="preserve">partial or full furnishing of the premises. </w:t>
      </w:r>
    </w:p>
    <w:p w14:paraId="1ED2FAE7" w14:textId="2B9A5652" w:rsidR="00E31BF6" w:rsidRDefault="00E31BF6" w:rsidP="00E31BF6">
      <w:pPr>
        <w:rPr>
          <w:rFonts w:ascii="Arial" w:hAnsi="Arial" w:cs="Arial"/>
          <w:sz w:val="24"/>
          <w:szCs w:val="24"/>
        </w:rPr>
      </w:pPr>
      <w:r>
        <w:rPr>
          <w:rFonts w:ascii="Arial" w:hAnsi="Arial" w:cs="Arial"/>
          <w:sz w:val="24"/>
          <w:szCs w:val="24"/>
        </w:rPr>
        <w:t>The maximum penalty for this offence is 5 penalty units.</w:t>
      </w:r>
    </w:p>
    <w:p w14:paraId="5EA9BF0C" w14:textId="592DE16D" w:rsidR="00E31BF6" w:rsidRPr="0048099F" w:rsidRDefault="00E31BF6" w:rsidP="00E31BF6">
      <w:pPr>
        <w:rPr>
          <w:rFonts w:ascii="Arial" w:hAnsi="Arial" w:cs="Arial"/>
          <w:sz w:val="24"/>
          <w:szCs w:val="24"/>
        </w:rPr>
      </w:pPr>
      <w:r w:rsidRPr="0048099F">
        <w:rPr>
          <w:rFonts w:ascii="Arial" w:hAnsi="Arial" w:cs="Arial"/>
          <w:sz w:val="24"/>
          <w:szCs w:val="24"/>
        </w:rPr>
        <w:t>New section 11A</w:t>
      </w:r>
      <w:r>
        <w:rPr>
          <w:rFonts w:ascii="Arial" w:hAnsi="Arial" w:cs="Arial"/>
          <w:sz w:val="24"/>
          <w:szCs w:val="24"/>
        </w:rPr>
        <w:t>D</w:t>
      </w:r>
      <w:r w:rsidRPr="0048099F">
        <w:rPr>
          <w:rFonts w:ascii="Arial" w:hAnsi="Arial" w:cs="Arial"/>
          <w:sz w:val="24"/>
          <w:szCs w:val="24"/>
        </w:rPr>
        <w:t xml:space="preserve"> makes it a strict liability offence for a lessor to solicit or invite a tenant to offer to pay rent that exceeds the advertised price.</w:t>
      </w:r>
    </w:p>
    <w:p w14:paraId="31132200" w14:textId="502DECBC" w:rsidR="00E31BF6" w:rsidRPr="0048099F" w:rsidRDefault="00E31BF6" w:rsidP="00E31BF6">
      <w:pPr>
        <w:rPr>
          <w:rFonts w:ascii="Arial" w:hAnsi="Arial" w:cs="Arial"/>
          <w:sz w:val="24"/>
          <w:szCs w:val="24"/>
        </w:rPr>
      </w:pPr>
      <w:r w:rsidRPr="0048099F">
        <w:rPr>
          <w:rFonts w:ascii="Arial" w:hAnsi="Arial" w:cs="Arial"/>
          <w:sz w:val="24"/>
          <w:szCs w:val="24"/>
        </w:rPr>
        <w:t xml:space="preserve">The maximum penalty for this offence is </w:t>
      </w:r>
      <w:r>
        <w:rPr>
          <w:rFonts w:ascii="Arial" w:hAnsi="Arial" w:cs="Arial"/>
          <w:sz w:val="24"/>
          <w:szCs w:val="24"/>
        </w:rPr>
        <w:t xml:space="preserve">20 </w:t>
      </w:r>
      <w:r w:rsidRPr="0048099F">
        <w:rPr>
          <w:rFonts w:ascii="Arial" w:hAnsi="Arial" w:cs="Arial"/>
          <w:sz w:val="24"/>
          <w:szCs w:val="24"/>
        </w:rPr>
        <w:t>penalty units.</w:t>
      </w:r>
    </w:p>
    <w:p w14:paraId="460C3064" w14:textId="3A57E814" w:rsidR="00E31BF6" w:rsidRDefault="00E31BF6" w:rsidP="00E31BF6">
      <w:pPr>
        <w:rPr>
          <w:rFonts w:ascii="Arial" w:hAnsi="Arial" w:cs="Arial"/>
          <w:sz w:val="24"/>
          <w:szCs w:val="24"/>
        </w:rPr>
      </w:pPr>
      <w:r w:rsidRPr="0048099F">
        <w:rPr>
          <w:rFonts w:ascii="Arial" w:hAnsi="Arial" w:cs="Arial"/>
          <w:sz w:val="24"/>
          <w:szCs w:val="24"/>
        </w:rPr>
        <w:t>The provision does not pre</w:t>
      </w:r>
      <w:r>
        <w:rPr>
          <w:rFonts w:ascii="Arial" w:hAnsi="Arial" w:cs="Arial"/>
          <w:sz w:val="24"/>
          <w:szCs w:val="24"/>
        </w:rPr>
        <w:t>v</w:t>
      </w:r>
      <w:r w:rsidRPr="0048099F">
        <w:rPr>
          <w:rFonts w:ascii="Arial" w:hAnsi="Arial" w:cs="Arial"/>
          <w:sz w:val="24"/>
          <w:szCs w:val="24"/>
        </w:rPr>
        <w:t>ent a lessor from accepting a tenant’s offer to pay rent that exceeds the advertised price</w:t>
      </w:r>
      <w:r w:rsidR="00B41078">
        <w:rPr>
          <w:rFonts w:ascii="Arial" w:hAnsi="Arial" w:cs="Arial"/>
          <w:sz w:val="24"/>
          <w:szCs w:val="24"/>
        </w:rPr>
        <w:t xml:space="preserve"> provided the offer was made by the tenant without solicitation or invitation from the lessor, or another person</w:t>
      </w:r>
      <w:r w:rsidRPr="0048099F">
        <w:rPr>
          <w:rFonts w:ascii="Arial" w:hAnsi="Arial" w:cs="Arial"/>
          <w:sz w:val="24"/>
          <w:szCs w:val="24"/>
        </w:rPr>
        <w:t>.</w:t>
      </w:r>
    </w:p>
    <w:p w14:paraId="776728E5" w14:textId="6281FAA1" w:rsidR="004D1DDA" w:rsidRPr="0048099F" w:rsidRDefault="004D1DDA" w:rsidP="00E31BF6">
      <w:pPr>
        <w:rPr>
          <w:rFonts w:ascii="Arial" w:hAnsi="Arial" w:cs="Arial"/>
          <w:sz w:val="24"/>
          <w:szCs w:val="24"/>
        </w:rPr>
      </w:pPr>
      <w:r>
        <w:rPr>
          <w:rFonts w:ascii="Arial" w:hAnsi="Arial" w:cs="Arial"/>
          <w:sz w:val="24"/>
          <w:szCs w:val="24"/>
        </w:rPr>
        <w:t xml:space="preserve">These sections were introduced in response to community concerns about the impact of solicited rent bidding on the </w:t>
      </w:r>
      <w:r w:rsidR="005E3D58">
        <w:rPr>
          <w:rFonts w:ascii="Arial" w:hAnsi="Arial" w:cs="Arial"/>
          <w:sz w:val="24"/>
          <w:szCs w:val="24"/>
        </w:rPr>
        <w:t xml:space="preserve">transparency, </w:t>
      </w:r>
      <w:r>
        <w:rPr>
          <w:rFonts w:ascii="Arial" w:hAnsi="Arial" w:cs="Arial"/>
          <w:sz w:val="24"/>
          <w:szCs w:val="24"/>
        </w:rPr>
        <w:t xml:space="preserve">affordability and accessibility of accommodation in the </w:t>
      </w:r>
      <w:r w:rsidR="00546568">
        <w:rPr>
          <w:rFonts w:ascii="Arial" w:hAnsi="Arial" w:cs="Arial"/>
          <w:sz w:val="24"/>
          <w:szCs w:val="24"/>
        </w:rPr>
        <w:t xml:space="preserve">Australian Capital </w:t>
      </w:r>
      <w:r>
        <w:rPr>
          <w:rFonts w:ascii="Arial" w:hAnsi="Arial" w:cs="Arial"/>
          <w:sz w:val="24"/>
          <w:szCs w:val="24"/>
        </w:rPr>
        <w:t>Territory</w:t>
      </w:r>
      <w:r w:rsidR="00546568">
        <w:rPr>
          <w:rFonts w:ascii="Arial" w:hAnsi="Arial" w:cs="Arial"/>
          <w:sz w:val="24"/>
          <w:szCs w:val="24"/>
        </w:rPr>
        <w:t xml:space="preserve"> (</w:t>
      </w:r>
      <w:r w:rsidR="00546568" w:rsidRPr="00480D5F">
        <w:rPr>
          <w:rFonts w:ascii="Arial" w:hAnsi="Arial" w:cs="Arial"/>
          <w:b/>
          <w:bCs/>
          <w:sz w:val="24"/>
          <w:szCs w:val="24"/>
        </w:rPr>
        <w:t>ACT</w:t>
      </w:r>
      <w:r w:rsidR="00546568">
        <w:rPr>
          <w:rFonts w:ascii="Arial" w:hAnsi="Arial" w:cs="Arial"/>
          <w:sz w:val="24"/>
          <w:szCs w:val="24"/>
        </w:rPr>
        <w:t>)</w:t>
      </w:r>
      <w:r>
        <w:rPr>
          <w:rFonts w:ascii="Arial" w:hAnsi="Arial" w:cs="Arial"/>
          <w:sz w:val="24"/>
          <w:szCs w:val="24"/>
        </w:rPr>
        <w:t>.</w:t>
      </w:r>
      <w:r w:rsidR="0029730C">
        <w:rPr>
          <w:rFonts w:ascii="Arial" w:hAnsi="Arial" w:cs="Arial"/>
          <w:sz w:val="24"/>
          <w:szCs w:val="24"/>
        </w:rPr>
        <w:t xml:space="preserve"> Requiring a lessor to advertise a fixed rental rate is intended to strengthen the prohibition on solicited rent bidding, by removing avenues that implicitly encourage prospective tenants to offer varying amounts</w:t>
      </w:r>
      <w:r w:rsidR="006D2698">
        <w:rPr>
          <w:rFonts w:ascii="Arial" w:hAnsi="Arial" w:cs="Arial"/>
          <w:sz w:val="24"/>
          <w:szCs w:val="24"/>
        </w:rPr>
        <w:t xml:space="preserve"> (such as advertising a range of amounts as the rental rate)</w:t>
      </w:r>
      <w:r w:rsidR="0029730C">
        <w:rPr>
          <w:rFonts w:ascii="Arial" w:hAnsi="Arial" w:cs="Arial"/>
          <w:sz w:val="24"/>
          <w:szCs w:val="24"/>
        </w:rPr>
        <w:t>.</w:t>
      </w:r>
    </w:p>
    <w:p w14:paraId="22E9AE13" w14:textId="5994325B" w:rsidR="00237969" w:rsidRPr="00264F34" w:rsidRDefault="00237969" w:rsidP="002860A9">
      <w:pPr>
        <w:ind w:left="1440" w:hanging="1440"/>
        <w:rPr>
          <w:rFonts w:ascii="Arial" w:eastAsiaTheme="majorEastAsia" w:hAnsi="Arial" w:cs="Arial"/>
          <w:b/>
          <w:sz w:val="24"/>
          <w:szCs w:val="24"/>
        </w:rPr>
      </w:pPr>
      <w:r w:rsidRPr="005E3D58">
        <w:rPr>
          <w:rFonts w:ascii="Arial" w:eastAsiaTheme="majorEastAsia" w:hAnsi="Arial" w:cs="Arial"/>
          <w:b/>
          <w:sz w:val="24"/>
          <w:szCs w:val="24"/>
        </w:rPr>
        <w:t xml:space="preserve">Clause </w:t>
      </w:r>
      <w:r w:rsidR="00546568">
        <w:rPr>
          <w:rFonts w:ascii="Arial" w:eastAsiaTheme="majorEastAsia" w:hAnsi="Arial" w:cs="Arial"/>
          <w:b/>
          <w:sz w:val="24"/>
          <w:szCs w:val="24"/>
        </w:rPr>
        <w:t>10</w:t>
      </w:r>
      <w:r w:rsidRPr="005E3D58">
        <w:rPr>
          <w:rFonts w:ascii="Arial" w:eastAsiaTheme="majorEastAsia" w:hAnsi="Arial" w:cs="Arial"/>
          <w:b/>
          <w:sz w:val="24"/>
          <w:szCs w:val="24"/>
        </w:rPr>
        <w:tab/>
        <w:t>Lessor’s obligations</w:t>
      </w:r>
      <w:r w:rsidR="002860A9" w:rsidRPr="005E3D58">
        <w:rPr>
          <w:rFonts w:ascii="Arial" w:eastAsiaTheme="majorEastAsia" w:hAnsi="Arial" w:cs="Arial"/>
          <w:b/>
          <w:sz w:val="24"/>
          <w:szCs w:val="24"/>
        </w:rPr>
        <w:br/>
        <w:t>N</w:t>
      </w:r>
      <w:r w:rsidRPr="005E3D58">
        <w:rPr>
          <w:rFonts w:ascii="Arial" w:eastAsiaTheme="majorEastAsia" w:hAnsi="Arial" w:cs="Arial"/>
          <w:b/>
          <w:sz w:val="24"/>
          <w:szCs w:val="24"/>
        </w:rPr>
        <w:t>ew section 12</w:t>
      </w:r>
      <w:r w:rsidR="005048F6" w:rsidRPr="005E3D58">
        <w:rPr>
          <w:rFonts w:ascii="Arial" w:eastAsiaTheme="majorEastAsia" w:hAnsi="Arial" w:cs="Arial"/>
          <w:b/>
          <w:sz w:val="24"/>
          <w:szCs w:val="24"/>
        </w:rPr>
        <w:t xml:space="preserve"> </w:t>
      </w:r>
      <w:r w:rsidRPr="005E3D58">
        <w:rPr>
          <w:rFonts w:ascii="Arial" w:eastAsiaTheme="majorEastAsia" w:hAnsi="Arial" w:cs="Arial"/>
          <w:b/>
          <w:sz w:val="24"/>
          <w:szCs w:val="24"/>
        </w:rPr>
        <w:t>(3)</w:t>
      </w:r>
      <w:r w:rsidR="005048F6" w:rsidRPr="005E3D58">
        <w:rPr>
          <w:rFonts w:ascii="Arial" w:eastAsiaTheme="majorEastAsia" w:hAnsi="Arial" w:cs="Arial"/>
          <w:b/>
          <w:sz w:val="24"/>
          <w:szCs w:val="24"/>
        </w:rPr>
        <w:t xml:space="preserve"> </w:t>
      </w:r>
      <w:r w:rsidRPr="005E3D58">
        <w:rPr>
          <w:rFonts w:ascii="Arial" w:eastAsiaTheme="majorEastAsia" w:hAnsi="Arial" w:cs="Arial"/>
          <w:b/>
          <w:sz w:val="24"/>
          <w:szCs w:val="24"/>
        </w:rPr>
        <w:t>(g)</w:t>
      </w:r>
      <w:r w:rsidR="00B41078">
        <w:rPr>
          <w:rFonts w:ascii="Arial" w:eastAsiaTheme="majorEastAsia" w:hAnsi="Arial" w:cs="Arial"/>
          <w:b/>
          <w:sz w:val="24"/>
          <w:szCs w:val="24"/>
        </w:rPr>
        <w:t xml:space="preserve"> and (h)</w:t>
      </w:r>
    </w:p>
    <w:p w14:paraId="293BBDAE" w14:textId="6260F09E" w:rsidR="00AA67C6" w:rsidRPr="00264F34" w:rsidRDefault="001962AD" w:rsidP="002A146C">
      <w:pPr>
        <w:rPr>
          <w:rFonts w:ascii="Arial" w:hAnsi="Arial" w:cs="Arial"/>
          <w:sz w:val="24"/>
          <w:szCs w:val="24"/>
        </w:rPr>
      </w:pPr>
      <w:r w:rsidRPr="00264F34">
        <w:rPr>
          <w:rFonts w:ascii="Arial" w:hAnsi="Arial" w:cs="Arial"/>
          <w:sz w:val="24"/>
          <w:szCs w:val="24"/>
        </w:rPr>
        <w:t>N</w:t>
      </w:r>
      <w:r w:rsidR="0042515E" w:rsidRPr="00264F34">
        <w:rPr>
          <w:rFonts w:ascii="Arial" w:hAnsi="Arial" w:cs="Arial"/>
          <w:sz w:val="24"/>
          <w:szCs w:val="24"/>
        </w:rPr>
        <w:t>ew subsection</w:t>
      </w:r>
      <w:r w:rsidR="002860A9" w:rsidRPr="00264F34">
        <w:rPr>
          <w:rFonts w:ascii="Arial" w:hAnsi="Arial" w:cs="Arial"/>
          <w:sz w:val="24"/>
          <w:szCs w:val="24"/>
        </w:rPr>
        <w:t xml:space="preserve"> 12</w:t>
      </w:r>
      <w:r w:rsidR="005048F6" w:rsidRPr="00264F34">
        <w:rPr>
          <w:rFonts w:ascii="Arial" w:hAnsi="Arial" w:cs="Arial"/>
          <w:sz w:val="24"/>
          <w:szCs w:val="24"/>
        </w:rPr>
        <w:t xml:space="preserve"> </w:t>
      </w:r>
      <w:r w:rsidR="002860A9" w:rsidRPr="00264F34">
        <w:rPr>
          <w:rFonts w:ascii="Arial" w:hAnsi="Arial" w:cs="Arial"/>
          <w:sz w:val="24"/>
          <w:szCs w:val="24"/>
        </w:rPr>
        <w:t>(3)</w:t>
      </w:r>
      <w:r w:rsidR="005048F6" w:rsidRPr="00264F34">
        <w:rPr>
          <w:rFonts w:ascii="Arial" w:hAnsi="Arial" w:cs="Arial"/>
          <w:sz w:val="24"/>
          <w:szCs w:val="24"/>
        </w:rPr>
        <w:t xml:space="preserve"> </w:t>
      </w:r>
      <w:r w:rsidR="002860A9" w:rsidRPr="00264F34">
        <w:rPr>
          <w:rFonts w:ascii="Arial" w:hAnsi="Arial" w:cs="Arial"/>
          <w:sz w:val="24"/>
          <w:szCs w:val="24"/>
        </w:rPr>
        <w:t>(g)</w:t>
      </w:r>
      <w:r w:rsidR="0042515E" w:rsidRPr="00264F34">
        <w:rPr>
          <w:rFonts w:ascii="Arial" w:hAnsi="Arial" w:cs="Arial"/>
          <w:sz w:val="24"/>
          <w:szCs w:val="24"/>
        </w:rPr>
        <w:t xml:space="preserve"> </w:t>
      </w:r>
      <w:r w:rsidRPr="00264F34">
        <w:rPr>
          <w:rFonts w:ascii="Arial" w:hAnsi="Arial" w:cs="Arial"/>
          <w:sz w:val="24"/>
          <w:szCs w:val="24"/>
        </w:rPr>
        <w:t>requires</w:t>
      </w:r>
      <w:r w:rsidR="00AA67C6" w:rsidRPr="00264F34">
        <w:rPr>
          <w:rFonts w:ascii="Arial" w:hAnsi="Arial" w:cs="Arial"/>
          <w:sz w:val="24"/>
          <w:szCs w:val="24"/>
        </w:rPr>
        <w:t xml:space="preserve"> </w:t>
      </w:r>
      <w:r w:rsidR="006D276D" w:rsidRPr="00264F34">
        <w:rPr>
          <w:rFonts w:ascii="Arial" w:hAnsi="Arial" w:cs="Arial"/>
          <w:sz w:val="24"/>
          <w:szCs w:val="24"/>
        </w:rPr>
        <w:t xml:space="preserve">a </w:t>
      </w:r>
      <w:r w:rsidR="00AA67C6" w:rsidRPr="00264F34">
        <w:rPr>
          <w:rFonts w:ascii="Arial" w:hAnsi="Arial" w:cs="Arial"/>
          <w:sz w:val="24"/>
          <w:szCs w:val="24"/>
        </w:rPr>
        <w:t xml:space="preserve">lessor to provide a prospective tenant with a </w:t>
      </w:r>
      <w:r w:rsidR="00955A07" w:rsidRPr="00264F34">
        <w:rPr>
          <w:rFonts w:ascii="Arial" w:hAnsi="Arial" w:cs="Arial"/>
          <w:sz w:val="24"/>
          <w:szCs w:val="24"/>
        </w:rPr>
        <w:t xml:space="preserve">written </w:t>
      </w:r>
      <w:r w:rsidR="00AA67C6" w:rsidRPr="00264F34">
        <w:rPr>
          <w:rFonts w:ascii="Arial" w:hAnsi="Arial" w:cs="Arial"/>
          <w:sz w:val="24"/>
          <w:szCs w:val="24"/>
        </w:rPr>
        <w:t xml:space="preserve">statement </w:t>
      </w:r>
      <w:r w:rsidR="00727919" w:rsidRPr="00264F34">
        <w:rPr>
          <w:rFonts w:ascii="Arial" w:hAnsi="Arial" w:cs="Arial"/>
          <w:sz w:val="24"/>
          <w:szCs w:val="24"/>
        </w:rPr>
        <w:t xml:space="preserve">as to </w:t>
      </w:r>
      <w:r w:rsidR="00AA67C6" w:rsidRPr="00264F34">
        <w:rPr>
          <w:rFonts w:ascii="Arial" w:hAnsi="Arial" w:cs="Arial"/>
          <w:sz w:val="24"/>
          <w:szCs w:val="24"/>
        </w:rPr>
        <w:t xml:space="preserve">whether the premises complies with any minimum housing standards </w:t>
      </w:r>
      <w:r w:rsidRPr="00264F34">
        <w:rPr>
          <w:rFonts w:ascii="Arial" w:hAnsi="Arial" w:cs="Arial"/>
          <w:sz w:val="24"/>
          <w:szCs w:val="24"/>
        </w:rPr>
        <w:t>at the time the parties enter a residential tenancy agreement</w:t>
      </w:r>
      <w:r w:rsidR="00AA67C6" w:rsidRPr="00264F34">
        <w:rPr>
          <w:rFonts w:ascii="Arial" w:hAnsi="Arial" w:cs="Arial"/>
          <w:sz w:val="24"/>
          <w:szCs w:val="24"/>
        </w:rPr>
        <w:t>.</w:t>
      </w:r>
      <w:r w:rsidR="00C04379" w:rsidRPr="00264F34">
        <w:rPr>
          <w:rFonts w:ascii="Arial" w:hAnsi="Arial" w:cs="Arial"/>
          <w:sz w:val="24"/>
          <w:szCs w:val="24"/>
        </w:rPr>
        <w:t xml:space="preserve"> If the residential premises does not comply with any minimum housing standards, the lessor is required to provide a written statement as to the reason and a proposed compliance date.</w:t>
      </w:r>
      <w:r w:rsidR="00AA67C6" w:rsidRPr="00264F34">
        <w:rPr>
          <w:rFonts w:ascii="Arial" w:hAnsi="Arial" w:cs="Arial"/>
          <w:sz w:val="24"/>
          <w:szCs w:val="24"/>
        </w:rPr>
        <w:t xml:space="preserve"> If the residential premises is exempt from complying with any minimum housing standards, the lessor is required to </w:t>
      </w:r>
      <w:r w:rsidR="00955A07" w:rsidRPr="00264F34">
        <w:rPr>
          <w:rFonts w:ascii="Arial" w:hAnsi="Arial" w:cs="Arial"/>
          <w:sz w:val="24"/>
          <w:szCs w:val="24"/>
        </w:rPr>
        <w:t>provide a written statement disclosing</w:t>
      </w:r>
      <w:r w:rsidR="00AA67C6" w:rsidRPr="00264F34">
        <w:rPr>
          <w:rFonts w:ascii="Arial" w:hAnsi="Arial" w:cs="Arial"/>
          <w:sz w:val="24"/>
          <w:szCs w:val="24"/>
        </w:rPr>
        <w:t xml:space="preserve"> the reason </w:t>
      </w:r>
      <w:r w:rsidR="00727919" w:rsidRPr="00264F34">
        <w:rPr>
          <w:rFonts w:ascii="Arial" w:hAnsi="Arial" w:cs="Arial"/>
          <w:sz w:val="24"/>
          <w:szCs w:val="24"/>
        </w:rPr>
        <w:t xml:space="preserve">that </w:t>
      </w:r>
      <w:r w:rsidR="00AA67C6" w:rsidRPr="00264F34">
        <w:rPr>
          <w:rFonts w:ascii="Arial" w:hAnsi="Arial" w:cs="Arial"/>
          <w:sz w:val="24"/>
          <w:szCs w:val="24"/>
        </w:rPr>
        <w:t>the premises is exempt.</w:t>
      </w:r>
    </w:p>
    <w:p w14:paraId="3FAC58F0" w14:textId="7235EC4A" w:rsidR="001962AD" w:rsidRDefault="00C704F2" w:rsidP="002A146C">
      <w:pPr>
        <w:rPr>
          <w:rFonts w:ascii="Arial" w:hAnsi="Arial" w:cs="Arial"/>
          <w:sz w:val="24"/>
          <w:szCs w:val="24"/>
        </w:rPr>
      </w:pPr>
      <w:r w:rsidRPr="00264F34">
        <w:rPr>
          <w:rFonts w:ascii="Arial" w:hAnsi="Arial" w:cs="Arial"/>
          <w:sz w:val="24"/>
          <w:szCs w:val="24"/>
        </w:rPr>
        <w:t xml:space="preserve">Similar to </w:t>
      </w:r>
      <w:r w:rsidRPr="005A14D5">
        <w:rPr>
          <w:rFonts w:ascii="Arial" w:hAnsi="Arial" w:cs="Arial"/>
          <w:sz w:val="24"/>
          <w:szCs w:val="24"/>
        </w:rPr>
        <w:t xml:space="preserve">clause </w:t>
      </w:r>
      <w:r w:rsidR="00546568">
        <w:rPr>
          <w:rFonts w:ascii="Arial" w:hAnsi="Arial" w:cs="Arial"/>
          <w:sz w:val="24"/>
          <w:szCs w:val="24"/>
        </w:rPr>
        <w:t>8</w:t>
      </w:r>
      <w:r w:rsidRPr="00264F34">
        <w:rPr>
          <w:rFonts w:ascii="Arial" w:hAnsi="Arial" w:cs="Arial"/>
          <w:sz w:val="24"/>
          <w:szCs w:val="24"/>
        </w:rPr>
        <w:t>, the policy intent is</w:t>
      </w:r>
      <w:r w:rsidR="001962AD" w:rsidRPr="00264F34">
        <w:rPr>
          <w:rFonts w:ascii="Arial" w:hAnsi="Arial" w:cs="Arial"/>
          <w:sz w:val="24"/>
          <w:szCs w:val="24"/>
        </w:rPr>
        <w:t xml:space="preserve"> to ensure that tenants are aware whether their prospective rental complies with minimum housing standard</w:t>
      </w:r>
      <w:r w:rsidR="005048F6" w:rsidRPr="00264F34">
        <w:rPr>
          <w:rFonts w:ascii="Arial" w:hAnsi="Arial" w:cs="Arial"/>
          <w:sz w:val="24"/>
          <w:szCs w:val="24"/>
        </w:rPr>
        <w:t>s</w:t>
      </w:r>
      <w:r w:rsidR="001962AD" w:rsidRPr="00264F34">
        <w:rPr>
          <w:rFonts w:ascii="Arial" w:hAnsi="Arial" w:cs="Arial"/>
          <w:sz w:val="24"/>
          <w:szCs w:val="24"/>
        </w:rPr>
        <w:t>. By requiring a lessor to provide a written statement, new subsection 12</w:t>
      </w:r>
      <w:r w:rsidR="005048F6" w:rsidRPr="00264F34">
        <w:rPr>
          <w:rFonts w:ascii="Arial" w:hAnsi="Arial" w:cs="Arial"/>
          <w:sz w:val="24"/>
          <w:szCs w:val="24"/>
        </w:rPr>
        <w:t xml:space="preserve"> </w:t>
      </w:r>
      <w:r w:rsidR="001962AD" w:rsidRPr="00264F34">
        <w:rPr>
          <w:rFonts w:ascii="Arial" w:hAnsi="Arial" w:cs="Arial"/>
          <w:sz w:val="24"/>
          <w:szCs w:val="24"/>
        </w:rPr>
        <w:t>(3)</w:t>
      </w:r>
      <w:r w:rsidR="005048F6" w:rsidRPr="00264F34">
        <w:rPr>
          <w:rFonts w:ascii="Arial" w:hAnsi="Arial" w:cs="Arial"/>
          <w:sz w:val="24"/>
          <w:szCs w:val="24"/>
        </w:rPr>
        <w:t xml:space="preserve"> </w:t>
      </w:r>
      <w:r w:rsidR="001962AD" w:rsidRPr="00264F34">
        <w:rPr>
          <w:rFonts w:ascii="Arial" w:hAnsi="Arial" w:cs="Arial"/>
          <w:sz w:val="24"/>
          <w:szCs w:val="24"/>
        </w:rPr>
        <w:t xml:space="preserve">(g) will also ensure there is a written record of the representations made to a tenant, which </w:t>
      </w:r>
      <w:r w:rsidR="005048F6" w:rsidRPr="00264F34">
        <w:rPr>
          <w:rFonts w:ascii="Arial" w:hAnsi="Arial" w:cs="Arial"/>
          <w:sz w:val="24"/>
          <w:szCs w:val="24"/>
        </w:rPr>
        <w:t xml:space="preserve">may </w:t>
      </w:r>
      <w:r w:rsidR="001962AD" w:rsidRPr="00264F34">
        <w:rPr>
          <w:rFonts w:ascii="Arial" w:hAnsi="Arial" w:cs="Arial"/>
          <w:sz w:val="24"/>
          <w:szCs w:val="24"/>
        </w:rPr>
        <w:t>be relied upon should any dispute pertaining to minimum housing standards arise.</w:t>
      </w:r>
    </w:p>
    <w:p w14:paraId="6D318933" w14:textId="607948D9" w:rsidR="005330ED" w:rsidRDefault="005330ED" w:rsidP="002A146C">
      <w:pPr>
        <w:rPr>
          <w:rFonts w:ascii="Arial" w:hAnsi="Arial" w:cs="Arial"/>
          <w:sz w:val="24"/>
          <w:szCs w:val="24"/>
        </w:rPr>
      </w:pPr>
      <w:r>
        <w:rPr>
          <w:rFonts w:ascii="Arial" w:hAnsi="Arial" w:cs="Arial"/>
          <w:sz w:val="24"/>
          <w:szCs w:val="24"/>
        </w:rPr>
        <w:t xml:space="preserve">Where a tenant </w:t>
      </w:r>
      <w:r w:rsidR="00121208">
        <w:rPr>
          <w:rFonts w:ascii="Arial" w:hAnsi="Arial" w:cs="Arial"/>
          <w:sz w:val="24"/>
          <w:szCs w:val="24"/>
        </w:rPr>
        <w:t>requests</w:t>
      </w:r>
      <w:r>
        <w:rPr>
          <w:rFonts w:ascii="Arial" w:hAnsi="Arial" w:cs="Arial"/>
          <w:sz w:val="24"/>
          <w:szCs w:val="24"/>
        </w:rPr>
        <w:t xml:space="preserve"> additional information about the compliance of a premises with any minimum housing standards in force, new subsection 12 (3) (h)</w:t>
      </w:r>
      <w:r w:rsidR="00121208">
        <w:rPr>
          <w:rFonts w:ascii="Arial" w:hAnsi="Arial" w:cs="Arial"/>
          <w:sz w:val="24"/>
          <w:szCs w:val="24"/>
        </w:rPr>
        <w:t xml:space="preserve"> requires</w:t>
      </w:r>
      <w:r>
        <w:rPr>
          <w:rFonts w:ascii="Arial" w:hAnsi="Arial" w:cs="Arial"/>
          <w:sz w:val="24"/>
          <w:szCs w:val="24"/>
        </w:rPr>
        <w:t xml:space="preserve"> a lessor to provide a copy of any record required to be kept by the lessor in accordance with section 19C. Section 19C relates to the requirement on a lessor to keep records about minimum housing standards. </w:t>
      </w:r>
    </w:p>
    <w:p w14:paraId="598CBC18" w14:textId="392DB831" w:rsidR="005330ED" w:rsidRDefault="005330ED" w:rsidP="00143AD1">
      <w:pPr>
        <w:keepNext/>
        <w:rPr>
          <w:rFonts w:ascii="Arial" w:hAnsi="Arial" w:cs="Arial"/>
          <w:b/>
          <w:bCs/>
          <w:sz w:val="24"/>
          <w:szCs w:val="24"/>
        </w:rPr>
      </w:pPr>
      <w:r w:rsidRPr="00480D5F">
        <w:rPr>
          <w:rFonts w:ascii="Arial" w:hAnsi="Arial" w:cs="Arial"/>
          <w:b/>
          <w:bCs/>
          <w:sz w:val="24"/>
          <w:szCs w:val="24"/>
        </w:rPr>
        <w:lastRenderedPageBreak/>
        <w:t xml:space="preserve">Clause </w:t>
      </w:r>
      <w:r w:rsidR="00011106">
        <w:rPr>
          <w:rFonts w:ascii="Arial" w:hAnsi="Arial" w:cs="Arial"/>
          <w:b/>
          <w:bCs/>
          <w:sz w:val="24"/>
          <w:szCs w:val="24"/>
        </w:rPr>
        <w:t>11</w:t>
      </w:r>
      <w:r w:rsidRPr="00480D5F">
        <w:rPr>
          <w:rFonts w:ascii="Arial" w:hAnsi="Arial" w:cs="Arial"/>
          <w:b/>
          <w:bCs/>
          <w:sz w:val="24"/>
          <w:szCs w:val="24"/>
        </w:rPr>
        <w:tab/>
        <w:t>Section 12 (3) (i)</w:t>
      </w:r>
    </w:p>
    <w:p w14:paraId="5E426379" w14:textId="29FFF21D" w:rsidR="005330ED" w:rsidRPr="005330ED" w:rsidRDefault="005330ED" w:rsidP="002A146C">
      <w:pPr>
        <w:rPr>
          <w:rFonts w:ascii="Arial" w:hAnsi="Arial" w:cs="Arial"/>
          <w:sz w:val="24"/>
          <w:szCs w:val="24"/>
        </w:rPr>
      </w:pPr>
      <w:r>
        <w:rPr>
          <w:rFonts w:ascii="Arial" w:hAnsi="Arial" w:cs="Arial"/>
          <w:sz w:val="24"/>
          <w:szCs w:val="24"/>
        </w:rPr>
        <w:t xml:space="preserve">New subsection 12 (3) (i) </w:t>
      </w:r>
      <w:r w:rsidRPr="00480D5F">
        <w:rPr>
          <w:rFonts w:ascii="Arial" w:hAnsi="Arial" w:cs="Arial"/>
          <w:sz w:val="24"/>
          <w:szCs w:val="24"/>
        </w:rPr>
        <w:t xml:space="preserve">requires the subsidised accommodation provider to provide </w:t>
      </w:r>
      <w:r w:rsidR="006D2698">
        <w:rPr>
          <w:rFonts w:ascii="Arial" w:hAnsi="Arial" w:cs="Arial"/>
          <w:sz w:val="24"/>
          <w:szCs w:val="24"/>
        </w:rPr>
        <w:t>a</w:t>
      </w:r>
      <w:r w:rsidRPr="00480D5F">
        <w:rPr>
          <w:rFonts w:ascii="Arial" w:hAnsi="Arial" w:cs="Arial"/>
          <w:sz w:val="24"/>
          <w:szCs w:val="24"/>
        </w:rPr>
        <w:t xml:space="preserve"> tenant with information about any criteria against which the tenant may be assessed and, if found ineligible, have their tenancy terminated before the tenancy commences. </w:t>
      </w:r>
      <w:r w:rsidR="00FA53D1" w:rsidRPr="00480D5F">
        <w:rPr>
          <w:rFonts w:ascii="Arial" w:hAnsi="Arial" w:cs="Arial"/>
          <w:sz w:val="24"/>
          <w:szCs w:val="24"/>
        </w:rPr>
        <w:t>This ensures the tenant is aware of the eligibility criteria against which they may be assessed during their tenancy.</w:t>
      </w:r>
    </w:p>
    <w:p w14:paraId="57107A99" w14:textId="3374FFE0" w:rsidR="00C04379" w:rsidRPr="00264F34" w:rsidRDefault="00C04379" w:rsidP="00C677E6">
      <w:pPr>
        <w:rPr>
          <w:rFonts w:ascii="Arial" w:eastAsiaTheme="majorEastAsia" w:hAnsi="Arial" w:cs="Arial"/>
          <w:b/>
          <w:i/>
          <w:iCs/>
          <w:sz w:val="24"/>
          <w:szCs w:val="24"/>
        </w:rPr>
      </w:pPr>
      <w:r w:rsidRPr="00264F34">
        <w:rPr>
          <w:rFonts w:ascii="Arial" w:eastAsiaTheme="majorEastAsia" w:hAnsi="Arial" w:cs="Arial"/>
          <w:b/>
          <w:sz w:val="24"/>
          <w:szCs w:val="24"/>
        </w:rPr>
        <w:t xml:space="preserve">Clause </w:t>
      </w:r>
      <w:r w:rsidR="00011106">
        <w:rPr>
          <w:rFonts w:ascii="Arial" w:eastAsiaTheme="majorEastAsia" w:hAnsi="Arial" w:cs="Arial"/>
          <w:b/>
          <w:sz w:val="24"/>
          <w:szCs w:val="24"/>
        </w:rPr>
        <w:t>12</w:t>
      </w:r>
      <w:r w:rsidRPr="00264F34">
        <w:rPr>
          <w:rFonts w:ascii="Arial" w:eastAsiaTheme="majorEastAsia" w:hAnsi="Arial" w:cs="Arial"/>
          <w:b/>
          <w:sz w:val="24"/>
          <w:szCs w:val="24"/>
        </w:rPr>
        <w:tab/>
        <w:t xml:space="preserve">Section 12 (4), new definition of </w:t>
      </w:r>
      <w:r w:rsidRPr="00264F34">
        <w:rPr>
          <w:rFonts w:ascii="Arial" w:eastAsiaTheme="majorEastAsia" w:hAnsi="Arial" w:cs="Arial"/>
          <w:b/>
          <w:i/>
          <w:iCs/>
          <w:sz w:val="24"/>
          <w:szCs w:val="24"/>
        </w:rPr>
        <w:t>proposed compliance date</w:t>
      </w:r>
    </w:p>
    <w:p w14:paraId="182B88DD" w14:textId="3A310A03" w:rsidR="00C04379" w:rsidRPr="00264F34" w:rsidRDefault="0089025E" w:rsidP="00C677E6">
      <w:pPr>
        <w:rPr>
          <w:rFonts w:ascii="Arial" w:eastAsiaTheme="majorEastAsia" w:hAnsi="Arial" w:cs="Arial"/>
          <w:b/>
          <w:i/>
          <w:iCs/>
          <w:sz w:val="24"/>
          <w:szCs w:val="24"/>
        </w:rPr>
      </w:pPr>
      <w:r w:rsidRPr="00264F34">
        <w:rPr>
          <w:rFonts w:ascii="Arial" w:eastAsiaTheme="majorEastAsia" w:hAnsi="Arial" w:cs="Arial"/>
          <w:bCs/>
          <w:sz w:val="24"/>
          <w:szCs w:val="24"/>
        </w:rPr>
        <w:t>This clause inserts a new definition for the term ‘</w:t>
      </w:r>
      <w:r w:rsidRPr="00264F34">
        <w:rPr>
          <w:rFonts w:ascii="Arial" w:eastAsiaTheme="majorEastAsia" w:hAnsi="Arial" w:cs="Arial"/>
          <w:b/>
          <w:i/>
          <w:iCs/>
          <w:sz w:val="24"/>
          <w:szCs w:val="24"/>
        </w:rPr>
        <w:t>proposed compliance date</w:t>
      </w:r>
      <w:r w:rsidRPr="00480D5F">
        <w:rPr>
          <w:rFonts w:ascii="Arial" w:eastAsiaTheme="majorEastAsia" w:hAnsi="Arial" w:cs="Arial"/>
          <w:bCs/>
          <w:i/>
          <w:iCs/>
          <w:sz w:val="24"/>
          <w:szCs w:val="24"/>
        </w:rPr>
        <w:t>’</w:t>
      </w:r>
      <w:r w:rsidRPr="00264F34">
        <w:rPr>
          <w:rFonts w:ascii="Arial" w:eastAsiaTheme="majorEastAsia" w:hAnsi="Arial" w:cs="Arial"/>
          <w:b/>
          <w:i/>
          <w:iCs/>
          <w:sz w:val="24"/>
          <w:szCs w:val="24"/>
        </w:rPr>
        <w:t>.</w:t>
      </w:r>
    </w:p>
    <w:p w14:paraId="689196CF" w14:textId="77777777" w:rsidR="005E3D58" w:rsidRDefault="0089025E" w:rsidP="00C677E6">
      <w:pPr>
        <w:rPr>
          <w:rFonts w:ascii="Arial" w:hAnsi="Arial" w:cs="Arial"/>
          <w:sz w:val="24"/>
          <w:szCs w:val="24"/>
        </w:rPr>
      </w:pPr>
      <w:r w:rsidRPr="00264F34">
        <w:rPr>
          <w:rFonts w:ascii="Arial" w:eastAsiaTheme="majorEastAsia" w:hAnsi="Arial" w:cs="Arial"/>
          <w:bCs/>
          <w:sz w:val="24"/>
          <w:szCs w:val="24"/>
        </w:rPr>
        <w:t xml:space="preserve">A </w:t>
      </w:r>
      <w:r w:rsidRPr="00264F34">
        <w:rPr>
          <w:rFonts w:ascii="Arial" w:eastAsiaTheme="majorEastAsia" w:hAnsi="Arial" w:cs="Arial"/>
          <w:b/>
          <w:i/>
          <w:iCs/>
          <w:sz w:val="24"/>
          <w:szCs w:val="24"/>
        </w:rPr>
        <w:t>proposed compliance date</w:t>
      </w:r>
      <w:r w:rsidRPr="00264F34">
        <w:rPr>
          <w:rFonts w:ascii="Arial" w:hAnsi="Arial" w:cs="Arial"/>
          <w:sz w:val="24"/>
          <w:szCs w:val="24"/>
        </w:rPr>
        <w:t xml:space="preserve"> in relation to premises that do not comply with a minimum housing standard, means — </w:t>
      </w:r>
    </w:p>
    <w:p w14:paraId="02803C9F" w14:textId="77777777" w:rsidR="005E3D58" w:rsidRDefault="0089025E" w:rsidP="00C677E6">
      <w:pPr>
        <w:rPr>
          <w:rFonts w:ascii="Arial" w:hAnsi="Arial" w:cs="Arial"/>
          <w:sz w:val="24"/>
          <w:szCs w:val="24"/>
        </w:rPr>
      </w:pPr>
      <w:r w:rsidRPr="00264F34">
        <w:rPr>
          <w:rFonts w:ascii="Arial" w:hAnsi="Arial" w:cs="Arial"/>
          <w:sz w:val="24"/>
          <w:szCs w:val="24"/>
        </w:rPr>
        <w:t xml:space="preserve">(a) if a regulation prescribes a period in which the premises must comply—the end of the period; or </w:t>
      </w:r>
    </w:p>
    <w:p w14:paraId="0659E411" w14:textId="5DCAE9D0" w:rsidR="0089025E" w:rsidRDefault="0089025E" w:rsidP="00C677E6">
      <w:pPr>
        <w:rPr>
          <w:rFonts w:ascii="Arial" w:hAnsi="Arial" w:cs="Arial"/>
          <w:sz w:val="24"/>
          <w:szCs w:val="24"/>
        </w:rPr>
      </w:pPr>
      <w:r w:rsidRPr="00264F34">
        <w:rPr>
          <w:rFonts w:ascii="Arial" w:hAnsi="Arial" w:cs="Arial"/>
          <w:sz w:val="24"/>
          <w:szCs w:val="24"/>
        </w:rPr>
        <w:t xml:space="preserve">(b) in any other </w:t>
      </w:r>
      <w:r w:rsidRPr="0029730C">
        <w:rPr>
          <w:rFonts w:ascii="Arial" w:hAnsi="Arial" w:cs="Arial"/>
          <w:sz w:val="24"/>
          <w:szCs w:val="24"/>
        </w:rPr>
        <w:t>case</w:t>
      </w:r>
      <w:r w:rsidR="0029730C" w:rsidRPr="0029730C">
        <w:rPr>
          <w:rFonts w:ascii="Arial" w:hAnsi="Arial" w:cs="Arial"/>
          <w:sz w:val="24"/>
          <w:szCs w:val="24"/>
        </w:rPr>
        <w:t xml:space="preserve"> 1 month</w:t>
      </w:r>
      <w:r w:rsidR="0029730C">
        <w:rPr>
          <w:rFonts w:ascii="Arial" w:hAnsi="Arial" w:cs="Arial"/>
          <w:sz w:val="24"/>
          <w:szCs w:val="24"/>
        </w:rPr>
        <w:t xml:space="preserve"> </w:t>
      </w:r>
      <w:r w:rsidRPr="00264F34">
        <w:rPr>
          <w:rFonts w:ascii="Arial" w:hAnsi="Arial" w:cs="Arial"/>
          <w:sz w:val="24"/>
          <w:szCs w:val="24"/>
        </w:rPr>
        <w:t>after the residential tenancy agreement for the premises is entered into.</w:t>
      </w:r>
    </w:p>
    <w:p w14:paraId="4C78CA2C" w14:textId="3A9EB0A7" w:rsidR="00011106" w:rsidRDefault="00011106" w:rsidP="00C677E6">
      <w:pPr>
        <w:rPr>
          <w:rFonts w:ascii="Arial" w:hAnsi="Arial" w:cs="Arial"/>
          <w:sz w:val="24"/>
          <w:szCs w:val="24"/>
        </w:rPr>
      </w:pPr>
      <w:r>
        <w:rPr>
          <w:rFonts w:ascii="Arial" w:hAnsi="Arial" w:cs="Arial"/>
          <w:sz w:val="24"/>
          <w:szCs w:val="24"/>
        </w:rPr>
        <w:t xml:space="preserve">The intention of this provision is, in circumstances where a rental premises does not comply with a minimum housing standard at the start of the tenancy, to make the tenant aware of the date by which the lessor is required to ensure the premises comply the minimum housing standard.  If the premises do not comply by the proposed compliance date, then the tenant may choose to seek a rent reduction or compensation in accordance with new sections </w:t>
      </w:r>
      <w:r w:rsidR="00E74DBD" w:rsidRPr="00E74DBD">
        <w:rPr>
          <w:rFonts w:ascii="Arial" w:hAnsi="Arial" w:cs="Arial"/>
          <w:sz w:val="24"/>
          <w:szCs w:val="24"/>
        </w:rPr>
        <w:t>71AAA</w:t>
      </w:r>
      <w:r w:rsidRPr="00E74DBD">
        <w:rPr>
          <w:rFonts w:ascii="Arial" w:hAnsi="Arial" w:cs="Arial"/>
          <w:sz w:val="24"/>
          <w:szCs w:val="24"/>
        </w:rPr>
        <w:t xml:space="preserve"> and </w:t>
      </w:r>
      <w:r w:rsidR="00E74DBD" w:rsidRPr="00E74DBD">
        <w:rPr>
          <w:rFonts w:ascii="Arial" w:hAnsi="Arial" w:cs="Arial"/>
          <w:sz w:val="24"/>
          <w:szCs w:val="24"/>
        </w:rPr>
        <w:t>83 (1) (da)</w:t>
      </w:r>
      <w:r w:rsidRPr="00E74DBD">
        <w:rPr>
          <w:rFonts w:ascii="Arial" w:hAnsi="Arial" w:cs="Arial"/>
          <w:sz w:val="24"/>
          <w:szCs w:val="24"/>
        </w:rPr>
        <w:t xml:space="preserve"> introduced by </w:t>
      </w:r>
      <w:r w:rsidRPr="005A14D5">
        <w:rPr>
          <w:rFonts w:ascii="Arial" w:hAnsi="Arial" w:cs="Arial"/>
          <w:sz w:val="24"/>
          <w:szCs w:val="24"/>
        </w:rPr>
        <w:t xml:space="preserve">clauses </w:t>
      </w:r>
      <w:r w:rsidR="00E74DBD" w:rsidRPr="005A14D5">
        <w:rPr>
          <w:rFonts w:ascii="Arial" w:hAnsi="Arial" w:cs="Arial"/>
          <w:sz w:val="24"/>
          <w:szCs w:val="24"/>
        </w:rPr>
        <w:t>27</w:t>
      </w:r>
      <w:r w:rsidRPr="005A14D5">
        <w:rPr>
          <w:rFonts w:ascii="Arial" w:hAnsi="Arial" w:cs="Arial"/>
          <w:sz w:val="24"/>
          <w:szCs w:val="24"/>
        </w:rPr>
        <w:t xml:space="preserve"> and </w:t>
      </w:r>
      <w:r w:rsidR="00E74DBD" w:rsidRPr="005A14D5">
        <w:rPr>
          <w:rFonts w:ascii="Arial" w:hAnsi="Arial" w:cs="Arial"/>
          <w:sz w:val="24"/>
          <w:szCs w:val="24"/>
        </w:rPr>
        <w:t>28</w:t>
      </w:r>
      <w:r w:rsidRPr="00791A34">
        <w:rPr>
          <w:rFonts w:ascii="Arial" w:hAnsi="Arial" w:cs="Arial"/>
          <w:sz w:val="24"/>
          <w:szCs w:val="24"/>
        </w:rPr>
        <w:t>.</w:t>
      </w:r>
      <w:r>
        <w:rPr>
          <w:rFonts w:ascii="Arial" w:hAnsi="Arial" w:cs="Arial"/>
          <w:sz w:val="24"/>
          <w:szCs w:val="24"/>
        </w:rPr>
        <w:t xml:space="preserve"> </w:t>
      </w:r>
    </w:p>
    <w:p w14:paraId="3F294397" w14:textId="64F65C8B" w:rsidR="00FA53D1" w:rsidRDefault="00FA53D1" w:rsidP="00FA53D1">
      <w:pPr>
        <w:ind w:left="1440" w:hanging="1440"/>
        <w:rPr>
          <w:rFonts w:ascii="Arial" w:hAnsi="Arial" w:cs="Arial"/>
          <w:b/>
          <w:bCs/>
          <w:i/>
          <w:iCs/>
          <w:sz w:val="24"/>
          <w:szCs w:val="24"/>
        </w:rPr>
      </w:pPr>
      <w:r w:rsidRPr="00480D5F">
        <w:rPr>
          <w:rFonts w:ascii="Arial" w:hAnsi="Arial" w:cs="Arial"/>
          <w:b/>
          <w:bCs/>
          <w:sz w:val="24"/>
          <w:szCs w:val="24"/>
        </w:rPr>
        <w:t xml:space="preserve">Clause </w:t>
      </w:r>
      <w:r w:rsidR="00011106">
        <w:rPr>
          <w:rFonts w:ascii="Arial" w:hAnsi="Arial" w:cs="Arial"/>
          <w:b/>
          <w:bCs/>
          <w:sz w:val="24"/>
          <w:szCs w:val="24"/>
        </w:rPr>
        <w:t>13</w:t>
      </w:r>
      <w:r w:rsidRPr="00480D5F">
        <w:rPr>
          <w:rFonts w:ascii="Arial" w:hAnsi="Arial" w:cs="Arial"/>
          <w:b/>
          <w:bCs/>
          <w:sz w:val="24"/>
          <w:szCs w:val="24"/>
        </w:rPr>
        <w:tab/>
        <w:t xml:space="preserve">Section 12 (4), new definition of </w:t>
      </w:r>
      <w:r w:rsidRPr="00480D5F">
        <w:rPr>
          <w:rFonts w:ascii="Arial" w:hAnsi="Arial" w:cs="Arial"/>
          <w:b/>
          <w:bCs/>
          <w:i/>
          <w:iCs/>
          <w:sz w:val="24"/>
          <w:szCs w:val="24"/>
        </w:rPr>
        <w:t>subsidised accommodation eligibility requirements</w:t>
      </w:r>
    </w:p>
    <w:p w14:paraId="0C7475B8" w14:textId="418706C9" w:rsidR="00FA53D1" w:rsidRDefault="00FA53D1" w:rsidP="00FA53D1">
      <w:pPr>
        <w:rPr>
          <w:rFonts w:ascii="Arial" w:hAnsi="Arial" w:cs="Arial"/>
          <w:sz w:val="24"/>
          <w:szCs w:val="24"/>
        </w:rPr>
      </w:pPr>
      <w:r>
        <w:rPr>
          <w:rFonts w:ascii="Arial" w:hAnsi="Arial" w:cs="Arial"/>
          <w:sz w:val="24"/>
          <w:szCs w:val="24"/>
        </w:rPr>
        <w:t>This clause inserts a new definition for the term ‘</w:t>
      </w:r>
      <w:r w:rsidRPr="00480D5F">
        <w:rPr>
          <w:rFonts w:ascii="Arial" w:hAnsi="Arial" w:cs="Arial"/>
          <w:b/>
          <w:bCs/>
          <w:i/>
          <w:iCs/>
          <w:sz w:val="24"/>
          <w:szCs w:val="24"/>
        </w:rPr>
        <w:t>subsidised accommodation eligibility requirements</w:t>
      </w:r>
      <w:r w:rsidRPr="00480D5F">
        <w:rPr>
          <w:rFonts w:ascii="Arial" w:hAnsi="Arial" w:cs="Arial"/>
          <w:i/>
          <w:iCs/>
          <w:sz w:val="24"/>
          <w:szCs w:val="24"/>
        </w:rPr>
        <w:t>’</w:t>
      </w:r>
      <w:r w:rsidR="006D2698">
        <w:rPr>
          <w:rFonts w:ascii="Arial" w:hAnsi="Arial" w:cs="Arial"/>
          <w:sz w:val="24"/>
          <w:szCs w:val="24"/>
        </w:rPr>
        <w:t xml:space="preserve"> and thereby, supports the interpretation of a lessor's obligations introduced by new section 12 (3) (i) - clause </w:t>
      </w:r>
      <w:r w:rsidR="00011106">
        <w:rPr>
          <w:rFonts w:ascii="Arial" w:hAnsi="Arial" w:cs="Arial"/>
          <w:sz w:val="24"/>
          <w:szCs w:val="24"/>
        </w:rPr>
        <w:t>11</w:t>
      </w:r>
      <w:r w:rsidR="006D2698">
        <w:rPr>
          <w:rFonts w:ascii="Arial" w:hAnsi="Arial" w:cs="Arial"/>
          <w:sz w:val="24"/>
          <w:szCs w:val="24"/>
        </w:rPr>
        <w:t>.</w:t>
      </w:r>
    </w:p>
    <w:p w14:paraId="05FA56FB" w14:textId="077D902A" w:rsidR="00FA53D1" w:rsidRDefault="00FA53D1" w:rsidP="00FA53D1">
      <w:pPr>
        <w:rPr>
          <w:rFonts w:ascii="Arial" w:hAnsi="Arial" w:cs="Arial"/>
          <w:sz w:val="24"/>
          <w:szCs w:val="24"/>
        </w:rPr>
      </w:pPr>
      <w:r>
        <w:rPr>
          <w:rFonts w:ascii="Arial" w:hAnsi="Arial" w:cs="Arial"/>
          <w:sz w:val="24"/>
          <w:szCs w:val="24"/>
        </w:rPr>
        <w:t xml:space="preserve">A </w:t>
      </w:r>
      <w:r>
        <w:rPr>
          <w:rFonts w:ascii="Arial" w:hAnsi="Arial" w:cs="Arial"/>
          <w:b/>
          <w:bCs/>
          <w:i/>
          <w:iCs/>
          <w:sz w:val="24"/>
          <w:szCs w:val="24"/>
        </w:rPr>
        <w:t xml:space="preserve">subsidised accommodation eligibility requirement </w:t>
      </w:r>
      <w:r>
        <w:rPr>
          <w:rFonts w:ascii="Arial" w:hAnsi="Arial" w:cs="Arial"/>
          <w:sz w:val="24"/>
          <w:szCs w:val="24"/>
        </w:rPr>
        <w:t xml:space="preserve">in relation to premises under a residential tenancy agreement, means any rule or requirement against which – </w:t>
      </w:r>
    </w:p>
    <w:p w14:paraId="466F5C87" w14:textId="5F310AF3" w:rsidR="00FA53D1" w:rsidRDefault="008248A0" w:rsidP="008248A0">
      <w:pPr>
        <w:pStyle w:val="ListParagraph"/>
        <w:numPr>
          <w:ilvl w:val="0"/>
          <w:numId w:val="34"/>
        </w:numPr>
        <w:rPr>
          <w:rFonts w:ascii="Arial" w:eastAsiaTheme="majorEastAsia" w:hAnsi="Arial" w:cs="Arial"/>
          <w:sz w:val="24"/>
          <w:szCs w:val="24"/>
        </w:rPr>
      </w:pPr>
      <w:r>
        <w:rPr>
          <w:rFonts w:ascii="Arial" w:eastAsiaTheme="majorEastAsia" w:hAnsi="Arial" w:cs="Arial"/>
          <w:sz w:val="24"/>
          <w:szCs w:val="24"/>
        </w:rPr>
        <w:t xml:space="preserve">the tenant’s eligibility to live in the premises will be assessable during the tenancy; or </w:t>
      </w:r>
      <w:r>
        <w:rPr>
          <w:rFonts w:ascii="Arial" w:eastAsiaTheme="majorEastAsia" w:hAnsi="Arial" w:cs="Arial"/>
          <w:sz w:val="24"/>
          <w:szCs w:val="24"/>
        </w:rPr>
        <w:br/>
      </w:r>
    </w:p>
    <w:p w14:paraId="7CCC43B9" w14:textId="741C2249" w:rsidR="008248A0" w:rsidRDefault="008248A0" w:rsidP="008248A0">
      <w:pPr>
        <w:pStyle w:val="ListParagraph"/>
        <w:numPr>
          <w:ilvl w:val="0"/>
          <w:numId w:val="34"/>
        </w:numPr>
        <w:rPr>
          <w:rFonts w:ascii="Arial" w:eastAsiaTheme="majorEastAsia" w:hAnsi="Arial" w:cs="Arial"/>
          <w:sz w:val="24"/>
          <w:szCs w:val="24"/>
        </w:rPr>
      </w:pPr>
      <w:r>
        <w:rPr>
          <w:rFonts w:ascii="Arial" w:eastAsiaTheme="majorEastAsia" w:hAnsi="Arial" w:cs="Arial"/>
          <w:sz w:val="24"/>
          <w:szCs w:val="24"/>
        </w:rPr>
        <w:t>the lessor</w:t>
      </w:r>
      <w:r w:rsidR="00011106">
        <w:rPr>
          <w:rFonts w:ascii="Arial" w:eastAsiaTheme="majorEastAsia" w:hAnsi="Arial" w:cs="Arial"/>
          <w:sz w:val="24"/>
          <w:szCs w:val="24"/>
        </w:rPr>
        <w:t xml:space="preserve"> or owner’s</w:t>
      </w:r>
      <w:r>
        <w:rPr>
          <w:rFonts w:ascii="Arial" w:eastAsiaTheme="majorEastAsia" w:hAnsi="Arial" w:cs="Arial"/>
          <w:sz w:val="24"/>
          <w:szCs w:val="24"/>
        </w:rPr>
        <w:t xml:space="preserve"> eligibility to receive the government funding or assistance in relation to the premises will be assessable during the tenancy.</w:t>
      </w:r>
    </w:p>
    <w:p w14:paraId="00CE317A" w14:textId="77777777" w:rsidR="008248A0" w:rsidRPr="00480D5F" w:rsidRDefault="008248A0" w:rsidP="00480D5F">
      <w:pPr>
        <w:pStyle w:val="ListParagraph"/>
        <w:rPr>
          <w:rFonts w:ascii="Arial" w:eastAsiaTheme="majorEastAsia" w:hAnsi="Arial" w:cs="Arial"/>
          <w:sz w:val="24"/>
          <w:szCs w:val="24"/>
        </w:rPr>
      </w:pPr>
    </w:p>
    <w:p w14:paraId="42E5D0EE" w14:textId="02688490" w:rsidR="00F075A5" w:rsidRPr="00264F34" w:rsidRDefault="00F075A5" w:rsidP="00C677E6">
      <w:pPr>
        <w:rPr>
          <w:rFonts w:ascii="Arial" w:eastAsiaTheme="majorEastAsia" w:hAnsi="Arial" w:cs="Arial"/>
          <w:b/>
          <w:sz w:val="24"/>
          <w:szCs w:val="24"/>
        </w:rPr>
      </w:pPr>
      <w:r w:rsidRPr="005E3D58">
        <w:rPr>
          <w:rFonts w:ascii="Arial" w:eastAsiaTheme="majorEastAsia" w:hAnsi="Arial" w:cs="Arial"/>
          <w:b/>
          <w:sz w:val="24"/>
          <w:szCs w:val="24"/>
        </w:rPr>
        <w:t xml:space="preserve">Clause </w:t>
      </w:r>
      <w:r w:rsidR="00011106">
        <w:rPr>
          <w:rFonts w:ascii="Arial" w:eastAsiaTheme="majorEastAsia" w:hAnsi="Arial" w:cs="Arial"/>
          <w:b/>
          <w:sz w:val="24"/>
          <w:szCs w:val="24"/>
        </w:rPr>
        <w:t>14</w:t>
      </w:r>
      <w:r w:rsidRPr="005E3D58">
        <w:rPr>
          <w:rFonts w:ascii="Arial" w:eastAsiaTheme="majorEastAsia" w:hAnsi="Arial" w:cs="Arial"/>
          <w:b/>
          <w:sz w:val="24"/>
          <w:szCs w:val="24"/>
        </w:rPr>
        <w:tab/>
        <w:t>New division 2.5</w:t>
      </w:r>
    </w:p>
    <w:p w14:paraId="16256263" w14:textId="7EB24779" w:rsidR="00BF39C1" w:rsidRPr="00264F34" w:rsidRDefault="00BF39C1" w:rsidP="00C677E6">
      <w:pPr>
        <w:rPr>
          <w:rFonts w:ascii="Arial" w:hAnsi="Arial" w:cs="Arial"/>
          <w:sz w:val="24"/>
          <w:szCs w:val="24"/>
        </w:rPr>
      </w:pPr>
      <w:r w:rsidRPr="00264F34">
        <w:rPr>
          <w:rFonts w:ascii="Arial" w:hAnsi="Arial" w:cs="Arial"/>
          <w:sz w:val="24"/>
          <w:szCs w:val="24"/>
        </w:rPr>
        <w:t>This clause inserts new division 2.5, consisting of new sections 19A – 19</w:t>
      </w:r>
      <w:r w:rsidR="00121208">
        <w:rPr>
          <w:rFonts w:ascii="Arial" w:hAnsi="Arial" w:cs="Arial"/>
          <w:sz w:val="24"/>
          <w:szCs w:val="24"/>
        </w:rPr>
        <w:t>C</w:t>
      </w:r>
      <w:r w:rsidRPr="00264F34">
        <w:rPr>
          <w:rFonts w:ascii="Arial" w:hAnsi="Arial" w:cs="Arial"/>
          <w:sz w:val="24"/>
          <w:szCs w:val="24"/>
        </w:rPr>
        <w:t>.</w:t>
      </w:r>
      <w:r w:rsidR="0021335A" w:rsidRPr="00264F34">
        <w:rPr>
          <w:rFonts w:ascii="Arial" w:hAnsi="Arial" w:cs="Arial"/>
          <w:sz w:val="24"/>
          <w:szCs w:val="24"/>
        </w:rPr>
        <w:t xml:space="preserve"> </w:t>
      </w:r>
    </w:p>
    <w:p w14:paraId="7E8C30D1" w14:textId="186CF1E3" w:rsidR="00AB17AC" w:rsidRPr="00264F34" w:rsidRDefault="00AB17AC" w:rsidP="00AB17AC">
      <w:pPr>
        <w:rPr>
          <w:rFonts w:ascii="Arial" w:hAnsi="Arial" w:cs="Arial"/>
          <w:sz w:val="24"/>
          <w:szCs w:val="24"/>
        </w:rPr>
      </w:pPr>
      <w:r w:rsidRPr="00264F34">
        <w:rPr>
          <w:rFonts w:ascii="Arial" w:hAnsi="Arial" w:cs="Arial"/>
          <w:sz w:val="24"/>
          <w:szCs w:val="24"/>
        </w:rPr>
        <w:lastRenderedPageBreak/>
        <w:t>Under current section 136</w:t>
      </w:r>
      <w:r w:rsidR="00E61965" w:rsidRPr="00264F34">
        <w:rPr>
          <w:rFonts w:ascii="Arial" w:hAnsi="Arial" w:cs="Arial"/>
          <w:sz w:val="24"/>
          <w:szCs w:val="24"/>
        </w:rPr>
        <w:t xml:space="preserve"> (2) (d) of the RTA</w:t>
      </w:r>
      <w:r w:rsidRPr="00264F34">
        <w:rPr>
          <w:rFonts w:ascii="Arial" w:hAnsi="Arial" w:cs="Arial"/>
          <w:sz w:val="24"/>
          <w:szCs w:val="24"/>
        </w:rPr>
        <w:t>, the Executive can make regulations to introduce minimum standards for residential tenancies</w:t>
      </w:r>
      <w:r w:rsidR="009A62EB" w:rsidRPr="00264F34">
        <w:rPr>
          <w:rFonts w:ascii="Arial" w:hAnsi="Arial" w:cs="Arial"/>
          <w:sz w:val="24"/>
          <w:szCs w:val="24"/>
        </w:rPr>
        <w:t>.</w:t>
      </w:r>
    </w:p>
    <w:p w14:paraId="13EFBE74" w14:textId="7D6A950F" w:rsidR="00737BC9" w:rsidRPr="00264F34" w:rsidRDefault="008F3AEB" w:rsidP="00C677E6">
      <w:pPr>
        <w:rPr>
          <w:rFonts w:ascii="Arial" w:hAnsi="Arial" w:cs="Arial"/>
          <w:sz w:val="24"/>
          <w:szCs w:val="24"/>
        </w:rPr>
      </w:pPr>
      <w:r w:rsidRPr="00264F34">
        <w:rPr>
          <w:rFonts w:ascii="Arial" w:hAnsi="Arial" w:cs="Arial"/>
          <w:sz w:val="24"/>
          <w:szCs w:val="24"/>
        </w:rPr>
        <w:t>New division 2.5 is intended to support the implementation of future minimum housing standards.</w:t>
      </w:r>
      <w:r w:rsidR="00011106">
        <w:rPr>
          <w:rFonts w:ascii="Arial" w:hAnsi="Arial" w:cs="Arial"/>
          <w:sz w:val="24"/>
          <w:szCs w:val="24"/>
        </w:rPr>
        <w:t xml:space="preserve">  As such, provisions relating to minimum housing standards are grouped together in this division.</w:t>
      </w:r>
    </w:p>
    <w:p w14:paraId="10981B68" w14:textId="1D194748" w:rsidR="00842087" w:rsidRDefault="00F43319" w:rsidP="00842087">
      <w:pPr>
        <w:rPr>
          <w:rFonts w:ascii="Arial" w:hAnsi="Arial" w:cs="Arial"/>
          <w:sz w:val="24"/>
          <w:szCs w:val="24"/>
        </w:rPr>
      </w:pPr>
      <w:r w:rsidRPr="00842087">
        <w:rPr>
          <w:rFonts w:ascii="Arial" w:hAnsi="Arial" w:cs="Arial"/>
          <w:b/>
          <w:bCs/>
          <w:sz w:val="24"/>
          <w:szCs w:val="24"/>
        </w:rPr>
        <w:t xml:space="preserve">Section </w:t>
      </w:r>
      <w:r w:rsidR="0021335A" w:rsidRPr="00842087">
        <w:rPr>
          <w:rFonts w:ascii="Arial" w:hAnsi="Arial" w:cs="Arial"/>
          <w:b/>
          <w:bCs/>
          <w:sz w:val="24"/>
          <w:szCs w:val="24"/>
        </w:rPr>
        <w:t>19A</w:t>
      </w:r>
      <w:r w:rsidR="00BF39C1" w:rsidRPr="00264F34">
        <w:rPr>
          <w:rFonts w:ascii="Arial" w:hAnsi="Arial" w:cs="Arial"/>
          <w:sz w:val="24"/>
          <w:szCs w:val="24"/>
        </w:rPr>
        <w:t xml:space="preserve"> </w:t>
      </w:r>
      <w:r w:rsidRPr="00264F34">
        <w:rPr>
          <w:rFonts w:ascii="Arial" w:hAnsi="Arial" w:cs="Arial"/>
          <w:sz w:val="24"/>
          <w:szCs w:val="24"/>
        </w:rPr>
        <w:t>reproduces</w:t>
      </w:r>
      <w:r w:rsidR="0021335A" w:rsidRPr="00264F34">
        <w:rPr>
          <w:rFonts w:ascii="Arial" w:hAnsi="Arial" w:cs="Arial"/>
          <w:sz w:val="24"/>
          <w:szCs w:val="24"/>
        </w:rPr>
        <w:t xml:space="preserve"> the regulation</w:t>
      </w:r>
      <w:r w:rsidRPr="00264F34">
        <w:rPr>
          <w:rFonts w:ascii="Arial" w:hAnsi="Arial" w:cs="Arial"/>
          <w:sz w:val="24"/>
          <w:szCs w:val="24"/>
        </w:rPr>
        <w:t>-</w:t>
      </w:r>
      <w:r w:rsidR="0021335A" w:rsidRPr="00264F34">
        <w:rPr>
          <w:rFonts w:ascii="Arial" w:hAnsi="Arial" w:cs="Arial"/>
          <w:sz w:val="24"/>
          <w:szCs w:val="24"/>
        </w:rPr>
        <w:t>making power formerly</w:t>
      </w:r>
      <w:r w:rsidRPr="00264F34">
        <w:rPr>
          <w:rFonts w:ascii="Arial" w:hAnsi="Arial" w:cs="Arial"/>
          <w:sz w:val="24"/>
          <w:szCs w:val="24"/>
        </w:rPr>
        <w:t xml:space="preserve"> </w:t>
      </w:r>
      <w:r w:rsidR="0021335A" w:rsidRPr="00264F34">
        <w:rPr>
          <w:rFonts w:ascii="Arial" w:hAnsi="Arial" w:cs="Arial"/>
          <w:sz w:val="24"/>
          <w:szCs w:val="24"/>
        </w:rPr>
        <w:t>in section 136</w:t>
      </w:r>
      <w:r w:rsidR="00E61965" w:rsidRPr="00264F34">
        <w:rPr>
          <w:rFonts w:ascii="Arial" w:hAnsi="Arial" w:cs="Arial"/>
          <w:sz w:val="24"/>
          <w:szCs w:val="24"/>
        </w:rPr>
        <w:t xml:space="preserve"> (2) (d)</w:t>
      </w:r>
      <w:r w:rsidR="00842087">
        <w:rPr>
          <w:rFonts w:ascii="Arial" w:hAnsi="Arial" w:cs="Arial"/>
          <w:sz w:val="24"/>
          <w:szCs w:val="24"/>
        </w:rPr>
        <w:t xml:space="preserve"> with a slight amendment to the wording in order to create a new definition of </w:t>
      </w:r>
      <w:r w:rsidR="00842087" w:rsidRPr="00842087">
        <w:rPr>
          <w:rFonts w:ascii="Arial" w:hAnsi="Arial" w:cs="Arial"/>
          <w:b/>
          <w:bCs/>
          <w:i/>
          <w:iCs/>
          <w:sz w:val="24"/>
          <w:szCs w:val="24"/>
        </w:rPr>
        <w:t>minimum housing standards</w:t>
      </w:r>
      <w:r w:rsidR="0021335A" w:rsidRPr="00264F34">
        <w:rPr>
          <w:rFonts w:ascii="Arial" w:hAnsi="Arial" w:cs="Arial"/>
          <w:sz w:val="24"/>
          <w:szCs w:val="24"/>
        </w:rPr>
        <w:t xml:space="preserve">. </w:t>
      </w:r>
    </w:p>
    <w:p w14:paraId="0A619980" w14:textId="3FC68F04" w:rsidR="00842087" w:rsidRPr="00264F34" w:rsidRDefault="00842087" w:rsidP="00842087">
      <w:pPr>
        <w:rPr>
          <w:rFonts w:ascii="Arial" w:hAnsi="Arial" w:cs="Arial"/>
          <w:sz w:val="24"/>
          <w:szCs w:val="24"/>
        </w:rPr>
      </w:pPr>
      <w:r w:rsidRPr="00264F34">
        <w:rPr>
          <w:rFonts w:ascii="Arial" w:hAnsi="Arial" w:cs="Arial"/>
          <w:sz w:val="24"/>
          <w:szCs w:val="24"/>
        </w:rPr>
        <w:t xml:space="preserve">A </w:t>
      </w:r>
      <w:r w:rsidRPr="00264F34">
        <w:rPr>
          <w:rFonts w:ascii="Arial" w:hAnsi="Arial" w:cs="Arial"/>
          <w:b/>
          <w:bCs/>
          <w:i/>
          <w:iCs/>
          <w:sz w:val="24"/>
          <w:szCs w:val="24"/>
        </w:rPr>
        <w:t>minimum housing standard</w:t>
      </w:r>
      <w:r w:rsidRPr="00264F34">
        <w:rPr>
          <w:rFonts w:ascii="Arial" w:hAnsi="Arial" w:cs="Arial"/>
          <w:sz w:val="24"/>
          <w:szCs w:val="24"/>
        </w:rPr>
        <w:t xml:space="preserve"> is a minimum standard prescribed by regulation for a premises made available for occupation under a residential tenancy agreement in relation to physical accessibility, energy efficiency, safety and security, sanitation </w:t>
      </w:r>
      <w:r>
        <w:rPr>
          <w:rFonts w:ascii="Arial" w:hAnsi="Arial" w:cs="Arial"/>
          <w:sz w:val="24"/>
          <w:szCs w:val="24"/>
        </w:rPr>
        <w:t>or</w:t>
      </w:r>
      <w:r w:rsidRPr="00264F34">
        <w:rPr>
          <w:rFonts w:ascii="Arial" w:hAnsi="Arial" w:cs="Arial"/>
          <w:sz w:val="24"/>
          <w:szCs w:val="24"/>
        </w:rPr>
        <w:t xml:space="preserve"> amenity. </w:t>
      </w:r>
    </w:p>
    <w:p w14:paraId="24CB6C1F" w14:textId="7C406768" w:rsidR="00B02200" w:rsidRPr="00264F34" w:rsidRDefault="00BF39C1" w:rsidP="00C677E6">
      <w:pPr>
        <w:rPr>
          <w:rFonts w:ascii="Arial" w:hAnsi="Arial" w:cs="Arial"/>
          <w:sz w:val="24"/>
          <w:szCs w:val="24"/>
        </w:rPr>
      </w:pPr>
      <w:r w:rsidRPr="00264F34">
        <w:rPr>
          <w:rFonts w:ascii="Arial" w:hAnsi="Arial" w:cs="Arial"/>
          <w:sz w:val="24"/>
          <w:szCs w:val="24"/>
        </w:rPr>
        <w:t>For the avoidance of doubt, the relocation of the regulation-making power is not intended to amend its scope or operation.</w:t>
      </w:r>
      <w:r w:rsidR="00F43319" w:rsidRPr="00264F34">
        <w:rPr>
          <w:rFonts w:ascii="Arial" w:hAnsi="Arial" w:cs="Arial"/>
          <w:sz w:val="24"/>
          <w:szCs w:val="24"/>
        </w:rPr>
        <w:t xml:space="preserve"> </w:t>
      </w:r>
      <w:r w:rsidR="00AB17AC" w:rsidRPr="00264F34">
        <w:rPr>
          <w:rFonts w:ascii="Arial" w:hAnsi="Arial" w:cs="Arial"/>
          <w:sz w:val="24"/>
          <w:szCs w:val="24"/>
        </w:rPr>
        <w:t>Rather, t</w:t>
      </w:r>
      <w:r w:rsidR="00F43319" w:rsidRPr="00264F34">
        <w:rPr>
          <w:rFonts w:ascii="Arial" w:hAnsi="Arial" w:cs="Arial"/>
          <w:sz w:val="24"/>
          <w:szCs w:val="24"/>
        </w:rPr>
        <w:t xml:space="preserve">his amendment was made </w:t>
      </w:r>
      <w:r w:rsidR="00E61965" w:rsidRPr="00264F34">
        <w:rPr>
          <w:rFonts w:ascii="Arial" w:hAnsi="Arial" w:cs="Arial"/>
          <w:sz w:val="24"/>
          <w:szCs w:val="24"/>
        </w:rPr>
        <w:t xml:space="preserve">so that sections relevant to the implementation of minimum housing standards are grouped in a single division. This relocation supports </w:t>
      </w:r>
      <w:r w:rsidR="00F43319" w:rsidRPr="00264F34">
        <w:rPr>
          <w:rFonts w:ascii="Arial" w:hAnsi="Arial" w:cs="Arial"/>
          <w:sz w:val="24"/>
          <w:szCs w:val="24"/>
        </w:rPr>
        <w:t>readability and clarity.</w:t>
      </w:r>
      <w:r w:rsidR="004223E2" w:rsidRPr="00264F34">
        <w:rPr>
          <w:rFonts w:ascii="Arial" w:hAnsi="Arial" w:cs="Arial"/>
          <w:sz w:val="24"/>
          <w:szCs w:val="24"/>
        </w:rPr>
        <w:t xml:space="preserve">  </w:t>
      </w:r>
    </w:p>
    <w:p w14:paraId="52C3ABDE" w14:textId="4AE00880" w:rsidR="005E3D58" w:rsidRDefault="0089025E" w:rsidP="00C677E6">
      <w:pPr>
        <w:rPr>
          <w:rFonts w:ascii="Arial" w:hAnsi="Arial" w:cs="Arial"/>
          <w:sz w:val="24"/>
          <w:szCs w:val="24"/>
        </w:rPr>
      </w:pPr>
      <w:r w:rsidRPr="00264F34">
        <w:rPr>
          <w:rFonts w:ascii="Arial" w:hAnsi="Arial" w:cs="Arial"/>
          <w:sz w:val="24"/>
          <w:szCs w:val="24"/>
        </w:rPr>
        <w:t xml:space="preserve">New section 19A also </w:t>
      </w:r>
      <w:r w:rsidR="005E3D58">
        <w:rPr>
          <w:rFonts w:ascii="Arial" w:hAnsi="Arial" w:cs="Arial"/>
          <w:sz w:val="24"/>
          <w:szCs w:val="24"/>
        </w:rPr>
        <w:t>provides that a regulation</w:t>
      </w:r>
      <w:r w:rsidR="006D2698">
        <w:rPr>
          <w:rFonts w:ascii="Arial" w:hAnsi="Arial" w:cs="Arial"/>
          <w:sz w:val="24"/>
          <w:szCs w:val="24"/>
        </w:rPr>
        <w:t xml:space="preserve"> made</w:t>
      </w:r>
      <w:r w:rsidR="005E3D58">
        <w:rPr>
          <w:rFonts w:ascii="Arial" w:hAnsi="Arial" w:cs="Arial"/>
          <w:sz w:val="24"/>
          <w:szCs w:val="24"/>
        </w:rPr>
        <w:t xml:space="preserve"> in relation to minimum housing standards may </w:t>
      </w:r>
      <w:r w:rsidR="00121208">
        <w:rPr>
          <w:rFonts w:ascii="Arial" w:hAnsi="Arial" w:cs="Arial"/>
          <w:sz w:val="24"/>
          <w:szCs w:val="24"/>
        </w:rPr>
        <w:t xml:space="preserve">apply, adopt or incorporate a law or instrument </w:t>
      </w:r>
      <w:r w:rsidR="00D27247">
        <w:rPr>
          <w:rFonts w:ascii="Arial" w:hAnsi="Arial" w:cs="Arial"/>
          <w:sz w:val="24"/>
          <w:szCs w:val="24"/>
        </w:rPr>
        <w:t xml:space="preserve">as </w:t>
      </w:r>
      <w:r w:rsidR="005E3D58">
        <w:rPr>
          <w:rFonts w:ascii="Arial" w:hAnsi="Arial" w:cs="Arial"/>
          <w:sz w:val="24"/>
          <w:szCs w:val="24"/>
        </w:rPr>
        <w:t>in force at a particular time</w:t>
      </w:r>
      <w:r w:rsidR="00842087">
        <w:rPr>
          <w:rFonts w:ascii="Arial" w:hAnsi="Arial" w:cs="Arial"/>
          <w:sz w:val="24"/>
          <w:szCs w:val="24"/>
        </w:rPr>
        <w:t>.</w:t>
      </w:r>
    </w:p>
    <w:p w14:paraId="15A47B6E" w14:textId="7BF5A1FB" w:rsidR="00D27247" w:rsidRPr="00D27247" w:rsidRDefault="00D27247" w:rsidP="00C677E6">
      <w:pPr>
        <w:rPr>
          <w:rFonts w:ascii="Arial" w:hAnsi="Arial" w:cs="Arial"/>
          <w:sz w:val="24"/>
          <w:szCs w:val="24"/>
        </w:rPr>
      </w:pPr>
      <w:r>
        <w:rPr>
          <w:rFonts w:ascii="Arial" w:hAnsi="Arial" w:cs="Arial"/>
          <w:sz w:val="24"/>
          <w:szCs w:val="24"/>
        </w:rPr>
        <w:t xml:space="preserve">This clause also includes a note, which provides that the text of an applied, adopted or incorporated law or instrument, whether applied as in force from time to time or at a particular time, is taken to be a notifiable instrument if the operation of subsections 47 (5) or (6) of the </w:t>
      </w:r>
      <w:r w:rsidRPr="00480D5F">
        <w:rPr>
          <w:rFonts w:ascii="Arial" w:hAnsi="Arial" w:cs="Arial"/>
          <w:sz w:val="24"/>
          <w:szCs w:val="24"/>
        </w:rPr>
        <w:t>Legislation Act</w:t>
      </w:r>
      <w:r>
        <w:rPr>
          <w:rFonts w:ascii="Arial" w:hAnsi="Arial" w:cs="Arial"/>
          <w:sz w:val="24"/>
          <w:szCs w:val="24"/>
        </w:rPr>
        <w:t xml:space="preserve"> are not disapplied. It refers the reader to section 47 (7) </w:t>
      </w:r>
      <w:r w:rsidR="006D2698">
        <w:rPr>
          <w:rFonts w:ascii="Arial" w:hAnsi="Arial" w:cs="Arial"/>
          <w:sz w:val="24"/>
          <w:szCs w:val="24"/>
        </w:rPr>
        <w:t xml:space="preserve">of the Legislation Act </w:t>
      </w:r>
      <w:r>
        <w:rPr>
          <w:rFonts w:ascii="Arial" w:hAnsi="Arial" w:cs="Arial"/>
          <w:sz w:val="24"/>
          <w:szCs w:val="24"/>
        </w:rPr>
        <w:t>for further guidance.</w:t>
      </w:r>
    </w:p>
    <w:p w14:paraId="5345C2D5" w14:textId="5E2E1225" w:rsidR="002A7699" w:rsidRPr="00264F34" w:rsidRDefault="002A7699" w:rsidP="00C677E6">
      <w:pPr>
        <w:rPr>
          <w:rFonts w:ascii="Arial" w:hAnsi="Arial" w:cs="Arial"/>
          <w:sz w:val="24"/>
          <w:szCs w:val="24"/>
        </w:rPr>
      </w:pPr>
      <w:r w:rsidRPr="00842087">
        <w:rPr>
          <w:rFonts w:ascii="Arial" w:hAnsi="Arial" w:cs="Arial"/>
          <w:b/>
          <w:bCs/>
          <w:sz w:val="24"/>
          <w:szCs w:val="24"/>
        </w:rPr>
        <w:t>Section 19B</w:t>
      </w:r>
      <w:r w:rsidRPr="00264F34">
        <w:rPr>
          <w:rFonts w:ascii="Arial" w:hAnsi="Arial" w:cs="Arial"/>
          <w:sz w:val="24"/>
          <w:szCs w:val="24"/>
        </w:rPr>
        <w:t xml:space="preserve"> creates an obligation for lessors to ensure that a premises available for occupation under a residential tenancy agreement complies with any minimum housing standard </w:t>
      </w:r>
      <w:r w:rsidR="00E82D23" w:rsidRPr="00264F34">
        <w:rPr>
          <w:rFonts w:ascii="Arial" w:hAnsi="Arial" w:cs="Arial"/>
          <w:sz w:val="24"/>
          <w:szCs w:val="24"/>
        </w:rPr>
        <w:t xml:space="preserve">no later than the proposed compliance date (defined in new section </w:t>
      </w:r>
      <w:r w:rsidR="00E82D23" w:rsidRPr="005A14D5">
        <w:rPr>
          <w:rFonts w:ascii="Arial" w:hAnsi="Arial" w:cs="Arial"/>
          <w:sz w:val="24"/>
          <w:szCs w:val="24"/>
        </w:rPr>
        <w:t>12 (</w:t>
      </w:r>
      <w:r w:rsidR="00DE1E6D" w:rsidRPr="005A14D5">
        <w:rPr>
          <w:rFonts w:ascii="Arial" w:hAnsi="Arial" w:cs="Arial"/>
          <w:sz w:val="24"/>
          <w:szCs w:val="24"/>
        </w:rPr>
        <w:t>4</w:t>
      </w:r>
      <w:r w:rsidR="00E82D23" w:rsidRPr="005A14D5">
        <w:rPr>
          <w:rFonts w:ascii="Arial" w:hAnsi="Arial" w:cs="Arial"/>
          <w:sz w:val="24"/>
          <w:szCs w:val="24"/>
        </w:rPr>
        <w:t>)</w:t>
      </w:r>
      <w:r w:rsidR="00E82D23" w:rsidRPr="00264F34">
        <w:rPr>
          <w:rFonts w:ascii="Arial" w:hAnsi="Arial" w:cs="Arial"/>
          <w:sz w:val="24"/>
          <w:szCs w:val="24"/>
        </w:rPr>
        <w:t xml:space="preserve"> </w:t>
      </w:r>
      <w:r w:rsidR="0029730C">
        <w:rPr>
          <w:rFonts w:ascii="Arial" w:hAnsi="Arial" w:cs="Arial"/>
          <w:sz w:val="24"/>
          <w:szCs w:val="24"/>
        </w:rPr>
        <w:t>(</w:t>
      </w:r>
      <w:r w:rsidR="00E82D23" w:rsidRPr="00264F34">
        <w:rPr>
          <w:rFonts w:ascii="Arial" w:hAnsi="Arial" w:cs="Arial"/>
          <w:sz w:val="24"/>
          <w:szCs w:val="24"/>
        </w:rPr>
        <w:t>above</w:t>
      </w:r>
      <w:r w:rsidR="006D2698">
        <w:rPr>
          <w:rFonts w:ascii="Arial" w:hAnsi="Arial" w:cs="Arial"/>
          <w:sz w:val="24"/>
          <w:szCs w:val="24"/>
        </w:rPr>
        <w:t xml:space="preserve"> </w:t>
      </w:r>
      <w:r w:rsidR="006D2698" w:rsidRPr="005A14D5">
        <w:rPr>
          <w:rFonts w:ascii="Arial" w:hAnsi="Arial" w:cs="Arial"/>
          <w:sz w:val="24"/>
          <w:szCs w:val="24"/>
        </w:rPr>
        <w:t xml:space="preserve">at clause </w:t>
      </w:r>
      <w:r w:rsidR="00041DB3" w:rsidRPr="005A14D5">
        <w:rPr>
          <w:rFonts w:ascii="Arial" w:hAnsi="Arial" w:cs="Arial"/>
          <w:sz w:val="24"/>
          <w:szCs w:val="24"/>
        </w:rPr>
        <w:t>12</w:t>
      </w:r>
      <w:r w:rsidR="00E82D23" w:rsidRPr="00264F34">
        <w:rPr>
          <w:rFonts w:ascii="Arial" w:hAnsi="Arial" w:cs="Arial"/>
          <w:sz w:val="24"/>
          <w:szCs w:val="24"/>
        </w:rPr>
        <w:t>).</w:t>
      </w:r>
      <w:r w:rsidRPr="00264F34">
        <w:rPr>
          <w:rFonts w:ascii="Arial" w:hAnsi="Arial" w:cs="Arial"/>
          <w:sz w:val="24"/>
          <w:szCs w:val="24"/>
        </w:rPr>
        <w:t xml:space="preserve"> If</w:t>
      </w:r>
      <w:r w:rsidR="00E61965" w:rsidRPr="00264F34">
        <w:rPr>
          <w:rFonts w:ascii="Arial" w:hAnsi="Arial" w:cs="Arial"/>
          <w:sz w:val="24"/>
          <w:szCs w:val="24"/>
        </w:rPr>
        <w:t>,</w:t>
      </w:r>
      <w:r w:rsidR="00BE0959" w:rsidRPr="00264F34">
        <w:rPr>
          <w:rFonts w:ascii="Arial" w:hAnsi="Arial" w:cs="Arial"/>
          <w:sz w:val="24"/>
          <w:szCs w:val="24"/>
        </w:rPr>
        <w:t xml:space="preserve"> during a residential tenancy,</w:t>
      </w:r>
      <w:r w:rsidRPr="00264F34">
        <w:rPr>
          <w:rFonts w:ascii="Arial" w:hAnsi="Arial" w:cs="Arial"/>
          <w:sz w:val="24"/>
          <w:szCs w:val="24"/>
        </w:rPr>
        <w:t xml:space="preserve"> a lessor becomes aware that a premises does not comply </w:t>
      </w:r>
      <w:r w:rsidR="00BE0959" w:rsidRPr="00264F34">
        <w:rPr>
          <w:rFonts w:ascii="Arial" w:hAnsi="Arial" w:cs="Arial"/>
          <w:sz w:val="24"/>
          <w:szCs w:val="24"/>
        </w:rPr>
        <w:t xml:space="preserve">with any minimum housing standards, the </w:t>
      </w:r>
      <w:r w:rsidR="002860A9" w:rsidRPr="00264F34">
        <w:rPr>
          <w:rFonts w:ascii="Arial" w:hAnsi="Arial" w:cs="Arial"/>
          <w:sz w:val="24"/>
          <w:szCs w:val="24"/>
        </w:rPr>
        <w:t xml:space="preserve">section provides that </w:t>
      </w:r>
      <w:r w:rsidR="008F3AEB" w:rsidRPr="00264F34">
        <w:rPr>
          <w:rFonts w:ascii="Arial" w:hAnsi="Arial" w:cs="Arial"/>
          <w:sz w:val="24"/>
          <w:szCs w:val="24"/>
        </w:rPr>
        <w:t>the</w:t>
      </w:r>
      <w:r w:rsidR="002860A9" w:rsidRPr="00264F34">
        <w:rPr>
          <w:rFonts w:ascii="Arial" w:hAnsi="Arial" w:cs="Arial"/>
          <w:sz w:val="24"/>
          <w:szCs w:val="24"/>
        </w:rPr>
        <w:t xml:space="preserve"> lessor</w:t>
      </w:r>
      <w:r w:rsidR="00BE0959" w:rsidRPr="00264F34">
        <w:rPr>
          <w:rFonts w:ascii="Arial" w:hAnsi="Arial" w:cs="Arial"/>
          <w:sz w:val="24"/>
          <w:szCs w:val="24"/>
        </w:rPr>
        <w:t xml:space="preserve"> has an obligation to rectify the non</w:t>
      </w:r>
      <w:r w:rsidR="00DD757C">
        <w:rPr>
          <w:rFonts w:ascii="Arial" w:hAnsi="Arial" w:cs="Arial"/>
          <w:sz w:val="24"/>
          <w:szCs w:val="24"/>
        </w:rPr>
        <w:t>-</w:t>
      </w:r>
      <w:r w:rsidR="00BE0959" w:rsidRPr="00264F34">
        <w:rPr>
          <w:rFonts w:ascii="Arial" w:hAnsi="Arial" w:cs="Arial"/>
          <w:sz w:val="24"/>
          <w:szCs w:val="24"/>
        </w:rPr>
        <w:t>compliance as soon as practicable.</w:t>
      </w:r>
    </w:p>
    <w:p w14:paraId="22DFC475" w14:textId="1680A9D4" w:rsidR="002A7699" w:rsidRDefault="002A7699" w:rsidP="00C677E6">
      <w:pPr>
        <w:rPr>
          <w:rFonts w:ascii="Arial" w:hAnsi="Arial" w:cs="Arial"/>
          <w:sz w:val="24"/>
          <w:szCs w:val="24"/>
        </w:rPr>
      </w:pPr>
      <w:r w:rsidRPr="00DD757C">
        <w:rPr>
          <w:rFonts w:ascii="Arial" w:hAnsi="Arial" w:cs="Arial"/>
          <w:b/>
          <w:bCs/>
          <w:sz w:val="24"/>
          <w:szCs w:val="24"/>
        </w:rPr>
        <w:t>Section 19C</w:t>
      </w:r>
      <w:r w:rsidRPr="00264F34">
        <w:rPr>
          <w:rFonts w:ascii="Arial" w:hAnsi="Arial" w:cs="Arial"/>
          <w:sz w:val="24"/>
          <w:szCs w:val="24"/>
        </w:rPr>
        <w:t xml:space="preserve"> creates an obligation for lessors to keep certain records </w:t>
      </w:r>
      <w:r w:rsidR="00BE0959" w:rsidRPr="00264F34">
        <w:rPr>
          <w:rFonts w:ascii="Arial" w:hAnsi="Arial" w:cs="Arial"/>
          <w:sz w:val="24"/>
          <w:szCs w:val="24"/>
        </w:rPr>
        <w:t xml:space="preserve">pertaining to minimum housing standards </w:t>
      </w:r>
      <w:r w:rsidRPr="00264F34">
        <w:rPr>
          <w:rFonts w:ascii="Arial" w:hAnsi="Arial" w:cs="Arial"/>
          <w:sz w:val="24"/>
          <w:szCs w:val="24"/>
        </w:rPr>
        <w:t>for any premises that is available for occupation under a residential tenancy agreement.</w:t>
      </w:r>
      <w:r w:rsidR="00E4084C" w:rsidRPr="00264F34">
        <w:rPr>
          <w:rFonts w:ascii="Arial" w:hAnsi="Arial" w:cs="Arial"/>
          <w:sz w:val="24"/>
          <w:szCs w:val="24"/>
        </w:rPr>
        <w:t xml:space="preserve"> The records that must be kept include evidence of compliance, </w:t>
      </w:r>
      <w:r w:rsidR="00B02200" w:rsidRPr="00264F34">
        <w:rPr>
          <w:rFonts w:ascii="Arial" w:hAnsi="Arial" w:cs="Arial"/>
          <w:sz w:val="24"/>
          <w:szCs w:val="24"/>
        </w:rPr>
        <w:t xml:space="preserve">and </w:t>
      </w:r>
      <w:r w:rsidR="00E4084C" w:rsidRPr="00264F34">
        <w:rPr>
          <w:rFonts w:ascii="Arial" w:hAnsi="Arial" w:cs="Arial"/>
          <w:sz w:val="24"/>
          <w:szCs w:val="24"/>
        </w:rPr>
        <w:t>if an exemption f</w:t>
      </w:r>
      <w:r w:rsidR="00B02200" w:rsidRPr="00264F34">
        <w:rPr>
          <w:rFonts w:ascii="Arial" w:hAnsi="Arial" w:cs="Arial"/>
          <w:sz w:val="24"/>
          <w:szCs w:val="24"/>
        </w:rPr>
        <w:t>ro</w:t>
      </w:r>
      <w:r w:rsidR="00E4084C" w:rsidRPr="00264F34">
        <w:rPr>
          <w:rFonts w:ascii="Arial" w:hAnsi="Arial" w:cs="Arial"/>
          <w:sz w:val="24"/>
          <w:szCs w:val="24"/>
        </w:rPr>
        <w:t>m compliance applies – evidence supporting the exemption</w:t>
      </w:r>
      <w:r w:rsidR="00E82D23" w:rsidRPr="00264F34">
        <w:rPr>
          <w:rFonts w:ascii="Arial" w:hAnsi="Arial" w:cs="Arial"/>
          <w:sz w:val="24"/>
          <w:szCs w:val="24"/>
        </w:rPr>
        <w:t>,</w:t>
      </w:r>
      <w:r w:rsidR="00E4084C" w:rsidRPr="00264F34">
        <w:rPr>
          <w:rFonts w:ascii="Arial" w:hAnsi="Arial" w:cs="Arial"/>
          <w:sz w:val="24"/>
          <w:szCs w:val="24"/>
        </w:rPr>
        <w:t xml:space="preserve"> and any other record prescribed by regulation. </w:t>
      </w:r>
    </w:p>
    <w:p w14:paraId="60FFFAC9" w14:textId="126DA9F9" w:rsidR="006D2698" w:rsidRPr="00264F34" w:rsidRDefault="006D2698" w:rsidP="00C677E6">
      <w:pPr>
        <w:rPr>
          <w:rFonts w:ascii="Arial" w:hAnsi="Arial" w:cs="Arial"/>
          <w:sz w:val="24"/>
          <w:szCs w:val="24"/>
        </w:rPr>
      </w:pPr>
      <w:r w:rsidRPr="00264F34">
        <w:rPr>
          <w:rFonts w:ascii="Arial" w:hAnsi="Arial" w:cs="Arial"/>
          <w:sz w:val="24"/>
          <w:szCs w:val="24"/>
        </w:rPr>
        <w:lastRenderedPageBreak/>
        <w:t xml:space="preserve">Similar to </w:t>
      </w:r>
      <w:r w:rsidRPr="005A14D5">
        <w:rPr>
          <w:rFonts w:ascii="Arial" w:hAnsi="Arial" w:cs="Arial"/>
          <w:sz w:val="24"/>
          <w:szCs w:val="24"/>
        </w:rPr>
        <w:t xml:space="preserve">clauses </w:t>
      </w:r>
      <w:r w:rsidR="00041DB3" w:rsidRPr="005A14D5">
        <w:rPr>
          <w:rFonts w:ascii="Arial" w:hAnsi="Arial" w:cs="Arial"/>
          <w:sz w:val="24"/>
          <w:szCs w:val="24"/>
        </w:rPr>
        <w:t>8</w:t>
      </w:r>
      <w:r w:rsidRPr="005A14D5">
        <w:rPr>
          <w:rFonts w:ascii="Arial" w:hAnsi="Arial" w:cs="Arial"/>
          <w:sz w:val="24"/>
          <w:szCs w:val="24"/>
        </w:rPr>
        <w:t xml:space="preserve"> and </w:t>
      </w:r>
      <w:r w:rsidR="00041DB3">
        <w:rPr>
          <w:rFonts w:ascii="Arial" w:hAnsi="Arial" w:cs="Arial"/>
          <w:sz w:val="24"/>
          <w:szCs w:val="24"/>
        </w:rPr>
        <w:t>10</w:t>
      </w:r>
      <w:r w:rsidRPr="00264F34">
        <w:rPr>
          <w:rFonts w:ascii="Arial" w:hAnsi="Arial" w:cs="Arial"/>
          <w:sz w:val="24"/>
          <w:szCs w:val="24"/>
        </w:rPr>
        <w:t>, the policy intent</w:t>
      </w:r>
      <w:r>
        <w:rPr>
          <w:rFonts w:ascii="Arial" w:hAnsi="Arial" w:cs="Arial"/>
          <w:sz w:val="24"/>
          <w:szCs w:val="24"/>
        </w:rPr>
        <w:t xml:space="preserve"> of section 19C</w:t>
      </w:r>
      <w:r w:rsidRPr="00264F34">
        <w:rPr>
          <w:rFonts w:ascii="Arial" w:hAnsi="Arial" w:cs="Arial"/>
          <w:sz w:val="24"/>
          <w:szCs w:val="24"/>
        </w:rPr>
        <w:t xml:space="preserve"> is to ensure that there is a written record of the representations made to a tenant, which may be relied upon should any dispute pertaining to minimum housing standards arise.</w:t>
      </w:r>
    </w:p>
    <w:p w14:paraId="0F001C6A" w14:textId="24B3D517" w:rsidR="00F075A5" w:rsidRPr="00264F34" w:rsidRDefault="00F075A5" w:rsidP="00BF39C1">
      <w:pPr>
        <w:ind w:left="1440" w:hanging="1440"/>
        <w:rPr>
          <w:rFonts w:ascii="Arial" w:eastAsiaTheme="majorEastAsia" w:hAnsi="Arial" w:cs="Arial"/>
          <w:b/>
          <w:sz w:val="24"/>
          <w:szCs w:val="24"/>
        </w:rPr>
      </w:pPr>
      <w:r w:rsidRPr="0048099F">
        <w:rPr>
          <w:rFonts w:ascii="Arial" w:eastAsiaTheme="majorEastAsia" w:hAnsi="Arial" w:cs="Arial"/>
          <w:b/>
          <w:sz w:val="24"/>
          <w:szCs w:val="24"/>
        </w:rPr>
        <w:t xml:space="preserve">Clause </w:t>
      </w:r>
      <w:r w:rsidR="00041DB3">
        <w:rPr>
          <w:rFonts w:ascii="Arial" w:eastAsiaTheme="majorEastAsia" w:hAnsi="Arial" w:cs="Arial"/>
          <w:b/>
          <w:sz w:val="24"/>
          <w:szCs w:val="24"/>
        </w:rPr>
        <w:t>15</w:t>
      </w:r>
      <w:r w:rsidR="00D27247">
        <w:rPr>
          <w:rFonts w:ascii="Arial" w:eastAsiaTheme="majorEastAsia" w:hAnsi="Arial" w:cs="Arial"/>
          <w:b/>
          <w:sz w:val="24"/>
          <w:szCs w:val="24"/>
        </w:rPr>
        <w:tab/>
      </w:r>
      <w:r w:rsidRPr="0048099F">
        <w:rPr>
          <w:rFonts w:ascii="Arial" w:eastAsiaTheme="majorEastAsia" w:hAnsi="Arial" w:cs="Arial"/>
          <w:b/>
          <w:sz w:val="24"/>
          <w:szCs w:val="24"/>
        </w:rPr>
        <w:t>Termination</w:t>
      </w:r>
      <w:r w:rsidR="00BF39C1" w:rsidRPr="0048099F">
        <w:rPr>
          <w:rFonts w:ascii="Arial" w:eastAsiaTheme="majorEastAsia" w:hAnsi="Arial" w:cs="Arial"/>
          <w:b/>
          <w:sz w:val="24"/>
          <w:szCs w:val="24"/>
        </w:rPr>
        <w:br/>
      </w:r>
      <w:r w:rsidR="00D27247">
        <w:rPr>
          <w:rFonts w:ascii="Arial" w:eastAsiaTheme="majorEastAsia" w:hAnsi="Arial" w:cs="Arial"/>
          <w:b/>
          <w:sz w:val="24"/>
          <w:szCs w:val="24"/>
        </w:rPr>
        <w:t>S</w:t>
      </w:r>
      <w:r w:rsidRPr="0048099F">
        <w:rPr>
          <w:rFonts w:ascii="Arial" w:eastAsiaTheme="majorEastAsia" w:hAnsi="Arial" w:cs="Arial"/>
          <w:b/>
          <w:sz w:val="24"/>
          <w:szCs w:val="24"/>
        </w:rPr>
        <w:t>ection 36</w:t>
      </w:r>
      <w:r w:rsidR="00E4084C" w:rsidRPr="0048099F">
        <w:rPr>
          <w:rFonts w:ascii="Arial" w:eastAsiaTheme="majorEastAsia" w:hAnsi="Arial" w:cs="Arial"/>
          <w:b/>
          <w:sz w:val="24"/>
          <w:szCs w:val="24"/>
        </w:rPr>
        <w:t xml:space="preserve"> </w:t>
      </w:r>
      <w:r w:rsidRPr="0048099F">
        <w:rPr>
          <w:rFonts w:ascii="Arial" w:eastAsiaTheme="majorEastAsia" w:hAnsi="Arial" w:cs="Arial"/>
          <w:b/>
          <w:sz w:val="24"/>
          <w:szCs w:val="24"/>
        </w:rPr>
        <w:t>(1)</w:t>
      </w:r>
      <w:r w:rsidR="00E4084C" w:rsidRPr="0048099F">
        <w:rPr>
          <w:rFonts w:ascii="Arial" w:eastAsiaTheme="majorEastAsia" w:hAnsi="Arial" w:cs="Arial"/>
          <w:b/>
          <w:sz w:val="24"/>
          <w:szCs w:val="24"/>
        </w:rPr>
        <w:t xml:space="preserve"> </w:t>
      </w:r>
      <w:r w:rsidRPr="0048099F">
        <w:rPr>
          <w:rFonts w:ascii="Arial" w:eastAsiaTheme="majorEastAsia" w:hAnsi="Arial" w:cs="Arial"/>
          <w:b/>
          <w:sz w:val="24"/>
          <w:szCs w:val="24"/>
        </w:rPr>
        <w:t>(b)</w:t>
      </w:r>
    </w:p>
    <w:p w14:paraId="4F5937C3" w14:textId="3E272725" w:rsidR="00DD757C" w:rsidRDefault="00DD757C" w:rsidP="000A287F">
      <w:pPr>
        <w:rPr>
          <w:rFonts w:ascii="Arial" w:eastAsiaTheme="majorEastAsia" w:hAnsi="Arial" w:cs="Arial"/>
          <w:bCs/>
          <w:sz w:val="24"/>
          <w:szCs w:val="24"/>
        </w:rPr>
      </w:pPr>
      <w:r>
        <w:rPr>
          <w:rFonts w:ascii="Arial" w:eastAsiaTheme="majorEastAsia" w:hAnsi="Arial" w:cs="Arial"/>
          <w:bCs/>
          <w:sz w:val="24"/>
          <w:szCs w:val="24"/>
        </w:rPr>
        <w:t xml:space="preserve">Current section 36 provides that a tenancy agreement must not terminate or be terminated in situations other than those listed in the provision. </w:t>
      </w:r>
    </w:p>
    <w:p w14:paraId="5EA6102A" w14:textId="2CBD5055" w:rsidR="00DD757C" w:rsidRDefault="00DD757C" w:rsidP="000A287F">
      <w:pPr>
        <w:rPr>
          <w:rFonts w:ascii="Arial" w:eastAsiaTheme="majorEastAsia" w:hAnsi="Arial" w:cs="Arial"/>
          <w:bCs/>
          <w:sz w:val="24"/>
          <w:szCs w:val="24"/>
        </w:rPr>
      </w:pPr>
      <w:r>
        <w:rPr>
          <w:rFonts w:ascii="Arial" w:eastAsiaTheme="majorEastAsia" w:hAnsi="Arial" w:cs="Arial"/>
          <w:bCs/>
          <w:sz w:val="24"/>
          <w:szCs w:val="24"/>
        </w:rPr>
        <w:t>Current section 36 (1) (b) provides that a tenancy may terminate where a tenant notifies the lessor in the form approved under section 133 of the RTA and then vacates in accordance with that notice. However, as there are currently no approved forms under section 133</w:t>
      </w:r>
      <w:r w:rsidR="009A51B0">
        <w:rPr>
          <w:rFonts w:ascii="Arial" w:eastAsiaTheme="majorEastAsia" w:hAnsi="Arial" w:cs="Arial"/>
          <w:bCs/>
          <w:sz w:val="24"/>
          <w:szCs w:val="24"/>
        </w:rPr>
        <w:t>,</w:t>
      </w:r>
      <w:r>
        <w:rPr>
          <w:rFonts w:ascii="Arial" w:eastAsiaTheme="majorEastAsia" w:hAnsi="Arial" w:cs="Arial"/>
          <w:bCs/>
          <w:sz w:val="24"/>
          <w:szCs w:val="24"/>
        </w:rPr>
        <w:t xml:space="preserve"> this provision </w:t>
      </w:r>
      <w:r w:rsidR="009A51B0">
        <w:rPr>
          <w:rFonts w:ascii="Arial" w:eastAsiaTheme="majorEastAsia" w:hAnsi="Arial" w:cs="Arial"/>
          <w:bCs/>
          <w:sz w:val="24"/>
          <w:szCs w:val="24"/>
        </w:rPr>
        <w:t xml:space="preserve">may </w:t>
      </w:r>
      <w:r>
        <w:rPr>
          <w:rFonts w:ascii="Arial" w:eastAsiaTheme="majorEastAsia" w:hAnsi="Arial" w:cs="Arial"/>
          <w:bCs/>
          <w:sz w:val="24"/>
          <w:szCs w:val="24"/>
        </w:rPr>
        <w:t xml:space="preserve">prevent a tenant from terminating a tenancy by notice.  </w:t>
      </w:r>
    </w:p>
    <w:p w14:paraId="76CEDF8A" w14:textId="7B0D1484" w:rsidR="00DD757C" w:rsidRDefault="00DD757C" w:rsidP="000A287F">
      <w:pPr>
        <w:rPr>
          <w:rFonts w:ascii="Arial" w:eastAsiaTheme="majorEastAsia" w:hAnsi="Arial" w:cs="Arial"/>
          <w:bCs/>
          <w:sz w:val="24"/>
          <w:szCs w:val="24"/>
        </w:rPr>
      </w:pPr>
      <w:r>
        <w:rPr>
          <w:rFonts w:ascii="Arial" w:eastAsiaTheme="majorEastAsia" w:hAnsi="Arial" w:cs="Arial"/>
          <w:bCs/>
          <w:sz w:val="24"/>
          <w:szCs w:val="24"/>
        </w:rPr>
        <w:t>The listed circumstances in section 36 also do not provide for tenancy termination in circumstances where the lessor issues the tenant with a notice to vacate</w:t>
      </w:r>
      <w:r w:rsidR="00B16DF8">
        <w:rPr>
          <w:rFonts w:ascii="Arial" w:eastAsiaTheme="majorEastAsia" w:hAnsi="Arial" w:cs="Arial"/>
          <w:bCs/>
          <w:sz w:val="24"/>
          <w:szCs w:val="24"/>
        </w:rPr>
        <w:t>,</w:t>
      </w:r>
      <w:r>
        <w:rPr>
          <w:rFonts w:ascii="Arial" w:eastAsiaTheme="majorEastAsia" w:hAnsi="Arial" w:cs="Arial"/>
          <w:bCs/>
          <w:sz w:val="24"/>
          <w:szCs w:val="24"/>
        </w:rPr>
        <w:t xml:space="preserve"> and the tenant moves out in accordance with that notice. </w:t>
      </w:r>
    </w:p>
    <w:p w14:paraId="2F72714F" w14:textId="571ADE1E" w:rsidR="000A287F" w:rsidRPr="00264F34" w:rsidRDefault="00DD757C" w:rsidP="000A287F">
      <w:pPr>
        <w:rPr>
          <w:rFonts w:ascii="Arial" w:eastAsiaTheme="majorEastAsia" w:hAnsi="Arial" w:cs="Arial"/>
          <w:bCs/>
          <w:sz w:val="24"/>
          <w:szCs w:val="24"/>
        </w:rPr>
      </w:pPr>
      <w:r>
        <w:rPr>
          <w:rFonts w:ascii="Arial" w:eastAsiaTheme="majorEastAsia" w:hAnsi="Arial" w:cs="Arial"/>
          <w:bCs/>
          <w:sz w:val="24"/>
          <w:szCs w:val="24"/>
        </w:rPr>
        <w:t>To correct this situation, t</w:t>
      </w:r>
      <w:r w:rsidR="000A287F" w:rsidRPr="0048099F">
        <w:rPr>
          <w:rFonts w:ascii="Arial" w:eastAsiaTheme="majorEastAsia" w:hAnsi="Arial" w:cs="Arial"/>
          <w:bCs/>
          <w:sz w:val="24"/>
          <w:szCs w:val="24"/>
        </w:rPr>
        <w:t>his clause substitutes subsection 36</w:t>
      </w:r>
      <w:r w:rsidR="000A287F" w:rsidRPr="00264F34">
        <w:rPr>
          <w:rFonts w:ascii="Arial" w:eastAsiaTheme="majorEastAsia" w:hAnsi="Arial" w:cs="Arial"/>
          <w:bCs/>
          <w:sz w:val="24"/>
          <w:szCs w:val="24"/>
        </w:rPr>
        <w:t xml:space="preserve"> </w:t>
      </w:r>
      <w:r w:rsidR="000A287F" w:rsidRPr="0048099F">
        <w:rPr>
          <w:rFonts w:ascii="Arial" w:eastAsiaTheme="majorEastAsia" w:hAnsi="Arial" w:cs="Arial"/>
          <w:bCs/>
          <w:sz w:val="24"/>
          <w:szCs w:val="24"/>
        </w:rPr>
        <w:t>(1)</w:t>
      </w:r>
      <w:r w:rsidR="000A287F" w:rsidRPr="00264F34">
        <w:rPr>
          <w:rFonts w:ascii="Arial" w:eastAsiaTheme="majorEastAsia" w:hAnsi="Arial" w:cs="Arial"/>
          <w:bCs/>
          <w:sz w:val="24"/>
          <w:szCs w:val="24"/>
        </w:rPr>
        <w:t xml:space="preserve"> </w:t>
      </w:r>
      <w:r w:rsidR="000A287F" w:rsidRPr="0048099F">
        <w:rPr>
          <w:rFonts w:ascii="Arial" w:eastAsiaTheme="majorEastAsia" w:hAnsi="Arial" w:cs="Arial"/>
          <w:bCs/>
          <w:sz w:val="24"/>
          <w:szCs w:val="24"/>
        </w:rPr>
        <w:t>(b)</w:t>
      </w:r>
      <w:r w:rsidR="00172D9E" w:rsidRPr="00264F34">
        <w:rPr>
          <w:rFonts w:ascii="Arial" w:eastAsiaTheme="majorEastAsia" w:hAnsi="Arial" w:cs="Arial"/>
          <w:bCs/>
          <w:sz w:val="24"/>
          <w:szCs w:val="24"/>
        </w:rPr>
        <w:t xml:space="preserve"> </w:t>
      </w:r>
      <w:r>
        <w:rPr>
          <w:rFonts w:ascii="Arial" w:eastAsiaTheme="majorEastAsia" w:hAnsi="Arial" w:cs="Arial"/>
          <w:bCs/>
          <w:sz w:val="24"/>
          <w:szCs w:val="24"/>
        </w:rPr>
        <w:t>so that it</w:t>
      </w:r>
      <w:r w:rsidR="00172D9E" w:rsidRPr="00264F34">
        <w:rPr>
          <w:rFonts w:ascii="Arial" w:eastAsiaTheme="majorEastAsia" w:hAnsi="Arial" w:cs="Arial"/>
          <w:bCs/>
          <w:sz w:val="24"/>
          <w:szCs w:val="24"/>
        </w:rPr>
        <w:t xml:space="preserve"> now provides that </w:t>
      </w:r>
      <w:r w:rsidR="00D27247">
        <w:rPr>
          <w:rFonts w:ascii="Arial" w:eastAsiaTheme="majorEastAsia" w:hAnsi="Arial" w:cs="Arial"/>
          <w:bCs/>
          <w:sz w:val="24"/>
          <w:szCs w:val="24"/>
        </w:rPr>
        <w:t>a tenancy is terminated where a party</w:t>
      </w:r>
      <w:r w:rsidR="00172D9E" w:rsidRPr="00264F34">
        <w:rPr>
          <w:rFonts w:ascii="Arial" w:eastAsiaTheme="majorEastAsia" w:hAnsi="Arial" w:cs="Arial"/>
          <w:bCs/>
          <w:sz w:val="24"/>
          <w:szCs w:val="24"/>
        </w:rPr>
        <w:t xml:space="preserve"> serve</w:t>
      </w:r>
      <w:r w:rsidR="00D27247">
        <w:rPr>
          <w:rFonts w:ascii="Arial" w:eastAsiaTheme="majorEastAsia" w:hAnsi="Arial" w:cs="Arial"/>
          <w:bCs/>
          <w:sz w:val="24"/>
          <w:szCs w:val="24"/>
        </w:rPr>
        <w:t>s</w:t>
      </w:r>
      <w:r w:rsidR="00172D9E" w:rsidRPr="00264F34">
        <w:rPr>
          <w:rFonts w:ascii="Arial" w:eastAsiaTheme="majorEastAsia" w:hAnsi="Arial" w:cs="Arial"/>
          <w:bCs/>
          <w:sz w:val="24"/>
          <w:szCs w:val="24"/>
        </w:rPr>
        <w:t xml:space="preserve"> a termination notice in accordance with the SRTTs and the tenant vacates the premises in accordance with the notice.</w:t>
      </w:r>
    </w:p>
    <w:p w14:paraId="6F5689AA" w14:textId="37E1D57A" w:rsidR="00512718" w:rsidRPr="0048099F" w:rsidRDefault="00512718" w:rsidP="0048099F">
      <w:pPr>
        <w:rPr>
          <w:rFonts w:ascii="Arial" w:eastAsiaTheme="majorEastAsia" w:hAnsi="Arial" w:cs="Arial"/>
          <w:bCs/>
          <w:sz w:val="24"/>
          <w:szCs w:val="24"/>
        </w:rPr>
      </w:pPr>
      <w:r>
        <w:rPr>
          <w:rFonts w:ascii="Arial" w:eastAsiaTheme="majorEastAsia" w:hAnsi="Arial" w:cs="Arial"/>
          <w:bCs/>
          <w:sz w:val="24"/>
          <w:szCs w:val="24"/>
        </w:rPr>
        <w:t xml:space="preserve">It is noted that, under the current SRTTs at clause 84 (2) (b), if a lessor chooses </w:t>
      </w:r>
      <w:r w:rsidRPr="00512718">
        <w:rPr>
          <w:rFonts w:ascii="Arial" w:eastAsiaTheme="majorEastAsia" w:hAnsi="Arial" w:cs="Arial"/>
          <w:bCs/>
          <w:i/>
          <w:iCs/>
          <w:sz w:val="24"/>
          <w:szCs w:val="24"/>
        </w:rPr>
        <w:t>not</w:t>
      </w:r>
      <w:r>
        <w:rPr>
          <w:rFonts w:ascii="Arial" w:eastAsiaTheme="majorEastAsia" w:hAnsi="Arial" w:cs="Arial"/>
          <w:bCs/>
          <w:sz w:val="24"/>
          <w:szCs w:val="24"/>
        </w:rPr>
        <w:t xml:space="preserve"> to accept a tenant’s notice of intention to vacate then the lessor can apply to ACAT for confirmation of the tenancy, compensation or both. </w:t>
      </w:r>
    </w:p>
    <w:p w14:paraId="46D4FB7F" w14:textId="22BC0C2B" w:rsidR="00E82D23" w:rsidRPr="00264F34" w:rsidRDefault="000051BF" w:rsidP="00D66CA5">
      <w:pPr>
        <w:ind w:left="1440" w:hanging="1440"/>
        <w:rPr>
          <w:rFonts w:ascii="Arial" w:eastAsiaTheme="majorEastAsia" w:hAnsi="Arial" w:cs="Arial"/>
          <w:b/>
          <w:sz w:val="24"/>
          <w:szCs w:val="24"/>
        </w:rPr>
      </w:pPr>
      <w:r w:rsidRPr="00264F34">
        <w:rPr>
          <w:rFonts w:ascii="Arial" w:eastAsiaTheme="majorEastAsia" w:hAnsi="Arial" w:cs="Arial"/>
          <w:b/>
          <w:sz w:val="24"/>
          <w:szCs w:val="24"/>
        </w:rPr>
        <w:t xml:space="preserve">Clause </w:t>
      </w:r>
      <w:r w:rsidR="00B16DF8">
        <w:rPr>
          <w:rFonts w:ascii="Arial" w:eastAsiaTheme="majorEastAsia" w:hAnsi="Arial" w:cs="Arial"/>
          <w:b/>
          <w:sz w:val="24"/>
          <w:szCs w:val="24"/>
        </w:rPr>
        <w:t>16</w:t>
      </w:r>
      <w:r w:rsidRPr="00264F34">
        <w:rPr>
          <w:rFonts w:ascii="Arial" w:eastAsiaTheme="majorEastAsia" w:hAnsi="Arial" w:cs="Arial"/>
          <w:b/>
          <w:sz w:val="24"/>
          <w:szCs w:val="24"/>
        </w:rPr>
        <w:tab/>
      </w:r>
      <w:r w:rsidR="00E82D23" w:rsidRPr="00264F34">
        <w:rPr>
          <w:rFonts w:ascii="Arial" w:eastAsiaTheme="majorEastAsia" w:hAnsi="Arial" w:cs="Arial"/>
          <w:b/>
          <w:sz w:val="24"/>
          <w:szCs w:val="24"/>
        </w:rPr>
        <w:t>Section 36 (1) (n)</w:t>
      </w:r>
    </w:p>
    <w:p w14:paraId="26334B19" w14:textId="288674C5" w:rsidR="00E82D23" w:rsidRPr="00264F34" w:rsidRDefault="00E82D23" w:rsidP="004D02EF">
      <w:pPr>
        <w:rPr>
          <w:rFonts w:ascii="Arial" w:eastAsiaTheme="majorEastAsia" w:hAnsi="Arial" w:cs="Arial"/>
          <w:bCs/>
          <w:sz w:val="24"/>
          <w:szCs w:val="24"/>
        </w:rPr>
      </w:pPr>
      <w:r w:rsidRPr="00264F34">
        <w:rPr>
          <w:rFonts w:ascii="Arial" w:eastAsiaTheme="majorEastAsia" w:hAnsi="Arial" w:cs="Arial"/>
          <w:bCs/>
          <w:sz w:val="24"/>
          <w:szCs w:val="24"/>
        </w:rPr>
        <w:t xml:space="preserve">This clause </w:t>
      </w:r>
      <w:r w:rsidR="00B16DF8">
        <w:rPr>
          <w:rFonts w:ascii="Arial" w:eastAsiaTheme="majorEastAsia" w:hAnsi="Arial" w:cs="Arial"/>
          <w:bCs/>
          <w:sz w:val="24"/>
          <w:szCs w:val="24"/>
        </w:rPr>
        <w:t xml:space="preserve">is consequential to the new definition of </w:t>
      </w:r>
      <w:r w:rsidR="00B16DF8">
        <w:rPr>
          <w:rFonts w:ascii="Arial" w:eastAsiaTheme="majorEastAsia" w:hAnsi="Arial" w:cs="Arial"/>
          <w:bCs/>
          <w:i/>
          <w:iCs/>
          <w:sz w:val="24"/>
          <w:szCs w:val="24"/>
        </w:rPr>
        <w:t xml:space="preserve">posting termination clause </w:t>
      </w:r>
      <w:r w:rsidR="00B16DF8">
        <w:rPr>
          <w:rFonts w:ascii="Arial" w:eastAsiaTheme="majorEastAsia" w:hAnsi="Arial" w:cs="Arial"/>
          <w:bCs/>
          <w:sz w:val="24"/>
          <w:szCs w:val="24"/>
        </w:rPr>
        <w:t xml:space="preserve">in new schedule </w:t>
      </w:r>
      <w:r w:rsidR="00E74DBD">
        <w:rPr>
          <w:rFonts w:ascii="Arial" w:eastAsiaTheme="majorEastAsia" w:hAnsi="Arial" w:cs="Arial"/>
          <w:bCs/>
          <w:sz w:val="24"/>
          <w:szCs w:val="24"/>
        </w:rPr>
        <w:t xml:space="preserve">2, 2.2 </w:t>
      </w:r>
      <w:r w:rsidR="00B16DF8">
        <w:rPr>
          <w:rFonts w:ascii="Arial" w:eastAsiaTheme="majorEastAsia" w:hAnsi="Arial" w:cs="Arial"/>
          <w:bCs/>
          <w:sz w:val="24"/>
          <w:szCs w:val="24"/>
        </w:rPr>
        <w:t xml:space="preserve">introduced by </w:t>
      </w:r>
      <w:r w:rsidR="00B16DF8" w:rsidRPr="005A14D5">
        <w:rPr>
          <w:rFonts w:ascii="Arial" w:eastAsiaTheme="majorEastAsia" w:hAnsi="Arial" w:cs="Arial"/>
          <w:bCs/>
          <w:sz w:val="24"/>
          <w:szCs w:val="24"/>
        </w:rPr>
        <w:t xml:space="preserve">clause </w:t>
      </w:r>
      <w:r w:rsidR="00E74DBD" w:rsidRPr="005A14D5">
        <w:rPr>
          <w:rFonts w:ascii="Arial" w:eastAsiaTheme="majorEastAsia" w:hAnsi="Arial" w:cs="Arial"/>
          <w:bCs/>
          <w:sz w:val="24"/>
          <w:szCs w:val="24"/>
        </w:rPr>
        <w:t>45</w:t>
      </w:r>
      <w:r w:rsidR="00B16DF8">
        <w:rPr>
          <w:rFonts w:ascii="Arial" w:eastAsiaTheme="majorEastAsia" w:hAnsi="Arial" w:cs="Arial"/>
          <w:bCs/>
          <w:sz w:val="24"/>
          <w:szCs w:val="24"/>
        </w:rPr>
        <w:t xml:space="preserve">. This new definition updates the language by </w:t>
      </w:r>
      <w:r w:rsidRPr="00264F34">
        <w:rPr>
          <w:rFonts w:ascii="Arial" w:eastAsiaTheme="majorEastAsia" w:hAnsi="Arial" w:cs="Arial"/>
          <w:bCs/>
          <w:sz w:val="24"/>
          <w:szCs w:val="24"/>
        </w:rPr>
        <w:t>remov</w:t>
      </w:r>
      <w:r w:rsidR="00B16DF8">
        <w:rPr>
          <w:rFonts w:ascii="Arial" w:eastAsiaTheme="majorEastAsia" w:hAnsi="Arial" w:cs="Arial"/>
          <w:bCs/>
          <w:sz w:val="24"/>
          <w:szCs w:val="24"/>
        </w:rPr>
        <w:t>ing</w:t>
      </w:r>
      <w:r w:rsidRPr="00264F34">
        <w:rPr>
          <w:rFonts w:ascii="Arial" w:eastAsiaTheme="majorEastAsia" w:hAnsi="Arial" w:cs="Arial"/>
          <w:bCs/>
          <w:sz w:val="24"/>
          <w:szCs w:val="24"/>
        </w:rPr>
        <w:t xml:space="preserve"> the phrase ‘fair clause for posted people’ from subsection 36 (1) (n) from the RTA and substitutes it for the phrase ‘posting termination clause’. </w:t>
      </w:r>
      <w:r w:rsidR="00512718">
        <w:rPr>
          <w:rFonts w:ascii="Arial" w:eastAsiaTheme="majorEastAsia" w:hAnsi="Arial" w:cs="Arial"/>
          <w:bCs/>
          <w:sz w:val="24"/>
          <w:szCs w:val="24"/>
        </w:rPr>
        <w:t xml:space="preserve">This clause provides clearer language for the purpose of the termination provision. </w:t>
      </w:r>
    </w:p>
    <w:p w14:paraId="3B4402FD" w14:textId="42D661A5" w:rsidR="00E82D23" w:rsidRPr="00264F34" w:rsidRDefault="00E82D23" w:rsidP="00D66CA5">
      <w:pPr>
        <w:ind w:left="1440" w:hanging="1440"/>
        <w:rPr>
          <w:rFonts w:ascii="Arial" w:eastAsiaTheme="majorEastAsia" w:hAnsi="Arial" w:cs="Arial"/>
          <w:b/>
          <w:i/>
          <w:iCs/>
          <w:sz w:val="24"/>
          <w:szCs w:val="24"/>
        </w:rPr>
      </w:pPr>
      <w:r w:rsidRPr="00264F34">
        <w:rPr>
          <w:rFonts w:ascii="Arial" w:eastAsiaTheme="majorEastAsia" w:hAnsi="Arial" w:cs="Arial"/>
          <w:b/>
          <w:sz w:val="24"/>
          <w:szCs w:val="24"/>
        </w:rPr>
        <w:t xml:space="preserve">Clause </w:t>
      </w:r>
      <w:r w:rsidR="00B16DF8">
        <w:rPr>
          <w:rFonts w:ascii="Arial" w:eastAsiaTheme="majorEastAsia" w:hAnsi="Arial" w:cs="Arial"/>
          <w:b/>
          <w:sz w:val="24"/>
          <w:szCs w:val="24"/>
        </w:rPr>
        <w:t>17</w:t>
      </w:r>
      <w:r w:rsidRPr="00264F34">
        <w:rPr>
          <w:rFonts w:ascii="Arial" w:eastAsiaTheme="majorEastAsia" w:hAnsi="Arial" w:cs="Arial"/>
          <w:b/>
          <w:sz w:val="24"/>
          <w:szCs w:val="24"/>
        </w:rPr>
        <w:tab/>
        <w:t>Section 36</w:t>
      </w:r>
      <w:r w:rsidR="00512718">
        <w:rPr>
          <w:rFonts w:ascii="Arial" w:eastAsiaTheme="majorEastAsia" w:hAnsi="Arial" w:cs="Arial"/>
          <w:b/>
          <w:sz w:val="24"/>
          <w:szCs w:val="24"/>
        </w:rPr>
        <w:t xml:space="preserve"> </w:t>
      </w:r>
      <w:r w:rsidRPr="00264F34">
        <w:rPr>
          <w:rFonts w:ascii="Arial" w:eastAsiaTheme="majorEastAsia" w:hAnsi="Arial" w:cs="Arial"/>
          <w:b/>
          <w:sz w:val="24"/>
          <w:szCs w:val="24"/>
        </w:rPr>
        <w:t xml:space="preserve">(2), definition of </w:t>
      </w:r>
      <w:r w:rsidRPr="00264F34">
        <w:rPr>
          <w:rFonts w:ascii="Arial" w:eastAsiaTheme="majorEastAsia" w:hAnsi="Arial" w:cs="Arial"/>
          <w:b/>
          <w:i/>
          <w:iCs/>
          <w:sz w:val="24"/>
          <w:szCs w:val="24"/>
        </w:rPr>
        <w:t>fair clause for posted people</w:t>
      </w:r>
    </w:p>
    <w:p w14:paraId="2E5452A2" w14:textId="6E804301" w:rsidR="00E82D23" w:rsidRPr="00264F34" w:rsidRDefault="00E82D23" w:rsidP="00E82D23">
      <w:pPr>
        <w:rPr>
          <w:rFonts w:ascii="Arial" w:eastAsiaTheme="majorEastAsia" w:hAnsi="Arial" w:cs="Arial"/>
          <w:bCs/>
          <w:i/>
          <w:iCs/>
          <w:sz w:val="24"/>
          <w:szCs w:val="24"/>
        </w:rPr>
      </w:pPr>
      <w:r w:rsidRPr="00264F34">
        <w:rPr>
          <w:rFonts w:ascii="Arial" w:eastAsiaTheme="majorEastAsia" w:hAnsi="Arial" w:cs="Arial"/>
          <w:bCs/>
          <w:sz w:val="24"/>
          <w:szCs w:val="24"/>
        </w:rPr>
        <w:t xml:space="preserve">This is a consequential amendment </w:t>
      </w:r>
      <w:r w:rsidR="00B16DF8">
        <w:rPr>
          <w:rFonts w:ascii="Arial" w:eastAsiaTheme="majorEastAsia" w:hAnsi="Arial" w:cs="Arial"/>
          <w:bCs/>
          <w:sz w:val="24"/>
          <w:szCs w:val="24"/>
        </w:rPr>
        <w:t xml:space="preserve">to the new definition of </w:t>
      </w:r>
      <w:r w:rsidR="00B16DF8">
        <w:rPr>
          <w:rFonts w:ascii="Arial" w:eastAsiaTheme="majorEastAsia" w:hAnsi="Arial" w:cs="Arial"/>
          <w:bCs/>
          <w:i/>
          <w:iCs/>
          <w:sz w:val="24"/>
          <w:szCs w:val="24"/>
        </w:rPr>
        <w:t xml:space="preserve">posting termination clause </w:t>
      </w:r>
      <w:r w:rsidR="00B16DF8">
        <w:rPr>
          <w:rFonts w:ascii="Arial" w:eastAsiaTheme="majorEastAsia" w:hAnsi="Arial" w:cs="Arial"/>
          <w:bCs/>
          <w:sz w:val="24"/>
          <w:szCs w:val="24"/>
        </w:rPr>
        <w:t xml:space="preserve">in new schedule </w:t>
      </w:r>
      <w:r w:rsidR="00E74DBD">
        <w:rPr>
          <w:rFonts w:ascii="Arial" w:eastAsiaTheme="majorEastAsia" w:hAnsi="Arial" w:cs="Arial"/>
          <w:bCs/>
          <w:sz w:val="24"/>
          <w:szCs w:val="24"/>
        </w:rPr>
        <w:t xml:space="preserve">2, 2.2 </w:t>
      </w:r>
      <w:r w:rsidR="00B16DF8">
        <w:rPr>
          <w:rFonts w:ascii="Arial" w:eastAsiaTheme="majorEastAsia" w:hAnsi="Arial" w:cs="Arial"/>
          <w:bCs/>
          <w:sz w:val="24"/>
          <w:szCs w:val="24"/>
        </w:rPr>
        <w:t xml:space="preserve">introduced by </w:t>
      </w:r>
      <w:r w:rsidR="00B16DF8" w:rsidRPr="005A14D5">
        <w:rPr>
          <w:rFonts w:ascii="Arial" w:eastAsiaTheme="majorEastAsia" w:hAnsi="Arial" w:cs="Arial"/>
          <w:bCs/>
          <w:sz w:val="24"/>
          <w:szCs w:val="24"/>
        </w:rPr>
        <w:t xml:space="preserve">clause </w:t>
      </w:r>
      <w:r w:rsidR="00E74DBD" w:rsidRPr="005A14D5">
        <w:rPr>
          <w:rFonts w:ascii="Arial" w:eastAsiaTheme="majorEastAsia" w:hAnsi="Arial" w:cs="Arial"/>
          <w:bCs/>
          <w:sz w:val="24"/>
          <w:szCs w:val="24"/>
        </w:rPr>
        <w:t>45</w:t>
      </w:r>
      <w:r w:rsidR="00E74DBD">
        <w:rPr>
          <w:rFonts w:ascii="Arial" w:eastAsiaTheme="majorEastAsia" w:hAnsi="Arial" w:cs="Arial"/>
          <w:bCs/>
          <w:sz w:val="24"/>
          <w:szCs w:val="24"/>
        </w:rPr>
        <w:t xml:space="preserve"> </w:t>
      </w:r>
      <w:r w:rsidR="00B16DF8">
        <w:rPr>
          <w:rFonts w:ascii="Arial" w:eastAsiaTheme="majorEastAsia" w:hAnsi="Arial" w:cs="Arial"/>
          <w:bCs/>
          <w:sz w:val="24"/>
          <w:szCs w:val="24"/>
        </w:rPr>
        <w:t>below</w:t>
      </w:r>
      <w:r w:rsidRPr="00976B1D">
        <w:rPr>
          <w:rFonts w:ascii="Arial" w:eastAsiaTheme="majorEastAsia" w:hAnsi="Arial" w:cs="Arial"/>
          <w:bCs/>
          <w:sz w:val="24"/>
          <w:szCs w:val="24"/>
        </w:rPr>
        <w:t>.</w:t>
      </w:r>
      <w:r w:rsidRPr="00264F34">
        <w:rPr>
          <w:rFonts w:ascii="Arial" w:eastAsiaTheme="majorEastAsia" w:hAnsi="Arial" w:cs="Arial"/>
          <w:bCs/>
          <w:sz w:val="24"/>
          <w:szCs w:val="24"/>
        </w:rPr>
        <w:t xml:space="preserve"> It substitutes the definition of </w:t>
      </w:r>
      <w:r w:rsidRPr="00264F34">
        <w:rPr>
          <w:rFonts w:ascii="Arial" w:eastAsiaTheme="majorEastAsia" w:hAnsi="Arial" w:cs="Arial"/>
          <w:b/>
          <w:i/>
          <w:iCs/>
          <w:sz w:val="24"/>
          <w:szCs w:val="24"/>
        </w:rPr>
        <w:t xml:space="preserve">fair clause for posted people </w:t>
      </w:r>
      <w:r w:rsidRPr="00264F34">
        <w:rPr>
          <w:rFonts w:ascii="Arial" w:eastAsiaTheme="majorEastAsia" w:hAnsi="Arial" w:cs="Arial"/>
          <w:bCs/>
          <w:sz w:val="24"/>
          <w:szCs w:val="24"/>
        </w:rPr>
        <w:t xml:space="preserve">and introduces a new definition for the term </w:t>
      </w:r>
      <w:r w:rsidRPr="00264F34">
        <w:rPr>
          <w:rFonts w:ascii="Arial" w:eastAsiaTheme="majorEastAsia" w:hAnsi="Arial" w:cs="Arial"/>
          <w:b/>
          <w:i/>
          <w:iCs/>
          <w:sz w:val="24"/>
          <w:szCs w:val="24"/>
        </w:rPr>
        <w:t>posting termination clause</w:t>
      </w:r>
      <w:r w:rsidRPr="00264F34">
        <w:rPr>
          <w:rFonts w:ascii="Arial" w:eastAsiaTheme="majorEastAsia" w:hAnsi="Arial" w:cs="Arial"/>
          <w:bCs/>
          <w:i/>
          <w:iCs/>
          <w:sz w:val="24"/>
          <w:szCs w:val="24"/>
        </w:rPr>
        <w:t>.</w:t>
      </w:r>
    </w:p>
    <w:p w14:paraId="75D6C0CC" w14:textId="62FE9053" w:rsidR="00E82D23" w:rsidRPr="00264F34" w:rsidRDefault="00E82D23" w:rsidP="004D02EF">
      <w:pPr>
        <w:rPr>
          <w:rFonts w:ascii="Arial" w:eastAsiaTheme="majorEastAsia" w:hAnsi="Arial" w:cs="Arial"/>
          <w:bCs/>
          <w:sz w:val="24"/>
          <w:szCs w:val="24"/>
        </w:rPr>
      </w:pPr>
      <w:r w:rsidRPr="00264F34">
        <w:rPr>
          <w:rFonts w:ascii="Arial" w:eastAsiaTheme="majorEastAsia" w:hAnsi="Arial" w:cs="Arial"/>
          <w:bCs/>
          <w:sz w:val="24"/>
          <w:szCs w:val="24"/>
        </w:rPr>
        <w:t xml:space="preserve">A </w:t>
      </w:r>
      <w:r w:rsidRPr="00264F34">
        <w:rPr>
          <w:rFonts w:ascii="Arial" w:eastAsiaTheme="majorEastAsia" w:hAnsi="Arial" w:cs="Arial"/>
          <w:b/>
          <w:i/>
          <w:iCs/>
          <w:sz w:val="24"/>
          <w:szCs w:val="24"/>
        </w:rPr>
        <w:t xml:space="preserve">posting termination clause </w:t>
      </w:r>
      <w:r w:rsidRPr="00264F34">
        <w:rPr>
          <w:rFonts w:ascii="Arial" w:eastAsiaTheme="majorEastAsia" w:hAnsi="Arial" w:cs="Arial"/>
          <w:bCs/>
          <w:sz w:val="24"/>
          <w:szCs w:val="24"/>
        </w:rPr>
        <w:t>is defined in reference to schedule 2, section 2.</w:t>
      </w:r>
      <w:r w:rsidR="00F4356D">
        <w:rPr>
          <w:rFonts w:ascii="Arial" w:eastAsiaTheme="majorEastAsia" w:hAnsi="Arial" w:cs="Arial"/>
          <w:bCs/>
          <w:sz w:val="24"/>
          <w:szCs w:val="24"/>
        </w:rPr>
        <w:t>3</w:t>
      </w:r>
      <w:r w:rsidRPr="00264F34">
        <w:rPr>
          <w:rFonts w:ascii="Arial" w:eastAsiaTheme="majorEastAsia" w:hAnsi="Arial" w:cs="Arial"/>
          <w:bCs/>
          <w:sz w:val="24"/>
          <w:szCs w:val="24"/>
        </w:rPr>
        <w:t>.</w:t>
      </w:r>
    </w:p>
    <w:p w14:paraId="682B7D1E" w14:textId="41A54AB9" w:rsidR="00E82D23" w:rsidRPr="00264F34" w:rsidRDefault="00E82D23" w:rsidP="00143AD1">
      <w:pPr>
        <w:keepNext/>
        <w:ind w:left="1440" w:hanging="1440"/>
        <w:rPr>
          <w:rFonts w:ascii="Arial" w:eastAsiaTheme="majorEastAsia" w:hAnsi="Arial" w:cs="Arial"/>
          <w:b/>
          <w:sz w:val="24"/>
          <w:szCs w:val="24"/>
        </w:rPr>
      </w:pPr>
      <w:r w:rsidRPr="00512718">
        <w:rPr>
          <w:rFonts w:ascii="Arial" w:eastAsiaTheme="majorEastAsia" w:hAnsi="Arial" w:cs="Arial"/>
          <w:b/>
          <w:sz w:val="24"/>
          <w:szCs w:val="24"/>
        </w:rPr>
        <w:lastRenderedPageBreak/>
        <w:t xml:space="preserve">Clause </w:t>
      </w:r>
      <w:r w:rsidR="00B16DF8">
        <w:rPr>
          <w:rFonts w:ascii="Arial" w:eastAsiaTheme="majorEastAsia" w:hAnsi="Arial" w:cs="Arial"/>
          <w:b/>
          <w:sz w:val="24"/>
          <w:szCs w:val="24"/>
        </w:rPr>
        <w:t>18</w:t>
      </w:r>
      <w:r w:rsidRPr="00512718">
        <w:rPr>
          <w:rFonts w:ascii="Arial" w:eastAsiaTheme="majorEastAsia" w:hAnsi="Arial" w:cs="Arial"/>
          <w:b/>
          <w:sz w:val="24"/>
          <w:szCs w:val="24"/>
        </w:rPr>
        <w:tab/>
        <w:t>New section 45A</w:t>
      </w:r>
    </w:p>
    <w:p w14:paraId="3DED23F6" w14:textId="04811E79" w:rsidR="00E76BE3" w:rsidRDefault="00512718" w:rsidP="00227DB8">
      <w:pPr>
        <w:rPr>
          <w:rFonts w:ascii="Arial" w:hAnsi="Arial" w:cs="Arial"/>
          <w:sz w:val="24"/>
          <w:szCs w:val="24"/>
        </w:rPr>
      </w:pPr>
      <w:r>
        <w:rPr>
          <w:rFonts w:ascii="Arial" w:hAnsi="Arial" w:cs="Arial"/>
          <w:sz w:val="24"/>
          <w:szCs w:val="24"/>
        </w:rPr>
        <w:t>This clause inserts new section 45A.</w:t>
      </w:r>
      <w:r w:rsidR="00976B1D">
        <w:rPr>
          <w:rFonts w:ascii="Arial" w:hAnsi="Arial" w:cs="Arial"/>
          <w:sz w:val="24"/>
          <w:szCs w:val="24"/>
        </w:rPr>
        <w:t xml:space="preserve"> </w:t>
      </w:r>
      <w:r w:rsidR="00790D07" w:rsidRPr="00264F34">
        <w:rPr>
          <w:rFonts w:ascii="Arial" w:hAnsi="Arial" w:cs="Arial"/>
          <w:sz w:val="24"/>
          <w:szCs w:val="24"/>
        </w:rPr>
        <w:t>New</w:t>
      </w:r>
      <w:r w:rsidR="00E76BE3" w:rsidRPr="00264F34">
        <w:rPr>
          <w:rFonts w:ascii="Arial" w:hAnsi="Arial" w:cs="Arial"/>
          <w:sz w:val="24"/>
          <w:szCs w:val="24"/>
        </w:rPr>
        <w:t xml:space="preserve"> section 45A</w:t>
      </w:r>
      <w:r w:rsidR="00790D07" w:rsidRPr="00264F34">
        <w:rPr>
          <w:rFonts w:ascii="Arial" w:hAnsi="Arial" w:cs="Arial"/>
          <w:sz w:val="24"/>
          <w:szCs w:val="24"/>
        </w:rPr>
        <w:t xml:space="preserve"> </w:t>
      </w:r>
      <w:r w:rsidR="00E76BE3" w:rsidRPr="00264F34">
        <w:rPr>
          <w:rFonts w:ascii="Arial" w:hAnsi="Arial" w:cs="Arial"/>
          <w:sz w:val="24"/>
          <w:szCs w:val="24"/>
        </w:rPr>
        <w:t>provides that</w:t>
      </w:r>
      <w:r w:rsidR="005C1177">
        <w:rPr>
          <w:rFonts w:ascii="Arial" w:hAnsi="Arial" w:cs="Arial"/>
          <w:sz w:val="24"/>
          <w:szCs w:val="24"/>
        </w:rPr>
        <w:t xml:space="preserve"> on application by the tenant,</w:t>
      </w:r>
      <w:r w:rsidR="00E76BE3" w:rsidRPr="00264F34">
        <w:rPr>
          <w:rFonts w:ascii="Arial" w:hAnsi="Arial" w:cs="Arial"/>
          <w:sz w:val="24"/>
          <w:szCs w:val="24"/>
        </w:rPr>
        <w:t xml:space="preserve"> </w:t>
      </w:r>
      <w:r w:rsidR="00EA5CDB" w:rsidRPr="00264F34">
        <w:rPr>
          <w:rFonts w:ascii="Arial" w:hAnsi="Arial" w:cs="Arial"/>
          <w:sz w:val="24"/>
          <w:szCs w:val="24"/>
        </w:rPr>
        <w:t xml:space="preserve">if </w:t>
      </w:r>
      <w:r w:rsidR="00DA32DF">
        <w:rPr>
          <w:rFonts w:ascii="Arial" w:hAnsi="Arial" w:cs="Arial"/>
          <w:sz w:val="24"/>
          <w:szCs w:val="24"/>
        </w:rPr>
        <w:t>ACAT</w:t>
      </w:r>
      <w:r w:rsidR="00E76BE3" w:rsidRPr="00264F34">
        <w:rPr>
          <w:rFonts w:ascii="Arial" w:hAnsi="Arial" w:cs="Arial"/>
          <w:sz w:val="24"/>
          <w:szCs w:val="24"/>
        </w:rPr>
        <w:t xml:space="preserve"> </w:t>
      </w:r>
      <w:r w:rsidR="00EA5CDB" w:rsidRPr="00264F34">
        <w:rPr>
          <w:rFonts w:ascii="Arial" w:hAnsi="Arial" w:cs="Arial"/>
          <w:sz w:val="24"/>
          <w:szCs w:val="24"/>
        </w:rPr>
        <w:t>is satisfied that it is appropriate, it is empowered to make a</w:t>
      </w:r>
      <w:r w:rsidR="00E76BE3" w:rsidRPr="00264F34">
        <w:rPr>
          <w:rFonts w:ascii="Arial" w:hAnsi="Arial" w:cs="Arial"/>
          <w:sz w:val="24"/>
          <w:szCs w:val="24"/>
        </w:rPr>
        <w:t xml:space="preserve"> </w:t>
      </w:r>
      <w:r w:rsidR="00E76BE3" w:rsidRPr="009D65D8">
        <w:rPr>
          <w:rFonts w:ascii="Arial" w:hAnsi="Arial" w:cs="Arial"/>
          <w:sz w:val="24"/>
          <w:szCs w:val="24"/>
        </w:rPr>
        <w:t>TPO</w:t>
      </w:r>
      <w:r w:rsidR="00E76BE3" w:rsidRPr="00264F34">
        <w:rPr>
          <w:rFonts w:ascii="Arial" w:hAnsi="Arial" w:cs="Arial"/>
          <w:sz w:val="24"/>
          <w:szCs w:val="24"/>
        </w:rPr>
        <w:t xml:space="preserve"> if </w:t>
      </w:r>
      <w:r w:rsidR="00790D07" w:rsidRPr="00264F34">
        <w:rPr>
          <w:rFonts w:ascii="Arial" w:hAnsi="Arial" w:cs="Arial"/>
          <w:sz w:val="24"/>
          <w:szCs w:val="24"/>
        </w:rPr>
        <w:t>a</w:t>
      </w:r>
      <w:r w:rsidR="00E76BE3" w:rsidRPr="00264F34">
        <w:rPr>
          <w:rFonts w:ascii="Arial" w:hAnsi="Arial" w:cs="Arial"/>
          <w:sz w:val="24"/>
          <w:szCs w:val="24"/>
        </w:rPr>
        <w:t xml:space="preserve"> </w:t>
      </w:r>
      <w:r w:rsidR="000272B2" w:rsidRPr="00264F34">
        <w:rPr>
          <w:rFonts w:ascii="Arial" w:hAnsi="Arial" w:cs="Arial"/>
          <w:sz w:val="24"/>
          <w:szCs w:val="24"/>
        </w:rPr>
        <w:t>lessor</w:t>
      </w:r>
      <w:r w:rsidR="00E76BE3" w:rsidRPr="00264F34">
        <w:rPr>
          <w:rFonts w:ascii="Arial" w:hAnsi="Arial" w:cs="Arial"/>
          <w:sz w:val="24"/>
          <w:szCs w:val="24"/>
        </w:rPr>
        <w:t xml:space="preserve"> </w:t>
      </w:r>
      <w:r w:rsidR="0055013A">
        <w:rPr>
          <w:rFonts w:ascii="Arial" w:hAnsi="Arial" w:cs="Arial"/>
          <w:sz w:val="24"/>
          <w:szCs w:val="24"/>
        </w:rPr>
        <w:t>has engaged</w:t>
      </w:r>
      <w:r w:rsidR="0055013A" w:rsidRPr="00264F34">
        <w:rPr>
          <w:rFonts w:ascii="Arial" w:hAnsi="Arial" w:cs="Arial"/>
          <w:sz w:val="24"/>
          <w:szCs w:val="24"/>
        </w:rPr>
        <w:t xml:space="preserve"> </w:t>
      </w:r>
      <w:r w:rsidR="00E76BE3" w:rsidRPr="00264F34">
        <w:rPr>
          <w:rFonts w:ascii="Arial" w:hAnsi="Arial" w:cs="Arial"/>
          <w:sz w:val="24"/>
          <w:szCs w:val="24"/>
        </w:rPr>
        <w:t>in threatening, harassing, intimidating or abusi</w:t>
      </w:r>
      <w:r w:rsidR="005C1177">
        <w:rPr>
          <w:rFonts w:ascii="Arial" w:hAnsi="Arial" w:cs="Arial"/>
          <w:sz w:val="24"/>
          <w:szCs w:val="24"/>
        </w:rPr>
        <w:t>ve</w:t>
      </w:r>
      <w:r w:rsidR="00E76BE3" w:rsidRPr="00264F34">
        <w:rPr>
          <w:rFonts w:ascii="Arial" w:hAnsi="Arial" w:cs="Arial"/>
          <w:sz w:val="24"/>
          <w:szCs w:val="24"/>
        </w:rPr>
        <w:t xml:space="preserve"> behaviour</w:t>
      </w:r>
      <w:r w:rsidR="00790D07" w:rsidRPr="00264F34">
        <w:rPr>
          <w:rFonts w:ascii="Arial" w:hAnsi="Arial" w:cs="Arial"/>
          <w:sz w:val="24"/>
          <w:szCs w:val="24"/>
        </w:rPr>
        <w:t xml:space="preserve"> towards a tenant</w:t>
      </w:r>
      <w:r w:rsidR="0055013A">
        <w:rPr>
          <w:rFonts w:ascii="Arial" w:hAnsi="Arial" w:cs="Arial"/>
          <w:sz w:val="24"/>
          <w:szCs w:val="24"/>
        </w:rPr>
        <w:t xml:space="preserve"> or a related person</w:t>
      </w:r>
      <w:r w:rsidR="004E06EA">
        <w:rPr>
          <w:rFonts w:ascii="Arial" w:hAnsi="Arial" w:cs="Arial"/>
          <w:sz w:val="24"/>
          <w:szCs w:val="24"/>
        </w:rPr>
        <w:t>, or has permitted another person to behave in this way</w:t>
      </w:r>
      <w:r w:rsidR="00E76BE3" w:rsidRPr="00264F34">
        <w:rPr>
          <w:rFonts w:ascii="Arial" w:hAnsi="Arial" w:cs="Arial"/>
          <w:sz w:val="24"/>
          <w:szCs w:val="24"/>
        </w:rPr>
        <w:t>.</w:t>
      </w:r>
      <w:r w:rsidR="005C1177">
        <w:rPr>
          <w:rFonts w:ascii="Arial" w:hAnsi="Arial" w:cs="Arial"/>
          <w:sz w:val="24"/>
          <w:szCs w:val="24"/>
        </w:rPr>
        <w:t xml:space="preserve"> This includes conduct that the tenant or a related person is </w:t>
      </w:r>
      <w:r w:rsidR="006D2698">
        <w:rPr>
          <w:rFonts w:ascii="Arial" w:hAnsi="Arial" w:cs="Arial"/>
          <w:i/>
          <w:iCs/>
          <w:sz w:val="24"/>
          <w:szCs w:val="24"/>
        </w:rPr>
        <w:t xml:space="preserve">reasonably </w:t>
      </w:r>
      <w:r w:rsidR="005C1177" w:rsidRPr="00480D5F">
        <w:rPr>
          <w:rFonts w:ascii="Arial" w:hAnsi="Arial" w:cs="Arial"/>
          <w:i/>
          <w:iCs/>
          <w:sz w:val="24"/>
          <w:szCs w:val="24"/>
        </w:rPr>
        <w:t>likely</w:t>
      </w:r>
      <w:r w:rsidR="005C1177">
        <w:rPr>
          <w:rFonts w:ascii="Arial" w:hAnsi="Arial" w:cs="Arial"/>
          <w:sz w:val="24"/>
          <w:szCs w:val="24"/>
        </w:rPr>
        <w:t xml:space="preserve"> to find threatening, intimidating, harassing or abusive.</w:t>
      </w:r>
      <w:r w:rsidR="0029730C">
        <w:rPr>
          <w:rFonts w:ascii="Arial" w:hAnsi="Arial" w:cs="Arial"/>
          <w:sz w:val="24"/>
          <w:szCs w:val="24"/>
        </w:rPr>
        <w:t xml:space="preserve"> </w:t>
      </w:r>
    </w:p>
    <w:p w14:paraId="000967EE" w14:textId="40DB28B3" w:rsidR="0055013A" w:rsidRDefault="0055013A" w:rsidP="00227DB8">
      <w:pPr>
        <w:rPr>
          <w:rFonts w:ascii="Arial" w:hAnsi="Arial" w:cs="Arial"/>
          <w:sz w:val="24"/>
          <w:szCs w:val="24"/>
        </w:rPr>
      </w:pPr>
      <w:r>
        <w:rPr>
          <w:rFonts w:ascii="Arial" w:hAnsi="Arial" w:cs="Arial"/>
          <w:sz w:val="24"/>
          <w:szCs w:val="24"/>
        </w:rPr>
        <w:t>This provision further clarifies that the ACAT may also make any other order it considers appropriate in the circumstances.</w:t>
      </w:r>
    </w:p>
    <w:p w14:paraId="51528BD2" w14:textId="453F410E" w:rsidR="00172D9E" w:rsidRPr="00264F34" w:rsidRDefault="00227DB8" w:rsidP="00227DB8">
      <w:pPr>
        <w:rPr>
          <w:rFonts w:ascii="Arial" w:hAnsi="Arial" w:cs="Arial"/>
          <w:sz w:val="24"/>
          <w:szCs w:val="24"/>
        </w:rPr>
      </w:pPr>
      <w:r w:rsidRPr="00264F34">
        <w:rPr>
          <w:rFonts w:ascii="Arial" w:hAnsi="Arial" w:cs="Arial"/>
          <w:sz w:val="24"/>
          <w:szCs w:val="24"/>
        </w:rPr>
        <w:t>Currently</w:t>
      </w:r>
      <w:r w:rsidR="00172D9E" w:rsidRPr="0048099F">
        <w:rPr>
          <w:rFonts w:ascii="Arial" w:hAnsi="Arial" w:cs="Arial"/>
          <w:sz w:val="24"/>
          <w:szCs w:val="24"/>
        </w:rPr>
        <w:t xml:space="preserve">, a </w:t>
      </w:r>
      <w:r w:rsidR="000272B2" w:rsidRPr="00264F34">
        <w:rPr>
          <w:rFonts w:ascii="Arial" w:hAnsi="Arial" w:cs="Arial"/>
          <w:sz w:val="24"/>
          <w:szCs w:val="24"/>
        </w:rPr>
        <w:t>tenant</w:t>
      </w:r>
      <w:r w:rsidR="00172D9E" w:rsidRPr="0048099F">
        <w:rPr>
          <w:rFonts w:ascii="Arial" w:hAnsi="Arial" w:cs="Arial"/>
          <w:sz w:val="24"/>
          <w:szCs w:val="24"/>
        </w:rPr>
        <w:t xml:space="preserve"> </w:t>
      </w:r>
      <w:r w:rsidRPr="00264F34">
        <w:rPr>
          <w:rFonts w:ascii="Arial" w:hAnsi="Arial" w:cs="Arial"/>
          <w:sz w:val="24"/>
          <w:szCs w:val="24"/>
        </w:rPr>
        <w:t xml:space="preserve">may </w:t>
      </w:r>
      <w:r w:rsidR="00172D9E" w:rsidRPr="0048099F">
        <w:rPr>
          <w:rFonts w:ascii="Arial" w:hAnsi="Arial" w:cs="Arial"/>
          <w:sz w:val="24"/>
          <w:szCs w:val="24"/>
        </w:rPr>
        <w:t xml:space="preserve">apply to </w:t>
      </w:r>
      <w:r w:rsidR="00DA32DF">
        <w:rPr>
          <w:rFonts w:ascii="Arial" w:hAnsi="Arial" w:cs="Arial"/>
          <w:sz w:val="24"/>
          <w:szCs w:val="24"/>
        </w:rPr>
        <w:t>ACAT</w:t>
      </w:r>
      <w:r w:rsidRPr="00264F34">
        <w:rPr>
          <w:rFonts w:ascii="Arial" w:hAnsi="Arial" w:cs="Arial"/>
          <w:sz w:val="24"/>
          <w:szCs w:val="24"/>
        </w:rPr>
        <w:t xml:space="preserve"> under section </w:t>
      </w:r>
      <w:r w:rsidR="000272B2" w:rsidRPr="00264F34">
        <w:rPr>
          <w:rFonts w:ascii="Arial" w:hAnsi="Arial" w:cs="Arial"/>
          <w:sz w:val="24"/>
          <w:szCs w:val="24"/>
        </w:rPr>
        <w:t>45</w:t>
      </w:r>
      <w:r w:rsidR="00172D9E" w:rsidRPr="0048099F">
        <w:rPr>
          <w:rFonts w:ascii="Arial" w:hAnsi="Arial" w:cs="Arial"/>
          <w:sz w:val="24"/>
          <w:szCs w:val="24"/>
        </w:rPr>
        <w:t xml:space="preserve"> </w:t>
      </w:r>
      <w:r w:rsidRPr="00264F34">
        <w:rPr>
          <w:rFonts w:ascii="Arial" w:hAnsi="Arial" w:cs="Arial"/>
          <w:sz w:val="24"/>
          <w:szCs w:val="24"/>
        </w:rPr>
        <w:t xml:space="preserve">for the immediate termination of a </w:t>
      </w:r>
      <w:r w:rsidR="006D2698" w:rsidRPr="00264F34">
        <w:rPr>
          <w:rFonts w:ascii="Arial" w:hAnsi="Arial" w:cs="Arial"/>
          <w:sz w:val="24"/>
          <w:szCs w:val="24"/>
        </w:rPr>
        <w:t>tenancy if</w:t>
      </w:r>
      <w:r w:rsidRPr="00264F34">
        <w:rPr>
          <w:rFonts w:ascii="Arial" w:hAnsi="Arial" w:cs="Arial"/>
          <w:sz w:val="24"/>
          <w:szCs w:val="24"/>
        </w:rPr>
        <w:t xml:space="preserve"> the lessor has</w:t>
      </w:r>
      <w:r w:rsidR="009A51B0">
        <w:rPr>
          <w:rFonts w:ascii="Arial" w:hAnsi="Arial" w:cs="Arial"/>
          <w:sz w:val="24"/>
          <w:szCs w:val="24"/>
        </w:rPr>
        <w:t xml:space="preserve"> caused</w:t>
      </w:r>
      <w:r w:rsidR="006D2698">
        <w:rPr>
          <w:rFonts w:ascii="Arial" w:hAnsi="Arial" w:cs="Arial"/>
          <w:sz w:val="24"/>
          <w:szCs w:val="24"/>
        </w:rPr>
        <w:t>,</w:t>
      </w:r>
      <w:r w:rsidRPr="00264F34">
        <w:rPr>
          <w:rFonts w:ascii="Arial" w:hAnsi="Arial" w:cs="Arial"/>
          <w:sz w:val="24"/>
          <w:szCs w:val="24"/>
        </w:rPr>
        <w:t xml:space="preserve"> or is likely to cause</w:t>
      </w:r>
      <w:r w:rsidR="006D2698">
        <w:rPr>
          <w:rFonts w:ascii="Arial" w:hAnsi="Arial" w:cs="Arial"/>
          <w:sz w:val="24"/>
          <w:szCs w:val="24"/>
        </w:rPr>
        <w:t>,</w:t>
      </w:r>
      <w:r w:rsidR="005C1177">
        <w:rPr>
          <w:rFonts w:ascii="Arial" w:hAnsi="Arial" w:cs="Arial"/>
          <w:sz w:val="24"/>
          <w:szCs w:val="24"/>
        </w:rPr>
        <w:t xml:space="preserve"> either </w:t>
      </w:r>
      <w:r w:rsidRPr="00264F34">
        <w:rPr>
          <w:rFonts w:ascii="Arial" w:hAnsi="Arial" w:cs="Arial"/>
          <w:sz w:val="24"/>
          <w:szCs w:val="24"/>
        </w:rPr>
        <w:t>serious danger to the premises or injury to</w:t>
      </w:r>
      <w:r w:rsidR="00172D9E" w:rsidRPr="0048099F">
        <w:rPr>
          <w:rFonts w:ascii="Arial" w:hAnsi="Arial" w:cs="Arial"/>
          <w:sz w:val="24"/>
          <w:szCs w:val="24"/>
        </w:rPr>
        <w:t xml:space="preserve"> </w:t>
      </w:r>
      <w:r w:rsidRPr="00264F34">
        <w:rPr>
          <w:rFonts w:ascii="Arial" w:hAnsi="Arial" w:cs="Arial"/>
          <w:sz w:val="24"/>
          <w:szCs w:val="24"/>
        </w:rPr>
        <w:t xml:space="preserve">the tenant or their family. </w:t>
      </w:r>
    </w:p>
    <w:p w14:paraId="23DEC839" w14:textId="2EF1C8F3" w:rsidR="00227DB8" w:rsidRPr="00264F34" w:rsidRDefault="00227DB8" w:rsidP="00227DB8">
      <w:pPr>
        <w:rPr>
          <w:rFonts w:ascii="Arial" w:hAnsi="Arial" w:cs="Arial"/>
          <w:sz w:val="24"/>
          <w:szCs w:val="24"/>
        </w:rPr>
      </w:pPr>
      <w:r w:rsidRPr="00264F34">
        <w:rPr>
          <w:rFonts w:ascii="Arial" w:hAnsi="Arial" w:cs="Arial"/>
          <w:sz w:val="24"/>
          <w:szCs w:val="24"/>
        </w:rPr>
        <w:t>Further to the above, the SRTTs create obligations for both a tenant and lessor. Specifically</w:t>
      </w:r>
      <w:r w:rsidR="00E76BE3" w:rsidRPr="00264F34">
        <w:rPr>
          <w:rFonts w:ascii="Arial" w:hAnsi="Arial" w:cs="Arial"/>
          <w:sz w:val="24"/>
          <w:szCs w:val="24"/>
        </w:rPr>
        <w:t>,</w:t>
      </w:r>
      <w:r w:rsidR="000272B2" w:rsidRPr="00264F34">
        <w:rPr>
          <w:rFonts w:ascii="Arial" w:hAnsi="Arial" w:cs="Arial"/>
          <w:sz w:val="24"/>
          <w:szCs w:val="24"/>
        </w:rPr>
        <w:t xml:space="preserve"> a lessor must not cause or permit any interference with the reasonable peace, comfort or privacy of the tenant</w:t>
      </w:r>
      <w:r w:rsidRPr="00264F34">
        <w:rPr>
          <w:rFonts w:ascii="Arial" w:hAnsi="Arial" w:cs="Arial"/>
          <w:sz w:val="24"/>
          <w:szCs w:val="24"/>
        </w:rPr>
        <w:t xml:space="preserve"> (</w:t>
      </w:r>
      <w:r w:rsidR="00B16DF8">
        <w:rPr>
          <w:rFonts w:ascii="Arial" w:hAnsi="Arial" w:cs="Arial"/>
          <w:sz w:val="24"/>
          <w:szCs w:val="24"/>
        </w:rPr>
        <w:t xml:space="preserve">SRTT </w:t>
      </w:r>
      <w:r w:rsidRPr="00F961B8">
        <w:rPr>
          <w:rFonts w:ascii="Arial" w:hAnsi="Arial" w:cs="Arial"/>
          <w:sz w:val="24"/>
          <w:szCs w:val="24"/>
        </w:rPr>
        <w:t>clause</w:t>
      </w:r>
      <w:r w:rsidR="000272B2" w:rsidRPr="00F961B8">
        <w:rPr>
          <w:rFonts w:ascii="Arial" w:hAnsi="Arial" w:cs="Arial"/>
          <w:sz w:val="24"/>
          <w:szCs w:val="24"/>
        </w:rPr>
        <w:t xml:space="preserve"> </w:t>
      </w:r>
      <w:r w:rsidRPr="00F961B8">
        <w:rPr>
          <w:rFonts w:ascii="Arial" w:hAnsi="Arial" w:cs="Arial"/>
          <w:sz w:val="24"/>
          <w:szCs w:val="24"/>
        </w:rPr>
        <w:t>70</w:t>
      </w:r>
      <w:r w:rsidRPr="00264F34">
        <w:rPr>
          <w:rFonts w:ascii="Arial" w:hAnsi="Arial" w:cs="Arial"/>
          <w:sz w:val="24"/>
          <w:szCs w:val="24"/>
        </w:rPr>
        <w:t>).</w:t>
      </w:r>
    </w:p>
    <w:p w14:paraId="048A3F8D" w14:textId="7842892E" w:rsidR="00227DB8" w:rsidRDefault="00227DB8" w:rsidP="00227DB8">
      <w:pPr>
        <w:rPr>
          <w:rFonts w:ascii="Arial" w:hAnsi="Arial" w:cs="Arial"/>
          <w:sz w:val="24"/>
          <w:szCs w:val="24"/>
        </w:rPr>
      </w:pPr>
      <w:r w:rsidRPr="00264F34">
        <w:rPr>
          <w:rFonts w:ascii="Arial" w:hAnsi="Arial" w:cs="Arial"/>
          <w:sz w:val="24"/>
          <w:szCs w:val="24"/>
        </w:rPr>
        <w:t>While behaviour that is threatening, harassing, abusi</w:t>
      </w:r>
      <w:r w:rsidR="006B0FC2">
        <w:rPr>
          <w:rFonts w:ascii="Arial" w:hAnsi="Arial" w:cs="Arial"/>
          <w:sz w:val="24"/>
          <w:szCs w:val="24"/>
        </w:rPr>
        <w:t>ve</w:t>
      </w:r>
      <w:r w:rsidRPr="00264F34">
        <w:rPr>
          <w:rFonts w:ascii="Arial" w:hAnsi="Arial" w:cs="Arial"/>
          <w:sz w:val="24"/>
          <w:szCs w:val="24"/>
        </w:rPr>
        <w:t xml:space="preserve"> or intimidating may fall within the scope of the above provisions, </w:t>
      </w:r>
      <w:r w:rsidR="00E76BE3" w:rsidRPr="00264F34">
        <w:rPr>
          <w:rFonts w:ascii="Arial" w:hAnsi="Arial" w:cs="Arial"/>
          <w:sz w:val="24"/>
          <w:szCs w:val="24"/>
        </w:rPr>
        <w:t>new section 45A is intended to ensure that terminations in such circumstances are accessible, expedient and not overly narrow in application (for example, not requiring a serious injury to have been suffered</w:t>
      </w:r>
      <w:r w:rsidR="006D2698">
        <w:rPr>
          <w:rFonts w:ascii="Arial" w:hAnsi="Arial" w:cs="Arial"/>
          <w:sz w:val="24"/>
          <w:szCs w:val="24"/>
        </w:rPr>
        <w:t xml:space="preserve"> before the tenant can make an application to ACAT</w:t>
      </w:r>
      <w:r w:rsidR="00E76BE3" w:rsidRPr="00264F34">
        <w:rPr>
          <w:rFonts w:ascii="Arial" w:hAnsi="Arial" w:cs="Arial"/>
          <w:sz w:val="24"/>
          <w:szCs w:val="24"/>
        </w:rPr>
        <w:t xml:space="preserve">). </w:t>
      </w:r>
    </w:p>
    <w:p w14:paraId="6760F662" w14:textId="4EC17F86" w:rsidR="008248A0" w:rsidRPr="00264F34" w:rsidRDefault="00B16DF8" w:rsidP="00227DB8">
      <w:pPr>
        <w:rPr>
          <w:rFonts w:ascii="Arial" w:hAnsi="Arial" w:cs="Arial"/>
          <w:sz w:val="24"/>
          <w:szCs w:val="24"/>
        </w:rPr>
      </w:pPr>
      <w:r>
        <w:rPr>
          <w:rFonts w:ascii="Arial" w:hAnsi="Arial" w:cs="Arial"/>
          <w:sz w:val="24"/>
          <w:szCs w:val="24"/>
        </w:rPr>
        <w:t>However, a</w:t>
      </w:r>
      <w:r w:rsidR="008248A0" w:rsidRPr="00480D5F">
        <w:rPr>
          <w:rFonts w:ascii="Arial" w:hAnsi="Arial" w:cs="Arial"/>
          <w:sz w:val="24"/>
          <w:szCs w:val="24"/>
        </w:rPr>
        <w:t xml:space="preserve">s a matter of procedural fairness, subsection </w:t>
      </w:r>
      <w:r w:rsidR="008248A0">
        <w:rPr>
          <w:rFonts w:ascii="Arial" w:hAnsi="Arial" w:cs="Arial"/>
          <w:sz w:val="24"/>
          <w:szCs w:val="24"/>
        </w:rPr>
        <w:t>45A</w:t>
      </w:r>
      <w:r w:rsidR="008248A0" w:rsidRPr="00480D5F">
        <w:rPr>
          <w:rFonts w:ascii="Arial" w:hAnsi="Arial" w:cs="Arial"/>
          <w:sz w:val="24"/>
          <w:szCs w:val="24"/>
        </w:rPr>
        <w:t xml:space="preserve"> (</w:t>
      </w:r>
      <w:r w:rsidR="006D2698">
        <w:rPr>
          <w:rFonts w:ascii="Arial" w:hAnsi="Arial" w:cs="Arial"/>
          <w:sz w:val="24"/>
          <w:szCs w:val="24"/>
        </w:rPr>
        <w:t>3</w:t>
      </w:r>
      <w:r w:rsidR="008248A0" w:rsidRPr="00480D5F">
        <w:rPr>
          <w:rFonts w:ascii="Arial" w:hAnsi="Arial" w:cs="Arial"/>
          <w:sz w:val="24"/>
          <w:szCs w:val="24"/>
        </w:rPr>
        <w:t xml:space="preserve">) requires that the tenant </w:t>
      </w:r>
      <w:r w:rsidR="0055013A">
        <w:rPr>
          <w:rFonts w:ascii="Arial" w:hAnsi="Arial" w:cs="Arial"/>
          <w:sz w:val="24"/>
          <w:szCs w:val="24"/>
        </w:rPr>
        <w:t>provide the lessor with written notice</w:t>
      </w:r>
      <w:r w:rsidR="006D2698">
        <w:rPr>
          <w:rFonts w:ascii="Arial" w:hAnsi="Arial" w:cs="Arial"/>
          <w:sz w:val="24"/>
          <w:szCs w:val="24"/>
        </w:rPr>
        <w:t xml:space="preserve"> that</w:t>
      </w:r>
      <w:r w:rsidR="0055013A">
        <w:rPr>
          <w:rFonts w:ascii="Arial" w:hAnsi="Arial" w:cs="Arial"/>
          <w:sz w:val="24"/>
          <w:szCs w:val="24"/>
        </w:rPr>
        <w:t xml:space="preserve"> detail</w:t>
      </w:r>
      <w:r w:rsidR="006D2698">
        <w:rPr>
          <w:rFonts w:ascii="Arial" w:hAnsi="Arial" w:cs="Arial"/>
          <w:sz w:val="24"/>
          <w:szCs w:val="24"/>
        </w:rPr>
        <w:t>s</w:t>
      </w:r>
      <w:r w:rsidR="0055013A">
        <w:rPr>
          <w:rFonts w:ascii="Arial" w:hAnsi="Arial" w:cs="Arial"/>
          <w:sz w:val="24"/>
          <w:szCs w:val="24"/>
        </w:rPr>
        <w:t xml:space="preserve"> the alleged conduct</w:t>
      </w:r>
      <w:r w:rsidR="008248A0" w:rsidRPr="00480D5F">
        <w:rPr>
          <w:rFonts w:ascii="Arial" w:hAnsi="Arial" w:cs="Arial"/>
          <w:sz w:val="24"/>
          <w:szCs w:val="24"/>
        </w:rPr>
        <w:t xml:space="preserve"> </w:t>
      </w:r>
      <w:r w:rsidR="000E1D83">
        <w:rPr>
          <w:rFonts w:ascii="Arial" w:hAnsi="Arial" w:cs="Arial"/>
          <w:sz w:val="24"/>
          <w:szCs w:val="24"/>
        </w:rPr>
        <w:t>not later than 1 week before applying to ACAT for an order</w:t>
      </w:r>
      <w:r w:rsidR="006D2698">
        <w:rPr>
          <w:rFonts w:ascii="Arial" w:hAnsi="Arial" w:cs="Arial"/>
          <w:sz w:val="24"/>
          <w:szCs w:val="24"/>
        </w:rPr>
        <w:t xml:space="preserve">. Under subsection 45A (4), </w:t>
      </w:r>
      <w:r w:rsidR="008248A0" w:rsidRPr="00480D5F">
        <w:rPr>
          <w:rFonts w:ascii="Arial" w:hAnsi="Arial" w:cs="Arial"/>
          <w:sz w:val="24"/>
          <w:szCs w:val="24"/>
        </w:rPr>
        <w:t xml:space="preserve">ACAT </w:t>
      </w:r>
      <w:r w:rsidR="006D2698">
        <w:rPr>
          <w:rFonts w:ascii="Arial" w:hAnsi="Arial" w:cs="Arial"/>
          <w:sz w:val="24"/>
          <w:szCs w:val="24"/>
        </w:rPr>
        <w:t>must</w:t>
      </w:r>
      <w:r w:rsidR="008248A0" w:rsidRPr="00480D5F">
        <w:rPr>
          <w:rFonts w:ascii="Arial" w:hAnsi="Arial" w:cs="Arial"/>
          <w:sz w:val="24"/>
          <w:szCs w:val="24"/>
        </w:rPr>
        <w:t xml:space="preserve"> not list the matter for hearing until</w:t>
      </w:r>
      <w:r w:rsidR="0055013A">
        <w:rPr>
          <w:rFonts w:ascii="Arial" w:hAnsi="Arial" w:cs="Arial"/>
          <w:sz w:val="24"/>
          <w:szCs w:val="24"/>
        </w:rPr>
        <w:t xml:space="preserve"> at least</w:t>
      </w:r>
      <w:r w:rsidR="008248A0" w:rsidRPr="00480D5F">
        <w:rPr>
          <w:rFonts w:ascii="Arial" w:hAnsi="Arial" w:cs="Arial"/>
          <w:sz w:val="24"/>
          <w:szCs w:val="24"/>
        </w:rPr>
        <w:t xml:space="preserve"> 14 days has passed since </w:t>
      </w:r>
      <w:r w:rsidR="0055013A">
        <w:rPr>
          <w:rFonts w:ascii="Arial" w:hAnsi="Arial" w:cs="Arial"/>
          <w:sz w:val="24"/>
          <w:szCs w:val="24"/>
        </w:rPr>
        <w:t>appropriate notice has been</w:t>
      </w:r>
      <w:r w:rsidR="008248A0" w:rsidRPr="00480D5F">
        <w:rPr>
          <w:rFonts w:ascii="Arial" w:hAnsi="Arial" w:cs="Arial"/>
          <w:sz w:val="24"/>
          <w:szCs w:val="24"/>
        </w:rPr>
        <w:t xml:space="preserve"> provided to the lessor. </w:t>
      </w:r>
    </w:p>
    <w:p w14:paraId="3EA30192" w14:textId="727B426D" w:rsidR="0055013A" w:rsidRDefault="000272B2" w:rsidP="00227DB8">
      <w:pPr>
        <w:rPr>
          <w:rFonts w:ascii="Arial" w:hAnsi="Arial" w:cs="Arial"/>
          <w:sz w:val="24"/>
          <w:szCs w:val="24"/>
        </w:rPr>
      </w:pPr>
      <w:r w:rsidRPr="00264F34">
        <w:rPr>
          <w:rFonts w:ascii="Arial" w:hAnsi="Arial" w:cs="Arial"/>
          <w:sz w:val="24"/>
          <w:szCs w:val="24"/>
        </w:rPr>
        <w:t xml:space="preserve">To ensure that this new protection for tenants is appropriately balanced, subsection </w:t>
      </w:r>
      <w:r w:rsidRPr="00480D5F">
        <w:rPr>
          <w:rFonts w:ascii="Arial" w:hAnsi="Arial" w:cs="Arial"/>
          <w:sz w:val="24"/>
          <w:szCs w:val="24"/>
        </w:rPr>
        <w:t>45A (</w:t>
      </w:r>
      <w:r w:rsidR="006D2698" w:rsidRPr="00480D5F">
        <w:rPr>
          <w:rFonts w:ascii="Arial" w:hAnsi="Arial" w:cs="Arial"/>
          <w:sz w:val="24"/>
          <w:szCs w:val="24"/>
        </w:rPr>
        <w:t>6</w:t>
      </w:r>
      <w:r w:rsidRPr="00480D5F">
        <w:rPr>
          <w:rFonts w:ascii="Arial" w:hAnsi="Arial" w:cs="Arial"/>
          <w:sz w:val="24"/>
          <w:szCs w:val="24"/>
        </w:rPr>
        <w:t>)</w:t>
      </w:r>
      <w:r w:rsidRPr="00264F34">
        <w:rPr>
          <w:rFonts w:ascii="Arial" w:hAnsi="Arial" w:cs="Arial"/>
          <w:sz w:val="24"/>
          <w:szCs w:val="24"/>
        </w:rPr>
        <w:t xml:space="preserve"> provides that </w:t>
      </w:r>
      <w:r w:rsidR="00A91473">
        <w:rPr>
          <w:rFonts w:ascii="Arial" w:hAnsi="Arial" w:cs="Arial"/>
          <w:sz w:val="24"/>
          <w:szCs w:val="24"/>
        </w:rPr>
        <w:t xml:space="preserve">when deciding whether it is appropriate </w:t>
      </w:r>
      <w:r w:rsidR="008248A0">
        <w:rPr>
          <w:rFonts w:ascii="Arial" w:hAnsi="Arial" w:cs="Arial"/>
          <w:sz w:val="24"/>
          <w:szCs w:val="24"/>
        </w:rPr>
        <w:t xml:space="preserve">to make a TPO, the </w:t>
      </w:r>
      <w:r w:rsidR="00DA32DF">
        <w:rPr>
          <w:rFonts w:ascii="Arial" w:hAnsi="Arial" w:cs="Arial"/>
          <w:sz w:val="24"/>
          <w:szCs w:val="24"/>
        </w:rPr>
        <w:t>ACAT</w:t>
      </w:r>
      <w:r w:rsidRPr="00264F34">
        <w:rPr>
          <w:rFonts w:ascii="Arial" w:hAnsi="Arial" w:cs="Arial"/>
          <w:sz w:val="24"/>
          <w:szCs w:val="24"/>
        </w:rPr>
        <w:t xml:space="preserve"> must consider the nature, frequency and duration of the conduct; the circumstances of the conduct, including any behaviour of the </w:t>
      </w:r>
      <w:r w:rsidR="00EA5CDB" w:rsidRPr="00264F34">
        <w:rPr>
          <w:rFonts w:ascii="Arial" w:hAnsi="Arial" w:cs="Arial"/>
          <w:sz w:val="24"/>
          <w:szCs w:val="24"/>
        </w:rPr>
        <w:t>tenant</w:t>
      </w:r>
      <w:r w:rsidRPr="00264F34">
        <w:rPr>
          <w:rFonts w:ascii="Arial" w:hAnsi="Arial" w:cs="Arial"/>
          <w:sz w:val="24"/>
          <w:szCs w:val="24"/>
        </w:rPr>
        <w:t xml:space="preserve"> or </w:t>
      </w:r>
      <w:r w:rsidR="00EA5CDB" w:rsidRPr="00264F34">
        <w:rPr>
          <w:rFonts w:ascii="Arial" w:hAnsi="Arial" w:cs="Arial"/>
          <w:sz w:val="24"/>
          <w:szCs w:val="24"/>
        </w:rPr>
        <w:t xml:space="preserve">a </w:t>
      </w:r>
      <w:r w:rsidRPr="00264F34">
        <w:rPr>
          <w:rFonts w:ascii="Arial" w:hAnsi="Arial" w:cs="Arial"/>
          <w:sz w:val="24"/>
          <w:szCs w:val="24"/>
        </w:rPr>
        <w:t xml:space="preserve">related person; </w:t>
      </w:r>
      <w:r w:rsidRPr="00F961B8">
        <w:rPr>
          <w:rFonts w:ascii="Arial" w:hAnsi="Arial" w:cs="Arial"/>
          <w:sz w:val="24"/>
          <w:szCs w:val="24"/>
        </w:rPr>
        <w:t xml:space="preserve">whether the conduct is likely to continue; whether the </w:t>
      </w:r>
      <w:r w:rsidR="0088335E" w:rsidRPr="00F961B8">
        <w:rPr>
          <w:rFonts w:ascii="Arial" w:hAnsi="Arial" w:cs="Arial"/>
          <w:sz w:val="24"/>
          <w:szCs w:val="24"/>
        </w:rPr>
        <w:t>lessor</w:t>
      </w:r>
      <w:r w:rsidRPr="00F961B8">
        <w:rPr>
          <w:rFonts w:ascii="Arial" w:hAnsi="Arial" w:cs="Arial"/>
          <w:sz w:val="24"/>
          <w:szCs w:val="24"/>
        </w:rPr>
        <w:t xml:space="preserve"> has</w:t>
      </w:r>
      <w:r w:rsidR="00F4356D" w:rsidRPr="00F961B8">
        <w:rPr>
          <w:rFonts w:ascii="Arial" w:hAnsi="Arial" w:cs="Arial"/>
          <w:sz w:val="24"/>
          <w:szCs w:val="24"/>
        </w:rPr>
        <w:t xml:space="preserve"> stopped</w:t>
      </w:r>
      <w:r w:rsidRPr="00F961B8">
        <w:rPr>
          <w:rFonts w:ascii="Arial" w:hAnsi="Arial" w:cs="Arial"/>
          <w:sz w:val="24"/>
          <w:szCs w:val="24"/>
        </w:rPr>
        <w:t xml:space="preserve">, or </w:t>
      </w:r>
      <w:r w:rsidR="0055013A">
        <w:rPr>
          <w:rFonts w:ascii="Arial" w:hAnsi="Arial" w:cs="Arial"/>
          <w:sz w:val="24"/>
          <w:szCs w:val="24"/>
        </w:rPr>
        <w:t>has agreed</w:t>
      </w:r>
      <w:r w:rsidRPr="00F961B8">
        <w:rPr>
          <w:rFonts w:ascii="Arial" w:hAnsi="Arial" w:cs="Arial"/>
          <w:sz w:val="24"/>
          <w:szCs w:val="24"/>
        </w:rPr>
        <w:t xml:space="preserve"> to </w:t>
      </w:r>
      <w:r w:rsidR="00F4356D" w:rsidRPr="00F961B8">
        <w:rPr>
          <w:rFonts w:ascii="Arial" w:hAnsi="Arial" w:cs="Arial"/>
          <w:sz w:val="24"/>
          <w:szCs w:val="24"/>
        </w:rPr>
        <w:t>stop</w:t>
      </w:r>
      <w:r w:rsidRPr="00F961B8">
        <w:rPr>
          <w:rFonts w:ascii="Arial" w:hAnsi="Arial" w:cs="Arial"/>
          <w:sz w:val="24"/>
          <w:szCs w:val="24"/>
        </w:rPr>
        <w:t xml:space="preserve"> the conduct</w:t>
      </w:r>
      <w:r w:rsidR="0055013A">
        <w:rPr>
          <w:rFonts w:ascii="Arial" w:hAnsi="Arial" w:cs="Arial"/>
          <w:sz w:val="24"/>
          <w:szCs w:val="24"/>
        </w:rPr>
        <w:t xml:space="preserve"> (and is </w:t>
      </w:r>
      <w:r w:rsidR="006D2698">
        <w:rPr>
          <w:rFonts w:ascii="Arial" w:hAnsi="Arial" w:cs="Arial"/>
          <w:sz w:val="24"/>
          <w:szCs w:val="24"/>
        </w:rPr>
        <w:t xml:space="preserve">reasonably </w:t>
      </w:r>
      <w:r w:rsidR="0055013A">
        <w:rPr>
          <w:rFonts w:ascii="Arial" w:hAnsi="Arial" w:cs="Arial"/>
          <w:sz w:val="24"/>
          <w:szCs w:val="24"/>
        </w:rPr>
        <w:t>likely to do so)</w:t>
      </w:r>
      <w:r w:rsidRPr="00264F34">
        <w:rPr>
          <w:rFonts w:ascii="Arial" w:hAnsi="Arial" w:cs="Arial"/>
          <w:sz w:val="24"/>
          <w:szCs w:val="24"/>
        </w:rPr>
        <w:t xml:space="preserve">; any family violence order or protection order made against the </w:t>
      </w:r>
      <w:r w:rsidR="00F961B8">
        <w:rPr>
          <w:rFonts w:ascii="Arial" w:hAnsi="Arial" w:cs="Arial"/>
          <w:sz w:val="24"/>
          <w:szCs w:val="24"/>
        </w:rPr>
        <w:t>lessor</w:t>
      </w:r>
      <w:r w:rsidRPr="00264F34">
        <w:rPr>
          <w:rFonts w:ascii="Arial" w:hAnsi="Arial" w:cs="Arial"/>
          <w:sz w:val="24"/>
          <w:szCs w:val="24"/>
        </w:rPr>
        <w:t xml:space="preserve"> by the Magistrates </w:t>
      </w:r>
      <w:r w:rsidR="006D2698">
        <w:rPr>
          <w:rFonts w:ascii="Arial" w:hAnsi="Arial" w:cs="Arial"/>
          <w:sz w:val="24"/>
          <w:szCs w:val="24"/>
        </w:rPr>
        <w:t>C</w:t>
      </w:r>
      <w:r w:rsidRPr="00264F34">
        <w:rPr>
          <w:rFonts w:ascii="Arial" w:hAnsi="Arial" w:cs="Arial"/>
          <w:sz w:val="24"/>
          <w:szCs w:val="24"/>
        </w:rPr>
        <w:t xml:space="preserve">ourt (or any order under a law of a State or a foreign country that has the same effect, or substantially the same effect); the effect of the conduct on the </w:t>
      </w:r>
      <w:r w:rsidR="00EA5CDB" w:rsidRPr="00264F34">
        <w:rPr>
          <w:rFonts w:ascii="Arial" w:hAnsi="Arial" w:cs="Arial"/>
          <w:sz w:val="24"/>
          <w:szCs w:val="24"/>
        </w:rPr>
        <w:t>tenant and any related person</w:t>
      </w:r>
      <w:r w:rsidRPr="00264F34">
        <w:rPr>
          <w:rFonts w:ascii="Arial" w:hAnsi="Arial" w:cs="Arial"/>
          <w:sz w:val="24"/>
          <w:szCs w:val="24"/>
        </w:rPr>
        <w:t>; whether any other order is reasonably available; and</w:t>
      </w:r>
      <w:r w:rsidR="006D2698">
        <w:rPr>
          <w:rFonts w:ascii="Arial" w:hAnsi="Arial" w:cs="Arial"/>
          <w:sz w:val="24"/>
          <w:szCs w:val="24"/>
        </w:rPr>
        <w:t xml:space="preserve">, </w:t>
      </w:r>
      <w:r w:rsidRPr="00264F34">
        <w:rPr>
          <w:rFonts w:ascii="Arial" w:hAnsi="Arial" w:cs="Arial"/>
          <w:sz w:val="24"/>
          <w:szCs w:val="24"/>
        </w:rPr>
        <w:t xml:space="preserve">any other matters </w:t>
      </w:r>
      <w:r w:rsidR="00DA32DF">
        <w:rPr>
          <w:rFonts w:ascii="Arial" w:hAnsi="Arial" w:cs="Arial"/>
          <w:sz w:val="24"/>
          <w:szCs w:val="24"/>
        </w:rPr>
        <w:t>ACAT</w:t>
      </w:r>
      <w:r w:rsidRPr="00264F34">
        <w:rPr>
          <w:rFonts w:ascii="Arial" w:hAnsi="Arial" w:cs="Arial"/>
          <w:sz w:val="24"/>
          <w:szCs w:val="24"/>
        </w:rPr>
        <w:t xml:space="preserve"> considers relevant</w:t>
      </w:r>
      <w:r w:rsidR="0055013A">
        <w:rPr>
          <w:rFonts w:ascii="Arial" w:hAnsi="Arial" w:cs="Arial"/>
          <w:sz w:val="24"/>
          <w:szCs w:val="24"/>
        </w:rPr>
        <w:t>.</w:t>
      </w:r>
    </w:p>
    <w:p w14:paraId="0047B23A" w14:textId="6844EDC4" w:rsidR="005C1177" w:rsidRDefault="004E06EA" w:rsidP="005C1177">
      <w:pPr>
        <w:rPr>
          <w:rFonts w:ascii="Arial" w:hAnsi="Arial" w:cs="Arial"/>
          <w:sz w:val="24"/>
          <w:szCs w:val="24"/>
        </w:rPr>
      </w:pPr>
      <w:r>
        <w:rPr>
          <w:rFonts w:ascii="Arial" w:hAnsi="Arial" w:cs="Arial"/>
          <w:sz w:val="24"/>
          <w:szCs w:val="24"/>
        </w:rPr>
        <w:t xml:space="preserve">To assist </w:t>
      </w:r>
      <w:r w:rsidR="00DA32DF">
        <w:rPr>
          <w:rFonts w:ascii="Arial" w:hAnsi="Arial" w:cs="Arial"/>
          <w:sz w:val="24"/>
          <w:szCs w:val="24"/>
        </w:rPr>
        <w:t>ACAT</w:t>
      </w:r>
      <w:r>
        <w:rPr>
          <w:rFonts w:ascii="Arial" w:hAnsi="Arial" w:cs="Arial"/>
          <w:sz w:val="24"/>
          <w:szCs w:val="24"/>
        </w:rPr>
        <w:t xml:space="preserve"> in determining whether any other order is reasonably available, this clause provides an example. The example refers the reader to the orders available </w:t>
      </w:r>
      <w:r>
        <w:rPr>
          <w:rFonts w:ascii="Arial" w:hAnsi="Arial" w:cs="Arial"/>
          <w:sz w:val="24"/>
          <w:szCs w:val="24"/>
        </w:rPr>
        <w:lastRenderedPageBreak/>
        <w:t>under section 83, which relevantly include, an order restraining any action in breach of a residential tenancy agreement or occupancy agreement.</w:t>
      </w:r>
      <w:r w:rsidR="005C1177" w:rsidRPr="005C1177">
        <w:rPr>
          <w:rFonts w:ascii="Arial" w:hAnsi="Arial" w:cs="Arial"/>
          <w:sz w:val="24"/>
          <w:szCs w:val="24"/>
        </w:rPr>
        <w:t xml:space="preserve"> </w:t>
      </w:r>
    </w:p>
    <w:p w14:paraId="37626347" w14:textId="30B00B16" w:rsidR="0055013A" w:rsidRDefault="00A936B6" w:rsidP="005C1177">
      <w:pPr>
        <w:rPr>
          <w:rFonts w:ascii="Arial" w:hAnsi="Arial" w:cs="Arial"/>
          <w:sz w:val="24"/>
          <w:szCs w:val="24"/>
        </w:rPr>
      </w:pPr>
      <w:r>
        <w:rPr>
          <w:rFonts w:ascii="Arial" w:hAnsi="Arial" w:cs="Arial"/>
          <w:sz w:val="24"/>
          <w:szCs w:val="24"/>
        </w:rPr>
        <w:t xml:space="preserve">This clause also inserts a note, clarifying that </w:t>
      </w:r>
      <w:r>
        <w:rPr>
          <w:rFonts w:ascii="Arial" w:hAnsi="Arial" w:cs="Arial"/>
          <w:b/>
          <w:bCs/>
          <w:i/>
          <w:iCs/>
          <w:sz w:val="24"/>
          <w:szCs w:val="24"/>
        </w:rPr>
        <w:t>State</w:t>
      </w:r>
      <w:r>
        <w:rPr>
          <w:rFonts w:ascii="Arial" w:hAnsi="Arial" w:cs="Arial"/>
          <w:sz w:val="24"/>
          <w:szCs w:val="24"/>
        </w:rPr>
        <w:t xml:space="preserve">, includes the Northern Territory. The note then refers the reader to the dictionary of the </w:t>
      </w:r>
      <w:r w:rsidRPr="00480D5F">
        <w:rPr>
          <w:rFonts w:ascii="Arial" w:hAnsi="Arial" w:cs="Arial"/>
          <w:sz w:val="24"/>
          <w:szCs w:val="24"/>
        </w:rPr>
        <w:t>Legislation Act</w:t>
      </w:r>
      <w:r>
        <w:rPr>
          <w:rFonts w:ascii="Arial" w:hAnsi="Arial" w:cs="Arial"/>
          <w:i/>
          <w:iCs/>
          <w:sz w:val="24"/>
          <w:szCs w:val="24"/>
        </w:rPr>
        <w:t xml:space="preserve">. </w:t>
      </w:r>
      <w:r>
        <w:rPr>
          <w:rFonts w:ascii="Arial" w:hAnsi="Arial" w:cs="Arial"/>
          <w:b/>
          <w:bCs/>
          <w:i/>
          <w:iCs/>
          <w:sz w:val="24"/>
          <w:szCs w:val="24"/>
        </w:rPr>
        <w:t xml:space="preserve"> </w:t>
      </w:r>
      <w:r>
        <w:rPr>
          <w:rFonts w:ascii="Arial" w:hAnsi="Arial" w:cs="Arial"/>
          <w:sz w:val="24"/>
          <w:szCs w:val="24"/>
        </w:rPr>
        <w:t xml:space="preserve"> </w:t>
      </w:r>
    </w:p>
    <w:p w14:paraId="5E1B3CBF" w14:textId="3DA8C33F" w:rsidR="005C1177" w:rsidRPr="00264F34" w:rsidRDefault="00A936B6" w:rsidP="005C1177">
      <w:pPr>
        <w:rPr>
          <w:rFonts w:ascii="Arial" w:hAnsi="Arial" w:cs="Arial"/>
          <w:sz w:val="24"/>
          <w:szCs w:val="24"/>
        </w:rPr>
      </w:pPr>
      <w:r>
        <w:rPr>
          <w:rFonts w:ascii="Arial" w:hAnsi="Arial" w:cs="Arial"/>
          <w:b/>
          <w:bCs/>
          <w:i/>
          <w:iCs/>
          <w:sz w:val="24"/>
          <w:szCs w:val="24"/>
        </w:rPr>
        <w:t>R</w:t>
      </w:r>
      <w:r w:rsidR="005C1177" w:rsidRPr="00264F34">
        <w:rPr>
          <w:rFonts w:ascii="Arial" w:hAnsi="Arial" w:cs="Arial"/>
          <w:b/>
          <w:bCs/>
          <w:i/>
          <w:iCs/>
          <w:sz w:val="24"/>
          <w:szCs w:val="24"/>
        </w:rPr>
        <w:t xml:space="preserve">elated person </w:t>
      </w:r>
      <w:r w:rsidR="005C1177" w:rsidRPr="00264F34">
        <w:rPr>
          <w:rFonts w:ascii="Arial" w:hAnsi="Arial" w:cs="Arial"/>
          <w:sz w:val="24"/>
          <w:szCs w:val="24"/>
        </w:rPr>
        <w:t xml:space="preserve">and </w:t>
      </w:r>
      <w:r w:rsidR="005C1177" w:rsidRPr="00264F34">
        <w:rPr>
          <w:rFonts w:ascii="Arial" w:hAnsi="Arial" w:cs="Arial"/>
          <w:b/>
          <w:bCs/>
          <w:i/>
          <w:iCs/>
          <w:sz w:val="24"/>
          <w:szCs w:val="24"/>
        </w:rPr>
        <w:t xml:space="preserve">lessor </w:t>
      </w:r>
      <w:r w:rsidR="005C1177" w:rsidRPr="00264F34">
        <w:rPr>
          <w:rFonts w:ascii="Arial" w:hAnsi="Arial" w:cs="Arial"/>
          <w:sz w:val="24"/>
          <w:szCs w:val="24"/>
        </w:rPr>
        <w:t>a</w:t>
      </w:r>
      <w:r>
        <w:rPr>
          <w:rFonts w:ascii="Arial" w:hAnsi="Arial" w:cs="Arial"/>
          <w:sz w:val="24"/>
          <w:szCs w:val="24"/>
        </w:rPr>
        <w:t>re introduced as</w:t>
      </w:r>
      <w:r w:rsidR="005C1177" w:rsidRPr="00264F34">
        <w:rPr>
          <w:rFonts w:ascii="Arial" w:hAnsi="Arial" w:cs="Arial"/>
          <w:sz w:val="24"/>
          <w:szCs w:val="24"/>
        </w:rPr>
        <w:t xml:space="preserve"> defined terms for the purposes of new section 45A.</w:t>
      </w:r>
    </w:p>
    <w:p w14:paraId="55F666CB" w14:textId="77777777" w:rsidR="005C1177" w:rsidRPr="00264F34" w:rsidRDefault="005C1177" w:rsidP="005C1177">
      <w:pPr>
        <w:rPr>
          <w:rFonts w:ascii="Arial" w:hAnsi="Arial" w:cs="Arial"/>
          <w:sz w:val="24"/>
          <w:szCs w:val="24"/>
        </w:rPr>
      </w:pPr>
      <w:r w:rsidRPr="00264F34">
        <w:rPr>
          <w:rFonts w:ascii="Arial" w:hAnsi="Arial" w:cs="Arial"/>
          <w:b/>
          <w:bCs/>
          <w:i/>
          <w:iCs/>
          <w:sz w:val="24"/>
          <w:szCs w:val="24"/>
        </w:rPr>
        <w:t xml:space="preserve">Related person </w:t>
      </w:r>
      <w:r w:rsidRPr="00264F34">
        <w:rPr>
          <w:rFonts w:ascii="Arial" w:hAnsi="Arial" w:cs="Arial"/>
          <w:sz w:val="24"/>
          <w:szCs w:val="24"/>
        </w:rPr>
        <w:t>means – (a) a person who lives at the premises; or (b) a family member of the tenant.</w:t>
      </w:r>
    </w:p>
    <w:p w14:paraId="281F8A36" w14:textId="0E571BBC" w:rsidR="004E06EA" w:rsidRPr="00264F34" w:rsidRDefault="005C1177" w:rsidP="00227DB8">
      <w:pPr>
        <w:rPr>
          <w:rFonts w:ascii="Arial" w:hAnsi="Arial" w:cs="Arial"/>
          <w:sz w:val="24"/>
          <w:szCs w:val="24"/>
        </w:rPr>
      </w:pPr>
      <w:r w:rsidRPr="00264F34">
        <w:rPr>
          <w:rFonts w:ascii="Arial" w:hAnsi="Arial" w:cs="Arial"/>
          <w:b/>
          <w:bCs/>
          <w:i/>
          <w:iCs/>
          <w:sz w:val="24"/>
          <w:szCs w:val="24"/>
        </w:rPr>
        <w:t xml:space="preserve">Lessor </w:t>
      </w:r>
      <w:r w:rsidRPr="00264F34">
        <w:rPr>
          <w:rFonts w:ascii="Arial" w:hAnsi="Arial" w:cs="Arial"/>
          <w:sz w:val="24"/>
          <w:szCs w:val="24"/>
        </w:rPr>
        <w:t>is defined to include an agent or representative of the lessor.</w:t>
      </w:r>
    </w:p>
    <w:p w14:paraId="5B05C1CE" w14:textId="6F60FB72" w:rsidR="000051BF" w:rsidRPr="00264F34" w:rsidRDefault="007360B0" w:rsidP="00D66CA5">
      <w:pPr>
        <w:ind w:left="1440" w:hanging="1440"/>
        <w:rPr>
          <w:rFonts w:ascii="Arial" w:eastAsiaTheme="majorEastAsia" w:hAnsi="Arial" w:cs="Arial"/>
          <w:b/>
          <w:sz w:val="24"/>
          <w:szCs w:val="24"/>
        </w:rPr>
      </w:pPr>
      <w:r w:rsidRPr="00264F34">
        <w:rPr>
          <w:rFonts w:ascii="Arial" w:eastAsiaTheme="majorEastAsia" w:hAnsi="Arial" w:cs="Arial"/>
          <w:b/>
          <w:sz w:val="24"/>
          <w:szCs w:val="24"/>
        </w:rPr>
        <w:t>Clause 1</w:t>
      </w:r>
      <w:r w:rsidR="00A91473">
        <w:rPr>
          <w:rFonts w:ascii="Arial" w:eastAsiaTheme="majorEastAsia" w:hAnsi="Arial" w:cs="Arial"/>
          <w:b/>
          <w:sz w:val="24"/>
          <w:szCs w:val="24"/>
        </w:rPr>
        <w:t>9</w:t>
      </w:r>
      <w:r w:rsidRPr="00264F34">
        <w:rPr>
          <w:rFonts w:ascii="Arial" w:eastAsiaTheme="majorEastAsia" w:hAnsi="Arial" w:cs="Arial"/>
          <w:b/>
          <w:sz w:val="24"/>
          <w:szCs w:val="24"/>
        </w:rPr>
        <w:tab/>
      </w:r>
      <w:r w:rsidR="000051BF" w:rsidRPr="00264F34">
        <w:rPr>
          <w:rFonts w:ascii="Arial" w:eastAsiaTheme="majorEastAsia" w:hAnsi="Arial" w:cs="Arial"/>
          <w:b/>
          <w:sz w:val="24"/>
          <w:szCs w:val="24"/>
        </w:rPr>
        <w:t>New section 46AA</w:t>
      </w:r>
    </w:p>
    <w:p w14:paraId="5FED7E25" w14:textId="536CC458" w:rsidR="00F961B8" w:rsidRDefault="00F961B8" w:rsidP="00D329C3">
      <w:pPr>
        <w:rPr>
          <w:rFonts w:ascii="Arial" w:hAnsi="Arial" w:cs="Arial"/>
          <w:sz w:val="24"/>
          <w:szCs w:val="24"/>
        </w:rPr>
      </w:pPr>
      <w:r>
        <w:rPr>
          <w:rFonts w:ascii="Arial" w:hAnsi="Arial" w:cs="Arial"/>
          <w:sz w:val="24"/>
          <w:szCs w:val="24"/>
        </w:rPr>
        <w:t>This clause inserts new section 46AA.</w:t>
      </w:r>
    </w:p>
    <w:p w14:paraId="15783043" w14:textId="3DAD2F99" w:rsidR="000051BF" w:rsidRDefault="0042515E" w:rsidP="00D329C3">
      <w:pPr>
        <w:rPr>
          <w:rFonts w:ascii="Arial" w:hAnsi="Arial" w:cs="Arial"/>
          <w:sz w:val="24"/>
          <w:szCs w:val="24"/>
        </w:rPr>
      </w:pPr>
      <w:r w:rsidRPr="00264F34">
        <w:rPr>
          <w:rFonts w:ascii="Arial" w:hAnsi="Arial" w:cs="Arial"/>
          <w:sz w:val="24"/>
          <w:szCs w:val="24"/>
        </w:rPr>
        <w:t xml:space="preserve">New section 46AA </w:t>
      </w:r>
      <w:r w:rsidR="009C6ECC">
        <w:rPr>
          <w:rFonts w:ascii="Arial" w:hAnsi="Arial" w:cs="Arial"/>
          <w:sz w:val="24"/>
          <w:szCs w:val="24"/>
        </w:rPr>
        <w:t xml:space="preserve">(1) </w:t>
      </w:r>
      <w:r w:rsidR="002860A9" w:rsidRPr="00264F34">
        <w:rPr>
          <w:rFonts w:ascii="Arial" w:hAnsi="Arial" w:cs="Arial"/>
          <w:sz w:val="24"/>
          <w:szCs w:val="24"/>
        </w:rPr>
        <w:t>confers</w:t>
      </w:r>
      <w:r w:rsidRPr="00264F34">
        <w:rPr>
          <w:rFonts w:ascii="Arial" w:hAnsi="Arial" w:cs="Arial"/>
          <w:sz w:val="24"/>
          <w:szCs w:val="24"/>
        </w:rPr>
        <w:t xml:space="preserve"> powers o</w:t>
      </w:r>
      <w:r w:rsidR="002860A9" w:rsidRPr="00264F34">
        <w:rPr>
          <w:rFonts w:ascii="Arial" w:hAnsi="Arial" w:cs="Arial"/>
          <w:sz w:val="24"/>
          <w:szCs w:val="24"/>
        </w:rPr>
        <w:t>n</w:t>
      </w:r>
      <w:r w:rsidRPr="00264F34">
        <w:rPr>
          <w:rFonts w:ascii="Arial" w:hAnsi="Arial" w:cs="Arial"/>
          <w:sz w:val="24"/>
          <w:szCs w:val="24"/>
        </w:rPr>
        <w:t xml:space="preserve"> </w:t>
      </w:r>
      <w:r w:rsidR="00F961B8">
        <w:rPr>
          <w:rFonts w:ascii="Arial" w:hAnsi="Arial" w:cs="Arial"/>
          <w:sz w:val="24"/>
          <w:szCs w:val="24"/>
        </w:rPr>
        <w:t xml:space="preserve">ACAT </w:t>
      </w:r>
      <w:r w:rsidRPr="00264F34">
        <w:rPr>
          <w:rFonts w:ascii="Arial" w:hAnsi="Arial" w:cs="Arial"/>
          <w:sz w:val="24"/>
          <w:szCs w:val="24"/>
        </w:rPr>
        <w:t xml:space="preserve">specific to disputes </w:t>
      </w:r>
      <w:r w:rsidR="00E4084C" w:rsidRPr="00264F34">
        <w:rPr>
          <w:rFonts w:ascii="Arial" w:hAnsi="Arial" w:cs="Arial"/>
          <w:sz w:val="24"/>
          <w:szCs w:val="24"/>
        </w:rPr>
        <w:t>in relation to</w:t>
      </w:r>
      <w:r w:rsidRPr="00264F34">
        <w:rPr>
          <w:rFonts w:ascii="Arial" w:hAnsi="Arial" w:cs="Arial"/>
          <w:sz w:val="24"/>
          <w:szCs w:val="24"/>
        </w:rPr>
        <w:t xml:space="preserve"> minimum housing standards. </w:t>
      </w:r>
      <w:r w:rsidR="00F961B8">
        <w:rPr>
          <w:rFonts w:ascii="Arial" w:hAnsi="Arial" w:cs="Arial"/>
          <w:sz w:val="24"/>
          <w:szCs w:val="24"/>
        </w:rPr>
        <w:t>The provision allows ACAT</w:t>
      </w:r>
      <w:r w:rsidRPr="00264F34">
        <w:rPr>
          <w:rFonts w:ascii="Arial" w:hAnsi="Arial" w:cs="Arial"/>
          <w:sz w:val="24"/>
          <w:szCs w:val="24"/>
        </w:rPr>
        <w:t>, upon application by a tenant,</w:t>
      </w:r>
      <w:r w:rsidR="00D329C3" w:rsidRPr="00264F34">
        <w:rPr>
          <w:rFonts w:ascii="Arial" w:hAnsi="Arial" w:cs="Arial"/>
          <w:sz w:val="24"/>
          <w:szCs w:val="24"/>
        </w:rPr>
        <w:t xml:space="preserve"> </w:t>
      </w:r>
      <w:r w:rsidRPr="00264F34">
        <w:rPr>
          <w:rFonts w:ascii="Arial" w:hAnsi="Arial" w:cs="Arial"/>
          <w:sz w:val="24"/>
          <w:szCs w:val="24"/>
        </w:rPr>
        <w:t>to make an order terminating</w:t>
      </w:r>
      <w:r w:rsidR="00D329C3" w:rsidRPr="00264F34">
        <w:rPr>
          <w:rFonts w:ascii="Arial" w:hAnsi="Arial" w:cs="Arial"/>
          <w:sz w:val="24"/>
          <w:szCs w:val="24"/>
        </w:rPr>
        <w:t xml:space="preserve"> a residential tenancy agreement </w:t>
      </w:r>
      <w:r w:rsidR="00730C03" w:rsidRPr="00264F34">
        <w:rPr>
          <w:rFonts w:ascii="Arial" w:hAnsi="Arial" w:cs="Arial"/>
          <w:sz w:val="24"/>
          <w:szCs w:val="24"/>
        </w:rPr>
        <w:t>where</w:t>
      </w:r>
      <w:r w:rsidR="00D329C3" w:rsidRPr="00264F34">
        <w:rPr>
          <w:rFonts w:ascii="Arial" w:hAnsi="Arial" w:cs="Arial"/>
          <w:sz w:val="24"/>
          <w:szCs w:val="24"/>
        </w:rPr>
        <w:t xml:space="preserve"> </w:t>
      </w:r>
      <w:r w:rsidR="00730C03" w:rsidRPr="00264F34">
        <w:rPr>
          <w:rFonts w:ascii="Arial" w:hAnsi="Arial" w:cs="Arial"/>
          <w:sz w:val="24"/>
          <w:szCs w:val="24"/>
        </w:rPr>
        <w:t>a</w:t>
      </w:r>
      <w:r w:rsidR="00D329C3" w:rsidRPr="00264F34">
        <w:rPr>
          <w:rFonts w:ascii="Arial" w:hAnsi="Arial" w:cs="Arial"/>
          <w:sz w:val="24"/>
          <w:szCs w:val="24"/>
        </w:rPr>
        <w:t xml:space="preserve"> lessor has failed to meet their obligations </w:t>
      </w:r>
      <w:r w:rsidR="00730C03" w:rsidRPr="00264F34">
        <w:rPr>
          <w:rFonts w:ascii="Arial" w:hAnsi="Arial" w:cs="Arial"/>
          <w:sz w:val="24"/>
          <w:szCs w:val="24"/>
        </w:rPr>
        <w:t>under the new</w:t>
      </w:r>
      <w:r w:rsidR="00D329C3" w:rsidRPr="00264F34">
        <w:rPr>
          <w:rFonts w:ascii="Arial" w:hAnsi="Arial" w:cs="Arial"/>
          <w:sz w:val="24"/>
          <w:szCs w:val="24"/>
        </w:rPr>
        <w:t xml:space="preserve"> minimum housing standards</w:t>
      </w:r>
      <w:r w:rsidR="00730C03" w:rsidRPr="00264F34">
        <w:rPr>
          <w:rFonts w:ascii="Arial" w:hAnsi="Arial" w:cs="Arial"/>
          <w:sz w:val="24"/>
          <w:szCs w:val="24"/>
        </w:rPr>
        <w:t xml:space="preserve"> provisions</w:t>
      </w:r>
      <w:r w:rsidR="00E4084C" w:rsidRPr="00264F34">
        <w:rPr>
          <w:rFonts w:ascii="Arial" w:hAnsi="Arial" w:cs="Arial"/>
          <w:sz w:val="24"/>
          <w:szCs w:val="24"/>
        </w:rPr>
        <w:t xml:space="preserve"> established under new section 19B</w:t>
      </w:r>
      <w:r w:rsidR="00D329C3" w:rsidRPr="00264F34">
        <w:rPr>
          <w:rFonts w:ascii="Arial" w:hAnsi="Arial" w:cs="Arial"/>
          <w:sz w:val="24"/>
          <w:szCs w:val="24"/>
        </w:rPr>
        <w:t xml:space="preserve">. </w:t>
      </w:r>
      <w:r w:rsidR="006B0FC2">
        <w:rPr>
          <w:rFonts w:ascii="Arial" w:hAnsi="Arial" w:cs="Arial"/>
          <w:sz w:val="24"/>
          <w:szCs w:val="24"/>
        </w:rPr>
        <w:t>T</w:t>
      </w:r>
      <w:r w:rsidR="00F961B8">
        <w:rPr>
          <w:rFonts w:ascii="Arial" w:hAnsi="Arial" w:cs="Arial"/>
          <w:sz w:val="24"/>
          <w:szCs w:val="24"/>
        </w:rPr>
        <w:t xml:space="preserve">his provision allows a tenant to take a tenancy dispute to ACAT when the lessor does not comply with any applicable minimum housing standards. </w:t>
      </w:r>
    </w:p>
    <w:p w14:paraId="4CBF571F" w14:textId="7EC976C0" w:rsidR="009C6ECC" w:rsidRDefault="00A91473" w:rsidP="00D329C3">
      <w:pPr>
        <w:rPr>
          <w:rFonts w:ascii="Arial" w:hAnsi="Arial" w:cs="Arial"/>
          <w:sz w:val="24"/>
          <w:szCs w:val="24"/>
        </w:rPr>
      </w:pPr>
      <w:r>
        <w:rPr>
          <w:rFonts w:ascii="Arial" w:hAnsi="Arial" w:cs="Arial"/>
          <w:sz w:val="24"/>
          <w:szCs w:val="24"/>
        </w:rPr>
        <w:t>However, s</w:t>
      </w:r>
      <w:r w:rsidR="009C6ECC">
        <w:rPr>
          <w:rFonts w:ascii="Arial" w:hAnsi="Arial" w:cs="Arial"/>
          <w:sz w:val="24"/>
          <w:szCs w:val="24"/>
        </w:rPr>
        <w:t xml:space="preserve">ubsection 46AA (2) </w:t>
      </w:r>
      <w:r>
        <w:rPr>
          <w:rFonts w:ascii="Arial" w:hAnsi="Arial" w:cs="Arial"/>
          <w:sz w:val="24"/>
          <w:szCs w:val="24"/>
        </w:rPr>
        <w:t xml:space="preserve">allows </w:t>
      </w:r>
      <w:r w:rsidR="009C6ECC">
        <w:rPr>
          <w:rFonts w:ascii="Arial" w:hAnsi="Arial" w:cs="Arial"/>
          <w:sz w:val="24"/>
          <w:szCs w:val="24"/>
        </w:rPr>
        <w:t xml:space="preserve">ACAT to refuse to terminate the agreement if the tenant has failed to provide the lessor with reasonable </w:t>
      </w:r>
      <w:bookmarkStart w:id="2" w:name="_Hlk116650012"/>
      <w:r w:rsidR="009C6ECC">
        <w:rPr>
          <w:rFonts w:ascii="Arial" w:hAnsi="Arial" w:cs="Arial"/>
          <w:sz w:val="24"/>
          <w:szCs w:val="24"/>
        </w:rPr>
        <w:t>access to enable the lessor to</w:t>
      </w:r>
      <w:r w:rsidR="009C6ECC" w:rsidRPr="00480D5F">
        <w:rPr>
          <w:rFonts w:ascii="Arial" w:hAnsi="Arial" w:cs="Arial"/>
          <w:sz w:val="24"/>
          <w:szCs w:val="24"/>
        </w:rPr>
        <w:t xml:space="preserve"> undertake work necessary to ensure the premises complies with minimum housing standards. </w:t>
      </w:r>
      <w:r w:rsidR="009C6ECC">
        <w:rPr>
          <w:rFonts w:ascii="Arial" w:hAnsi="Arial" w:cs="Arial"/>
          <w:sz w:val="24"/>
          <w:szCs w:val="24"/>
        </w:rPr>
        <w:t xml:space="preserve">The policy intention of this is to recognise that </w:t>
      </w:r>
      <w:r w:rsidR="009C6ECC" w:rsidRPr="00480D5F">
        <w:rPr>
          <w:rFonts w:ascii="Arial" w:hAnsi="Arial" w:cs="Arial"/>
          <w:sz w:val="24"/>
          <w:szCs w:val="24"/>
        </w:rPr>
        <w:t>allowing a tenant to terminate a tenancy where the lessor fails to comply with minimum standards may be unfair on a lessor in circumstances where the tenant has failed to provide reasonable access</w:t>
      </w:r>
      <w:r w:rsidR="009C6ECC">
        <w:rPr>
          <w:rFonts w:ascii="Arial" w:hAnsi="Arial" w:cs="Arial"/>
          <w:sz w:val="24"/>
          <w:szCs w:val="24"/>
        </w:rPr>
        <w:t xml:space="preserve">. </w:t>
      </w:r>
    </w:p>
    <w:p w14:paraId="0F52E327" w14:textId="47BD9377" w:rsidR="006D2698" w:rsidRPr="009C6ECC" w:rsidRDefault="006D2698" w:rsidP="00D329C3">
      <w:pPr>
        <w:rPr>
          <w:rFonts w:ascii="Arial" w:hAnsi="Arial" w:cs="Arial"/>
          <w:sz w:val="24"/>
          <w:szCs w:val="24"/>
        </w:rPr>
      </w:pPr>
      <w:r>
        <w:rPr>
          <w:rFonts w:ascii="Arial" w:hAnsi="Arial" w:cs="Arial"/>
          <w:sz w:val="24"/>
          <w:szCs w:val="24"/>
        </w:rPr>
        <w:t xml:space="preserve">A lessor’s expanded right of access to a rental premises is provided under new SRTT, </w:t>
      </w:r>
      <w:r w:rsidRPr="005A14D5">
        <w:rPr>
          <w:rFonts w:ascii="Arial" w:hAnsi="Arial" w:cs="Arial"/>
          <w:sz w:val="24"/>
          <w:szCs w:val="24"/>
        </w:rPr>
        <w:t>clause 82 (1) (clause 3</w:t>
      </w:r>
      <w:r w:rsidR="00A91473" w:rsidRPr="005A14D5">
        <w:rPr>
          <w:rFonts w:ascii="Arial" w:hAnsi="Arial" w:cs="Arial"/>
          <w:sz w:val="24"/>
          <w:szCs w:val="24"/>
        </w:rPr>
        <w:t>9</w:t>
      </w:r>
      <w:r w:rsidRPr="005A14D5">
        <w:rPr>
          <w:rFonts w:ascii="Arial" w:hAnsi="Arial" w:cs="Arial"/>
          <w:sz w:val="24"/>
          <w:szCs w:val="24"/>
        </w:rPr>
        <w:t xml:space="preserve"> below</w:t>
      </w:r>
      <w:r>
        <w:rPr>
          <w:rFonts w:ascii="Arial" w:hAnsi="Arial" w:cs="Arial"/>
          <w:sz w:val="24"/>
          <w:szCs w:val="24"/>
        </w:rPr>
        <w:t>).</w:t>
      </w:r>
    </w:p>
    <w:bookmarkEnd w:id="2"/>
    <w:p w14:paraId="21FCE76A" w14:textId="27B8A820" w:rsidR="00D66CA5" w:rsidRPr="00264F34" w:rsidRDefault="00D66CA5" w:rsidP="00D66CA5">
      <w:pPr>
        <w:ind w:left="1440" w:hanging="1440"/>
        <w:rPr>
          <w:rFonts w:ascii="Arial" w:eastAsiaTheme="majorEastAsia" w:hAnsi="Arial" w:cs="Arial"/>
          <w:b/>
          <w:i/>
          <w:iCs/>
          <w:sz w:val="24"/>
          <w:szCs w:val="24"/>
        </w:rPr>
      </w:pPr>
      <w:r w:rsidRPr="00264F34">
        <w:rPr>
          <w:rFonts w:ascii="Arial" w:eastAsiaTheme="majorEastAsia" w:hAnsi="Arial" w:cs="Arial"/>
          <w:b/>
          <w:sz w:val="24"/>
          <w:szCs w:val="24"/>
        </w:rPr>
        <w:t xml:space="preserve">Clause </w:t>
      </w:r>
      <w:r w:rsidR="00A91473">
        <w:rPr>
          <w:rFonts w:ascii="Arial" w:eastAsiaTheme="majorEastAsia" w:hAnsi="Arial" w:cs="Arial"/>
          <w:b/>
          <w:sz w:val="24"/>
          <w:szCs w:val="24"/>
        </w:rPr>
        <w:t>20</w:t>
      </w:r>
      <w:r w:rsidRPr="00264F34">
        <w:rPr>
          <w:rFonts w:ascii="Arial" w:eastAsiaTheme="majorEastAsia" w:hAnsi="Arial" w:cs="Arial"/>
          <w:b/>
          <w:sz w:val="24"/>
          <w:szCs w:val="24"/>
        </w:rPr>
        <w:tab/>
        <w:t>Termination of agreement for aged care or social housing needs</w:t>
      </w:r>
      <w:r w:rsidRPr="00264F34">
        <w:rPr>
          <w:rFonts w:ascii="Arial" w:eastAsiaTheme="majorEastAsia" w:hAnsi="Arial" w:cs="Arial"/>
          <w:b/>
          <w:sz w:val="24"/>
          <w:szCs w:val="24"/>
        </w:rPr>
        <w:br/>
        <w:t xml:space="preserve">Section 46A (5), definitions of </w:t>
      </w:r>
      <w:r w:rsidRPr="00264F34">
        <w:rPr>
          <w:rFonts w:ascii="Arial" w:eastAsiaTheme="majorEastAsia" w:hAnsi="Arial" w:cs="Arial"/>
          <w:b/>
          <w:i/>
          <w:iCs/>
          <w:sz w:val="24"/>
          <w:szCs w:val="24"/>
        </w:rPr>
        <w:t xml:space="preserve">registered community housing provider </w:t>
      </w:r>
      <w:r w:rsidRPr="00264F34">
        <w:rPr>
          <w:rFonts w:ascii="Arial" w:eastAsiaTheme="majorEastAsia" w:hAnsi="Arial" w:cs="Arial"/>
          <w:b/>
          <w:sz w:val="24"/>
          <w:szCs w:val="24"/>
        </w:rPr>
        <w:t xml:space="preserve">and </w:t>
      </w:r>
      <w:r w:rsidRPr="00264F34">
        <w:rPr>
          <w:rFonts w:ascii="Arial" w:eastAsiaTheme="majorEastAsia" w:hAnsi="Arial" w:cs="Arial"/>
          <w:b/>
          <w:i/>
          <w:iCs/>
          <w:sz w:val="24"/>
          <w:szCs w:val="24"/>
        </w:rPr>
        <w:t>social housing dwelling</w:t>
      </w:r>
    </w:p>
    <w:p w14:paraId="75726B50" w14:textId="5BFD67B6" w:rsidR="00D66CA5" w:rsidRPr="00264F34" w:rsidRDefault="00D66CA5" w:rsidP="00D66CA5">
      <w:pPr>
        <w:rPr>
          <w:rFonts w:ascii="Arial" w:hAnsi="Arial" w:cs="Arial"/>
          <w:sz w:val="24"/>
          <w:szCs w:val="24"/>
        </w:rPr>
      </w:pPr>
      <w:r w:rsidRPr="00264F34">
        <w:rPr>
          <w:rFonts w:ascii="Arial" w:hAnsi="Arial" w:cs="Arial"/>
          <w:sz w:val="24"/>
          <w:szCs w:val="24"/>
        </w:rPr>
        <w:t>This clause removes the definitions for ‘</w:t>
      </w:r>
      <w:r w:rsidRPr="00264F34">
        <w:rPr>
          <w:rFonts w:ascii="Arial" w:hAnsi="Arial" w:cs="Arial"/>
          <w:b/>
          <w:bCs/>
          <w:i/>
          <w:iCs/>
          <w:sz w:val="24"/>
          <w:szCs w:val="24"/>
        </w:rPr>
        <w:t>registered community housing provider</w:t>
      </w:r>
      <w:r w:rsidRPr="00264F34">
        <w:rPr>
          <w:rFonts w:ascii="Arial" w:hAnsi="Arial" w:cs="Arial"/>
          <w:sz w:val="24"/>
          <w:szCs w:val="24"/>
        </w:rPr>
        <w:t>’ and ‘</w:t>
      </w:r>
      <w:r w:rsidRPr="00264F34">
        <w:rPr>
          <w:rFonts w:ascii="Arial" w:hAnsi="Arial" w:cs="Arial"/>
          <w:b/>
          <w:bCs/>
          <w:i/>
          <w:iCs/>
          <w:sz w:val="24"/>
          <w:szCs w:val="24"/>
        </w:rPr>
        <w:t>social housing dwelling</w:t>
      </w:r>
      <w:r w:rsidRPr="00264F34">
        <w:rPr>
          <w:rFonts w:ascii="Arial" w:hAnsi="Arial" w:cs="Arial"/>
          <w:sz w:val="24"/>
          <w:szCs w:val="24"/>
        </w:rPr>
        <w:t xml:space="preserve">’. These terms are already defined in the dictionary to the RTA and there is no intention to create a different meaning for the purposes of section 46A. </w:t>
      </w:r>
      <w:r w:rsidR="00D329C3" w:rsidRPr="00264F34">
        <w:rPr>
          <w:rFonts w:ascii="Arial" w:hAnsi="Arial" w:cs="Arial"/>
          <w:sz w:val="24"/>
          <w:szCs w:val="24"/>
        </w:rPr>
        <w:t>This</w:t>
      </w:r>
      <w:r w:rsidR="000051BF" w:rsidRPr="00264F34">
        <w:rPr>
          <w:rFonts w:ascii="Arial" w:hAnsi="Arial" w:cs="Arial"/>
          <w:sz w:val="24"/>
          <w:szCs w:val="24"/>
        </w:rPr>
        <w:t xml:space="preserve"> amend</w:t>
      </w:r>
      <w:r w:rsidR="00D329C3" w:rsidRPr="00264F34">
        <w:rPr>
          <w:rFonts w:ascii="Arial" w:hAnsi="Arial" w:cs="Arial"/>
          <w:sz w:val="24"/>
          <w:szCs w:val="24"/>
        </w:rPr>
        <w:t>ment was made</w:t>
      </w:r>
      <w:r w:rsidR="000051BF" w:rsidRPr="00264F34">
        <w:rPr>
          <w:rFonts w:ascii="Arial" w:hAnsi="Arial" w:cs="Arial"/>
          <w:sz w:val="24"/>
          <w:szCs w:val="24"/>
        </w:rPr>
        <w:t xml:space="preserve"> for readability and clarity.</w:t>
      </w:r>
    </w:p>
    <w:p w14:paraId="51749F60" w14:textId="452303B5" w:rsidR="00D66CA5" w:rsidRPr="00264F34" w:rsidRDefault="00D66CA5" w:rsidP="00143AD1">
      <w:pPr>
        <w:keepNext/>
        <w:ind w:left="1440" w:hanging="1440"/>
        <w:rPr>
          <w:rFonts w:ascii="Arial" w:eastAsiaTheme="majorEastAsia" w:hAnsi="Arial" w:cs="Arial"/>
          <w:b/>
          <w:sz w:val="24"/>
          <w:szCs w:val="24"/>
        </w:rPr>
      </w:pPr>
      <w:r w:rsidRPr="005A14D5">
        <w:rPr>
          <w:rFonts w:ascii="Arial" w:eastAsiaTheme="majorEastAsia" w:hAnsi="Arial" w:cs="Arial"/>
          <w:b/>
          <w:sz w:val="24"/>
          <w:szCs w:val="24"/>
        </w:rPr>
        <w:lastRenderedPageBreak/>
        <w:t xml:space="preserve">Clause </w:t>
      </w:r>
      <w:r w:rsidR="00A91473" w:rsidRPr="005A14D5">
        <w:rPr>
          <w:rFonts w:ascii="Arial" w:eastAsiaTheme="majorEastAsia" w:hAnsi="Arial" w:cs="Arial"/>
          <w:b/>
          <w:sz w:val="24"/>
          <w:szCs w:val="24"/>
        </w:rPr>
        <w:t>21</w:t>
      </w:r>
      <w:r w:rsidRPr="005A14D5">
        <w:rPr>
          <w:rFonts w:ascii="Arial" w:eastAsiaTheme="majorEastAsia" w:hAnsi="Arial" w:cs="Arial"/>
          <w:b/>
          <w:sz w:val="24"/>
          <w:szCs w:val="24"/>
        </w:rPr>
        <w:tab/>
      </w:r>
      <w:r w:rsidR="0086361B" w:rsidRPr="005A14D5">
        <w:rPr>
          <w:rFonts w:ascii="Arial" w:eastAsiaTheme="majorEastAsia" w:hAnsi="Arial" w:cs="Arial"/>
          <w:b/>
          <w:sz w:val="24"/>
          <w:szCs w:val="24"/>
        </w:rPr>
        <w:t>Section 47</w:t>
      </w:r>
    </w:p>
    <w:p w14:paraId="4474EAE2" w14:textId="2B516A9A" w:rsidR="00453568" w:rsidRDefault="00453568" w:rsidP="002B23A0">
      <w:pPr>
        <w:rPr>
          <w:rFonts w:ascii="Arial" w:hAnsi="Arial" w:cs="Arial"/>
          <w:iCs/>
          <w:sz w:val="24"/>
          <w:szCs w:val="24"/>
        </w:rPr>
      </w:pPr>
      <w:r>
        <w:rPr>
          <w:rFonts w:ascii="Arial" w:hAnsi="Arial" w:cs="Arial"/>
          <w:iCs/>
          <w:sz w:val="24"/>
          <w:szCs w:val="24"/>
        </w:rPr>
        <w:t xml:space="preserve">Current section 47 of the RTA supports lessors by allowing them to apply to ACAT to terminate a tenancy in circumstances where the tenant has not breached the agreement but where the lessor has issued a termination notice in accordance with the SRTTs and the tenant has not vacated the premises in accordance with that notice. </w:t>
      </w:r>
    </w:p>
    <w:p w14:paraId="4F734EFE" w14:textId="15725023" w:rsidR="006A6856" w:rsidRDefault="009B32CE" w:rsidP="002B23A0">
      <w:pPr>
        <w:rPr>
          <w:rFonts w:ascii="Arial" w:hAnsi="Arial" w:cs="Arial"/>
          <w:iCs/>
          <w:sz w:val="24"/>
          <w:szCs w:val="24"/>
        </w:rPr>
      </w:pPr>
      <w:r>
        <w:rPr>
          <w:rFonts w:ascii="Arial" w:hAnsi="Arial" w:cs="Arial"/>
          <w:iCs/>
          <w:sz w:val="24"/>
          <w:szCs w:val="24"/>
        </w:rPr>
        <w:t xml:space="preserve">This Bill introduces new termination provisions to ensure that lessors can continue to manage tenancies effectively following the removal of without grounds evictions. With respect to lessors of public housing, community housing, temporary housing assistance and subsidised accommodation properties, new termination provisions </w:t>
      </w:r>
      <w:r w:rsidR="00104500">
        <w:rPr>
          <w:rFonts w:ascii="Arial" w:hAnsi="Arial" w:cs="Arial"/>
          <w:iCs/>
          <w:sz w:val="24"/>
          <w:szCs w:val="24"/>
        </w:rPr>
        <w:t>have been</w:t>
      </w:r>
      <w:r>
        <w:rPr>
          <w:rFonts w:ascii="Arial" w:hAnsi="Arial" w:cs="Arial"/>
          <w:iCs/>
          <w:sz w:val="24"/>
          <w:szCs w:val="24"/>
        </w:rPr>
        <w:t xml:space="preserve"> introduced to recognise and support the legitimate and justifiable </w:t>
      </w:r>
      <w:r w:rsidR="00104500">
        <w:rPr>
          <w:rFonts w:ascii="Arial" w:hAnsi="Arial" w:cs="Arial"/>
          <w:iCs/>
          <w:sz w:val="24"/>
          <w:szCs w:val="24"/>
        </w:rPr>
        <w:t>gr</w:t>
      </w:r>
      <w:r>
        <w:rPr>
          <w:rFonts w:ascii="Arial" w:hAnsi="Arial" w:cs="Arial"/>
          <w:iCs/>
          <w:sz w:val="24"/>
          <w:szCs w:val="24"/>
        </w:rPr>
        <w:t>ounds on which a tenancy may come to an end, and that enable a lessor to provide targeted accommodation assistance to the most vulnerable members of the community.</w:t>
      </w:r>
      <w:r w:rsidR="0026768C">
        <w:rPr>
          <w:rFonts w:ascii="Arial" w:hAnsi="Arial" w:cs="Arial"/>
          <w:iCs/>
          <w:sz w:val="24"/>
          <w:szCs w:val="24"/>
        </w:rPr>
        <w:t xml:space="preserve"> For example, under the new termination provisions, the Housing Commissioner may terminate a tenancy if the tenant is no longer eligible for housing assistance under the Program.</w:t>
      </w:r>
      <w:r w:rsidR="00104500">
        <w:rPr>
          <w:rFonts w:ascii="Arial" w:hAnsi="Arial" w:cs="Arial"/>
          <w:iCs/>
          <w:sz w:val="24"/>
          <w:szCs w:val="24"/>
        </w:rPr>
        <w:t xml:space="preserve"> Doing so allows that property to be reallocated to someone who </w:t>
      </w:r>
      <w:r w:rsidR="00104500" w:rsidRPr="00480D5F">
        <w:rPr>
          <w:rFonts w:ascii="Arial" w:hAnsi="Arial" w:cs="Arial"/>
          <w:i/>
          <w:sz w:val="24"/>
          <w:szCs w:val="24"/>
        </w:rPr>
        <w:t>is</w:t>
      </w:r>
      <w:r w:rsidR="00104500">
        <w:rPr>
          <w:rFonts w:ascii="Arial" w:hAnsi="Arial" w:cs="Arial"/>
          <w:iCs/>
          <w:sz w:val="24"/>
          <w:szCs w:val="24"/>
        </w:rPr>
        <w:t xml:space="preserve"> eligible for housing assistance, and is in need of that assistance.</w:t>
      </w:r>
    </w:p>
    <w:p w14:paraId="153FA3EF" w14:textId="25CB40E6" w:rsidR="0026768C" w:rsidRDefault="0026768C" w:rsidP="002B23A0">
      <w:pPr>
        <w:rPr>
          <w:rFonts w:ascii="Arial" w:hAnsi="Arial" w:cs="Arial"/>
          <w:iCs/>
          <w:sz w:val="24"/>
          <w:szCs w:val="24"/>
        </w:rPr>
      </w:pPr>
      <w:r>
        <w:rPr>
          <w:rFonts w:ascii="Arial" w:hAnsi="Arial" w:cs="Arial"/>
          <w:iCs/>
          <w:sz w:val="24"/>
          <w:szCs w:val="24"/>
        </w:rPr>
        <w:t xml:space="preserve">However, tenants reliant on public housing, community housing, temporary housing assistance and subsidised accommodation </w:t>
      </w:r>
      <w:r w:rsidR="00A91473">
        <w:rPr>
          <w:rFonts w:ascii="Arial" w:hAnsi="Arial" w:cs="Arial"/>
          <w:iCs/>
          <w:sz w:val="24"/>
          <w:szCs w:val="24"/>
        </w:rPr>
        <w:t xml:space="preserve">may </w:t>
      </w:r>
      <w:r>
        <w:rPr>
          <w:rFonts w:ascii="Arial" w:hAnsi="Arial" w:cs="Arial"/>
          <w:iCs/>
          <w:sz w:val="24"/>
          <w:szCs w:val="24"/>
        </w:rPr>
        <w:t xml:space="preserve">experience </w:t>
      </w:r>
      <w:r w:rsidR="00104500">
        <w:rPr>
          <w:rFonts w:ascii="Arial" w:hAnsi="Arial" w:cs="Arial"/>
          <w:iCs/>
          <w:sz w:val="24"/>
          <w:szCs w:val="24"/>
        </w:rPr>
        <w:t>complex</w:t>
      </w:r>
      <w:r>
        <w:rPr>
          <w:rFonts w:ascii="Arial" w:hAnsi="Arial" w:cs="Arial"/>
          <w:iCs/>
          <w:sz w:val="24"/>
          <w:szCs w:val="24"/>
        </w:rPr>
        <w:t xml:space="preserve"> vulnerabilities, particularly in the context of a tenancy agreement that represents an inherent and </w:t>
      </w:r>
      <w:r w:rsidR="00104500">
        <w:rPr>
          <w:rFonts w:ascii="Arial" w:hAnsi="Arial" w:cs="Arial"/>
          <w:iCs/>
          <w:sz w:val="24"/>
          <w:szCs w:val="24"/>
        </w:rPr>
        <w:t>significant</w:t>
      </w:r>
      <w:r>
        <w:rPr>
          <w:rFonts w:ascii="Arial" w:hAnsi="Arial" w:cs="Arial"/>
          <w:iCs/>
          <w:sz w:val="24"/>
          <w:szCs w:val="24"/>
        </w:rPr>
        <w:t xml:space="preserve"> power imbalance. In recognition of this, this Bill introduces </w:t>
      </w:r>
      <w:r w:rsidR="00104500">
        <w:rPr>
          <w:rFonts w:ascii="Arial" w:hAnsi="Arial" w:cs="Arial"/>
          <w:iCs/>
          <w:sz w:val="24"/>
          <w:szCs w:val="24"/>
        </w:rPr>
        <w:t xml:space="preserve">several </w:t>
      </w:r>
      <w:r>
        <w:rPr>
          <w:rFonts w:ascii="Arial" w:hAnsi="Arial" w:cs="Arial"/>
          <w:iCs/>
          <w:sz w:val="24"/>
          <w:szCs w:val="24"/>
        </w:rPr>
        <w:t xml:space="preserve">safeguards to ensure that the new termination provisions are construed narrowly and </w:t>
      </w:r>
      <w:r w:rsidR="00104500">
        <w:rPr>
          <w:rFonts w:ascii="Arial" w:hAnsi="Arial" w:cs="Arial"/>
          <w:iCs/>
          <w:sz w:val="24"/>
          <w:szCs w:val="24"/>
        </w:rPr>
        <w:t xml:space="preserve">are </w:t>
      </w:r>
      <w:r>
        <w:rPr>
          <w:rFonts w:ascii="Arial" w:hAnsi="Arial" w:cs="Arial"/>
          <w:iCs/>
          <w:sz w:val="24"/>
          <w:szCs w:val="24"/>
        </w:rPr>
        <w:t>only used as intended.</w:t>
      </w:r>
    </w:p>
    <w:p w14:paraId="01857407" w14:textId="404F546E" w:rsidR="00847980" w:rsidRDefault="00847980" w:rsidP="002B23A0">
      <w:pPr>
        <w:rPr>
          <w:rFonts w:ascii="Arial" w:hAnsi="Arial" w:cs="Arial"/>
          <w:iCs/>
          <w:sz w:val="24"/>
          <w:szCs w:val="24"/>
        </w:rPr>
      </w:pPr>
      <w:r>
        <w:rPr>
          <w:rFonts w:ascii="Arial" w:hAnsi="Arial" w:cs="Arial"/>
          <w:iCs/>
          <w:sz w:val="24"/>
          <w:szCs w:val="24"/>
        </w:rPr>
        <w:t>ACAT’s discretion under section 47 is unconfined (except in so far as there is an implied limitation on the factors ACAT may consider having regard to the language, purpose and scope of the RTA). However, it is acknowledged that by introducing specific termination provisions, which apply in narrowly defined circumstances and explicitly contemplate scenarios in which a public or community housing lessor may legitimately need to terminate a tenancy to support the administrative management of a housing assistance program, there is a risk that ACAT may narrow the prevailing interpretation of its discretion.</w:t>
      </w:r>
    </w:p>
    <w:p w14:paraId="6DB8971B" w14:textId="71DCA3A1" w:rsidR="00847980" w:rsidRDefault="0026768C" w:rsidP="00847980">
      <w:pPr>
        <w:rPr>
          <w:rFonts w:ascii="Arial" w:hAnsi="Arial" w:cs="Arial"/>
          <w:iCs/>
          <w:sz w:val="24"/>
          <w:szCs w:val="24"/>
        </w:rPr>
      </w:pPr>
      <w:r>
        <w:rPr>
          <w:rFonts w:ascii="Arial" w:hAnsi="Arial" w:cs="Arial"/>
          <w:iCs/>
          <w:sz w:val="24"/>
          <w:szCs w:val="24"/>
        </w:rPr>
        <w:t>To this end</w:t>
      </w:r>
      <w:r w:rsidR="00480D5F">
        <w:rPr>
          <w:rFonts w:ascii="Arial" w:hAnsi="Arial" w:cs="Arial"/>
          <w:iCs/>
          <w:sz w:val="24"/>
          <w:szCs w:val="24"/>
        </w:rPr>
        <w:t xml:space="preserve">, </w:t>
      </w:r>
      <w:r>
        <w:rPr>
          <w:rFonts w:ascii="Arial" w:hAnsi="Arial" w:cs="Arial"/>
          <w:iCs/>
          <w:sz w:val="24"/>
          <w:szCs w:val="24"/>
        </w:rPr>
        <w:t>c</w:t>
      </w:r>
      <w:r w:rsidR="00780795">
        <w:rPr>
          <w:rFonts w:ascii="Arial" w:hAnsi="Arial" w:cs="Arial"/>
          <w:sz w:val="24"/>
          <w:szCs w:val="24"/>
        </w:rPr>
        <w:t xml:space="preserve">lause </w:t>
      </w:r>
      <w:r w:rsidR="00A91473" w:rsidRPr="00F6657C">
        <w:rPr>
          <w:rFonts w:ascii="Arial" w:hAnsi="Arial" w:cs="Arial"/>
          <w:sz w:val="24"/>
          <w:szCs w:val="24"/>
        </w:rPr>
        <w:t>21</w:t>
      </w:r>
      <w:r w:rsidR="00780795">
        <w:rPr>
          <w:rFonts w:ascii="Arial" w:hAnsi="Arial" w:cs="Arial"/>
          <w:sz w:val="24"/>
          <w:szCs w:val="24"/>
        </w:rPr>
        <w:t xml:space="preserve"> substitutes section 47 </w:t>
      </w:r>
      <w:r w:rsidR="00847980">
        <w:rPr>
          <w:rFonts w:ascii="Arial" w:hAnsi="Arial" w:cs="Arial"/>
          <w:iCs/>
          <w:sz w:val="24"/>
          <w:szCs w:val="24"/>
        </w:rPr>
        <w:t>provides that where an application relates to a public housing, community housing, subsidised housing or temporary housing assistance termination clause, ACAT may only make a TPO if it is satisfied that the termination</w:t>
      </w:r>
      <w:r w:rsidR="00F6657C">
        <w:rPr>
          <w:rFonts w:ascii="Arial" w:hAnsi="Arial" w:cs="Arial"/>
          <w:iCs/>
          <w:sz w:val="24"/>
          <w:szCs w:val="24"/>
        </w:rPr>
        <w:t xml:space="preserve"> is</w:t>
      </w:r>
      <w:r w:rsidR="00847980">
        <w:rPr>
          <w:rFonts w:ascii="Arial" w:hAnsi="Arial" w:cs="Arial"/>
          <w:iCs/>
          <w:sz w:val="24"/>
          <w:szCs w:val="24"/>
        </w:rPr>
        <w:t xml:space="preserve"> reasonable and proportionate in the circumstances of each case. </w:t>
      </w:r>
    </w:p>
    <w:p w14:paraId="1ECB4C42" w14:textId="3B66B24E" w:rsidR="00D44BBC" w:rsidRDefault="0026768C" w:rsidP="002B23A0">
      <w:pPr>
        <w:rPr>
          <w:rFonts w:ascii="Arial" w:hAnsi="Arial" w:cs="Arial"/>
          <w:sz w:val="24"/>
          <w:szCs w:val="24"/>
        </w:rPr>
      </w:pPr>
      <w:r>
        <w:rPr>
          <w:rFonts w:ascii="Arial" w:hAnsi="Arial" w:cs="Arial"/>
          <w:sz w:val="24"/>
          <w:szCs w:val="24"/>
        </w:rPr>
        <w:t xml:space="preserve">In assessing whether a termination is reasonable and proportionate, </w:t>
      </w:r>
      <w:r w:rsidR="007D11D9">
        <w:rPr>
          <w:rFonts w:ascii="Arial" w:hAnsi="Arial" w:cs="Arial"/>
          <w:sz w:val="24"/>
          <w:szCs w:val="24"/>
        </w:rPr>
        <w:t xml:space="preserve">ACAT must consider the following: (i) the history and length of the tenancy; (ii) the functions of the lessor in providing public or subsidised housing; (iii) the conduct of the </w:t>
      </w:r>
      <w:r w:rsidR="00D72DDB">
        <w:rPr>
          <w:rFonts w:ascii="Arial" w:hAnsi="Arial" w:cs="Arial"/>
          <w:sz w:val="24"/>
          <w:szCs w:val="24"/>
        </w:rPr>
        <w:t>tenant, lessor or owner</w:t>
      </w:r>
      <w:r w:rsidR="007D11D9">
        <w:rPr>
          <w:rFonts w:ascii="Arial" w:hAnsi="Arial" w:cs="Arial"/>
          <w:sz w:val="24"/>
          <w:szCs w:val="24"/>
        </w:rPr>
        <w:t xml:space="preserve"> in relation to matters that are relevant to the notice for termination </w:t>
      </w:r>
      <w:r w:rsidR="007D11D9">
        <w:rPr>
          <w:rFonts w:ascii="Arial" w:hAnsi="Arial" w:cs="Arial"/>
          <w:sz w:val="24"/>
          <w:szCs w:val="24"/>
        </w:rPr>
        <w:lastRenderedPageBreak/>
        <w:t>being served on the tenant; (iv) any hardship that the tenant will, or is likely to suffer if the residential tenancy agreement is terminated (including financial hardship, difficulties in finding alternative accommodation, any risk of the tenant experiencing a prolonged period of homelessness</w:t>
      </w:r>
      <w:r w:rsidR="00D44BBC">
        <w:rPr>
          <w:rFonts w:ascii="Arial" w:hAnsi="Arial" w:cs="Arial"/>
          <w:sz w:val="24"/>
          <w:szCs w:val="24"/>
        </w:rPr>
        <w:t xml:space="preserve"> and impacts on the tenant’s physical or mental health</w:t>
      </w:r>
      <w:r w:rsidR="007D11D9">
        <w:rPr>
          <w:rFonts w:ascii="Arial" w:hAnsi="Arial" w:cs="Arial"/>
          <w:sz w:val="24"/>
          <w:szCs w:val="24"/>
        </w:rPr>
        <w:t xml:space="preserve">); (v) </w:t>
      </w:r>
      <w:r w:rsidR="00D44BBC">
        <w:rPr>
          <w:rFonts w:ascii="Arial" w:hAnsi="Arial" w:cs="Arial"/>
          <w:sz w:val="24"/>
          <w:szCs w:val="24"/>
        </w:rPr>
        <w:t>any other matters the ACAT considers relevant.</w:t>
      </w:r>
    </w:p>
    <w:p w14:paraId="7E3082E4" w14:textId="2F24EEBD" w:rsidR="00D44BBC" w:rsidRDefault="007D11D9" w:rsidP="002B23A0">
      <w:pPr>
        <w:rPr>
          <w:rFonts w:ascii="Arial" w:hAnsi="Arial" w:cs="Arial"/>
          <w:sz w:val="24"/>
          <w:szCs w:val="24"/>
        </w:rPr>
      </w:pPr>
      <w:r>
        <w:rPr>
          <w:rFonts w:ascii="Arial" w:hAnsi="Arial" w:cs="Arial"/>
          <w:sz w:val="24"/>
          <w:szCs w:val="24"/>
        </w:rPr>
        <w:t xml:space="preserve">In practice, this empowers ACAT to </w:t>
      </w:r>
      <w:r w:rsidR="00104500">
        <w:rPr>
          <w:rFonts w:ascii="Arial" w:hAnsi="Arial" w:cs="Arial"/>
          <w:sz w:val="24"/>
          <w:szCs w:val="24"/>
        </w:rPr>
        <w:t>refuse</w:t>
      </w:r>
      <w:r>
        <w:rPr>
          <w:rFonts w:ascii="Arial" w:hAnsi="Arial" w:cs="Arial"/>
          <w:sz w:val="24"/>
          <w:szCs w:val="24"/>
        </w:rPr>
        <w:t xml:space="preserve"> to grant a TPO even where the grounds for termination for a </w:t>
      </w:r>
      <w:r w:rsidR="006A6856">
        <w:rPr>
          <w:rFonts w:ascii="Arial" w:hAnsi="Arial" w:cs="Arial"/>
          <w:sz w:val="24"/>
          <w:szCs w:val="24"/>
        </w:rPr>
        <w:t xml:space="preserve">community housing, </w:t>
      </w:r>
      <w:r>
        <w:rPr>
          <w:rFonts w:ascii="Arial" w:hAnsi="Arial" w:cs="Arial"/>
          <w:sz w:val="24"/>
          <w:szCs w:val="24"/>
        </w:rPr>
        <w:t>public housing, subsidised accommodation or temporary housing assistance tenancy agreement</w:t>
      </w:r>
      <w:r w:rsidR="00104500">
        <w:rPr>
          <w:rFonts w:ascii="Arial" w:hAnsi="Arial" w:cs="Arial"/>
          <w:sz w:val="24"/>
          <w:szCs w:val="24"/>
        </w:rPr>
        <w:t>,</w:t>
      </w:r>
      <w:r>
        <w:rPr>
          <w:rFonts w:ascii="Arial" w:hAnsi="Arial" w:cs="Arial"/>
          <w:sz w:val="24"/>
          <w:szCs w:val="24"/>
        </w:rPr>
        <w:t xml:space="preserve"> have been established</w:t>
      </w:r>
      <w:r w:rsidR="00104500">
        <w:rPr>
          <w:rFonts w:ascii="Arial" w:hAnsi="Arial" w:cs="Arial"/>
          <w:sz w:val="24"/>
          <w:szCs w:val="24"/>
        </w:rPr>
        <w:t>,</w:t>
      </w:r>
      <w:r w:rsidR="0026768C">
        <w:rPr>
          <w:rFonts w:ascii="Arial" w:hAnsi="Arial" w:cs="Arial"/>
          <w:sz w:val="24"/>
          <w:szCs w:val="24"/>
        </w:rPr>
        <w:t xml:space="preserve"> on the basis that termination is not reasonable and proportionate </w:t>
      </w:r>
      <w:r w:rsidR="00D72DDB">
        <w:rPr>
          <w:rFonts w:ascii="Arial" w:hAnsi="Arial" w:cs="Arial"/>
          <w:sz w:val="24"/>
          <w:szCs w:val="24"/>
        </w:rPr>
        <w:t>in the circumstances</w:t>
      </w:r>
      <w:r w:rsidR="00104500">
        <w:rPr>
          <w:rFonts w:ascii="Arial" w:hAnsi="Arial" w:cs="Arial"/>
          <w:sz w:val="24"/>
          <w:szCs w:val="24"/>
        </w:rPr>
        <w:t>.</w:t>
      </w:r>
    </w:p>
    <w:p w14:paraId="67859D48" w14:textId="045CD0C1" w:rsidR="00430A0A" w:rsidRPr="0086361B" w:rsidRDefault="0086361B" w:rsidP="002B23A0">
      <w:pPr>
        <w:rPr>
          <w:rFonts w:ascii="Arial" w:hAnsi="Arial" w:cs="Arial"/>
          <w:sz w:val="24"/>
          <w:szCs w:val="24"/>
        </w:rPr>
      </w:pPr>
      <w:r>
        <w:rPr>
          <w:rFonts w:ascii="Arial" w:hAnsi="Arial" w:cs="Arial"/>
          <w:sz w:val="24"/>
          <w:szCs w:val="24"/>
        </w:rPr>
        <w:t xml:space="preserve">This clause also introduces </w:t>
      </w:r>
      <w:r w:rsidR="00D72DDB">
        <w:rPr>
          <w:rFonts w:ascii="Arial" w:hAnsi="Arial" w:cs="Arial"/>
          <w:b/>
          <w:bCs/>
          <w:i/>
          <w:iCs/>
          <w:sz w:val="24"/>
          <w:szCs w:val="24"/>
        </w:rPr>
        <w:t xml:space="preserve">community housing provider termination clause, </w:t>
      </w:r>
      <w:r>
        <w:rPr>
          <w:rFonts w:ascii="Arial" w:hAnsi="Arial" w:cs="Arial"/>
          <w:b/>
          <w:bCs/>
          <w:i/>
          <w:iCs/>
          <w:sz w:val="24"/>
          <w:szCs w:val="24"/>
        </w:rPr>
        <w:t>public housing termination clause</w:t>
      </w:r>
      <w:r>
        <w:rPr>
          <w:rFonts w:ascii="Arial" w:hAnsi="Arial" w:cs="Arial"/>
          <w:sz w:val="24"/>
          <w:szCs w:val="24"/>
        </w:rPr>
        <w:t xml:space="preserve">, </w:t>
      </w:r>
      <w:r>
        <w:rPr>
          <w:rFonts w:ascii="Arial" w:hAnsi="Arial" w:cs="Arial"/>
          <w:b/>
          <w:bCs/>
          <w:i/>
          <w:iCs/>
          <w:sz w:val="24"/>
          <w:szCs w:val="24"/>
        </w:rPr>
        <w:t xml:space="preserve">subsidised accommodation clauses, </w:t>
      </w:r>
      <w:r>
        <w:rPr>
          <w:rFonts w:ascii="Arial" w:hAnsi="Arial" w:cs="Arial"/>
          <w:sz w:val="24"/>
          <w:szCs w:val="24"/>
        </w:rPr>
        <w:t xml:space="preserve">and </w:t>
      </w:r>
      <w:r>
        <w:rPr>
          <w:rFonts w:ascii="Arial" w:hAnsi="Arial" w:cs="Arial"/>
          <w:b/>
          <w:bCs/>
          <w:i/>
          <w:iCs/>
          <w:sz w:val="24"/>
          <w:szCs w:val="24"/>
        </w:rPr>
        <w:t xml:space="preserve">temporary housing assistance termination clauses </w:t>
      </w:r>
      <w:r>
        <w:rPr>
          <w:rFonts w:ascii="Arial" w:hAnsi="Arial" w:cs="Arial"/>
          <w:sz w:val="24"/>
          <w:szCs w:val="24"/>
        </w:rPr>
        <w:t>as defined terms for the purposes of this section.</w:t>
      </w:r>
      <w:r w:rsidR="0023096D">
        <w:rPr>
          <w:rFonts w:ascii="Arial" w:hAnsi="Arial" w:cs="Arial"/>
          <w:sz w:val="24"/>
          <w:szCs w:val="24"/>
        </w:rPr>
        <w:t xml:space="preserve"> </w:t>
      </w:r>
      <w:r w:rsidR="00430A0A">
        <w:rPr>
          <w:rFonts w:ascii="Arial" w:hAnsi="Arial" w:cs="Arial"/>
          <w:sz w:val="24"/>
          <w:szCs w:val="24"/>
        </w:rPr>
        <w:t>Each of the</w:t>
      </w:r>
      <w:r w:rsidR="0023096D">
        <w:rPr>
          <w:rFonts w:ascii="Arial" w:hAnsi="Arial" w:cs="Arial"/>
          <w:sz w:val="24"/>
          <w:szCs w:val="24"/>
        </w:rPr>
        <w:t xml:space="preserve">se </w:t>
      </w:r>
      <w:r w:rsidR="00430A0A">
        <w:rPr>
          <w:rFonts w:ascii="Arial" w:hAnsi="Arial" w:cs="Arial"/>
          <w:sz w:val="24"/>
          <w:szCs w:val="24"/>
        </w:rPr>
        <w:t xml:space="preserve">terms </w:t>
      </w:r>
      <w:r w:rsidR="0023096D">
        <w:rPr>
          <w:rFonts w:ascii="Arial" w:hAnsi="Arial" w:cs="Arial"/>
          <w:sz w:val="24"/>
          <w:szCs w:val="24"/>
        </w:rPr>
        <w:t>is</w:t>
      </w:r>
      <w:r w:rsidR="00430A0A">
        <w:rPr>
          <w:rFonts w:ascii="Arial" w:hAnsi="Arial" w:cs="Arial"/>
          <w:sz w:val="24"/>
          <w:szCs w:val="24"/>
        </w:rPr>
        <w:t xml:space="preserve"> defined by </w:t>
      </w:r>
      <w:r w:rsidR="0023096D">
        <w:rPr>
          <w:rFonts w:ascii="Arial" w:hAnsi="Arial" w:cs="Arial"/>
          <w:sz w:val="24"/>
          <w:szCs w:val="24"/>
        </w:rPr>
        <w:t>director</w:t>
      </w:r>
      <w:r w:rsidR="00430A0A">
        <w:rPr>
          <w:rFonts w:ascii="Arial" w:hAnsi="Arial" w:cs="Arial"/>
          <w:sz w:val="24"/>
          <w:szCs w:val="24"/>
        </w:rPr>
        <w:t xml:space="preserve"> the reader to section 8 (4) of the RTA</w:t>
      </w:r>
      <w:r w:rsidR="0023096D">
        <w:rPr>
          <w:rFonts w:ascii="Arial" w:hAnsi="Arial" w:cs="Arial"/>
          <w:sz w:val="24"/>
          <w:szCs w:val="24"/>
        </w:rPr>
        <w:t xml:space="preserve"> (</w:t>
      </w:r>
      <w:r w:rsidR="0023096D" w:rsidRPr="00F6657C">
        <w:rPr>
          <w:rFonts w:ascii="Arial" w:hAnsi="Arial" w:cs="Arial"/>
          <w:sz w:val="24"/>
          <w:szCs w:val="24"/>
        </w:rPr>
        <w:t xml:space="preserve">clause </w:t>
      </w:r>
      <w:r w:rsidR="003E782E" w:rsidRPr="00F6657C">
        <w:rPr>
          <w:rFonts w:ascii="Arial" w:hAnsi="Arial" w:cs="Arial"/>
          <w:sz w:val="24"/>
          <w:szCs w:val="24"/>
        </w:rPr>
        <w:t>5</w:t>
      </w:r>
      <w:r w:rsidR="0023096D">
        <w:rPr>
          <w:rFonts w:ascii="Arial" w:hAnsi="Arial" w:cs="Arial"/>
          <w:sz w:val="24"/>
          <w:szCs w:val="24"/>
        </w:rPr>
        <w:t>).</w:t>
      </w:r>
    </w:p>
    <w:p w14:paraId="443FF287" w14:textId="59A1CFAF" w:rsidR="00F408DA" w:rsidRDefault="00F408DA" w:rsidP="002B23A0">
      <w:pPr>
        <w:rPr>
          <w:rFonts w:ascii="Arial" w:hAnsi="Arial" w:cs="Arial"/>
          <w:sz w:val="24"/>
          <w:szCs w:val="24"/>
        </w:rPr>
      </w:pPr>
      <w:r>
        <w:rPr>
          <w:rFonts w:ascii="Arial" w:hAnsi="Arial" w:cs="Arial"/>
          <w:sz w:val="24"/>
          <w:szCs w:val="24"/>
        </w:rPr>
        <w:t xml:space="preserve">It is noted that when ACAT is hearing matters within its residential </w:t>
      </w:r>
      <w:r w:rsidR="001B67D4">
        <w:rPr>
          <w:rFonts w:ascii="Arial" w:hAnsi="Arial" w:cs="Arial"/>
          <w:sz w:val="24"/>
          <w:szCs w:val="24"/>
        </w:rPr>
        <w:t>tenancies’</w:t>
      </w:r>
      <w:r>
        <w:rPr>
          <w:rFonts w:ascii="Arial" w:hAnsi="Arial" w:cs="Arial"/>
          <w:sz w:val="24"/>
          <w:szCs w:val="24"/>
        </w:rPr>
        <w:t xml:space="preserve"> jurisdiction</w:t>
      </w:r>
      <w:r w:rsidR="001B67D4">
        <w:rPr>
          <w:rFonts w:ascii="Arial" w:hAnsi="Arial" w:cs="Arial"/>
          <w:sz w:val="24"/>
          <w:szCs w:val="24"/>
        </w:rPr>
        <w:t xml:space="preserve">, ACAT does </w:t>
      </w:r>
      <w:r w:rsidR="001B67D4" w:rsidRPr="00D4599F">
        <w:rPr>
          <w:rFonts w:ascii="Arial" w:hAnsi="Arial" w:cs="Arial"/>
          <w:sz w:val="24"/>
          <w:szCs w:val="24"/>
        </w:rPr>
        <w:t>not</w:t>
      </w:r>
      <w:r w:rsidR="001B67D4">
        <w:rPr>
          <w:rFonts w:ascii="Arial" w:hAnsi="Arial" w:cs="Arial"/>
          <w:sz w:val="24"/>
          <w:szCs w:val="24"/>
        </w:rPr>
        <w:t xml:space="preserve"> have jurisdiction </w:t>
      </w:r>
      <w:r>
        <w:rPr>
          <w:rFonts w:ascii="Arial" w:hAnsi="Arial" w:cs="Arial"/>
          <w:sz w:val="24"/>
          <w:szCs w:val="24"/>
        </w:rPr>
        <w:t xml:space="preserve">to undertake collateral </w:t>
      </w:r>
      <w:r w:rsidR="001B67D4">
        <w:rPr>
          <w:rFonts w:ascii="Arial" w:hAnsi="Arial" w:cs="Arial"/>
          <w:sz w:val="24"/>
          <w:szCs w:val="24"/>
        </w:rPr>
        <w:t xml:space="preserve">merits </w:t>
      </w:r>
      <w:r>
        <w:rPr>
          <w:rFonts w:ascii="Arial" w:hAnsi="Arial" w:cs="Arial"/>
          <w:sz w:val="24"/>
          <w:szCs w:val="24"/>
        </w:rPr>
        <w:t xml:space="preserve">review of administrative law decisions made the Housing Commissioner. </w:t>
      </w:r>
      <w:r w:rsidR="0042515E" w:rsidRPr="00264F34">
        <w:rPr>
          <w:rFonts w:ascii="Arial" w:hAnsi="Arial" w:cs="Arial"/>
          <w:sz w:val="24"/>
          <w:szCs w:val="24"/>
        </w:rPr>
        <w:t>New subsection 47</w:t>
      </w:r>
      <w:r w:rsidR="00E4084C" w:rsidRPr="00264F34">
        <w:rPr>
          <w:rFonts w:ascii="Arial" w:hAnsi="Arial" w:cs="Arial"/>
          <w:sz w:val="24"/>
          <w:szCs w:val="24"/>
        </w:rPr>
        <w:t xml:space="preserve"> </w:t>
      </w:r>
      <w:r w:rsidR="0042515E" w:rsidRPr="00264F34">
        <w:rPr>
          <w:rFonts w:ascii="Arial" w:hAnsi="Arial" w:cs="Arial"/>
          <w:sz w:val="24"/>
          <w:szCs w:val="24"/>
        </w:rPr>
        <w:t xml:space="preserve">(1A) </w:t>
      </w:r>
      <w:r>
        <w:rPr>
          <w:rFonts w:ascii="Arial" w:hAnsi="Arial" w:cs="Arial"/>
          <w:sz w:val="24"/>
          <w:szCs w:val="24"/>
        </w:rPr>
        <w:t xml:space="preserve">is intended to clarify this. </w:t>
      </w:r>
    </w:p>
    <w:p w14:paraId="324A1551" w14:textId="50965AB7" w:rsidR="002B23A0" w:rsidRDefault="00F408DA" w:rsidP="002B23A0">
      <w:pPr>
        <w:rPr>
          <w:rFonts w:ascii="Arial" w:hAnsi="Arial" w:cs="Arial"/>
          <w:sz w:val="24"/>
          <w:szCs w:val="24"/>
        </w:rPr>
      </w:pPr>
      <w:r>
        <w:rPr>
          <w:rFonts w:ascii="Arial" w:hAnsi="Arial" w:cs="Arial"/>
          <w:sz w:val="24"/>
          <w:szCs w:val="24"/>
        </w:rPr>
        <w:t xml:space="preserve">Specifically, </w:t>
      </w:r>
      <w:r w:rsidR="001B67D4">
        <w:rPr>
          <w:rFonts w:ascii="Arial" w:hAnsi="Arial" w:cs="Arial"/>
          <w:sz w:val="24"/>
          <w:szCs w:val="24"/>
        </w:rPr>
        <w:t>n</w:t>
      </w:r>
      <w:r w:rsidR="002B23A0">
        <w:rPr>
          <w:rFonts w:ascii="Arial" w:hAnsi="Arial" w:cs="Arial"/>
          <w:sz w:val="24"/>
          <w:szCs w:val="24"/>
        </w:rPr>
        <w:t xml:space="preserve">ew section 47(1A) </w:t>
      </w:r>
      <w:r>
        <w:rPr>
          <w:rFonts w:ascii="Arial" w:hAnsi="Arial" w:cs="Arial"/>
          <w:sz w:val="24"/>
          <w:szCs w:val="24"/>
        </w:rPr>
        <w:t>clarifies</w:t>
      </w:r>
      <w:r w:rsidR="002B23A0">
        <w:rPr>
          <w:rFonts w:ascii="Arial" w:hAnsi="Arial" w:cs="Arial"/>
          <w:sz w:val="24"/>
          <w:szCs w:val="24"/>
        </w:rPr>
        <w:t xml:space="preserve"> that when an application is made to the ACAT in relation to a termination notice served in accordance with a</w:t>
      </w:r>
      <w:r w:rsidR="006B0FC2">
        <w:rPr>
          <w:rFonts w:ascii="Arial" w:hAnsi="Arial" w:cs="Arial"/>
          <w:sz w:val="24"/>
          <w:szCs w:val="24"/>
        </w:rPr>
        <w:t xml:space="preserve"> relevant</w:t>
      </w:r>
      <w:r w:rsidR="002B23A0">
        <w:rPr>
          <w:rFonts w:ascii="Arial" w:hAnsi="Arial" w:cs="Arial"/>
          <w:sz w:val="24"/>
          <w:szCs w:val="24"/>
        </w:rPr>
        <w:t xml:space="preserve"> social housing termination clause, the ACAT must not review the </w:t>
      </w:r>
      <w:r w:rsidR="001B67D4">
        <w:rPr>
          <w:rFonts w:ascii="Arial" w:hAnsi="Arial" w:cs="Arial"/>
          <w:sz w:val="24"/>
          <w:szCs w:val="24"/>
        </w:rPr>
        <w:t>H</w:t>
      </w:r>
      <w:r w:rsidR="002B23A0">
        <w:rPr>
          <w:rFonts w:ascii="Arial" w:hAnsi="Arial" w:cs="Arial"/>
          <w:sz w:val="24"/>
          <w:szCs w:val="24"/>
        </w:rPr>
        <w:t xml:space="preserve">ousing </w:t>
      </w:r>
      <w:r w:rsidR="001B67D4">
        <w:rPr>
          <w:rFonts w:ascii="Arial" w:hAnsi="Arial" w:cs="Arial"/>
          <w:sz w:val="24"/>
          <w:szCs w:val="24"/>
        </w:rPr>
        <w:t>C</w:t>
      </w:r>
      <w:r w:rsidR="002B23A0">
        <w:rPr>
          <w:rFonts w:ascii="Arial" w:hAnsi="Arial" w:cs="Arial"/>
          <w:sz w:val="24"/>
          <w:szCs w:val="24"/>
        </w:rPr>
        <w:t>ommissioner</w:t>
      </w:r>
      <w:r w:rsidR="001B67D4">
        <w:rPr>
          <w:rFonts w:ascii="Arial" w:hAnsi="Arial" w:cs="Arial"/>
          <w:sz w:val="24"/>
          <w:szCs w:val="24"/>
        </w:rPr>
        <w:t>’</w:t>
      </w:r>
      <w:r w:rsidR="002B23A0">
        <w:rPr>
          <w:rFonts w:ascii="Arial" w:hAnsi="Arial" w:cs="Arial"/>
          <w:sz w:val="24"/>
          <w:szCs w:val="24"/>
        </w:rPr>
        <w:t xml:space="preserve">s reasons for their decision. The reason for this is </w:t>
      </w:r>
      <w:r w:rsidR="006B0FC2">
        <w:rPr>
          <w:rFonts w:ascii="Arial" w:hAnsi="Arial" w:cs="Arial"/>
          <w:sz w:val="24"/>
          <w:szCs w:val="24"/>
        </w:rPr>
        <w:t xml:space="preserve">that </w:t>
      </w:r>
      <w:r w:rsidR="002B23A0">
        <w:rPr>
          <w:rFonts w:ascii="Arial" w:hAnsi="Arial" w:cs="Arial"/>
          <w:sz w:val="24"/>
          <w:szCs w:val="24"/>
        </w:rPr>
        <w:t xml:space="preserve">the ACAT is not permitted to conduct </w:t>
      </w:r>
      <w:r w:rsidR="002B23A0" w:rsidRPr="00785252">
        <w:rPr>
          <w:rFonts w:ascii="Arial" w:hAnsi="Arial" w:cs="Arial"/>
          <w:sz w:val="24"/>
          <w:szCs w:val="24"/>
        </w:rPr>
        <w:t>merits review</w:t>
      </w:r>
      <w:r w:rsidR="00785252">
        <w:rPr>
          <w:rFonts w:ascii="Arial" w:hAnsi="Arial" w:cs="Arial"/>
          <w:sz w:val="24"/>
          <w:szCs w:val="24"/>
        </w:rPr>
        <w:t xml:space="preserve"> of an administrative law decision when sitting in its residential tenancy jurisdiction.</w:t>
      </w:r>
      <w:r w:rsidR="002B23A0">
        <w:rPr>
          <w:rFonts w:ascii="Arial" w:hAnsi="Arial" w:cs="Arial"/>
          <w:sz w:val="24"/>
          <w:szCs w:val="24"/>
        </w:rPr>
        <w:t xml:space="preserve">   </w:t>
      </w:r>
      <w:r w:rsidR="002B23A0" w:rsidRPr="00264F34">
        <w:rPr>
          <w:rFonts w:ascii="Arial" w:hAnsi="Arial" w:cs="Arial"/>
          <w:sz w:val="24"/>
          <w:szCs w:val="24"/>
        </w:rPr>
        <w:t xml:space="preserve"> </w:t>
      </w:r>
    </w:p>
    <w:p w14:paraId="0A4C47EF" w14:textId="1CD58B37" w:rsidR="00085D07" w:rsidRDefault="001B67D4" w:rsidP="002B23A0">
      <w:pPr>
        <w:rPr>
          <w:rFonts w:ascii="Arial" w:hAnsi="Arial" w:cs="Arial"/>
          <w:sz w:val="24"/>
          <w:szCs w:val="24"/>
        </w:rPr>
      </w:pPr>
      <w:r>
        <w:rPr>
          <w:rFonts w:ascii="Arial" w:hAnsi="Arial" w:cs="Arial"/>
          <w:sz w:val="24"/>
          <w:szCs w:val="24"/>
        </w:rPr>
        <w:t xml:space="preserve">However, it is also noted that section 40C (2) (b) of the HRA allows a person to bring a claim that a public authority has acted in </w:t>
      </w:r>
      <w:r w:rsidR="00785252">
        <w:rPr>
          <w:rFonts w:ascii="Arial" w:hAnsi="Arial" w:cs="Arial"/>
          <w:sz w:val="24"/>
          <w:szCs w:val="24"/>
        </w:rPr>
        <w:t xml:space="preserve">contravention of its obligations under section 40B of the </w:t>
      </w:r>
      <w:r w:rsidR="006B0FC2" w:rsidRPr="00D23FC1">
        <w:rPr>
          <w:rFonts w:ascii="Arial" w:hAnsi="Arial" w:cs="Arial"/>
          <w:i/>
          <w:iCs/>
          <w:sz w:val="24"/>
          <w:szCs w:val="24"/>
        </w:rPr>
        <w:t>Human Rights Act 2004</w:t>
      </w:r>
      <w:r w:rsidR="006B0FC2">
        <w:rPr>
          <w:rFonts w:ascii="Arial" w:hAnsi="Arial" w:cs="Arial"/>
          <w:i/>
          <w:iCs/>
          <w:sz w:val="24"/>
          <w:szCs w:val="24"/>
        </w:rPr>
        <w:t xml:space="preserve"> </w:t>
      </w:r>
      <w:r w:rsidR="006B0FC2" w:rsidRPr="00D4599F">
        <w:rPr>
          <w:rFonts w:ascii="Arial" w:hAnsi="Arial" w:cs="Arial"/>
          <w:sz w:val="24"/>
          <w:szCs w:val="24"/>
        </w:rPr>
        <w:t>(</w:t>
      </w:r>
      <w:r w:rsidR="00785252" w:rsidRPr="00D4599F">
        <w:rPr>
          <w:rFonts w:ascii="Arial" w:hAnsi="Arial" w:cs="Arial"/>
          <w:b/>
          <w:bCs/>
          <w:sz w:val="24"/>
          <w:szCs w:val="24"/>
        </w:rPr>
        <w:t>HRA</w:t>
      </w:r>
      <w:r w:rsidR="006B0FC2">
        <w:rPr>
          <w:rFonts w:ascii="Arial" w:hAnsi="Arial" w:cs="Arial"/>
          <w:sz w:val="24"/>
          <w:szCs w:val="24"/>
        </w:rPr>
        <w:t>)</w:t>
      </w:r>
      <w:r>
        <w:rPr>
          <w:rFonts w:ascii="Arial" w:hAnsi="Arial" w:cs="Arial"/>
          <w:sz w:val="24"/>
          <w:szCs w:val="24"/>
        </w:rPr>
        <w:t xml:space="preserve"> </w:t>
      </w:r>
      <w:r w:rsidR="00785252">
        <w:rPr>
          <w:rFonts w:ascii="Arial" w:hAnsi="Arial" w:cs="Arial"/>
          <w:sz w:val="24"/>
          <w:szCs w:val="24"/>
        </w:rPr>
        <w:t>when legal proceedings (unrelated to a human rights claim) are on foot. The Housing Commissioner is a public authority for the purposes of section 40B of the HRA.</w:t>
      </w:r>
    </w:p>
    <w:p w14:paraId="342F492D" w14:textId="068D2240" w:rsidR="00D7389D" w:rsidRPr="00264F34" w:rsidRDefault="00D7389D" w:rsidP="002B23A0">
      <w:pPr>
        <w:rPr>
          <w:rFonts w:ascii="Arial" w:eastAsiaTheme="majorEastAsia" w:hAnsi="Arial" w:cs="Arial"/>
          <w:b/>
          <w:sz w:val="24"/>
          <w:szCs w:val="24"/>
        </w:rPr>
      </w:pPr>
      <w:r w:rsidRPr="008A7925">
        <w:rPr>
          <w:rFonts w:ascii="Arial" w:eastAsiaTheme="majorEastAsia" w:hAnsi="Arial" w:cs="Arial"/>
          <w:b/>
          <w:sz w:val="24"/>
          <w:szCs w:val="24"/>
        </w:rPr>
        <w:t xml:space="preserve">Clause </w:t>
      </w:r>
      <w:r w:rsidR="009C01DA">
        <w:rPr>
          <w:rFonts w:ascii="Arial" w:eastAsiaTheme="majorEastAsia" w:hAnsi="Arial" w:cs="Arial"/>
          <w:b/>
          <w:sz w:val="24"/>
          <w:szCs w:val="24"/>
        </w:rPr>
        <w:t>22</w:t>
      </w:r>
      <w:r w:rsidRPr="008A7925">
        <w:rPr>
          <w:rFonts w:ascii="Arial" w:eastAsiaTheme="majorEastAsia" w:hAnsi="Arial" w:cs="Arial"/>
          <w:b/>
          <w:sz w:val="24"/>
          <w:szCs w:val="24"/>
        </w:rPr>
        <w:tab/>
        <w:t>New section 51A</w:t>
      </w:r>
    </w:p>
    <w:p w14:paraId="0D6731D6" w14:textId="0D7483A5" w:rsidR="00790D07" w:rsidRPr="00264F34" w:rsidRDefault="00B910FD" w:rsidP="0088335E">
      <w:pPr>
        <w:rPr>
          <w:rFonts w:ascii="Arial" w:hAnsi="Arial" w:cs="Arial"/>
          <w:sz w:val="24"/>
          <w:szCs w:val="24"/>
        </w:rPr>
      </w:pPr>
      <w:r>
        <w:rPr>
          <w:rFonts w:ascii="Arial" w:hAnsi="Arial" w:cs="Arial"/>
          <w:sz w:val="24"/>
          <w:szCs w:val="24"/>
        </w:rPr>
        <w:t xml:space="preserve">This clause inserts new section 51A. </w:t>
      </w:r>
      <w:r w:rsidR="00790D07" w:rsidRPr="00264F34">
        <w:rPr>
          <w:rFonts w:ascii="Arial" w:hAnsi="Arial" w:cs="Arial"/>
          <w:sz w:val="24"/>
          <w:szCs w:val="24"/>
        </w:rPr>
        <w:t>N</w:t>
      </w:r>
      <w:r w:rsidR="00EA5CDB" w:rsidRPr="00264F34">
        <w:rPr>
          <w:rFonts w:ascii="Arial" w:hAnsi="Arial" w:cs="Arial"/>
          <w:sz w:val="24"/>
          <w:szCs w:val="24"/>
        </w:rPr>
        <w:t xml:space="preserve">ew section 51A provides that </w:t>
      </w:r>
      <w:r w:rsidR="00600216">
        <w:rPr>
          <w:rFonts w:ascii="Arial" w:hAnsi="Arial" w:cs="Arial"/>
          <w:sz w:val="24"/>
          <w:szCs w:val="24"/>
        </w:rPr>
        <w:t xml:space="preserve">on application by the lessor, </w:t>
      </w:r>
      <w:r w:rsidR="00EA5CDB" w:rsidRPr="00264F34">
        <w:rPr>
          <w:rFonts w:ascii="Arial" w:hAnsi="Arial" w:cs="Arial"/>
          <w:sz w:val="24"/>
          <w:szCs w:val="24"/>
        </w:rPr>
        <w:t xml:space="preserve">if </w:t>
      </w:r>
      <w:r w:rsidR="00DA32DF">
        <w:rPr>
          <w:rFonts w:ascii="Arial" w:hAnsi="Arial" w:cs="Arial"/>
          <w:sz w:val="24"/>
          <w:szCs w:val="24"/>
        </w:rPr>
        <w:t>ACAT</w:t>
      </w:r>
      <w:r w:rsidR="00EA5CDB" w:rsidRPr="00264F34">
        <w:rPr>
          <w:rFonts w:ascii="Arial" w:hAnsi="Arial" w:cs="Arial"/>
          <w:sz w:val="24"/>
          <w:szCs w:val="24"/>
        </w:rPr>
        <w:t xml:space="preserve"> is satisfied that it is appropriate, it is empowered to make a TPO if </w:t>
      </w:r>
      <w:r w:rsidR="00790D07" w:rsidRPr="00264F34">
        <w:rPr>
          <w:rFonts w:ascii="Arial" w:hAnsi="Arial" w:cs="Arial"/>
          <w:sz w:val="24"/>
          <w:szCs w:val="24"/>
        </w:rPr>
        <w:t>a</w:t>
      </w:r>
      <w:r w:rsidR="00EA5CDB" w:rsidRPr="00264F34">
        <w:rPr>
          <w:rFonts w:ascii="Arial" w:hAnsi="Arial" w:cs="Arial"/>
          <w:sz w:val="24"/>
          <w:szCs w:val="24"/>
        </w:rPr>
        <w:t xml:space="preserve"> tenant engages in</w:t>
      </w:r>
      <w:r w:rsidR="00F4356D">
        <w:rPr>
          <w:rFonts w:ascii="Arial" w:hAnsi="Arial" w:cs="Arial"/>
          <w:sz w:val="24"/>
          <w:szCs w:val="24"/>
        </w:rPr>
        <w:t xml:space="preserve"> behaviour that is, or </w:t>
      </w:r>
      <w:r w:rsidR="006D2698">
        <w:rPr>
          <w:rFonts w:ascii="Arial" w:hAnsi="Arial" w:cs="Arial"/>
          <w:sz w:val="24"/>
          <w:szCs w:val="24"/>
        </w:rPr>
        <w:t>is reasonably likely to be</w:t>
      </w:r>
      <w:r w:rsidR="00F4356D">
        <w:rPr>
          <w:rFonts w:ascii="Arial" w:hAnsi="Arial" w:cs="Arial"/>
          <w:sz w:val="24"/>
          <w:szCs w:val="24"/>
        </w:rPr>
        <w:t xml:space="preserve"> experienced as,</w:t>
      </w:r>
      <w:r w:rsidR="00EA5CDB" w:rsidRPr="00264F34">
        <w:rPr>
          <w:rFonts w:ascii="Arial" w:hAnsi="Arial" w:cs="Arial"/>
          <w:sz w:val="24"/>
          <w:szCs w:val="24"/>
        </w:rPr>
        <w:t xml:space="preserve"> threatening, harassing, intimidating or abusing behaviour</w:t>
      </w:r>
      <w:r w:rsidR="00790D07" w:rsidRPr="00264F34">
        <w:rPr>
          <w:rFonts w:ascii="Arial" w:hAnsi="Arial" w:cs="Arial"/>
          <w:sz w:val="24"/>
          <w:szCs w:val="24"/>
        </w:rPr>
        <w:t xml:space="preserve"> towards a lessor</w:t>
      </w:r>
      <w:r w:rsidR="006D2698">
        <w:rPr>
          <w:rFonts w:ascii="Arial" w:hAnsi="Arial" w:cs="Arial"/>
          <w:sz w:val="24"/>
          <w:szCs w:val="24"/>
        </w:rPr>
        <w:t xml:space="preserve"> or related person.</w:t>
      </w:r>
      <w:r w:rsidR="008A7925">
        <w:rPr>
          <w:rFonts w:ascii="Arial" w:hAnsi="Arial" w:cs="Arial"/>
          <w:sz w:val="24"/>
          <w:szCs w:val="24"/>
        </w:rPr>
        <w:t xml:space="preserve"> </w:t>
      </w:r>
    </w:p>
    <w:p w14:paraId="4D0FC442" w14:textId="4FA8D528" w:rsidR="00790D07" w:rsidRDefault="00790D07" w:rsidP="0088335E">
      <w:pPr>
        <w:rPr>
          <w:rFonts w:ascii="Arial" w:hAnsi="Arial" w:cs="Arial"/>
          <w:sz w:val="24"/>
          <w:szCs w:val="24"/>
        </w:rPr>
      </w:pPr>
      <w:r w:rsidRPr="00264F34">
        <w:rPr>
          <w:rFonts w:ascii="Arial" w:hAnsi="Arial" w:cs="Arial"/>
          <w:sz w:val="24"/>
          <w:szCs w:val="24"/>
        </w:rPr>
        <w:t xml:space="preserve">Further discussion pertaining to the policy objectives of this provision can be found at </w:t>
      </w:r>
      <w:r w:rsidRPr="00B910FD">
        <w:rPr>
          <w:rFonts w:ascii="Arial" w:hAnsi="Arial" w:cs="Arial"/>
          <w:sz w:val="24"/>
          <w:szCs w:val="24"/>
        </w:rPr>
        <w:t>clause</w:t>
      </w:r>
      <w:r w:rsidRPr="00DA32DF">
        <w:rPr>
          <w:rFonts w:ascii="Arial" w:hAnsi="Arial" w:cs="Arial"/>
          <w:sz w:val="24"/>
          <w:szCs w:val="24"/>
        </w:rPr>
        <w:t xml:space="preserve"> 1</w:t>
      </w:r>
      <w:r w:rsidR="00B910FD" w:rsidRPr="00DA32DF">
        <w:rPr>
          <w:rFonts w:ascii="Arial" w:hAnsi="Arial" w:cs="Arial"/>
          <w:sz w:val="24"/>
          <w:szCs w:val="24"/>
        </w:rPr>
        <w:t>5</w:t>
      </w:r>
      <w:r w:rsidR="00884E2F">
        <w:rPr>
          <w:rFonts w:ascii="Arial" w:hAnsi="Arial" w:cs="Arial"/>
          <w:sz w:val="24"/>
          <w:szCs w:val="24"/>
        </w:rPr>
        <w:t>,</w:t>
      </w:r>
      <w:r w:rsidR="00B910FD" w:rsidRPr="00DA32DF">
        <w:rPr>
          <w:rFonts w:ascii="Arial" w:hAnsi="Arial" w:cs="Arial"/>
          <w:sz w:val="24"/>
          <w:szCs w:val="24"/>
        </w:rPr>
        <w:t xml:space="preserve"> </w:t>
      </w:r>
      <w:r w:rsidR="00B910FD" w:rsidRPr="00B910FD">
        <w:rPr>
          <w:rFonts w:ascii="Arial" w:hAnsi="Arial" w:cs="Arial"/>
          <w:sz w:val="24"/>
          <w:szCs w:val="24"/>
        </w:rPr>
        <w:t>which introduces a similar provision that can be utilised by tenants</w:t>
      </w:r>
      <w:r w:rsidRPr="00B910FD">
        <w:rPr>
          <w:rFonts w:ascii="Arial" w:hAnsi="Arial" w:cs="Arial"/>
          <w:sz w:val="24"/>
          <w:szCs w:val="24"/>
        </w:rPr>
        <w:t>.</w:t>
      </w:r>
    </w:p>
    <w:p w14:paraId="7B7C1C95" w14:textId="12F555A7" w:rsidR="00736F80" w:rsidRDefault="00736F80" w:rsidP="00736F80">
      <w:pPr>
        <w:rPr>
          <w:rFonts w:ascii="Arial" w:hAnsi="Arial" w:cs="Arial"/>
          <w:sz w:val="24"/>
          <w:szCs w:val="24"/>
        </w:rPr>
      </w:pPr>
      <w:r w:rsidRPr="009E71D9">
        <w:rPr>
          <w:rFonts w:ascii="Arial" w:hAnsi="Arial" w:cs="Arial"/>
          <w:sz w:val="24"/>
          <w:szCs w:val="24"/>
        </w:rPr>
        <w:lastRenderedPageBreak/>
        <w:t xml:space="preserve">As a matter of procedural fairness, subsection </w:t>
      </w:r>
      <w:r>
        <w:rPr>
          <w:rFonts w:ascii="Arial" w:hAnsi="Arial" w:cs="Arial"/>
          <w:sz w:val="24"/>
          <w:szCs w:val="24"/>
        </w:rPr>
        <w:t>51A (4)</w:t>
      </w:r>
      <w:r w:rsidRPr="009E71D9">
        <w:rPr>
          <w:rFonts w:ascii="Arial" w:hAnsi="Arial" w:cs="Arial"/>
          <w:sz w:val="24"/>
          <w:szCs w:val="24"/>
        </w:rPr>
        <w:t xml:space="preserve"> requires that the </w:t>
      </w:r>
      <w:r>
        <w:rPr>
          <w:rFonts w:ascii="Arial" w:hAnsi="Arial" w:cs="Arial"/>
          <w:sz w:val="24"/>
          <w:szCs w:val="24"/>
        </w:rPr>
        <w:t xml:space="preserve">lessor </w:t>
      </w:r>
      <w:r w:rsidR="00600216">
        <w:rPr>
          <w:rFonts w:ascii="Arial" w:hAnsi="Arial" w:cs="Arial"/>
          <w:sz w:val="24"/>
          <w:szCs w:val="24"/>
        </w:rPr>
        <w:t>provides the tenant with written notice, detailing</w:t>
      </w:r>
      <w:r w:rsidRPr="009E71D9">
        <w:rPr>
          <w:rFonts w:ascii="Arial" w:hAnsi="Arial" w:cs="Arial"/>
          <w:sz w:val="24"/>
          <w:szCs w:val="24"/>
        </w:rPr>
        <w:t xml:space="preserve"> the alleged conduct</w:t>
      </w:r>
      <w:r w:rsidR="00600216">
        <w:rPr>
          <w:rFonts w:ascii="Arial" w:hAnsi="Arial" w:cs="Arial"/>
          <w:sz w:val="24"/>
          <w:szCs w:val="24"/>
        </w:rPr>
        <w:t xml:space="preserve">, </w:t>
      </w:r>
      <w:r w:rsidR="000E1D83">
        <w:rPr>
          <w:rFonts w:ascii="Arial" w:hAnsi="Arial" w:cs="Arial"/>
          <w:sz w:val="24"/>
          <w:szCs w:val="24"/>
        </w:rPr>
        <w:t xml:space="preserve">not later than </w:t>
      </w:r>
      <w:r w:rsidR="006D2698">
        <w:rPr>
          <w:rFonts w:ascii="Arial" w:hAnsi="Arial" w:cs="Arial"/>
          <w:sz w:val="24"/>
          <w:szCs w:val="24"/>
        </w:rPr>
        <w:t>2</w:t>
      </w:r>
      <w:r w:rsidR="000E1D83">
        <w:rPr>
          <w:rFonts w:ascii="Arial" w:hAnsi="Arial" w:cs="Arial"/>
          <w:sz w:val="24"/>
          <w:szCs w:val="24"/>
        </w:rPr>
        <w:t xml:space="preserve"> week before applying to ACAT for an order</w:t>
      </w:r>
      <w:r w:rsidR="00600216">
        <w:rPr>
          <w:rFonts w:ascii="Arial" w:hAnsi="Arial" w:cs="Arial"/>
          <w:sz w:val="24"/>
          <w:szCs w:val="24"/>
        </w:rPr>
        <w:t xml:space="preserve">. This provision also states that </w:t>
      </w:r>
      <w:r w:rsidRPr="009E71D9">
        <w:rPr>
          <w:rFonts w:ascii="Arial" w:hAnsi="Arial" w:cs="Arial"/>
          <w:sz w:val="24"/>
          <w:szCs w:val="24"/>
        </w:rPr>
        <w:t xml:space="preserve">ACAT may not list the matter for hearing until </w:t>
      </w:r>
      <w:r w:rsidR="006D2698">
        <w:rPr>
          <w:rFonts w:ascii="Arial" w:hAnsi="Arial" w:cs="Arial"/>
          <w:sz w:val="24"/>
          <w:szCs w:val="24"/>
        </w:rPr>
        <w:t>21</w:t>
      </w:r>
      <w:r w:rsidRPr="009E71D9">
        <w:rPr>
          <w:rFonts w:ascii="Arial" w:hAnsi="Arial" w:cs="Arial"/>
          <w:sz w:val="24"/>
          <w:szCs w:val="24"/>
        </w:rPr>
        <w:t xml:space="preserve"> days has passed since </w:t>
      </w:r>
      <w:r w:rsidR="00600216">
        <w:rPr>
          <w:rFonts w:ascii="Arial" w:hAnsi="Arial" w:cs="Arial"/>
          <w:sz w:val="24"/>
          <w:szCs w:val="24"/>
        </w:rPr>
        <w:t>appropriate notice has been provided to the tenant.</w:t>
      </w:r>
      <w:r w:rsidRPr="009E71D9">
        <w:rPr>
          <w:rFonts w:ascii="Arial" w:hAnsi="Arial" w:cs="Arial"/>
          <w:sz w:val="24"/>
          <w:szCs w:val="24"/>
        </w:rPr>
        <w:t xml:space="preserve"> </w:t>
      </w:r>
    </w:p>
    <w:p w14:paraId="0861B73E" w14:textId="32E3EEAE" w:rsidR="00AD3DAD" w:rsidRPr="009E71D9" w:rsidRDefault="00AD3DAD" w:rsidP="00736F80">
      <w:pPr>
        <w:rPr>
          <w:rFonts w:ascii="Arial" w:hAnsi="Arial" w:cs="Arial"/>
          <w:sz w:val="24"/>
          <w:szCs w:val="24"/>
        </w:rPr>
      </w:pPr>
      <w:r>
        <w:rPr>
          <w:rFonts w:ascii="Arial" w:hAnsi="Arial" w:cs="Arial"/>
          <w:sz w:val="24"/>
          <w:szCs w:val="24"/>
        </w:rPr>
        <w:t xml:space="preserve">It is noted that the timeframes for notice to the tenant and the date on which ACAT may hear a matter are longer in this section than in 45A. This is in acknowledgement of the differing outcomes for that parties in the exercise of each section.  In section 45A when the tenant relies on the provision, the tenant is choosing to end the tenancy.  However, in s 51A a tenant may have their tenancy ended (against their wishes) in a relatively short timeframe. To increase the protections available to tenants in this circumstance, the timeframes are slightly longer. </w:t>
      </w:r>
    </w:p>
    <w:p w14:paraId="6DF071BD" w14:textId="13C365F0" w:rsidR="00F4356D" w:rsidRPr="00264F34" w:rsidRDefault="009C01DA" w:rsidP="0048099F">
      <w:pPr>
        <w:rPr>
          <w:rFonts w:ascii="Arial" w:hAnsi="Arial" w:cs="Arial"/>
          <w:sz w:val="24"/>
          <w:szCs w:val="24"/>
        </w:rPr>
      </w:pPr>
      <w:r>
        <w:rPr>
          <w:rFonts w:ascii="Arial" w:hAnsi="Arial" w:cs="Arial"/>
          <w:sz w:val="24"/>
          <w:szCs w:val="24"/>
        </w:rPr>
        <w:t>N</w:t>
      </w:r>
      <w:r w:rsidR="00B910FD">
        <w:rPr>
          <w:rFonts w:ascii="Arial" w:hAnsi="Arial" w:cs="Arial"/>
          <w:sz w:val="24"/>
          <w:szCs w:val="24"/>
        </w:rPr>
        <w:t xml:space="preserve">ew </w:t>
      </w:r>
      <w:r w:rsidR="00790D07" w:rsidRPr="00264F34">
        <w:rPr>
          <w:rFonts w:ascii="Arial" w:hAnsi="Arial" w:cs="Arial"/>
          <w:sz w:val="24"/>
          <w:szCs w:val="24"/>
        </w:rPr>
        <w:t>section 51</w:t>
      </w:r>
      <w:r w:rsidR="00B910FD">
        <w:rPr>
          <w:rFonts w:ascii="Arial" w:hAnsi="Arial" w:cs="Arial"/>
          <w:sz w:val="24"/>
          <w:szCs w:val="24"/>
        </w:rPr>
        <w:t xml:space="preserve">A </w:t>
      </w:r>
      <w:r>
        <w:rPr>
          <w:rFonts w:ascii="Arial" w:hAnsi="Arial" w:cs="Arial"/>
          <w:sz w:val="24"/>
          <w:szCs w:val="24"/>
        </w:rPr>
        <w:t xml:space="preserve">also </w:t>
      </w:r>
      <w:r w:rsidR="00B910FD">
        <w:rPr>
          <w:rFonts w:ascii="Arial" w:hAnsi="Arial" w:cs="Arial"/>
          <w:sz w:val="24"/>
          <w:szCs w:val="24"/>
        </w:rPr>
        <w:t>permits</w:t>
      </w:r>
      <w:r w:rsidR="00790D07" w:rsidRPr="00264F34">
        <w:rPr>
          <w:rFonts w:ascii="Arial" w:hAnsi="Arial" w:cs="Arial"/>
          <w:sz w:val="24"/>
          <w:szCs w:val="24"/>
        </w:rPr>
        <w:t xml:space="preserve"> </w:t>
      </w:r>
      <w:r w:rsidR="00DA32DF">
        <w:rPr>
          <w:rFonts w:ascii="Arial" w:hAnsi="Arial" w:cs="Arial"/>
          <w:sz w:val="24"/>
          <w:szCs w:val="24"/>
        </w:rPr>
        <w:t>ACAT</w:t>
      </w:r>
      <w:r w:rsidR="00790D07" w:rsidRPr="00264F34">
        <w:rPr>
          <w:rFonts w:ascii="Arial" w:hAnsi="Arial" w:cs="Arial"/>
          <w:sz w:val="24"/>
          <w:szCs w:val="24"/>
        </w:rPr>
        <w:t xml:space="preserve"> </w:t>
      </w:r>
      <w:r w:rsidR="00B910FD">
        <w:rPr>
          <w:rFonts w:ascii="Arial" w:hAnsi="Arial" w:cs="Arial"/>
          <w:sz w:val="24"/>
          <w:szCs w:val="24"/>
        </w:rPr>
        <w:t xml:space="preserve">to </w:t>
      </w:r>
      <w:r w:rsidR="00F4356D">
        <w:rPr>
          <w:rFonts w:ascii="Arial" w:hAnsi="Arial" w:cs="Arial"/>
          <w:sz w:val="24"/>
          <w:szCs w:val="24"/>
        </w:rPr>
        <w:t xml:space="preserve">suspend the operation of a TPO </w:t>
      </w:r>
      <w:r w:rsidR="00600216">
        <w:rPr>
          <w:rFonts w:ascii="Arial" w:hAnsi="Arial" w:cs="Arial"/>
          <w:sz w:val="24"/>
          <w:szCs w:val="24"/>
        </w:rPr>
        <w:t>made under this section</w:t>
      </w:r>
      <w:r w:rsidR="00F4356D">
        <w:rPr>
          <w:rFonts w:ascii="Arial" w:hAnsi="Arial" w:cs="Arial"/>
          <w:sz w:val="24"/>
          <w:szCs w:val="24"/>
        </w:rPr>
        <w:t xml:space="preserve"> for up to three weeks if it is satisfied that</w:t>
      </w:r>
      <w:r w:rsidR="00600216">
        <w:rPr>
          <w:rFonts w:ascii="Arial" w:hAnsi="Arial" w:cs="Arial"/>
          <w:sz w:val="24"/>
          <w:szCs w:val="24"/>
        </w:rPr>
        <w:t>: (i)</w:t>
      </w:r>
      <w:r w:rsidR="00F4356D">
        <w:rPr>
          <w:rFonts w:ascii="Arial" w:hAnsi="Arial" w:cs="Arial"/>
          <w:sz w:val="24"/>
          <w:szCs w:val="24"/>
        </w:rPr>
        <w:t xml:space="preserve"> the tenant would otherwise suffer significant hardship</w:t>
      </w:r>
      <w:r w:rsidR="00600216">
        <w:rPr>
          <w:rFonts w:ascii="Arial" w:hAnsi="Arial" w:cs="Arial"/>
          <w:sz w:val="24"/>
          <w:szCs w:val="24"/>
        </w:rPr>
        <w:t>;</w:t>
      </w:r>
      <w:r w:rsidR="00F4356D">
        <w:rPr>
          <w:rFonts w:ascii="Arial" w:hAnsi="Arial" w:cs="Arial"/>
          <w:sz w:val="24"/>
          <w:szCs w:val="24"/>
        </w:rPr>
        <w:t xml:space="preserve"> </w:t>
      </w:r>
      <w:r w:rsidR="00600216">
        <w:rPr>
          <w:rFonts w:ascii="Arial" w:hAnsi="Arial" w:cs="Arial"/>
          <w:sz w:val="24"/>
          <w:szCs w:val="24"/>
        </w:rPr>
        <w:t xml:space="preserve">(ii) </w:t>
      </w:r>
      <w:r w:rsidR="00F4356D">
        <w:rPr>
          <w:rFonts w:ascii="Arial" w:hAnsi="Arial" w:cs="Arial"/>
          <w:sz w:val="24"/>
          <w:szCs w:val="24"/>
        </w:rPr>
        <w:t>that hardship would be greater than that suffered by the lessor</w:t>
      </w:r>
      <w:r w:rsidR="00600216">
        <w:rPr>
          <w:rFonts w:ascii="Arial" w:hAnsi="Arial" w:cs="Arial"/>
          <w:sz w:val="24"/>
          <w:szCs w:val="24"/>
        </w:rPr>
        <w:t xml:space="preserve">; and, (iii) </w:t>
      </w:r>
      <w:r w:rsidR="00F4356D">
        <w:rPr>
          <w:rFonts w:ascii="Arial" w:hAnsi="Arial" w:cs="Arial"/>
          <w:sz w:val="24"/>
          <w:szCs w:val="24"/>
        </w:rPr>
        <w:t xml:space="preserve">it is appropriate to </w:t>
      </w:r>
      <w:r w:rsidR="00600216">
        <w:rPr>
          <w:rFonts w:ascii="Arial" w:hAnsi="Arial" w:cs="Arial"/>
          <w:sz w:val="24"/>
          <w:szCs w:val="24"/>
        </w:rPr>
        <w:t>do so.</w:t>
      </w:r>
    </w:p>
    <w:p w14:paraId="302110C1" w14:textId="540FA0A2" w:rsidR="00600216" w:rsidRDefault="00EA5CDB" w:rsidP="00600216">
      <w:pPr>
        <w:rPr>
          <w:rFonts w:ascii="Arial" w:hAnsi="Arial" w:cs="Arial"/>
          <w:sz w:val="24"/>
          <w:szCs w:val="24"/>
        </w:rPr>
      </w:pPr>
      <w:r w:rsidRPr="00264F34">
        <w:rPr>
          <w:rFonts w:ascii="Arial" w:hAnsi="Arial" w:cs="Arial"/>
          <w:sz w:val="24"/>
          <w:szCs w:val="24"/>
        </w:rPr>
        <w:t>As with new section 45A</w:t>
      </w:r>
      <w:r w:rsidR="00600216">
        <w:rPr>
          <w:rFonts w:ascii="Arial" w:hAnsi="Arial" w:cs="Arial"/>
          <w:sz w:val="24"/>
          <w:szCs w:val="24"/>
        </w:rPr>
        <w:t xml:space="preserve"> (above)</w:t>
      </w:r>
      <w:r w:rsidRPr="00264F34">
        <w:rPr>
          <w:rFonts w:ascii="Arial" w:hAnsi="Arial" w:cs="Arial"/>
          <w:sz w:val="24"/>
          <w:szCs w:val="24"/>
        </w:rPr>
        <w:t>, to ensure that this new protection for lessors is appropriately balanced, subsection 51A (</w:t>
      </w:r>
      <w:r w:rsidR="00600216">
        <w:rPr>
          <w:rFonts w:ascii="Arial" w:hAnsi="Arial" w:cs="Arial"/>
          <w:sz w:val="24"/>
          <w:szCs w:val="24"/>
        </w:rPr>
        <w:t>7</w:t>
      </w:r>
      <w:r w:rsidRPr="00264F34">
        <w:rPr>
          <w:rFonts w:ascii="Arial" w:hAnsi="Arial" w:cs="Arial"/>
          <w:sz w:val="24"/>
          <w:szCs w:val="24"/>
        </w:rPr>
        <w:t xml:space="preserve">) provides that </w:t>
      </w:r>
      <w:r w:rsidR="00642867">
        <w:rPr>
          <w:rFonts w:ascii="Arial" w:hAnsi="Arial" w:cs="Arial"/>
          <w:sz w:val="24"/>
          <w:szCs w:val="24"/>
        </w:rPr>
        <w:t>ACAT</w:t>
      </w:r>
      <w:r w:rsidRPr="00264F34">
        <w:rPr>
          <w:rFonts w:ascii="Arial" w:hAnsi="Arial" w:cs="Arial"/>
          <w:sz w:val="24"/>
          <w:szCs w:val="24"/>
        </w:rPr>
        <w:t xml:space="preserve"> must consider a </w:t>
      </w:r>
      <w:r w:rsidR="00642867">
        <w:rPr>
          <w:rFonts w:ascii="Arial" w:hAnsi="Arial" w:cs="Arial"/>
          <w:sz w:val="24"/>
          <w:szCs w:val="24"/>
        </w:rPr>
        <w:t xml:space="preserve">range </w:t>
      </w:r>
      <w:r w:rsidRPr="00264F34">
        <w:rPr>
          <w:rFonts w:ascii="Arial" w:hAnsi="Arial" w:cs="Arial"/>
          <w:sz w:val="24"/>
          <w:szCs w:val="24"/>
        </w:rPr>
        <w:t xml:space="preserve">of factors in deciding whether it is appropriate to make a TPO including: </w:t>
      </w:r>
      <w:r w:rsidR="00600216" w:rsidRPr="00264F34">
        <w:rPr>
          <w:rFonts w:ascii="Arial" w:hAnsi="Arial" w:cs="Arial"/>
          <w:sz w:val="24"/>
          <w:szCs w:val="24"/>
        </w:rPr>
        <w:t xml:space="preserve">the nature, frequency and duration of the conduct; </w:t>
      </w:r>
      <w:r w:rsidR="006D2698">
        <w:rPr>
          <w:rFonts w:ascii="Arial" w:hAnsi="Arial" w:cs="Arial"/>
          <w:sz w:val="24"/>
          <w:szCs w:val="24"/>
        </w:rPr>
        <w:t>the circumstances of the conduct, including any behaviour of the lessor or related person</w:t>
      </w:r>
      <w:r w:rsidR="00600216" w:rsidRPr="00264F34">
        <w:rPr>
          <w:rFonts w:ascii="Arial" w:hAnsi="Arial" w:cs="Arial"/>
          <w:sz w:val="24"/>
          <w:szCs w:val="24"/>
        </w:rPr>
        <w:t xml:space="preserve">; </w:t>
      </w:r>
      <w:r w:rsidR="00600216" w:rsidRPr="00F961B8">
        <w:rPr>
          <w:rFonts w:ascii="Arial" w:hAnsi="Arial" w:cs="Arial"/>
          <w:sz w:val="24"/>
          <w:szCs w:val="24"/>
        </w:rPr>
        <w:t xml:space="preserve">whether the conduct is likely to continue; whether the </w:t>
      </w:r>
      <w:r w:rsidR="006D2698">
        <w:rPr>
          <w:rFonts w:ascii="Arial" w:hAnsi="Arial" w:cs="Arial"/>
          <w:sz w:val="24"/>
          <w:szCs w:val="24"/>
        </w:rPr>
        <w:t>tenant</w:t>
      </w:r>
      <w:r w:rsidR="00600216" w:rsidRPr="00F961B8">
        <w:rPr>
          <w:rFonts w:ascii="Arial" w:hAnsi="Arial" w:cs="Arial"/>
          <w:sz w:val="24"/>
          <w:szCs w:val="24"/>
        </w:rPr>
        <w:t xml:space="preserve"> has stopped, or </w:t>
      </w:r>
      <w:r w:rsidR="00600216">
        <w:rPr>
          <w:rFonts w:ascii="Arial" w:hAnsi="Arial" w:cs="Arial"/>
          <w:sz w:val="24"/>
          <w:szCs w:val="24"/>
        </w:rPr>
        <w:t>has agreed</w:t>
      </w:r>
      <w:r w:rsidR="00600216" w:rsidRPr="00F961B8">
        <w:rPr>
          <w:rFonts w:ascii="Arial" w:hAnsi="Arial" w:cs="Arial"/>
          <w:sz w:val="24"/>
          <w:szCs w:val="24"/>
        </w:rPr>
        <w:t xml:space="preserve"> to stop the conduct</w:t>
      </w:r>
      <w:r w:rsidR="00600216">
        <w:rPr>
          <w:rFonts w:ascii="Arial" w:hAnsi="Arial" w:cs="Arial"/>
          <w:sz w:val="24"/>
          <w:szCs w:val="24"/>
        </w:rPr>
        <w:t xml:space="preserve"> (and is likely to do so)</w:t>
      </w:r>
      <w:r w:rsidR="00600216" w:rsidRPr="00264F34">
        <w:rPr>
          <w:rFonts w:ascii="Arial" w:hAnsi="Arial" w:cs="Arial"/>
          <w:sz w:val="24"/>
          <w:szCs w:val="24"/>
        </w:rPr>
        <w:t xml:space="preserve">; any family violence order or protection order made against the </w:t>
      </w:r>
      <w:r w:rsidR="006D2698">
        <w:rPr>
          <w:rFonts w:ascii="Arial" w:hAnsi="Arial" w:cs="Arial"/>
          <w:sz w:val="24"/>
          <w:szCs w:val="24"/>
        </w:rPr>
        <w:t>tenant or another person living at the premises</w:t>
      </w:r>
      <w:r w:rsidR="00600216" w:rsidRPr="00264F34">
        <w:rPr>
          <w:rFonts w:ascii="Arial" w:hAnsi="Arial" w:cs="Arial"/>
          <w:sz w:val="24"/>
          <w:szCs w:val="24"/>
        </w:rPr>
        <w:t xml:space="preserve"> by the Magistrates </w:t>
      </w:r>
      <w:r w:rsidR="006D2698">
        <w:rPr>
          <w:rFonts w:ascii="Arial" w:hAnsi="Arial" w:cs="Arial"/>
          <w:sz w:val="24"/>
          <w:szCs w:val="24"/>
        </w:rPr>
        <w:t>C</w:t>
      </w:r>
      <w:r w:rsidR="00600216" w:rsidRPr="00264F34">
        <w:rPr>
          <w:rFonts w:ascii="Arial" w:hAnsi="Arial" w:cs="Arial"/>
          <w:sz w:val="24"/>
          <w:szCs w:val="24"/>
        </w:rPr>
        <w:t xml:space="preserve">ourt (or any order under a law of a State or a foreign country that has the same effect, or substantially the same effect); the effect of the conduct on the </w:t>
      </w:r>
      <w:r w:rsidR="006D2698">
        <w:rPr>
          <w:rFonts w:ascii="Arial" w:hAnsi="Arial" w:cs="Arial"/>
          <w:sz w:val="24"/>
          <w:szCs w:val="24"/>
        </w:rPr>
        <w:t>lessor</w:t>
      </w:r>
      <w:r w:rsidR="00600216" w:rsidRPr="00264F34">
        <w:rPr>
          <w:rFonts w:ascii="Arial" w:hAnsi="Arial" w:cs="Arial"/>
          <w:sz w:val="24"/>
          <w:szCs w:val="24"/>
        </w:rPr>
        <w:t xml:space="preserve">; whether any other order is reasonably available; and any other matters </w:t>
      </w:r>
      <w:r w:rsidR="00600216">
        <w:rPr>
          <w:rFonts w:ascii="Arial" w:hAnsi="Arial" w:cs="Arial"/>
          <w:sz w:val="24"/>
          <w:szCs w:val="24"/>
        </w:rPr>
        <w:t>ACAT</w:t>
      </w:r>
      <w:r w:rsidR="00600216" w:rsidRPr="00264F34">
        <w:rPr>
          <w:rFonts w:ascii="Arial" w:hAnsi="Arial" w:cs="Arial"/>
          <w:sz w:val="24"/>
          <w:szCs w:val="24"/>
        </w:rPr>
        <w:t xml:space="preserve"> considers relevant</w:t>
      </w:r>
      <w:r w:rsidR="00600216">
        <w:rPr>
          <w:rFonts w:ascii="Arial" w:hAnsi="Arial" w:cs="Arial"/>
          <w:sz w:val="24"/>
          <w:szCs w:val="24"/>
        </w:rPr>
        <w:t>.</w:t>
      </w:r>
    </w:p>
    <w:p w14:paraId="7F8C77AD" w14:textId="77777777" w:rsidR="00600216" w:rsidRDefault="00600216" w:rsidP="00600216">
      <w:pPr>
        <w:rPr>
          <w:rFonts w:ascii="Arial" w:hAnsi="Arial" w:cs="Arial"/>
          <w:sz w:val="24"/>
          <w:szCs w:val="24"/>
        </w:rPr>
      </w:pPr>
      <w:r>
        <w:rPr>
          <w:rFonts w:ascii="Arial" w:hAnsi="Arial" w:cs="Arial"/>
          <w:sz w:val="24"/>
          <w:szCs w:val="24"/>
        </w:rPr>
        <w:t>To assist ACAT in determining whether any other order is reasonably available, this clause provides an example. The example refers the reader to the orders available under section 83, which relevantly include, an order restraining any action in breach of a residential tenancy agreement or occupancy agreement.</w:t>
      </w:r>
      <w:r w:rsidRPr="005C1177">
        <w:rPr>
          <w:rFonts w:ascii="Arial" w:hAnsi="Arial" w:cs="Arial"/>
          <w:sz w:val="24"/>
          <w:szCs w:val="24"/>
        </w:rPr>
        <w:t xml:space="preserve"> </w:t>
      </w:r>
    </w:p>
    <w:p w14:paraId="4AD8378F" w14:textId="77777777" w:rsidR="00600216" w:rsidRDefault="00600216" w:rsidP="00600216">
      <w:pPr>
        <w:rPr>
          <w:rFonts w:ascii="Arial" w:hAnsi="Arial" w:cs="Arial"/>
          <w:sz w:val="24"/>
          <w:szCs w:val="24"/>
        </w:rPr>
      </w:pPr>
      <w:r>
        <w:rPr>
          <w:rFonts w:ascii="Arial" w:hAnsi="Arial" w:cs="Arial"/>
          <w:sz w:val="24"/>
          <w:szCs w:val="24"/>
        </w:rPr>
        <w:t xml:space="preserve">This clause also inserts a note, clarifying that </w:t>
      </w:r>
      <w:r>
        <w:rPr>
          <w:rFonts w:ascii="Arial" w:hAnsi="Arial" w:cs="Arial"/>
          <w:b/>
          <w:bCs/>
          <w:i/>
          <w:iCs/>
          <w:sz w:val="24"/>
          <w:szCs w:val="24"/>
        </w:rPr>
        <w:t>State</w:t>
      </w:r>
      <w:r>
        <w:rPr>
          <w:rFonts w:ascii="Arial" w:hAnsi="Arial" w:cs="Arial"/>
          <w:sz w:val="24"/>
          <w:szCs w:val="24"/>
        </w:rPr>
        <w:t xml:space="preserve">, includes the Northern Territory. The note then refers the reader to the dictionary of the </w:t>
      </w:r>
      <w:r w:rsidRPr="008971E1">
        <w:rPr>
          <w:rFonts w:ascii="Arial" w:hAnsi="Arial" w:cs="Arial"/>
          <w:sz w:val="24"/>
          <w:szCs w:val="24"/>
        </w:rPr>
        <w:t>Legislation Act</w:t>
      </w:r>
      <w:r>
        <w:rPr>
          <w:rFonts w:ascii="Arial" w:hAnsi="Arial" w:cs="Arial"/>
          <w:i/>
          <w:iCs/>
          <w:sz w:val="24"/>
          <w:szCs w:val="24"/>
        </w:rPr>
        <w:t xml:space="preserve">. </w:t>
      </w:r>
      <w:r>
        <w:rPr>
          <w:rFonts w:ascii="Arial" w:hAnsi="Arial" w:cs="Arial"/>
          <w:b/>
          <w:bCs/>
          <w:i/>
          <w:iCs/>
          <w:sz w:val="24"/>
          <w:szCs w:val="24"/>
        </w:rPr>
        <w:t xml:space="preserve"> </w:t>
      </w:r>
      <w:r>
        <w:rPr>
          <w:rFonts w:ascii="Arial" w:hAnsi="Arial" w:cs="Arial"/>
          <w:sz w:val="24"/>
          <w:szCs w:val="24"/>
        </w:rPr>
        <w:t xml:space="preserve"> </w:t>
      </w:r>
    </w:p>
    <w:p w14:paraId="19C3B166" w14:textId="62405B89" w:rsidR="0088335E" w:rsidRPr="00264F34" w:rsidRDefault="0088335E" w:rsidP="0088335E">
      <w:pPr>
        <w:rPr>
          <w:rFonts w:ascii="Arial" w:hAnsi="Arial" w:cs="Arial"/>
          <w:sz w:val="24"/>
          <w:szCs w:val="24"/>
        </w:rPr>
      </w:pPr>
      <w:r w:rsidRPr="00264F34">
        <w:rPr>
          <w:rFonts w:ascii="Arial" w:hAnsi="Arial" w:cs="Arial"/>
          <w:sz w:val="24"/>
          <w:szCs w:val="24"/>
        </w:rPr>
        <w:t xml:space="preserve">This clause also introduces </w:t>
      </w:r>
      <w:r w:rsidRPr="00264F34">
        <w:rPr>
          <w:rFonts w:ascii="Arial" w:hAnsi="Arial" w:cs="Arial"/>
          <w:b/>
          <w:bCs/>
          <w:i/>
          <w:iCs/>
          <w:sz w:val="24"/>
          <w:szCs w:val="24"/>
        </w:rPr>
        <w:t xml:space="preserve">related person </w:t>
      </w:r>
      <w:r w:rsidRPr="00264F34">
        <w:rPr>
          <w:rFonts w:ascii="Arial" w:hAnsi="Arial" w:cs="Arial"/>
          <w:sz w:val="24"/>
          <w:szCs w:val="24"/>
        </w:rPr>
        <w:t>as a defined term for the purposes of new section 51A.</w:t>
      </w:r>
    </w:p>
    <w:p w14:paraId="6DC64A23" w14:textId="77777777" w:rsidR="00266E1F" w:rsidRDefault="0088335E" w:rsidP="0048099F">
      <w:pPr>
        <w:rPr>
          <w:rFonts w:ascii="Arial" w:hAnsi="Arial" w:cs="Arial"/>
          <w:sz w:val="24"/>
          <w:szCs w:val="24"/>
        </w:rPr>
      </w:pPr>
      <w:r w:rsidRPr="00264F34">
        <w:rPr>
          <w:rFonts w:ascii="Arial" w:hAnsi="Arial" w:cs="Arial"/>
          <w:b/>
          <w:bCs/>
          <w:i/>
          <w:iCs/>
          <w:sz w:val="24"/>
          <w:szCs w:val="24"/>
        </w:rPr>
        <w:t xml:space="preserve">Related person </w:t>
      </w:r>
      <w:r w:rsidRPr="00264F34">
        <w:rPr>
          <w:rFonts w:ascii="Arial" w:hAnsi="Arial" w:cs="Arial"/>
          <w:sz w:val="24"/>
          <w:szCs w:val="24"/>
        </w:rPr>
        <w:t>means – (a) an agent or representative of the lessor; (b) a family member of the lessor.</w:t>
      </w:r>
      <w:r w:rsidR="00AD3DAD">
        <w:rPr>
          <w:rFonts w:ascii="Arial" w:hAnsi="Arial" w:cs="Arial"/>
          <w:sz w:val="24"/>
          <w:szCs w:val="24"/>
        </w:rPr>
        <w:t xml:space="preserve"> </w:t>
      </w:r>
    </w:p>
    <w:p w14:paraId="720E75DA" w14:textId="77777777" w:rsidR="00C7610F" w:rsidRDefault="00C7610F" w:rsidP="00C7610F">
      <w:pPr>
        <w:rPr>
          <w:rFonts w:ascii="Arial" w:hAnsi="Arial" w:cs="Arial"/>
          <w:sz w:val="24"/>
          <w:szCs w:val="24"/>
        </w:rPr>
      </w:pPr>
      <w:r>
        <w:rPr>
          <w:rFonts w:ascii="Arial" w:hAnsi="Arial" w:cs="Arial"/>
          <w:sz w:val="24"/>
          <w:szCs w:val="24"/>
        </w:rPr>
        <w:t xml:space="preserve">While ‘family member’ is not a defined term, the intent of the provision is that a ‘family member’ is a person who plays an active role in managing the tenancy that </w:t>
      </w:r>
      <w:r>
        <w:rPr>
          <w:rFonts w:ascii="Arial" w:hAnsi="Arial" w:cs="Arial"/>
          <w:sz w:val="24"/>
          <w:szCs w:val="24"/>
        </w:rPr>
        <w:lastRenderedPageBreak/>
        <w:t>may not necessarily be a formal agent or representative of the lessor, and that this be a relevant consideration for ACAT when determining whether to make any order under this provision.</w:t>
      </w:r>
    </w:p>
    <w:p w14:paraId="031F2C8F" w14:textId="51D7AF80" w:rsidR="00D66CA5" w:rsidRPr="00264F34" w:rsidRDefault="00D66CA5" w:rsidP="00A14120">
      <w:pPr>
        <w:ind w:left="1440" w:hanging="1440"/>
        <w:rPr>
          <w:rFonts w:ascii="Arial" w:eastAsiaTheme="majorEastAsia" w:hAnsi="Arial" w:cs="Arial"/>
          <w:b/>
          <w:sz w:val="24"/>
          <w:szCs w:val="24"/>
        </w:rPr>
      </w:pPr>
      <w:r w:rsidRPr="00642867">
        <w:rPr>
          <w:rFonts w:ascii="Arial" w:eastAsiaTheme="majorEastAsia" w:hAnsi="Arial" w:cs="Arial"/>
          <w:b/>
          <w:sz w:val="24"/>
          <w:szCs w:val="24"/>
        </w:rPr>
        <w:t xml:space="preserve">Clause </w:t>
      </w:r>
      <w:r w:rsidR="00BC08DB">
        <w:rPr>
          <w:rFonts w:ascii="Arial" w:eastAsiaTheme="majorEastAsia" w:hAnsi="Arial" w:cs="Arial"/>
          <w:b/>
          <w:sz w:val="24"/>
          <w:szCs w:val="24"/>
        </w:rPr>
        <w:t>23</w:t>
      </w:r>
      <w:r w:rsidRPr="00642867">
        <w:rPr>
          <w:rFonts w:ascii="Arial" w:eastAsiaTheme="majorEastAsia" w:hAnsi="Arial" w:cs="Arial"/>
          <w:b/>
          <w:sz w:val="24"/>
          <w:szCs w:val="24"/>
        </w:rPr>
        <w:tab/>
      </w:r>
      <w:r w:rsidR="00D7389D" w:rsidRPr="00642867">
        <w:rPr>
          <w:rFonts w:ascii="Arial" w:eastAsiaTheme="majorEastAsia" w:hAnsi="Arial" w:cs="Arial"/>
          <w:b/>
          <w:sz w:val="24"/>
          <w:szCs w:val="24"/>
        </w:rPr>
        <w:t>Section 57</w:t>
      </w:r>
    </w:p>
    <w:p w14:paraId="4C95CCCC" w14:textId="6CDBF154" w:rsidR="008617CA" w:rsidRPr="00264F34" w:rsidRDefault="0066378C" w:rsidP="00C677E6">
      <w:pPr>
        <w:rPr>
          <w:rFonts w:ascii="Arial" w:hAnsi="Arial" w:cs="Arial"/>
          <w:sz w:val="24"/>
          <w:szCs w:val="24"/>
        </w:rPr>
      </w:pPr>
      <w:r w:rsidRPr="00264F34">
        <w:rPr>
          <w:rFonts w:ascii="Arial" w:hAnsi="Arial" w:cs="Arial"/>
          <w:sz w:val="24"/>
          <w:szCs w:val="24"/>
        </w:rPr>
        <w:t xml:space="preserve">This clause </w:t>
      </w:r>
      <w:r w:rsidR="008A7925">
        <w:rPr>
          <w:rFonts w:ascii="Arial" w:hAnsi="Arial" w:cs="Arial"/>
          <w:sz w:val="24"/>
          <w:szCs w:val="24"/>
        </w:rPr>
        <w:t>substitutes</w:t>
      </w:r>
      <w:r w:rsidR="008A7925" w:rsidRPr="00264F34">
        <w:rPr>
          <w:rFonts w:ascii="Arial" w:hAnsi="Arial" w:cs="Arial"/>
          <w:sz w:val="24"/>
          <w:szCs w:val="24"/>
        </w:rPr>
        <w:t xml:space="preserve"> </w:t>
      </w:r>
      <w:r w:rsidR="008A7925">
        <w:rPr>
          <w:rFonts w:ascii="Arial" w:hAnsi="Arial" w:cs="Arial"/>
          <w:sz w:val="24"/>
          <w:szCs w:val="24"/>
        </w:rPr>
        <w:t>section</w:t>
      </w:r>
      <w:r w:rsidRPr="00264F34">
        <w:rPr>
          <w:rFonts w:ascii="Arial" w:hAnsi="Arial" w:cs="Arial"/>
          <w:sz w:val="24"/>
          <w:szCs w:val="24"/>
        </w:rPr>
        <w:t xml:space="preserve"> 57, </w:t>
      </w:r>
      <w:r w:rsidR="00110FB0" w:rsidRPr="00264F34">
        <w:rPr>
          <w:rFonts w:ascii="Arial" w:hAnsi="Arial" w:cs="Arial"/>
          <w:sz w:val="24"/>
          <w:szCs w:val="24"/>
        </w:rPr>
        <w:t>and by doing so,</w:t>
      </w:r>
      <w:r w:rsidRPr="00264F34">
        <w:rPr>
          <w:rFonts w:ascii="Arial" w:hAnsi="Arial" w:cs="Arial"/>
          <w:sz w:val="24"/>
          <w:szCs w:val="24"/>
        </w:rPr>
        <w:t xml:space="preserve"> extend</w:t>
      </w:r>
      <w:r w:rsidR="00110FB0" w:rsidRPr="00264F34">
        <w:rPr>
          <w:rFonts w:ascii="Arial" w:hAnsi="Arial" w:cs="Arial"/>
          <w:sz w:val="24"/>
          <w:szCs w:val="24"/>
        </w:rPr>
        <w:t>s</w:t>
      </w:r>
      <w:r w:rsidRPr="00264F34">
        <w:rPr>
          <w:rFonts w:ascii="Arial" w:hAnsi="Arial" w:cs="Arial"/>
          <w:sz w:val="24"/>
          <w:szCs w:val="24"/>
        </w:rPr>
        <w:t xml:space="preserve"> the circumstances in which </w:t>
      </w:r>
      <w:r w:rsidR="00AE4C00" w:rsidRPr="00264F34">
        <w:rPr>
          <w:rFonts w:ascii="Arial" w:hAnsi="Arial" w:cs="Arial"/>
          <w:sz w:val="24"/>
          <w:szCs w:val="24"/>
        </w:rPr>
        <w:t xml:space="preserve">a lessor’s application </w:t>
      </w:r>
      <w:r w:rsidR="00CD34D0" w:rsidRPr="00264F34">
        <w:rPr>
          <w:rFonts w:ascii="Arial" w:hAnsi="Arial" w:cs="Arial"/>
          <w:sz w:val="24"/>
          <w:szCs w:val="24"/>
        </w:rPr>
        <w:t xml:space="preserve">to </w:t>
      </w:r>
      <w:r w:rsidR="00642867">
        <w:rPr>
          <w:rFonts w:ascii="Arial" w:hAnsi="Arial" w:cs="Arial"/>
          <w:sz w:val="24"/>
          <w:szCs w:val="24"/>
        </w:rPr>
        <w:t xml:space="preserve">ACAT </w:t>
      </w:r>
      <w:r w:rsidR="00AE4C00" w:rsidRPr="00264F34">
        <w:rPr>
          <w:rFonts w:ascii="Arial" w:hAnsi="Arial" w:cs="Arial"/>
          <w:sz w:val="24"/>
          <w:szCs w:val="24"/>
        </w:rPr>
        <w:t xml:space="preserve">for </w:t>
      </w:r>
      <w:r w:rsidR="00642867">
        <w:rPr>
          <w:rFonts w:ascii="Arial" w:hAnsi="Arial" w:cs="Arial"/>
          <w:sz w:val="24"/>
          <w:szCs w:val="24"/>
        </w:rPr>
        <w:t xml:space="preserve">TPO </w:t>
      </w:r>
      <w:r w:rsidRPr="00264F34">
        <w:rPr>
          <w:rFonts w:ascii="Arial" w:hAnsi="Arial" w:cs="Arial"/>
          <w:sz w:val="24"/>
          <w:szCs w:val="24"/>
        </w:rPr>
        <w:t>may be recognised as retaliatory</w:t>
      </w:r>
      <w:r w:rsidR="00642867">
        <w:rPr>
          <w:rFonts w:ascii="Arial" w:hAnsi="Arial" w:cs="Arial"/>
          <w:sz w:val="24"/>
          <w:szCs w:val="24"/>
        </w:rPr>
        <w:t xml:space="preserve">. It is noted that where ACAT finds a TPO application to be retaliatory, ACAT must decline to make the TPO. </w:t>
      </w:r>
    </w:p>
    <w:p w14:paraId="042FF65E" w14:textId="1058D285" w:rsidR="008617CA" w:rsidRDefault="008617CA" w:rsidP="00C677E6">
      <w:pPr>
        <w:rPr>
          <w:rFonts w:ascii="Arial" w:hAnsi="Arial" w:cs="Arial"/>
          <w:sz w:val="24"/>
          <w:szCs w:val="24"/>
        </w:rPr>
      </w:pPr>
      <w:r w:rsidRPr="00264F34">
        <w:rPr>
          <w:rFonts w:ascii="Arial" w:hAnsi="Arial" w:cs="Arial"/>
          <w:sz w:val="24"/>
          <w:szCs w:val="24"/>
        </w:rPr>
        <w:t xml:space="preserve">Currently, </w:t>
      </w:r>
      <w:r w:rsidR="007645BF" w:rsidRPr="00264F34">
        <w:rPr>
          <w:rFonts w:ascii="Arial" w:hAnsi="Arial" w:cs="Arial"/>
          <w:sz w:val="24"/>
          <w:szCs w:val="24"/>
        </w:rPr>
        <w:t xml:space="preserve">if a tenant does not leave their rented premises in line with </w:t>
      </w:r>
      <w:r w:rsidR="00642867">
        <w:rPr>
          <w:rFonts w:ascii="Arial" w:hAnsi="Arial" w:cs="Arial"/>
          <w:sz w:val="24"/>
          <w:szCs w:val="24"/>
        </w:rPr>
        <w:t>NTV</w:t>
      </w:r>
      <w:r w:rsidR="007645BF" w:rsidRPr="00264F34">
        <w:rPr>
          <w:rFonts w:ascii="Arial" w:hAnsi="Arial" w:cs="Arial"/>
          <w:sz w:val="24"/>
          <w:szCs w:val="24"/>
        </w:rPr>
        <w:t xml:space="preserve">, and the lessor applies to </w:t>
      </w:r>
      <w:r w:rsidR="00642867">
        <w:rPr>
          <w:rFonts w:ascii="Arial" w:hAnsi="Arial" w:cs="Arial"/>
          <w:sz w:val="24"/>
          <w:szCs w:val="24"/>
        </w:rPr>
        <w:t>ACAT</w:t>
      </w:r>
      <w:r w:rsidR="007645BF" w:rsidRPr="00264F34">
        <w:rPr>
          <w:rFonts w:ascii="Arial" w:hAnsi="Arial" w:cs="Arial"/>
          <w:sz w:val="24"/>
          <w:szCs w:val="24"/>
        </w:rPr>
        <w:t xml:space="preserve"> for a TPO, the tenant is able to present evidence that they had asserted their rights under the residential tenancy agreement (for example, the tenant had applied to </w:t>
      </w:r>
      <w:r w:rsidR="00DA32DF">
        <w:rPr>
          <w:rFonts w:ascii="Arial" w:hAnsi="Arial" w:cs="Arial"/>
          <w:sz w:val="24"/>
          <w:szCs w:val="24"/>
        </w:rPr>
        <w:t>ACAT</w:t>
      </w:r>
      <w:r w:rsidR="007645BF" w:rsidRPr="00264F34">
        <w:rPr>
          <w:rFonts w:ascii="Arial" w:hAnsi="Arial" w:cs="Arial"/>
          <w:sz w:val="24"/>
          <w:szCs w:val="24"/>
        </w:rPr>
        <w:t xml:space="preserve">) prior to the lessor issuing the NTV. </w:t>
      </w:r>
      <w:r w:rsidR="00DA32DF">
        <w:rPr>
          <w:rFonts w:ascii="Arial" w:hAnsi="Arial" w:cs="Arial"/>
          <w:sz w:val="24"/>
          <w:szCs w:val="24"/>
        </w:rPr>
        <w:t>ACAT</w:t>
      </w:r>
      <w:r w:rsidR="007645BF" w:rsidRPr="00264F34">
        <w:rPr>
          <w:rFonts w:ascii="Arial" w:hAnsi="Arial" w:cs="Arial"/>
          <w:sz w:val="24"/>
          <w:szCs w:val="24"/>
        </w:rPr>
        <w:t xml:space="preserve"> </w:t>
      </w:r>
      <w:r w:rsidR="009E6C4D" w:rsidRPr="00264F34">
        <w:rPr>
          <w:rFonts w:ascii="Arial" w:hAnsi="Arial" w:cs="Arial"/>
          <w:sz w:val="24"/>
          <w:szCs w:val="24"/>
        </w:rPr>
        <w:t>is then open to</w:t>
      </w:r>
      <w:r w:rsidR="007645BF" w:rsidRPr="00264F34">
        <w:rPr>
          <w:rFonts w:ascii="Arial" w:hAnsi="Arial" w:cs="Arial"/>
          <w:sz w:val="24"/>
          <w:szCs w:val="24"/>
        </w:rPr>
        <w:t xml:space="preserve"> find that the lessor </w:t>
      </w:r>
      <w:r w:rsidR="009E6C4D" w:rsidRPr="00264F34">
        <w:rPr>
          <w:rFonts w:ascii="Arial" w:hAnsi="Arial" w:cs="Arial"/>
          <w:sz w:val="24"/>
          <w:szCs w:val="24"/>
        </w:rPr>
        <w:t xml:space="preserve">issued the NTV in </w:t>
      </w:r>
      <w:r w:rsidR="007645BF" w:rsidRPr="00264F34">
        <w:rPr>
          <w:rFonts w:ascii="Arial" w:hAnsi="Arial" w:cs="Arial"/>
          <w:sz w:val="24"/>
          <w:szCs w:val="24"/>
        </w:rPr>
        <w:t>retaliat</w:t>
      </w:r>
      <w:r w:rsidR="009E6C4D" w:rsidRPr="00264F34">
        <w:rPr>
          <w:rFonts w:ascii="Arial" w:hAnsi="Arial" w:cs="Arial"/>
          <w:sz w:val="24"/>
          <w:szCs w:val="24"/>
        </w:rPr>
        <w:t>ion</w:t>
      </w:r>
      <w:r w:rsidR="00D92877" w:rsidRPr="00264F34">
        <w:rPr>
          <w:rFonts w:ascii="Arial" w:hAnsi="Arial" w:cs="Arial"/>
          <w:sz w:val="24"/>
          <w:szCs w:val="24"/>
        </w:rPr>
        <w:t xml:space="preserve"> against the tenant asserting their rights under the agreement</w:t>
      </w:r>
      <w:r w:rsidR="007645BF" w:rsidRPr="00264F34">
        <w:rPr>
          <w:rFonts w:ascii="Arial" w:hAnsi="Arial" w:cs="Arial"/>
          <w:sz w:val="24"/>
          <w:szCs w:val="24"/>
        </w:rPr>
        <w:t xml:space="preserve">. </w:t>
      </w:r>
    </w:p>
    <w:p w14:paraId="0D39F086" w14:textId="4DF43262" w:rsidR="007645BF" w:rsidRDefault="006D2698" w:rsidP="00C677E6">
      <w:pPr>
        <w:rPr>
          <w:rFonts w:ascii="Arial" w:hAnsi="Arial" w:cs="Arial"/>
          <w:sz w:val="24"/>
          <w:szCs w:val="24"/>
        </w:rPr>
      </w:pPr>
      <w:r>
        <w:rPr>
          <w:rFonts w:ascii="Arial" w:hAnsi="Arial" w:cs="Arial"/>
          <w:sz w:val="24"/>
          <w:szCs w:val="24"/>
        </w:rPr>
        <w:t>While this substituted</w:t>
      </w:r>
      <w:r w:rsidR="00373C9A">
        <w:rPr>
          <w:rFonts w:ascii="Arial" w:hAnsi="Arial" w:cs="Arial"/>
          <w:sz w:val="24"/>
          <w:szCs w:val="24"/>
        </w:rPr>
        <w:t xml:space="preserve"> clause largely reflects the existing law</w:t>
      </w:r>
      <w:r>
        <w:rPr>
          <w:rFonts w:ascii="Arial" w:hAnsi="Arial" w:cs="Arial"/>
          <w:sz w:val="24"/>
          <w:szCs w:val="24"/>
        </w:rPr>
        <w:t xml:space="preserve">, </w:t>
      </w:r>
      <w:r w:rsidR="00373C9A">
        <w:rPr>
          <w:rFonts w:ascii="Arial" w:hAnsi="Arial" w:cs="Arial"/>
          <w:sz w:val="24"/>
          <w:szCs w:val="24"/>
        </w:rPr>
        <w:t>notably, n</w:t>
      </w:r>
      <w:r w:rsidR="009E6C4D" w:rsidRPr="00264F34">
        <w:rPr>
          <w:rFonts w:ascii="Arial" w:hAnsi="Arial" w:cs="Arial"/>
          <w:sz w:val="24"/>
          <w:szCs w:val="24"/>
        </w:rPr>
        <w:t xml:space="preserve">ew </w:t>
      </w:r>
      <w:r w:rsidR="008A7925">
        <w:rPr>
          <w:rFonts w:ascii="Arial" w:hAnsi="Arial" w:cs="Arial"/>
          <w:sz w:val="24"/>
          <w:szCs w:val="24"/>
        </w:rPr>
        <w:t>sub</w:t>
      </w:r>
      <w:r w:rsidR="009E6C4D" w:rsidRPr="00264F34">
        <w:rPr>
          <w:rFonts w:ascii="Arial" w:hAnsi="Arial" w:cs="Arial"/>
          <w:sz w:val="24"/>
          <w:szCs w:val="24"/>
        </w:rPr>
        <w:t>section 57</w:t>
      </w:r>
      <w:r w:rsidR="00D92877" w:rsidRPr="00264F34">
        <w:rPr>
          <w:rFonts w:ascii="Arial" w:hAnsi="Arial" w:cs="Arial"/>
          <w:sz w:val="24"/>
          <w:szCs w:val="24"/>
        </w:rPr>
        <w:t xml:space="preserve"> </w:t>
      </w:r>
      <w:r w:rsidR="008A7925">
        <w:rPr>
          <w:rFonts w:ascii="Arial" w:hAnsi="Arial" w:cs="Arial"/>
          <w:sz w:val="24"/>
          <w:szCs w:val="24"/>
        </w:rPr>
        <w:t xml:space="preserve">(b) (i) (E) </w:t>
      </w:r>
      <w:r w:rsidR="009E6C4D" w:rsidRPr="00264F34">
        <w:rPr>
          <w:rFonts w:ascii="Arial" w:hAnsi="Arial" w:cs="Arial"/>
          <w:sz w:val="24"/>
          <w:szCs w:val="24"/>
        </w:rPr>
        <w:t xml:space="preserve">recognises that a tenant publishing information, </w:t>
      </w:r>
      <w:r w:rsidR="00373C9A">
        <w:rPr>
          <w:rFonts w:ascii="Arial" w:hAnsi="Arial" w:cs="Arial"/>
          <w:sz w:val="24"/>
          <w:szCs w:val="24"/>
        </w:rPr>
        <w:t>or disclosing information that was published</w:t>
      </w:r>
      <w:r>
        <w:rPr>
          <w:rFonts w:ascii="Arial" w:hAnsi="Arial" w:cs="Arial"/>
          <w:sz w:val="24"/>
          <w:szCs w:val="24"/>
        </w:rPr>
        <w:t xml:space="preserve"> by someone else</w:t>
      </w:r>
      <w:r w:rsidR="00373C9A">
        <w:rPr>
          <w:rFonts w:ascii="Arial" w:hAnsi="Arial" w:cs="Arial"/>
          <w:sz w:val="24"/>
          <w:szCs w:val="24"/>
        </w:rPr>
        <w:t>,</w:t>
      </w:r>
      <w:r w:rsidR="009E6C4D" w:rsidRPr="00264F34">
        <w:rPr>
          <w:rFonts w:ascii="Arial" w:hAnsi="Arial" w:cs="Arial"/>
          <w:sz w:val="24"/>
          <w:szCs w:val="24"/>
        </w:rPr>
        <w:t xml:space="preserve"> about their lessor</w:t>
      </w:r>
      <w:r w:rsidR="00373C9A">
        <w:rPr>
          <w:rFonts w:ascii="Arial" w:hAnsi="Arial" w:cs="Arial"/>
          <w:sz w:val="24"/>
          <w:szCs w:val="24"/>
        </w:rPr>
        <w:t>, rental premises</w:t>
      </w:r>
      <w:r w:rsidR="009E6C4D" w:rsidRPr="00264F34">
        <w:rPr>
          <w:rFonts w:ascii="Arial" w:hAnsi="Arial" w:cs="Arial"/>
          <w:sz w:val="24"/>
          <w:szCs w:val="24"/>
        </w:rPr>
        <w:t xml:space="preserve"> or residential tenancy agreement may also be subject to retaliatory action from a lessor. For example, </w:t>
      </w:r>
      <w:r w:rsidR="00AB17AC" w:rsidRPr="00264F34">
        <w:rPr>
          <w:rFonts w:ascii="Arial" w:hAnsi="Arial" w:cs="Arial"/>
          <w:sz w:val="24"/>
          <w:szCs w:val="24"/>
        </w:rPr>
        <w:t>a tenant may share information about their experience as a tenant on social media.</w:t>
      </w:r>
    </w:p>
    <w:p w14:paraId="3C8152F5" w14:textId="430EFF0A" w:rsidR="008A7925" w:rsidRPr="00264F34" w:rsidRDefault="008A7925" w:rsidP="00C677E6">
      <w:pPr>
        <w:rPr>
          <w:rFonts w:ascii="Arial" w:hAnsi="Arial" w:cs="Arial"/>
          <w:sz w:val="24"/>
          <w:szCs w:val="24"/>
        </w:rPr>
      </w:pPr>
      <w:r>
        <w:rPr>
          <w:rFonts w:ascii="Arial" w:hAnsi="Arial" w:cs="Arial"/>
          <w:sz w:val="24"/>
          <w:szCs w:val="24"/>
        </w:rPr>
        <w:t>To ensure that this new protection is appropriately balanced, subsection 57 (b) (i) (E) requires a tenant to not have knowingly or recklessly published or disclosed information that was false or misleading.</w:t>
      </w:r>
    </w:p>
    <w:p w14:paraId="54D3D101" w14:textId="4D20C894" w:rsidR="00DF2DDA" w:rsidRPr="00264F34" w:rsidRDefault="00DF2DDA" w:rsidP="00C677E6">
      <w:pPr>
        <w:rPr>
          <w:rFonts w:ascii="Arial" w:hAnsi="Arial" w:cs="Arial"/>
          <w:sz w:val="24"/>
          <w:szCs w:val="24"/>
        </w:rPr>
      </w:pPr>
      <w:r w:rsidRPr="00264F34">
        <w:rPr>
          <w:rFonts w:ascii="Arial" w:hAnsi="Arial" w:cs="Arial"/>
          <w:sz w:val="24"/>
          <w:szCs w:val="24"/>
        </w:rPr>
        <w:t>The term ‘</w:t>
      </w:r>
      <w:r w:rsidRPr="00264F34">
        <w:rPr>
          <w:rFonts w:ascii="Arial" w:hAnsi="Arial" w:cs="Arial"/>
          <w:b/>
          <w:bCs/>
          <w:i/>
          <w:iCs/>
          <w:sz w:val="24"/>
          <w:szCs w:val="24"/>
        </w:rPr>
        <w:t>information</w:t>
      </w:r>
      <w:r w:rsidRPr="00264F34">
        <w:rPr>
          <w:rFonts w:ascii="Arial" w:hAnsi="Arial" w:cs="Arial"/>
          <w:sz w:val="24"/>
          <w:szCs w:val="24"/>
        </w:rPr>
        <w:t xml:space="preserve">’ </w:t>
      </w:r>
      <w:r w:rsidR="00D92877" w:rsidRPr="00264F34">
        <w:rPr>
          <w:rFonts w:ascii="Arial" w:hAnsi="Arial" w:cs="Arial"/>
          <w:sz w:val="24"/>
          <w:szCs w:val="24"/>
        </w:rPr>
        <w:t xml:space="preserve">is defined so that it </w:t>
      </w:r>
      <w:r w:rsidRPr="00264F34">
        <w:rPr>
          <w:rFonts w:ascii="Arial" w:hAnsi="Arial" w:cs="Arial"/>
          <w:sz w:val="24"/>
          <w:szCs w:val="24"/>
        </w:rPr>
        <w:t>includes allegations, complaints and opinions</w:t>
      </w:r>
      <w:r w:rsidR="00110FB0" w:rsidRPr="00264F34">
        <w:rPr>
          <w:rFonts w:ascii="Arial" w:hAnsi="Arial" w:cs="Arial"/>
          <w:sz w:val="24"/>
          <w:szCs w:val="24"/>
        </w:rPr>
        <w:t>.</w:t>
      </w:r>
    </w:p>
    <w:p w14:paraId="6DC62382" w14:textId="236CC30A" w:rsidR="00D92877" w:rsidRDefault="00D92877" w:rsidP="00C677E6">
      <w:pPr>
        <w:rPr>
          <w:rFonts w:ascii="Arial" w:hAnsi="Arial" w:cs="Arial"/>
          <w:sz w:val="24"/>
          <w:szCs w:val="24"/>
        </w:rPr>
      </w:pPr>
      <w:r w:rsidRPr="00264F34">
        <w:rPr>
          <w:rFonts w:ascii="Arial" w:hAnsi="Arial" w:cs="Arial"/>
          <w:sz w:val="24"/>
          <w:szCs w:val="24"/>
        </w:rPr>
        <w:t>The term ‘</w:t>
      </w:r>
      <w:r w:rsidRPr="00264F34">
        <w:rPr>
          <w:rFonts w:ascii="Arial" w:hAnsi="Arial" w:cs="Arial"/>
          <w:b/>
          <w:bCs/>
          <w:i/>
          <w:iCs/>
          <w:sz w:val="24"/>
          <w:szCs w:val="24"/>
        </w:rPr>
        <w:t>publish</w:t>
      </w:r>
      <w:r w:rsidRPr="00264F34">
        <w:rPr>
          <w:rFonts w:ascii="Arial" w:hAnsi="Arial" w:cs="Arial"/>
          <w:sz w:val="24"/>
          <w:szCs w:val="24"/>
        </w:rPr>
        <w:t>’ is defined so that it includes communicate.</w:t>
      </w:r>
    </w:p>
    <w:p w14:paraId="1E832203" w14:textId="22445664" w:rsidR="00642867" w:rsidRPr="00264F34" w:rsidRDefault="00642867" w:rsidP="00C677E6">
      <w:pPr>
        <w:rPr>
          <w:rFonts w:ascii="Arial" w:eastAsiaTheme="majorEastAsia" w:hAnsi="Arial" w:cs="Arial"/>
          <w:sz w:val="24"/>
          <w:szCs w:val="24"/>
        </w:rPr>
      </w:pPr>
      <w:r>
        <w:rPr>
          <w:rFonts w:ascii="Arial" w:hAnsi="Arial" w:cs="Arial"/>
          <w:sz w:val="24"/>
          <w:szCs w:val="24"/>
        </w:rPr>
        <w:t>The intention of this provision is to allow tenants to raise issues of concern about the operation of their tenancy (so long a</w:t>
      </w:r>
      <w:r w:rsidR="00DA32DF">
        <w:rPr>
          <w:rFonts w:ascii="Arial" w:hAnsi="Arial" w:cs="Arial"/>
          <w:sz w:val="24"/>
          <w:szCs w:val="24"/>
        </w:rPr>
        <w:t>s</w:t>
      </w:r>
      <w:r>
        <w:rPr>
          <w:rFonts w:ascii="Arial" w:hAnsi="Arial" w:cs="Arial"/>
          <w:sz w:val="24"/>
          <w:szCs w:val="24"/>
        </w:rPr>
        <w:t xml:space="preserve"> they are not false or misleading) and to contribute to the public debate around tenancy issues, without having to fear that ‘going to the media’ about their concerns will lead to their eviction. </w:t>
      </w:r>
    </w:p>
    <w:p w14:paraId="3E08181F" w14:textId="226C5DA4" w:rsidR="00D7389D" w:rsidRPr="00264F34" w:rsidRDefault="00D7389D" w:rsidP="00C677E6">
      <w:pPr>
        <w:rPr>
          <w:rFonts w:ascii="Arial" w:eastAsiaTheme="majorEastAsia" w:hAnsi="Arial" w:cs="Arial"/>
          <w:b/>
          <w:sz w:val="24"/>
          <w:szCs w:val="24"/>
        </w:rPr>
      </w:pPr>
      <w:r w:rsidRPr="00264F34">
        <w:rPr>
          <w:rFonts w:ascii="Arial" w:eastAsiaTheme="majorEastAsia" w:hAnsi="Arial" w:cs="Arial"/>
          <w:b/>
          <w:sz w:val="24"/>
          <w:szCs w:val="24"/>
        </w:rPr>
        <w:t xml:space="preserve">Clause </w:t>
      </w:r>
      <w:r w:rsidR="00382BE2">
        <w:rPr>
          <w:rFonts w:ascii="Arial" w:eastAsiaTheme="majorEastAsia" w:hAnsi="Arial" w:cs="Arial"/>
          <w:b/>
          <w:sz w:val="24"/>
          <w:szCs w:val="24"/>
        </w:rPr>
        <w:t>24</w:t>
      </w:r>
      <w:r w:rsidRPr="00264F34">
        <w:rPr>
          <w:rFonts w:ascii="Arial" w:eastAsiaTheme="majorEastAsia" w:hAnsi="Arial" w:cs="Arial"/>
          <w:b/>
          <w:sz w:val="24"/>
          <w:szCs w:val="24"/>
        </w:rPr>
        <w:tab/>
        <w:t>Sections 58 to 60</w:t>
      </w:r>
    </w:p>
    <w:p w14:paraId="03068929" w14:textId="77777777" w:rsidR="00373C9A" w:rsidRDefault="00F4356D" w:rsidP="00F4356D">
      <w:pPr>
        <w:rPr>
          <w:rFonts w:ascii="Arial" w:eastAsiaTheme="majorEastAsia" w:hAnsi="Arial" w:cs="Arial"/>
          <w:bCs/>
          <w:sz w:val="24"/>
          <w:szCs w:val="24"/>
        </w:rPr>
      </w:pPr>
      <w:r>
        <w:rPr>
          <w:rFonts w:ascii="Arial" w:eastAsiaTheme="majorEastAsia" w:hAnsi="Arial" w:cs="Arial"/>
          <w:bCs/>
          <w:sz w:val="24"/>
          <w:szCs w:val="24"/>
        </w:rPr>
        <w:t xml:space="preserve">This clause </w:t>
      </w:r>
      <w:r w:rsidR="00DE19C5">
        <w:rPr>
          <w:rFonts w:ascii="Arial" w:eastAsiaTheme="majorEastAsia" w:hAnsi="Arial" w:cs="Arial"/>
          <w:bCs/>
          <w:sz w:val="24"/>
          <w:szCs w:val="24"/>
        </w:rPr>
        <w:t>substitutes</w:t>
      </w:r>
      <w:r>
        <w:rPr>
          <w:rFonts w:ascii="Arial" w:eastAsiaTheme="majorEastAsia" w:hAnsi="Arial" w:cs="Arial"/>
          <w:bCs/>
          <w:sz w:val="24"/>
          <w:szCs w:val="24"/>
        </w:rPr>
        <w:t xml:space="preserve"> section</w:t>
      </w:r>
      <w:r w:rsidR="00373C9A">
        <w:rPr>
          <w:rFonts w:ascii="Arial" w:eastAsiaTheme="majorEastAsia" w:hAnsi="Arial" w:cs="Arial"/>
          <w:bCs/>
          <w:sz w:val="24"/>
          <w:szCs w:val="24"/>
        </w:rPr>
        <w:t>s</w:t>
      </w:r>
      <w:r>
        <w:rPr>
          <w:rFonts w:ascii="Arial" w:eastAsiaTheme="majorEastAsia" w:hAnsi="Arial" w:cs="Arial"/>
          <w:bCs/>
          <w:sz w:val="24"/>
          <w:szCs w:val="24"/>
        </w:rPr>
        <w:t xml:space="preserve"> 58 – 60</w:t>
      </w:r>
      <w:r w:rsidR="00DE19C5">
        <w:rPr>
          <w:rFonts w:ascii="Arial" w:eastAsiaTheme="majorEastAsia" w:hAnsi="Arial" w:cs="Arial"/>
          <w:bCs/>
          <w:sz w:val="24"/>
          <w:szCs w:val="24"/>
        </w:rPr>
        <w:t xml:space="preserve">. </w:t>
      </w:r>
    </w:p>
    <w:p w14:paraId="7D0F0C26" w14:textId="715CD0DD" w:rsidR="00DE19C5" w:rsidRDefault="00DE19C5" w:rsidP="00F4356D">
      <w:pPr>
        <w:rPr>
          <w:rFonts w:ascii="Arial" w:eastAsiaTheme="majorEastAsia" w:hAnsi="Arial" w:cs="Arial"/>
          <w:bCs/>
          <w:sz w:val="24"/>
          <w:szCs w:val="24"/>
        </w:rPr>
      </w:pPr>
      <w:r>
        <w:rPr>
          <w:rFonts w:ascii="Arial" w:eastAsiaTheme="majorEastAsia" w:hAnsi="Arial" w:cs="Arial"/>
          <w:bCs/>
          <w:sz w:val="24"/>
          <w:szCs w:val="24"/>
        </w:rPr>
        <w:t xml:space="preserve">Existing sections </w:t>
      </w:r>
      <w:r w:rsidR="00311204">
        <w:rPr>
          <w:rFonts w:ascii="Arial" w:eastAsiaTheme="majorEastAsia" w:hAnsi="Arial" w:cs="Arial"/>
          <w:bCs/>
          <w:sz w:val="24"/>
          <w:szCs w:val="24"/>
        </w:rPr>
        <w:t>58 and 59</w:t>
      </w:r>
      <w:r>
        <w:rPr>
          <w:rFonts w:ascii="Arial" w:eastAsiaTheme="majorEastAsia" w:hAnsi="Arial" w:cs="Arial"/>
          <w:bCs/>
          <w:sz w:val="24"/>
          <w:szCs w:val="24"/>
        </w:rPr>
        <w:t xml:space="preserve"> </w:t>
      </w:r>
      <w:r w:rsidR="00311204">
        <w:rPr>
          <w:rFonts w:ascii="Arial" w:eastAsiaTheme="majorEastAsia" w:hAnsi="Arial" w:cs="Arial"/>
          <w:bCs/>
          <w:sz w:val="24"/>
          <w:szCs w:val="24"/>
        </w:rPr>
        <w:t>provide that</w:t>
      </w:r>
      <w:r>
        <w:rPr>
          <w:rFonts w:ascii="Arial" w:eastAsiaTheme="majorEastAsia" w:hAnsi="Arial" w:cs="Arial"/>
          <w:bCs/>
          <w:sz w:val="24"/>
          <w:szCs w:val="24"/>
        </w:rPr>
        <w:t xml:space="preserve"> a lessor’s </w:t>
      </w:r>
      <w:r w:rsidR="00884E2F">
        <w:rPr>
          <w:rFonts w:ascii="Arial" w:eastAsiaTheme="majorEastAsia" w:hAnsi="Arial" w:cs="Arial"/>
          <w:bCs/>
          <w:sz w:val="24"/>
          <w:szCs w:val="24"/>
        </w:rPr>
        <w:t>NTV</w:t>
      </w:r>
      <w:r>
        <w:rPr>
          <w:rFonts w:ascii="Arial" w:eastAsiaTheme="majorEastAsia" w:hAnsi="Arial" w:cs="Arial"/>
          <w:bCs/>
          <w:sz w:val="24"/>
          <w:szCs w:val="24"/>
        </w:rPr>
        <w:t xml:space="preserve"> </w:t>
      </w:r>
      <w:r w:rsidR="00311204">
        <w:rPr>
          <w:rFonts w:ascii="Arial" w:eastAsiaTheme="majorEastAsia" w:hAnsi="Arial" w:cs="Arial"/>
          <w:bCs/>
          <w:sz w:val="24"/>
          <w:szCs w:val="24"/>
        </w:rPr>
        <w:t>is</w:t>
      </w:r>
      <w:r>
        <w:rPr>
          <w:rFonts w:ascii="Arial" w:eastAsiaTheme="majorEastAsia" w:hAnsi="Arial" w:cs="Arial"/>
          <w:bCs/>
          <w:sz w:val="24"/>
          <w:szCs w:val="24"/>
        </w:rPr>
        <w:t xml:space="preserve"> defective if it is not in the approved form </w:t>
      </w:r>
      <w:r w:rsidR="00311204">
        <w:rPr>
          <w:rFonts w:ascii="Arial" w:eastAsiaTheme="majorEastAsia" w:hAnsi="Arial" w:cs="Arial"/>
          <w:bCs/>
          <w:sz w:val="24"/>
          <w:szCs w:val="24"/>
        </w:rPr>
        <w:t>(</w:t>
      </w:r>
      <w:r>
        <w:rPr>
          <w:rFonts w:ascii="Arial" w:eastAsiaTheme="majorEastAsia" w:hAnsi="Arial" w:cs="Arial"/>
          <w:bCs/>
          <w:sz w:val="24"/>
          <w:szCs w:val="24"/>
        </w:rPr>
        <w:t>under section 133 of the RTA</w:t>
      </w:r>
      <w:r w:rsidR="00311204">
        <w:rPr>
          <w:rFonts w:ascii="Arial" w:eastAsiaTheme="majorEastAsia" w:hAnsi="Arial" w:cs="Arial"/>
          <w:bCs/>
          <w:sz w:val="24"/>
          <w:szCs w:val="24"/>
        </w:rPr>
        <w:t>),and served in the manner prescribed by regulation. However, a</w:t>
      </w:r>
      <w:r>
        <w:rPr>
          <w:rFonts w:ascii="Arial" w:eastAsiaTheme="majorEastAsia" w:hAnsi="Arial" w:cs="Arial"/>
          <w:bCs/>
          <w:sz w:val="24"/>
          <w:szCs w:val="24"/>
        </w:rPr>
        <w:t>s there are currently no approved forms for NTVs</w:t>
      </w:r>
      <w:r w:rsidR="00311204">
        <w:rPr>
          <w:rFonts w:ascii="Arial" w:eastAsiaTheme="majorEastAsia" w:hAnsi="Arial" w:cs="Arial"/>
          <w:bCs/>
          <w:sz w:val="24"/>
          <w:szCs w:val="24"/>
        </w:rPr>
        <w:t xml:space="preserve">. Therefore, </w:t>
      </w:r>
      <w:r>
        <w:rPr>
          <w:rFonts w:ascii="Arial" w:eastAsiaTheme="majorEastAsia" w:hAnsi="Arial" w:cs="Arial"/>
          <w:bCs/>
          <w:sz w:val="24"/>
          <w:szCs w:val="24"/>
        </w:rPr>
        <w:t xml:space="preserve">these sections have been updated to reflect when a NTV will be considered to be defective. </w:t>
      </w:r>
    </w:p>
    <w:p w14:paraId="620958FA" w14:textId="75440914" w:rsidR="007608BF" w:rsidRDefault="007608BF" w:rsidP="00F4356D">
      <w:pPr>
        <w:rPr>
          <w:rFonts w:ascii="Arial" w:eastAsiaTheme="majorEastAsia" w:hAnsi="Arial" w:cs="Arial"/>
          <w:bCs/>
          <w:i/>
          <w:iCs/>
          <w:sz w:val="24"/>
          <w:szCs w:val="24"/>
        </w:rPr>
      </w:pPr>
      <w:r>
        <w:rPr>
          <w:rFonts w:ascii="Arial" w:eastAsiaTheme="majorEastAsia" w:hAnsi="Arial" w:cs="Arial"/>
          <w:bCs/>
          <w:sz w:val="24"/>
          <w:szCs w:val="24"/>
        </w:rPr>
        <w:lastRenderedPageBreak/>
        <w:t xml:space="preserve">It is noted that the amendments in </w:t>
      </w:r>
      <w:r w:rsidRPr="005A14D5">
        <w:rPr>
          <w:rFonts w:ascii="Arial" w:eastAsiaTheme="majorEastAsia" w:hAnsi="Arial" w:cs="Arial"/>
          <w:bCs/>
          <w:sz w:val="24"/>
          <w:szCs w:val="24"/>
        </w:rPr>
        <w:t xml:space="preserve">clause </w:t>
      </w:r>
      <w:r w:rsidR="00382BE2">
        <w:rPr>
          <w:rFonts w:ascii="Arial" w:eastAsiaTheme="majorEastAsia" w:hAnsi="Arial" w:cs="Arial"/>
          <w:bCs/>
          <w:sz w:val="24"/>
          <w:szCs w:val="24"/>
        </w:rPr>
        <w:t>24</w:t>
      </w:r>
      <w:r>
        <w:rPr>
          <w:rFonts w:ascii="Arial" w:eastAsiaTheme="majorEastAsia" w:hAnsi="Arial" w:cs="Arial"/>
          <w:bCs/>
          <w:sz w:val="24"/>
          <w:szCs w:val="24"/>
        </w:rPr>
        <w:t xml:space="preserve"> are connected to those in </w:t>
      </w:r>
      <w:r w:rsidRPr="005A14D5">
        <w:rPr>
          <w:rFonts w:ascii="Arial" w:eastAsiaTheme="majorEastAsia" w:hAnsi="Arial" w:cs="Arial"/>
          <w:bCs/>
          <w:sz w:val="24"/>
          <w:szCs w:val="24"/>
        </w:rPr>
        <w:t xml:space="preserve">clause </w:t>
      </w:r>
      <w:r w:rsidR="00382BE2">
        <w:rPr>
          <w:rFonts w:ascii="Arial" w:eastAsiaTheme="majorEastAsia" w:hAnsi="Arial" w:cs="Arial"/>
          <w:bCs/>
          <w:sz w:val="24"/>
          <w:szCs w:val="24"/>
        </w:rPr>
        <w:t>47</w:t>
      </w:r>
      <w:r>
        <w:rPr>
          <w:rFonts w:ascii="Arial" w:eastAsiaTheme="majorEastAsia" w:hAnsi="Arial" w:cs="Arial"/>
          <w:bCs/>
          <w:sz w:val="24"/>
          <w:szCs w:val="24"/>
        </w:rPr>
        <w:t xml:space="preserve"> which amends the Dictionary of the RTA to insert a new definition for </w:t>
      </w:r>
      <w:r w:rsidRPr="007608BF">
        <w:rPr>
          <w:rFonts w:ascii="Arial" w:eastAsiaTheme="majorEastAsia" w:hAnsi="Arial" w:cs="Arial"/>
          <w:b/>
          <w:i/>
          <w:iCs/>
          <w:sz w:val="24"/>
          <w:szCs w:val="24"/>
        </w:rPr>
        <w:t>defective termination notice</w:t>
      </w:r>
      <w:r>
        <w:rPr>
          <w:rFonts w:ascii="Arial" w:eastAsiaTheme="majorEastAsia" w:hAnsi="Arial" w:cs="Arial"/>
          <w:bCs/>
          <w:i/>
          <w:iCs/>
          <w:sz w:val="24"/>
          <w:szCs w:val="24"/>
        </w:rPr>
        <w:t xml:space="preserve">. </w:t>
      </w:r>
    </w:p>
    <w:p w14:paraId="28898C2A" w14:textId="5F33BDA6" w:rsidR="007608BF" w:rsidRPr="00264F34" w:rsidRDefault="007608BF" w:rsidP="007608BF">
      <w:pPr>
        <w:rPr>
          <w:rFonts w:ascii="Arial" w:hAnsi="Arial" w:cs="Arial"/>
          <w:sz w:val="24"/>
          <w:szCs w:val="24"/>
        </w:rPr>
      </w:pPr>
      <w:r w:rsidRPr="00264F34">
        <w:rPr>
          <w:rFonts w:ascii="Arial" w:hAnsi="Arial" w:cs="Arial"/>
          <w:sz w:val="24"/>
          <w:szCs w:val="24"/>
        </w:rPr>
        <w:t>A</w:t>
      </w:r>
      <w:r w:rsidR="006D2698">
        <w:rPr>
          <w:rFonts w:ascii="Arial" w:hAnsi="Arial" w:cs="Arial"/>
          <w:sz w:val="24"/>
          <w:szCs w:val="24"/>
        </w:rPr>
        <w:t>s per clause 4</w:t>
      </w:r>
      <w:r w:rsidR="00382BE2">
        <w:rPr>
          <w:rFonts w:ascii="Arial" w:hAnsi="Arial" w:cs="Arial"/>
          <w:sz w:val="24"/>
          <w:szCs w:val="24"/>
        </w:rPr>
        <w:t>7</w:t>
      </w:r>
      <w:r w:rsidR="006D2698">
        <w:rPr>
          <w:rFonts w:ascii="Arial" w:hAnsi="Arial" w:cs="Arial"/>
          <w:sz w:val="24"/>
          <w:szCs w:val="24"/>
        </w:rPr>
        <w:t>,</w:t>
      </w:r>
      <w:r w:rsidRPr="00264F34">
        <w:rPr>
          <w:rFonts w:ascii="Arial" w:hAnsi="Arial" w:cs="Arial"/>
          <w:sz w:val="24"/>
          <w:szCs w:val="24"/>
        </w:rPr>
        <w:t xml:space="preserve"> </w:t>
      </w:r>
      <w:r w:rsidRPr="00264F34">
        <w:rPr>
          <w:rFonts w:ascii="Arial" w:hAnsi="Arial" w:cs="Arial"/>
          <w:b/>
          <w:bCs/>
          <w:i/>
          <w:iCs/>
          <w:sz w:val="24"/>
          <w:szCs w:val="24"/>
        </w:rPr>
        <w:t>defective termination notice</w:t>
      </w:r>
      <w:r>
        <w:rPr>
          <w:rFonts w:ascii="Arial" w:hAnsi="Arial" w:cs="Arial"/>
          <w:b/>
          <w:bCs/>
          <w:sz w:val="24"/>
          <w:szCs w:val="24"/>
        </w:rPr>
        <w:t xml:space="preserve"> </w:t>
      </w:r>
      <w:r w:rsidR="006D2698">
        <w:rPr>
          <w:rFonts w:ascii="Arial" w:hAnsi="Arial" w:cs="Arial"/>
          <w:sz w:val="24"/>
          <w:szCs w:val="24"/>
        </w:rPr>
        <w:t>is</w:t>
      </w:r>
      <w:r w:rsidR="006D2698" w:rsidRPr="007608BF">
        <w:rPr>
          <w:rFonts w:ascii="Arial" w:hAnsi="Arial" w:cs="Arial"/>
          <w:sz w:val="24"/>
          <w:szCs w:val="24"/>
        </w:rPr>
        <w:t xml:space="preserve"> </w:t>
      </w:r>
      <w:r w:rsidRPr="007608BF">
        <w:rPr>
          <w:rFonts w:ascii="Arial" w:hAnsi="Arial" w:cs="Arial"/>
          <w:sz w:val="24"/>
          <w:szCs w:val="24"/>
        </w:rPr>
        <w:t>now defined as</w:t>
      </w:r>
      <w:r>
        <w:rPr>
          <w:rFonts w:ascii="Arial" w:hAnsi="Arial" w:cs="Arial"/>
          <w:b/>
          <w:bCs/>
          <w:sz w:val="24"/>
          <w:szCs w:val="24"/>
        </w:rPr>
        <w:t xml:space="preserve"> </w:t>
      </w:r>
      <w:r w:rsidRPr="00264F34">
        <w:rPr>
          <w:rFonts w:ascii="Arial" w:hAnsi="Arial" w:cs="Arial"/>
          <w:sz w:val="24"/>
          <w:szCs w:val="24"/>
        </w:rPr>
        <w:t xml:space="preserve">a notice that – </w:t>
      </w:r>
    </w:p>
    <w:p w14:paraId="3FD2F0C3" w14:textId="77777777" w:rsidR="007608BF" w:rsidRPr="007608BF" w:rsidRDefault="007608BF" w:rsidP="007608BF">
      <w:pPr>
        <w:pStyle w:val="ListParagraph"/>
        <w:numPr>
          <w:ilvl w:val="0"/>
          <w:numId w:val="8"/>
        </w:numPr>
        <w:rPr>
          <w:rFonts w:ascii="Arial" w:eastAsiaTheme="majorEastAsia" w:hAnsi="Arial" w:cs="Arial"/>
          <w:sz w:val="24"/>
          <w:szCs w:val="24"/>
        </w:rPr>
      </w:pPr>
      <w:r w:rsidRPr="007608BF">
        <w:rPr>
          <w:rFonts w:ascii="Arial" w:eastAsiaTheme="majorEastAsia" w:hAnsi="Arial" w:cs="Arial"/>
          <w:sz w:val="24"/>
          <w:szCs w:val="24"/>
        </w:rPr>
        <w:t>if there is a form approved under section 133 (Approved forms – Minister) for a termination notice – is not in the approved form; or</w:t>
      </w:r>
    </w:p>
    <w:p w14:paraId="1A6B49F3" w14:textId="5EFF7E44" w:rsidR="007608BF" w:rsidRPr="007608BF" w:rsidRDefault="007608BF" w:rsidP="007608BF">
      <w:pPr>
        <w:pStyle w:val="ListParagraph"/>
        <w:numPr>
          <w:ilvl w:val="0"/>
          <w:numId w:val="8"/>
        </w:numPr>
        <w:rPr>
          <w:rFonts w:ascii="Arial" w:eastAsiaTheme="majorEastAsia" w:hAnsi="Arial" w:cs="Arial"/>
          <w:sz w:val="24"/>
          <w:szCs w:val="24"/>
        </w:rPr>
      </w:pPr>
      <w:r w:rsidRPr="007608BF">
        <w:rPr>
          <w:rFonts w:ascii="Arial" w:eastAsiaTheme="majorEastAsia" w:hAnsi="Arial" w:cs="Arial"/>
          <w:sz w:val="24"/>
          <w:szCs w:val="24"/>
        </w:rPr>
        <w:t xml:space="preserve">if there is no form approved under section 133 </w:t>
      </w:r>
      <w:r w:rsidR="006D2698">
        <w:rPr>
          <w:rFonts w:ascii="Arial" w:eastAsiaTheme="majorEastAsia" w:hAnsi="Arial" w:cs="Arial"/>
          <w:sz w:val="24"/>
          <w:szCs w:val="24"/>
        </w:rPr>
        <w:t>-</w:t>
      </w:r>
      <w:r w:rsidRPr="007608BF">
        <w:rPr>
          <w:rFonts w:ascii="Arial" w:eastAsiaTheme="majorEastAsia" w:hAnsi="Arial" w:cs="Arial"/>
          <w:sz w:val="24"/>
          <w:szCs w:val="24"/>
        </w:rPr>
        <w:t>does not contain the information required by the standard residential tenancy terms; or</w:t>
      </w:r>
    </w:p>
    <w:p w14:paraId="2100B257" w14:textId="77777777" w:rsidR="007608BF" w:rsidRPr="007608BF" w:rsidRDefault="007608BF" w:rsidP="00D4599F">
      <w:pPr>
        <w:pStyle w:val="ListParagraph"/>
        <w:numPr>
          <w:ilvl w:val="0"/>
          <w:numId w:val="8"/>
        </w:numPr>
        <w:spacing w:after="200"/>
        <w:ind w:left="714" w:hanging="357"/>
        <w:rPr>
          <w:rFonts w:ascii="Arial" w:eastAsiaTheme="majorEastAsia" w:hAnsi="Arial" w:cs="Arial"/>
          <w:sz w:val="24"/>
          <w:szCs w:val="24"/>
        </w:rPr>
      </w:pPr>
      <w:r w:rsidRPr="007608BF">
        <w:rPr>
          <w:rFonts w:ascii="Arial" w:eastAsiaTheme="majorEastAsia" w:hAnsi="Arial" w:cs="Arial"/>
          <w:sz w:val="24"/>
          <w:szCs w:val="24"/>
        </w:rPr>
        <w:t>is not given in accordance with this Act.</w:t>
      </w:r>
    </w:p>
    <w:p w14:paraId="27B55C7F" w14:textId="54964EE5" w:rsidR="007608BF" w:rsidRPr="007608BF" w:rsidRDefault="007608BF" w:rsidP="007608BF">
      <w:pPr>
        <w:rPr>
          <w:rFonts w:ascii="Arial" w:hAnsi="Arial" w:cs="Arial"/>
          <w:b/>
          <w:bCs/>
          <w:sz w:val="24"/>
          <w:szCs w:val="24"/>
        </w:rPr>
      </w:pPr>
      <w:r>
        <w:rPr>
          <w:rFonts w:ascii="Arial" w:eastAsiaTheme="majorEastAsia" w:hAnsi="Arial" w:cs="Arial"/>
          <w:bCs/>
          <w:sz w:val="24"/>
          <w:szCs w:val="24"/>
        </w:rPr>
        <w:t xml:space="preserve">It is noted that </w:t>
      </w:r>
      <w:r w:rsidRPr="007608BF">
        <w:rPr>
          <w:rFonts w:ascii="Arial" w:hAnsi="Arial" w:cs="Arial"/>
          <w:sz w:val="24"/>
          <w:szCs w:val="24"/>
        </w:rPr>
        <w:t>a reference to an Act includes a reference to the Regulation (see the Legislation Act, s 104)</w:t>
      </w:r>
      <w:r>
        <w:rPr>
          <w:rFonts w:ascii="Arial" w:hAnsi="Arial" w:cs="Arial"/>
          <w:sz w:val="24"/>
          <w:szCs w:val="24"/>
        </w:rPr>
        <w:t xml:space="preserve">. This means that the </w:t>
      </w:r>
      <w:r w:rsidR="00732BA5">
        <w:rPr>
          <w:rFonts w:ascii="Arial" w:hAnsi="Arial" w:cs="Arial"/>
          <w:sz w:val="24"/>
          <w:szCs w:val="24"/>
        </w:rPr>
        <w:t xml:space="preserve">requirements for service of a termination notice set out in section 5 of the RTR are captured within the definition of a defective termination notice. </w:t>
      </w:r>
    </w:p>
    <w:p w14:paraId="4CFA190A" w14:textId="42FD0F98" w:rsidR="00F4356D" w:rsidRDefault="00732BA5" w:rsidP="00F4356D">
      <w:pPr>
        <w:rPr>
          <w:rFonts w:ascii="Arial" w:eastAsiaTheme="majorEastAsia" w:hAnsi="Arial" w:cs="Arial"/>
          <w:bCs/>
          <w:sz w:val="24"/>
          <w:szCs w:val="24"/>
        </w:rPr>
      </w:pPr>
      <w:r>
        <w:rPr>
          <w:rFonts w:ascii="Arial" w:eastAsiaTheme="majorEastAsia" w:hAnsi="Arial" w:cs="Arial"/>
          <w:bCs/>
          <w:sz w:val="24"/>
          <w:szCs w:val="24"/>
        </w:rPr>
        <w:t xml:space="preserve">Substituted </w:t>
      </w:r>
      <w:r w:rsidR="00F4356D">
        <w:rPr>
          <w:rFonts w:ascii="Arial" w:eastAsiaTheme="majorEastAsia" w:hAnsi="Arial" w:cs="Arial"/>
          <w:bCs/>
          <w:sz w:val="24"/>
          <w:szCs w:val="24"/>
        </w:rPr>
        <w:t>section 58 provides that where a lessor gives a defective termination notice to a tenant, and the tenant complies with that notice, the residential tenancy agreement is terminated on the day the tenant vacates the premises.</w:t>
      </w:r>
    </w:p>
    <w:p w14:paraId="319F7930" w14:textId="0A9BE54D" w:rsidR="00F4356D" w:rsidRDefault="00732BA5" w:rsidP="00F4356D">
      <w:pPr>
        <w:rPr>
          <w:rFonts w:ascii="Arial" w:eastAsiaTheme="majorEastAsia" w:hAnsi="Arial" w:cs="Arial"/>
          <w:bCs/>
          <w:sz w:val="24"/>
          <w:szCs w:val="24"/>
        </w:rPr>
      </w:pPr>
      <w:r w:rsidRPr="00732BA5">
        <w:rPr>
          <w:rFonts w:ascii="Arial" w:eastAsiaTheme="majorEastAsia" w:hAnsi="Arial" w:cs="Arial"/>
          <w:bCs/>
          <w:sz w:val="24"/>
          <w:szCs w:val="24"/>
        </w:rPr>
        <w:t>However, substituted</w:t>
      </w:r>
      <w:r w:rsidR="00F4356D" w:rsidRPr="00732BA5">
        <w:rPr>
          <w:rFonts w:ascii="Arial" w:eastAsiaTheme="majorEastAsia" w:hAnsi="Arial" w:cs="Arial"/>
          <w:bCs/>
          <w:sz w:val="24"/>
          <w:szCs w:val="24"/>
        </w:rPr>
        <w:t xml:space="preserve"> section 58 clarifies that if a tenant vacates a premises in accordance with a notice, and it was defective for any reason </w:t>
      </w:r>
      <w:r w:rsidR="0084373B" w:rsidRPr="00732BA5">
        <w:rPr>
          <w:rFonts w:ascii="Arial" w:eastAsiaTheme="majorEastAsia" w:hAnsi="Arial" w:cs="Arial"/>
          <w:bCs/>
          <w:sz w:val="24"/>
          <w:szCs w:val="24"/>
        </w:rPr>
        <w:t>(</w:t>
      </w:r>
      <w:r w:rsidR="00F4356D" w:rsidRPr="00732BA5">
        <w:rPr>
          <w:rFonts w:ascii="Arial" w:eastAsiaTheme="majorEastAsia" w:hAnsi="Arial" w:cs="Arial"/>
          <w:bCs/>
          <w:sz w:val="24"/>
          <w:szCs w:val="24"/>
        </w:rPr>
        <w:t>other than it was not given to the tenant in accordance with the Act</w:t>
      </w:r>
      <w:r w:rsidR="0084373B" w:rsidRPr="00732BA5">
        <w:rPr>
          <w:rFonts w:ascii="Arial" w:eastAsiaTheme="majorEastAsia" w:hAnsi="Arial" w:cs="Arial"/>
          <w:bCs/>
          <w:sz w:val="24"/>
          <w:szCs w:val="24"/>
        </w:rPr>
        <w:t>)</w:t>
      </w:r>
      <w:r w:rsidR="00F4356D" w:rsidRPr="00732BA5">
        <w:rPr>
          <w:rFonts w:ascii="Arial" w:eastAsiaTheme="majorEastAsia" w:hAnsi="Arial" w:cs="Arial"/>
          <w:bCs/>
          <w:sz w:val="24"/>
          <w:szCs w:val="24"/>
        </w:rPr>
        <w:t xml:space="preserve">, the former tenant may apply to </w:t>
      </w:r>
      <w:r w:rsidR="00DA32DF">
        <w:rPr>
          <w:rFonts w:ascii="Arial" w:eastAsiaTheme="majorEastAsia" w:hAnsi="Arial" w:cs="Arial"/>
          <w:bCs/>
          <w:sz w:val="24"/>
          <w:szCs w:val="24"/>
        </w:rPr>
        <w:t>ACAT</w:t>
      </w:r>
      <w:r w:rsidR="00F4356D" w:rsidRPr="00732BA5">
        <w:rPr>
          <w:rFonts w:ascii="Arial" w:eastAsiaTheme="majorEastAsia" w:hAnsi="Arial" w:cs="Arial"/>
          <w:bCs/>
          <w:sz w:val="24"/>
          <w:szCs w:val="24"/>
        </w:rPr>
        <w:t xml:space="preserve"> for an order for compensation for wrongful eviction, an order for reinstatement as tenant</w:t>
      </w:r>
      <w:r w:rsidR="00736F80">
        <w:rPr>
          <w:rFonts w:ascii="Arial" w:eastAsiaTheme="majorEastAsia" w:hAnsi="Arial" w:cs="Arial"/>
          <w:bCs/>
          <w:sz w:val="24"/>
          <w:szCs w:val="24"/>
        </w:rPr>
        <w:t>, or both</w:t>
      </w:r>
      <w:r w:rsidR="00F4356D" w:rsidRPr="00732BA5">
        <w:rPr>
          <w:rFonts w:ascii="Arial" w:eastAsiaTheme="majorEastAsia" w:hAnsi="Arial" w:cs="Arial"/>
          <w:bCs/>
          <w:sz w:val="24"/>
          <w:szCs w:val="24"/>
        </w:rPr>
        <w:t xml:space="preserve">. </w:t>
      </w:r>
      <w:r w:rsidR="00DA32DF">
        <w:rPr>
          <w:rFonts w:ascii="Arial" w:eastAsiaTheme="majorEastAsia" w:hAnsi="Arial" w:cs="Arial"/>
          <w:bCs/>
          <w:sz w:val="24"/>
          <w:szCs w:val="24"/>
        </w:rPr>
        <w:t>ACAT</w:t>
      </w:r>
      <w:r w:rsidR="00F4356D" w:rsidRPr="00732BA5">
        <w:rPr>
          <w:rFonts w:ascii="Arial" w:eastAsiaTheme="majorEastAsia" w:hAnsi="Arial" w:cs="Arial"/>
          <w:bCs/>
          <w:sz w:val="24"/>
          <w:szCs w:val="24"/>
        </w:rPr>
        <w:t xml:space="preserve"> must not </w:t>
      </w:r>
      <w:r w:rsidR="0084373B" w:rsidRPr="00732BA5">
        <w:rPr>
          <w:rFonts w:ascii="Arial" w:eastAsiaTheme="majorEastAsia" w:hAnsi="Arial" w:cs="Arial"/>
          <w:bCs/>
          <w:sz w:val="24"/>
          <w:szCs w:val="24"/>
        </w:rPr>
        <w:t>make an</w:t>
      </w:r>
      <w:r w:rsidR="00F4356D" w:rsidRPr="00732BA5">
        <w:rPr>
          <w:rFonts w:ascii="Arial" w:eastAsiaTheme="majorEastAsia" w:hAnsi="Arial" w:cs="Arial"/>
          <w:bCs/>
          <w:sz w:val="24"/>
          <w:szCs w:val="24"/>
        </w:rPr>
        <w:t xml:space="preserve"> order</w:t>
      </w:r>
      <w:r w:rsidR="0084373B" w:rsidRPr="00732BA5">
        <w:rPr>
          <w:rFonts w:ascii="Arial" w:eastAsiaTheme="majorEastAsia" w:hAnsi="Arial" w:cs="Arial"/>
          <w:bCs/>
          <w:sz w:val="24"/>
          <w:szCs w:val="24"/>
        </w:rPr>
        <w:t xml:space="preserve"> reinstating the applicant as a tenant</w:t>
      </w:r>
      <w:r w:rsidR="00F4356D" w:rsidRPr="00732BA5">
        <w:rPr>
          <w:rFonts w:ascii="Arial" w:eastAsiaTheme="majorEastAsia" w:hAnsi="Arial" w:cs="Arial"/>
          <w:bCs/>
          <w:sz w:val="24"/>
          <w:szCs w:val="24"/>
        </w:rPr>
        <w:t xml:space="preserve"> unless the premises is vacant, the lessor has not entered into a residential tenancy agreement with another tenant, and it is appropriate to make the order.</w:t>
      </w:r>
    </w:p>
    <w:p w14:paraId="4DF8F722" w14:textId="084F4BB9" w:rsidR="00F4356D" w:rsidRDefault="00732BA5" w:rsidP="00F4356D">
      <w:pPr>
        <w:rPr>
          <w:rFonts w:ascii="Arial" w:eastAsiaTheme="majorEastAsia" w:hAnsi="Arial" w:cs="Arial"/>
          <w:bCs/>
          <w:sz w:val="24"/>
          <w:szCs w:val="24"/>
        </w:rPr>
      </w:pPr>
      <w:r>
        <w:rPr>
          <w:rFonts w:ascii="Arial" w:eastAsiaTheme="majorEastAsia" w:hAnsi="Arial" w:cs="Arial"/>
          <w:bCs/>
          <w:sz w:val="24"/>
          <w:szCs w:val="24"/>
        </w:rPr>
        <w:t>Substituted</w:t>
      </w:r>
      <w:r w:rsidR="00F4356D">
        <w:rPr>
          <w:rFonts w:ascii="Arial" w:eastAsiaTheme="majorEastAsia" w:hAnsi="Arial" w:cs="Arial"/>
          <w:bCs/>
          <w:sz w:val="24"/>
          <w:szCs w:val="24"/>
        </w:rPr>
        <w:t xml:space="preserve"> section 59 applies where a lessor purports to give a termination notice to a tenant, and that notice is defective for any reason </w:t>
      </w:r>
      <w:r w:rsidR="0084373B">
        <w:rPr>
          <w:rFonts w:ascii="Arial" w:eastAsiaTheme="majorEastAsia" w:hAnsi="Arial" w:cs="Arial"/>
          <w:bCs/>
          <w:sz w:val="24"/>
          <w:szCs w:val="24"/>
        </w:rPr>
        <w:t>(</w:t>
      </w:r>
      <w:r w:rsidR="00F4356D">
        <w:rPr>
          <w:rFonts w:ascii="Arial" w:eastAsiaTheme="majorEastAsia" w:hAnsi="Arial" w:cs="Arial"/>
          <w:bCs/>
          <w:sz w:val="24"/>
          <w:szCs w:val="24"/>
        </w:rPr>
        <w:t>other than it was not given to the tenant in accordance with the Act</w:t>
      </w:r>
      <w:r w:rsidR="008A7925">
        <w:rPr>
          <w:rFonts w:ascii="Arial" w:eastAsiaTheme="majorEastAsia" w:hAnsi="Arial" w:cs="Arial"/>
          <w:bCs/>
          <w:sz w:val="24"/>
          <w:szCs w:val="24"/>
        </w:rPr>
        <w:t>)</w:t>
      </w:r>
      <w:r w:rsidR="00F4356D">
        <w:rPr>
          <w:rFonts w:ascii="Arial" w:eastAsiaTheme="majorEastAsia" w:hAnsi="Arial" w:cs="Arial"/>
          <w:bCs/>
          <w:sz w:val="24"/>
          <w:szCs w:val="24"/>
        </w:rPr>
        <w:t xml:space="preserve">. It provides that a lessor may apply to </w:t>
      </w:r>
      <w:r w:rsidR="00DA32DF">
        <w:rPr>
          <w:rFonts w:ascii="Arial" w:eastAsiaTheme="majorEastAsia" w:hAnsi="Arial" w:cs="Arial"/>
          <w:bCs/>
          <w:sz w:val="24"/>
          <w:szCs w:val="24"/>
        </w:rPr>
        <w:t>ACAT</w:t>
      </w:r>
      <w:r w:rsidR="00F4356D">
        <w:rPr>
          <w:rFonts w:ascii="Arial" w:eastAsiaTheme="majorEastAsia" w:hAnsi="Arial" w:cs="Arial"/>
          <w:bCs/>
          <w:sz w:val="24"/>
          <w:szCs w:val="24"/>
        </w:rPr>
        <w:t xml:space="preserve"> for a TPO and an order correcting the defect. </w:t>
      </w:r>
      <w:r>
        <w:rPr>
          <w:rFonts w:ascii="Arial" w:eastAsiaTheme="majorEastAsia" w:hAnsi="Arial" w:cs="Arial"/>
          <w:bCs/>
          <w:sz w:val="24"/>
          <w:szCs w:val="24"/>
        </w:rPr>
        <w:t xml:space="preserve">However, ACAT </w:t>
      </w:r>
      <w:r w:rsidR="0012328A">
        <w:rPr>
          <w:rFonts w:ascii="Arial" w:eastAsiaTheme="majorEastAsia" w:hAnsi="Arial" w:cs="Arial"/>
          <w:bCs/>
          <w:sz w:val="24"/>
          <w:szCs w:val="24"/>
        </w:rPr>
        <w:t>may only make such an order where it is satisfied that the defective termination notice has not, and is not likely to, place the tenant in a significantly worse position</w:t>
      </w:r>
      <w:r>
        <w:rPr>
          <w:rFonts w:ascii="Arial" w:eastAsiaTheme="majorEastAsia" w:hAnsi="Arial" w:cs="Arial"/>
          <w:bCs/>
          <w:sz w:val="24"/>
          <w:szCs w:val="24"/>
        </w:rPr>
        <w:t xml:space="preserve"> than they would have been had they received a notice that was not defective. </w:t>
      </w:r>
    </w:p>
    <w:p w14:paraId="3F47FEC6" w14:textId="19B87259" w:rsidR="0084373B" w:rsidRDefault="00732BA5" w:rsidP="00F4356D">
      <w:pPr>
        <w:rPr>
          <w:rFonts w:ascii="Arial" w:eastAsiaTheme="majorEastAsia" w:hAnsi="Arial" w:cs="Arial"/>
          <w:bCs/>
          <w:sz w:val="24"/>
          <w:szCs w:val="24"/>
        </w:rPr>
      </w:pPr>
      <w:r>
        <w:rPr>
          <w:rFonts w:ascii="Arial" w:eastAsiaTheme="majorEastAsia" w:hAnsi="Arial" w:cs="Arial"/>
          <w:bCs/>
          <w:sz w:val="24"/>
          <w:szCs w:val="24"/>
        </w:rPr>
        <w:t>Substituted</w:t>
      </w:r>
      <w:r w:rsidR="0084373B">
        <w:rPr>
          <w:rFonts w:ascii="Arial" w:eastAsiaTheme="majorEastAsia" w:hAnsi="Arial" w:cs="Arial"/>
          <w:bCs/>
          <w:sz w:val="24"/>
          <w:szCs w:val="24"/>
        </w:rPr>
        <w:t xml:space="preserve"> section 60 applies where a tenant purports to give a termination notice to a lessor, but that notice is defective. This section clarifies that if the tenant vacates in accordance with the defective notice,</w:t>
      </w:r>
      <w:r w:rsidR="00576666">
        <w:rPr>
          <w:rFonts w:ascii="Arial" w:eastAsiaTheme="majorEastAsia" w:hAnsi="Arial" w:cs="Arial"/>
          <w:bCs/>
          <w:sz w:val="24"/>
          <w:szCs w:val="24"/>
        </w:rPr>
        <w:t xml:space="preserve"> the residential tenancy agreement terminates on the day the tenant vacates. However, the lessor may apply to </w:t>
      </w:r>
      <w:r>
        <w:rPr>
          <w:rFonts w:ascii="Arial" w:eastAsiaTheme="majorEastAsia" w:hAnsi="Arial" w:cs="Arial"/>
          <w:bCs/>
          <w:sz w:val="24"/>
          <w:szCs w:val="24"/>
        </w:rPr>
        <w:t>ACAT</w:t>
      </w:r>
      <w:r w:rsidR="00576666">
        <w:rPr>
          <w:rFonts w:ascii="Arial" w:eastAsiaTheme="majorEastAsia" w:hAnsi="Arial" w:cs="Arial"/>
          <w:bCs/>
          <w:sz w:val="24"/>
          <w:szCs w:val="24"/>
        </w:rPr>
        <w:t xml:space="preserve"> for an order for compensation for the former tenant’s abandonment of the premises. </w:t>
      </w:r>
      <w:r w:rsidR="00884E2F">
        <w:rPr>
          <w:rFonts w:ascii="Arial" w:eastAsiaTheme="majorEastAsia" w:hAnsi="Arial" w:cs="Arial"/>
          <w:bCs/>
          <w:sz w:val="24"/>
          <w:szCs w:val="24"/>
        </w:rPr>
        <w:t>T</w:t>
      </w:r>
      <w:r w:rsidR="00447846">
        <w:rPr>
          <w:rFonts w:ascii="Arial" w:eastAsiaTheme="majorEastAsia" w:hAnsi="Arial" w:cs="Arial"/>
          <w:bCs/>
          <w:sz w:val="24"/>
          <w:szCs w:val="24"/>
        </w:rPr>
        <w:t>he section also provides that i</w:t>
      </w:r>
      <w:r w:rsidR="003E6A99">
        <w:rPr>
          <w:rFonts w:ascii="Arial" w:eastAsiaTheme="majorEastAsia" w:hAnsi="Arial" w:cs="Arial"/>
          <w:bCs/>
          <w:sz w:val="24"/>
          <w:szCs w:val="24"/>
        </w:rPr>
        <w:t xml:space="preserve">f the lessor </w:t>
      </w:r>
      <w:r w:rsidR="006D2698">
        <w:rPr>
          <w:rFonts w:ascii="Arial" w:eastAsiaTheme="majorEastAsia" w:hAnsi="Arial" w:cs="Arial"/>
          <w:bCs/>
          <w:sz w:val="24"/>
          <w:szCs w:val="24"/>
        </w:rPr>
        <w:t xml:space="preserve">is not </w:t>
      </w:r>
      <w:r w:rsidR="003E6A99">
        <w:rPr>
          <w:rFonts w:ascii="Arial" w:eastAsiaTheme="majorEastAsia" w:hAnsi="Arial" w:cs="Arial"/>
          <w:bCs/>
          <w:sz w:val="24"/>
          <w:szCs w:val="24"/>
        </w:rPr>
        <w:t>in a significantly worse position</w:t>
      </w:r>
      <w:r w:rsidR="006D2698">
        <w:rPr>
          <w:rFonts w:ascii="Arial" w:eastAsiaTheme="majorEastAsia" w:hAnsi="Arial" w:cs="Arial"/>
          <w:bCs/>
          <w:sz w:val="24"/>
          <w:szCs w:val="24"/>
        </w:rPr>
        <w:t xml:space="preserve"> because they received a defective termination notice</w:t>
      </w:r>
      <w:r w:rsidR="003E6A99">
        <w:rPr>
          <w:rFonts w:ascii="Arial" w:eastAsiaTheme="majorEastAsia" w:hAnsi="Arial" w:cs="Arial"/>
          <w:bCs/>
          <w:sz w:val="24"/>
          <w:szCs w:val="24"/>
        </w:rPr>
        <w:t>,</w:t>
      </w:r>
      <w:r w:rsidR="00447846">
        <w:rPr>
          <w:rFonts w:ascii="Arial" w:eastAsiaTheme="majorEastAsia" w:hAnsi="Arial" w:cs="Arial"/>
          <w:bCs/>
          <w:sz w:val="24"/>
          <w:szCs w:val="24"/>
        </w:rPr>
        <w:t xml:space="preserve"> ACAT </w:t>
      </w:r>
      <w:r w:rsidR="003E6A99">
        <w:rPr>
          <w:rFonts w:ascii="Arial" w:eastAsiaTheme="majorEastAsia" w:hAnsi="Arial" w:cs="Arial"/>
          <w:bCs/>
          <w:sz w:val="24"/>
          <w:szCs w:val="24"/>
        </w:rPr>
        <w:t xml:space="preserve">must not make </w:t>
      </w:r>
      <w:r w:rsidR="00447846">
        <w:rPr>
          <w:rFonts w:ascii="Arial" w:eastAsiaTheme="majorEastAsia" w:hAnsi="Arial" w:cs="Arial"/>
          <w:bCs/>
          <w:sz w:val="24"/>
          <w:szCs w:val="24"/>
        </w:rPr>
        <w:t xml:space="preserve">a compensation </w:t>
      </w:r>
      <w:r w:rsidR="003E6A99">
        <w:rPr>
          <w:rFonts w:ascii="Arial" w:eastAsiaTheme="majorEastAsia" w:hAnsi="Arial" w:cs="Arial"/>
          <w:bCs/>
          <w:sz w:val="24"/>
          <w:szCs w:val="24"/>
        </w:rPr>
        <w:t xml:space="preserve">order. </w:t>
      </w:r>
    </w:p>
    <w:p w14:paraId="2E528B96" w14:textId="7CE27EC5" w:rsidR="00D66CA5" w:rsidRPr="00264F34" w:rsidRDefault="00D66CA5" w:rsidP="00D4599F">
      <w:pPr>
        <w:keepNext/>
        <w:keepLines/>
        <w:rPr>
          <w:rFonts w:ascii="Arial" w:eastAsiaTheme="majorEastAsia" w:hAnsi="Arial" w:cs="Arial"/>
          <w:b/>
          <w:sz w:val="24"/>
          <w:szCs w:val="24"/>
        </w:rPr>
      </w:pPr>
      <w:r w:rsidRPr="00264F34">
        <w:rPr>
          <w:rFonts w:ascii="Arial" w:eastAsiaTheme="majorEastAsia" w:hAnsi="Arial" w:cs="Arial"/>
          <w:b/>
          <w:sz w:val="24"/>
          <w:szCs w:val="24"/>
        </w:rPr>
        <w:lastRenderedPageBreak/>
        <w:t xml:space="preserve">Clause </w:t>
      </w:r>
      <w:r w:rsidR="00382BE2">
        <w:rPr>
          <w:rFonts w:ascii="Arial" w:eastAsiaTheme="majorEastAsia" w:hAnsi="Arial" w:cs="Arial"/>
          <w:b/>
          <w:sz w:val="24"/>
          <w:szCs w:val="24"/>
        </w:rPr>
        <w:t>25</w:t>
      </w:r>
      <w:r w:rsidRPr="00264F34">
        <w:rPr>
          <w:rFonts w:ascii="Arial" w:eastAsiaTheme="majorEastAsia" w:hAnsi="Arial" w:cs="Arial"/>
          <w:b/>
          <w:sz w:val="24"/>
          <w:szCs w:val="24"/>
        </w:rPr>
        <w:tab/>
        <w:t xml:space="preserve">New </w:t>
      </w:r>
      <w:r w:rsidR="00B04A8C">
        <w:rPr>
          <w:rFonts w:ascii="Arial" w:eastAsiaTheme="majorEastAsia" w:hAnsi="Arial" w:cs="Arial"/>
          <w:b/>
          <w:sz w:val="24"/>
          <w:szCs w:val="24"/>
        </w:rPr>
        <w:t xml:space="preserve">section </w:t>
      </w:r>
      <w:r w:rsidRPr="00264F34">
        <w:rPr>
          <w:rFonts w:ascii="Arial" w:eastAsiaTheme="majorEastAsia" w:hAnsi="Arial" w:cs="Arial"/>
          <w:b/>
          <w:sz w:val="24"/>
          <w:szCs w:val="24"/>
        </w:rPr>
        <w:t>6</w:t>
      </w:r>
      <w:r w:rsidR="00110FB0" w:rsidRPr="00264F34">
        <w:rPr>
          <w:rFonts w:ascii="Arial" w:eastAsiaTheme="majorEastAsia" w:hAnsi="Arial" w:cs="Arial"/>
          <w:b/>
          <w:sz w:val="24"/>
          <w:szCs w:val="24"/>
        </w:rPr>
        <w:t>4</w:t>
      </w:r>
      <w:r w:rsidRPr="00264F34">
        <w:rPr>
          <w:rFonts w:ascii="Arial" w:eastAsiaTheme="majorEastAsia" w:hAnsi="Arial" w:cs="Arial"/>
          <w:b/>
          <w:sz w:val="24"/>
          <w:szCs w:val="24"/>
        </w:rPr>
        <w:t>AD</w:t>
      </w:r>
    </w:p>
    <w:p w14:paraId="49E23EFC" w14:textId="0B4C9CB0" w:rsidR="00BE0959" w:rsidRPr="00264F34" w:rsidRDefault="00BE0959" w:rsidP="00110FB0">
      <w:pPr>
        <w:rPr>
          <w:rFonts w:ascii="Arial" w:hAnsi="Arial" w:cs="Arial"/>
          <w:sz w:val="24"/>
          <w:szCs w:val="24"/>
        </w:rPr>
      </w:pPr>
      <w:r w:rsidRPr="00264F34">
        <w:rPr>
          <w:rFonts w:ascii="Arial" w:hAnsi="Arial" w:cs="Arial"/>
          <w:sz w:val="24"/>
          <w:szCs w:val="24"/>
        </w:rPr>
        <w:t xml:space="preserve">This clause inserts new section 64AD, which confers a </w:t>
      </w:r>
      <w:r w:rsidR="00D92877" w:rsidRPr="00264F34">
        <w:rPr>
          <w:rFonts w:ascii="Arial" w:hAnsi="Arial" w:cs="Arial"/>
          <w:sz w:val="24"/>
          <w:szCs w:val="24"/>
        </w:rPr>
        <w:t xml:space="preserve">new </w:t>
      </w:r>
      <w:r w:rsidRPr="00264F34">
        <w:rPr>
          <w:rFonts w:ascii="Arial" w:hAnsi="Arial" w:cs="Arial"/>
          <w:sz w:val="24"/>
          <w:szCs w:val="24"/>
        </w:rPr>
        <w:t xml:space="preserve">power on </w:t>
      </w:r>
      <w:r w:rsidR="00447846">
        <w:rPr>
          <w:rFonts w:ascii="Arial" w:hAnsi="Arial" w:cs="Arial"/>
          <w:sz w:val="24"/>
          <w:szCs w:val="24"/>
        </w:rPr>
        <w:t>ACAT</w:t>
      </w:r>
      <w:r w:rsidRPr="00264F34">
        <w:rPr>
          <w:rFonts w:ascii="Arial" w:hAnsi="Arial" w:cs="Arial"/>
          <w:sz w:val="24"/>
          <w:szCs w:val="24"/>
        </w:rPr>
        <w:t xml:space="preserve"> to disallow retaliatory notices to vacate.</w:t>
      </w:r>
    </w:p>
    <w:p w14:paraId="52CA9166" w14:textId="4E52F7FF" w:rsidR="009347CD" w:rsidRPr="00264F34" w:rsidRDefault="008617CA" w:rsidP="00110FB0">
      <w:pPr>
        <w:rPr>
          <w:rFonts w:ascii="Arial" w:hAnsi="Arial" w:cs="Arial"/>
          <w:sz w:val="24"/>
          <w:szCs w:val="24"/>
        </w:rPr>
      </w:pPr>
      <w:r w:rsidRPr="00264F34">
        <w:rPr>
          <w:rFonts w:ascii="Arial" w:hAnsi="Arial" w:cs="Arial"/>
          <w:sz w:val="24"/>
          <w:szCs w:val="24"/>
        </w:rPr>
        <w:t>T</w:t>
      </w:r>
      <w:r w:rsidR="00727919" w:rsidRPr="00264F34">
        <w:rPr>
          <w:rFonts w:ascii="Arial" w:hAnsi="Arial" w:cs="Arial"/>
          <w:sz w:val="24"/>
          <w:szCs w:val="24"/>
        </w:rPr>
        <w:t>his clause</w:t>
      </w:r>
      <w:r w:rsidR="006D2698">
        <w:rPr>
          <w:rFonts w:ascii="Arial" w:hAnsi="Arial" w:cs="Arial"/>
          <w:sz w:val="24"/>
          <w:szCs w:val="24"/>
        </w:rPr>
        <w:t>,</w:t>
      </w:r>
      <w:r w:rsidR="00727919" w:rsidRPr="00264F34">
        <w:rPr>
          <w:rFonts w:ascii="Arial" w:hAnsi="Arial" w:cs="Arial"/>
          <w:sz w:val="24"/>
          <w:szCs w:val="24"/>
        </w:rPr>
        <w:t xml:space="preserve"> </w:t>
      </w:r>
      <w:r w:rsidR="00447846">
        <w:rPr>
          <w:rFonts w:ascii="Arial" w:hAnsi="Arial" w:cs="Arial"/>
          <w:sz w:val="24"/>
          <w:szCs w:val="24"/>
        </w:rPr>
        <w:t xml:space="preserve">together with the amendments at </w:t>
      </w:r>
      <w:r w:rsidR="00447846" w:rsidRPr="005A14D5">
        <w:rPr>
          <w:rFonts w:ascii="Arial" w:hAnsi="Arial" w:cs="Arial"/>
          <w:sz w:val="24"/>
          <w:szCs w:val="24"/>
        </w:rPr>
        <w:t>claus</w:t>
      </w:r>
      <w:r w:rsidR="00447846" w:rsidRPr="00F6657C">
        <w:rPr>
          <w:rFonts w:ascii="Arial" w:hAnsi="Arial" w:cs="Arial"/>
          <w:sz w:val="24"/>
          <w:szCs w:val="24"/>
        </w:rPr>
        <w:t>e</w:t>
      </w:r>
      <w:r w:rsidR="005A14D5">
        <w:rPr>
          <w:rFonts w:ascii="Arial" w:hAnsi="Arial" w:cs="Arial"/>
          <w:sz w:val="24"/>
          <w:szCs w:val="24"/>
        </w:rPr>
        <w:t>s 23 and</w:t>
      </w:r>
      <w:r w:rsidR="00447846" w:rsidRPr="00F6657C">
        <w:rPr>
          <w:rFonts w:ascii="Arial" w:hAnsi="Arial" w:cs="Arial"/>
          <w:sz w:val="24"/>
          <w:szCs w:val="24"/>
        </w:rPr>
        <w:t xml:space="preserve"> 2</w:t>
      </w:r>
      <w:r w:rsidR="00485941" w:rsidRPr="00485941">
        <w:rPr>
          <w:rFonts w:ascii="Arial" w:hAnsi="Arial" w:cs="Arial"/>
          <w:sz w:val="24"/>
          <w:szCs w:val="24"/>
        </w:rPr>
        <w:t>4</w:t>
      </w:r>
      <w:r w:rsidR="006D2698">
        <w:rPr>
          <w:rFonts w:ascii="Arial" w:hAnsi="Arial" w:cs="Arial"/>
          <w:sz w:val="24"/>
          <w:szCs w:val="24"/>
        </w:rPr>
        <w:t>,</w:t>
      </w:r>
      <w:r w:rsidR="00447846">
        <w:rPr>
          <w:rFonts w:ascii="Arial" w:hAnsi="Arial" w:cs="Arial"/>
          <w:sz w:val="24"/>
          <w:szCs w:val="24"/>
        </w:rPr>
        <w:t xml:space="preserve"> </w:t>
      </w:r>
      <w:r w:rsidR="006D2698">
        <w:rPr>
          <w:rFonts w:ascii="Arial" w:hAnsi="Arial" w:cs="Arial"/>
          <w:sz w:val="24"/>
          <w:szCs w:val="24"/>
        </w:rPr>
        <w:t>is</w:t>
      </w:r>
      <w:r w:rsidR="00447846">
        <w:rPr>
          <w:rFonts w:ascii="Arial" w:hAnsi="Arial" w:cs="Arial"/>
          <w:sz w:val="24"/>
          <w:szCs w:val="24"/>
        </w:rPr>
        <w:t xml:space="preserve"> </w:t>
      </w:r>
      <w:r w:rsidR="00727919" w:rsidRPr="00264F34">
        <w:rPr>
          <w:rFonts w:ascii="Arial" w:hAnsi="Arial" w:cs="Arial"/>
          <w:sz w:val="24"/>
          <w:szCs w:val="24"/>
        </w:rPr>
        <w:t xml:space="preserve">intended to extend and </w:t>
      </w:r>
      <w:r w:rsidR="00DC0AB3" w:rsidRPr="00264F34">
        <w:rPr>
          <w:rFonts w:ascii="Arial" w:hAnsi="Arial" w:cs="Arial"/>
          <w:sz w:val="24"/>
          <w:szCs w:val="24"/>
        </w:rPr>
        <w:t>compliment</w:t>
      </w:r>
      <w:r w:rsidR="00727919" w:rsidRPr="00264F34">
        <w:rPr>
          <w:rFonts w:ascii="Arial" w:hAnsi="Arial" w:cs="Arial"/>
          <w:sz w:val="24"/>
          <w:szCs w:val="24"/>
        </w:rPr>
        <w:t xml:space="preserve"> the </w:t>
      </w:r>
      <w:r w:rsidR="00447846">
        <w:rPr>
          <w:rFonts w:ascii="Arial" w:hAnsi="Arial" w:cs="Arial"/>
          <w:sz w:val="24"/>
          <w:szCs w:val="24"/>
        </w:rPr>
        <w:t xml:space="preserve">retaliatory eviction </w:t>
      </w:r>
      <w:r w:rsidR="00727919" w:rsidRPr="00264F34">
        <w:rPr>
          <w:rFonts w:ascii="Arial" w:hAnsi="Arial" w:cs="Arial"/>
          <w:sz w:val="24"/>
          <w:szCs w:val="24"/>
        </w:rPr>
        <w:t xml:space="preserve">protections </w:t>
      </w:r>
      <w:r w:rsidR="00447846">
        <w:rPr>
          <w:rFonts w:ascii="Arial" w:hAnsi="Arial" w:cs="Arial"/>
          <w:sz w:val="24"/>
          <w:szCs w:val="24"/>
        </w:rPr>
        <w:t xml:space="preserve">at existing section 57 of the RTA.  </w:t>
      </w:r>
    </w:p>
    <w:p w14:paraId="231CB373" w14:textId="08993D5E" w:rsidR="001100C3" w:rsidRPr="00264F34" w:rsidRDefault="00980366" w:rsidP="001100C3">
      <w:pPr>
        <w:rPr>
          <w:rFonts w:ascii="Arial" w:hAnsi="Arial" w:cs="Arial"/>
          <w:sz w:val="24"/>
          <w:szCs w:val="24"/>
        </w:rPr>
      </w:pPr>
      <w:r>
        <w:rPr>
          <w:rFonts w:ascii="Arial" w:hAnsi="Arial" w:cs="Arial"/>
          <w:sz w:val="24"/>
          <w:szCs w:val="24"/>
        </w:rPr>
        <w:t xml:space="preserve">Under existing </w:t>
      </w:r>
      <w:r w:rsidR="001100C3" w:rsidRPr="00264F34">
        <w:rPr>
          <w:rFonts w:ascii="Arial" w:hAnsi="Arial" w:cs="Arial"/>
          <w:sz w:val="24"/>
          <w:szCs w:val="24"/>
        </w:rPr>
        <w:t>section 57</w:t>
      </w:r>
      <w:r>
        <w:rPr>
          <w:rFonts w:ascii="Arial" w:hAnsi="Arial" w:cs="Arial"/>
          <w:sz w:val="24"/>
          <w:szCs w:val="24"/>
        </w:rPr>
        <w:t>,</w:t>
      </w:r>
      <w:r w:rsidR="001100C3" w:rsidRPr="00264F34">
        <w:rPr>
          <w:rFonts w:ascii="Arial" w:hAnsi="Arial" w:cs="Arial"/>
          <w:sz w:val="24"/>
          <w:szCs w:val="24"/>
        </w:rPr>
        <w:t xml:space="preserve"> </w:t>
      </w:r>
      <w:r>
        <w:rPr>
          <w:rFonts w:ascii="Arial" w:hAnsi="Arial" w:cs="Arial"/>
          <w:sz w:val="24"/>
          <w:szCs w:val="24"/>
        </w:rPr>
        <w:t xml:space="preserve">when a tenant wishes to argue that the termination of their tenancy </w:t>
      </w:r>
      <w:r w:rsidR="00B04A8C">
        <w:rPr>
          <w:rFonts w:ascii="Arial" w:hAnsi="Arial" w:cs="Arial"/>
          <w:sz w:val="24"/>
          <w:szCs w:val="24"/>
        </w:rPr>
        <w:t>wa</w:t>
      </w:r>
      <w:r>
        <w:rPr>
          <w:rFonts w:ascii="Arial" w:hAnsi="Arial" w:cs="Arial"/>
          <w:sz w:val="24"/>
          <w:szCs w:val="24"/>
        </w:rPr>
        <w:t xml:space="preserve">s in retaliation </w:t>
      </w:r>
      <w:r w:rsidR="00B04A8C">
        <w:rPr>
          <w:rFonts w:ascii="Arial" w:hAnsi="Arial" w:cs="Arial"/>
          <w:sz w:val="24"/>
          <w:szCs w:val="24"/>
        </w:rPr>
        <w:t xml:space="preserve">to </w:t>
      </w:r>
      <w:r>
        <w:rPr>
          <w:rFonts w:ascii="Arial" w:hAnsi="Arial" w:cs="Arial"/>
          <w:sz w:val="24"/>
          <w:szCs w:val="24"/>
        </w:rPr>
        <w:t xml:space="preserve">them asserting their rights under the tenancy agreement, </w:t>
      </w:r>
      <w:r w:rsidR="006D2698">
        <w:rPr>
          <w:rFonts w:ascii="Arial" w:hAnsi="Arial" w:cs="Arial"/>
          <w:sz w:val="24"/>
          <w:szCs w:val="24"/>
        </w:rPr>
        <w:t xml:space="preserve">they cannot apply to ACAT to have the retaliatory notice disallowed before the end of the notice period. Rather, </w:t>
      </w:r>
      <w:r>
        <w:rPr>
          <w:rFonts w:ascii="Arial" w:hAnsi="Arial" w:cs="Arial"/>
          <w:sz w:val="24"/>
          <w:szCs w:val="24"/>
        </w:rPr>
        <w:t xml:space="preserve">they must </w:t>
      </w:r>
      <w:r w:rsidR="001100C3" w:rsidRPr="00264F34">
        <w:rPr>
          <w:rFonts w:ascii="Arial" w:hAnsi="Arial" w:cs="Arial"/>
          <w:sz w:val="24"/>
          <w:szCs w:val="24"/>
        </w:rPr>
        <w:t xml:space="preserve">wait for their lessor to commence </w:t>
      </w:r>
      <w:r>
        <w:rPr>
          <w:rFonts w:ascii="Arial" w:hAnsi="Arial" w:cs="Arial"/>
          <w:sz w:val="24"/>
          <w:szCs w:val="24"/>
        </w:rPr>
        <w:t xml:space="preserve">ACAT </w:t>
      </w:r>
      <w:r w:rsidR="001100C3" w:rsidRPr="00264F34">
        <w:rPr>
          <w:rFonts w:ascii="Arial" w:hAnsi="Arial" w:cs="Arial"/>
          <w:sz w:val="24"/>
          <w:szCs w:val="24"/>
        </w:rPr>
        <w:t xml:space="preserve">proceedings </w:t>
      </w:r>
      <w:r>
        <w:rPr>
          <w:rFonts w:ascii="Arial" w:hAnsi="Arial" w:cs="Arial"/>
          <w:sz w:val="24"/>
          <w:szCs w:val="24"/>
        </w:rPr>
        <w:t>for a TPO on the basis they have not vacated the property in accordance with the NTV</w:t>
      </w:r>
      <w:r w:rsidR="006D2698">
        <w:rPr>
          <w:rFonts w:ascii="Arial" w:hAnsi="Arial" w:cs="Arial"/>
          <w:sz w:val="24"/>
          <w:szCs w:val="24"/>
        </w:rPr>
        <w:t xml:space="preserve"> and make a counterclaim</w:t>
      </w:r>
      <w:r>
        <w:rPr>
          <w:rFonts w:ascii="Arial" w:hAnsi="Arial" w:cs="Arial"/>
          <w:sz w:val="24"/>
          <w:szCs w:val="24"/>
        </w:rPr>
        <w:t xml:space="preserve">. </w:t>
      </w:r>
      <w:r w:rsidR="001100C3" w:rsidRPr="00264F34">
        <w:rPr>
          <w:rFonts w:ascii="Arial" w:hAnsi="Arial" w:cs="Arial"/>
          <w:sz w:val="24"/>
          <w:szCs w:val="24"/>
        </w:rPr>
        <w:t xml:space="preserve">In this scenario, </w:t>
      </w:r>
      <w:r>
        <w:rPr>
          <w:rFonts w:ascii="Arial" w:hAnsi="Arial" w:cs="Arial"/>
          <w:sz w:val="24"/>
          <w:szCs w:val="24"/>
        </w:rPr>
        <w:t>if ACAT finds the NTV was not retaliatory</w:t>
      </w:r>
      <w:r w:rsidR="00884E2F">
        <w:rPr>
          <w:rFonts w:ascii="Arial" w:hAnsi="Arial" w:cs="Arial"/>
          <w:sz w:val="24"/>
          <w:szCs w:val="24"/>
        </w:rPr>
        <w:t>,</w:t>
      </w:r>
      <w:r>
        <w:rPr>
          <w:rFonts w:ascii="Arial" w:hAnsi="Arial" w:cs="Arial"/>
          <w:sz w:val="24"/>
          <w:szCs w:val="24"/>
        </w:rPr>
        <w:t xml:space="preserve"> </w:t>
      </w:r>
      <w:r w:rsidR="001100C3" w:rsidRPr="00264F34">
        <w:rPr>
          <w:rFonts w:ascii="Arial" w:hAnsi="Arial" w:cs="Arial"/>
          <w:sz w:val="24"/>
          <w:szCs w:val="24"/>
        </w:rPr>
        <w:t>a tenant may be granted very little time to vacate and secure alternative accommodation</w:t>
      </w:r>
      <w:r>
        <w:rPr>
          <w:rFonts w:ascii="Arial" w:hAnsi="Arial" w:cs="Arial"/>
          <w:sz w:val="24"/>
          <w:szCs w:val="24"/>
        </w:rPr>
        <w:t xml:space="preserve"> (</w:t>
      </w:r>
      <w:r w:rsidR="006D2698">
        <w:rPr>
          <w:rFonts w:ascii="Arial" w:hAnsi="Arial" w:cs="Arial"/>
          <w:sz w:val="24"/>
          <w:szCs w:val="24"/>
        </w:rPr>
        <w:t xml:space="preserve">if ACAT suspends the TPO for the maximum time allowed under legislation, </w:t>
      </w:r>
      <w:r>
        <w:rPr>
          <w:rFonts w:ascii="Arial" w:hAnsi="Arial" w:cs="Arial"/>
          <w:sz w:val="24"/>
          <w:szCs w:val="24"/>
        </w:rPr>
        <w:t xml:space="preserve">at most </w:t>
      </w:r>
      <w:r w:rsidR="006D2698">
        <w:rPr>
          <w:rFonts w:ascii="Arial" w:hAnsi="Arial" w:cs="Arial"/>
          <w:sz w:val="24"/>
          <w:szCs w:val="24"/>
        </w:rPr>
        <w:t>the tenant may</w:t>
      </w:r>
      <w:r>
        <w:rPr>
          <w:rFonts w:ascii="Arial" w:hAnsi="Arial" w:cs="Arial"/>
          <w:sz w:val="24"/>
          <w:szCs w:val="24"/>
        </w:rPr>
        <w:t xml:space="preserve"> be given 3 weeks notice)</w:t>
      </w:r>
      <w:r w:rsidR="001100C3" w:rsidRPr="00264F34">
        <w:rPr>
          <w:rFonts w:ascii="Arial" w:hAnsi="Arial" w:cs="Arial"/>
          <w:sz w:val="24"/>
          <w:szCs w:val="24"/>
        </w:rPr>
        <w:t>.</w:t>
      </w:r>
    </w:p>
    <w:p w14:paraId="7B8FEB0C" w14:textId="3A90B04F" w:rsidR="003E637F" w:rsidRPr="00264F34" w:rsidRDefault="00980366" w:rsidP="00110FB0">
      <w:pPr>
        <w:rPr>
          <w:rFonts w:ascii="Arial" w:hAnsi="Arial" w:cs="Arial"/>
          <w:sz w:val="24"/>
          <w:szCs w:val="24"/>
        </w:rPr>
      </w:pPr>
      <w:r>
        <w:rPr>
          <w:rFonts w:ascii="Arial" w:hAnsi="Arial" w:cs="Arial"/>
          <w:sz w:val="24"/>
          <w:szCs w:val="24"/>
        </w:rPr>
        <w:t xml:space="preserve">As noted above, </w:t>
      </w:r>
      <w:r w:rsidRPr="00264F34">
        <w:rPr>
          <w:rFonts w:ascii="Arial" w:hAnsi="Arial" w:cs="Arial"/>
          <w:sz w:val="24"/>
          <w:szCs w:val="24"/>
        </w:rPr>
        <w:t xml:space="preserve">new section 64AD confers a new power on </w:t>
      </w:r>
      <w:r>
        <w:rPr>
          <w:rFonts w:ascii="Arial" w:hAnsi="Arial" w:cs="Arial"/>
          <w:sz w:val="24"/>
          <w:szCs w:val="24"/>
        </w:rPr>
        <w:t>ACAT</w:t>
      </w:r>
      <w:r w:rsidRPr="00264F34">
        <w:rPr>
          <w:rFonts w:ascii="Arial" w:hAnsi="Arial" w:cs="Arial"/>
          <w:sz w:val="24"/>
          <w:szCs w:val="24"/>
        </w:rPr>
        <w:t xml:space="preserve"> to disallow retaliatory notices to vacate</w:t>
      </w:r>
      <w:r>
        <w:rPr>
          <w:rFonts w:ascii="Arial" w:hAnsi="Arial" w:cs="Arial"/>
          <w:sz w:val="24"/>
          <w:szCs w:val="24"/>
        </w:rPr>
        <w:t xml:space="preserve"> at the time the notice is received, rather than having to wait until the TPO hearing. This allows a tenant </w:t>
      </w:r>
      <w:r w:rsidR="003E637F" w:rsidRPr="00264F34">
        <w:rPr>
          <w:rFonts w:ascii="Arial" w:hAnsi="Arial" w:cs="Arial"/>
          <w:sz w:val="24"/>
          <w:szCs w:val="24"/>
        </w:rPr>
        <w:t>to</w:t>
      </w:r>
      <w:r w:rsidR="00BA5166" w:rsidRPr="00264F34">
        <w:rPr>
          <w:rFonts w:ascii="Arial" w:hAnsi="Arial" w:cs="Arial"/>
          <w:sz w:val="24"/>
          <w:szCs w:val="24"/>
        </w:rPr>
        <w:t xml:space="preserve"> obtain certainty as to</w:t>
      </w:r>
      <w:r w:rsidR="00145958" w:rsidRPr="00264F34">
        <w:rPr>
          <w:rFonts w:ascii="Arial" w:hAnsi="Arial" w:cs="Arial"/>
          <w:sz w:val="24"/>
          <w:szCs w:val="24"/>
        </w:rPr>
        <w:t xml:space="preserve"> </w:t>
      </w:r>
      <w:r w:rsidR="003B4DAC" w:rsidRPr="00264F34">
        <w:rPr>
          <w:rFonts w:ascii="Arial" w:hAnsi="Arial" w:cs="Arial"/>
          <w:sz w:val="24"/>
          <w:szCs w:val="24"/>
        </w:rPr>
        <w:t xml:space="preserve">whether they </w:t>
      </w:r>
      <w:r w:rsidR="007645BF" w:rsidRPr="00264F34">
        <w:rPr>
          <w:rFonts w:ascii="Arial" w:hAnsi="Arial" w:cs="Arial"/>
          <w:sz w:val="24"/>
          <w:szCs w:val="24"/>
        </w:rPr>
        <w:t>can continue to live in the</w:t>
      </w:r>
      <w:r w:rsidR="003B4DAC" w:rsidRPr="00264F34">
        <w:rPr>
          <w:rFonts w:ascii="Arial" w:hAnsi="Arial" w:cs="Arial"/>
          <w:sz w:val="24"/>
          <w:szCs w:val="24"/>
        </w:rPr>
        <w:t xml:space="preserve"> premises or will be required to vacate </w:t>
      </w:r>
      <w:r w:rsidR="00145958" w:rsidRPr="00264F34">
        <w:rPr>
          <w:rFonts w:ascii="Arial" w:hAnsi="Arial" w:cs="Arial"/>
          <w:sz w:val="24"/>
          <w:szCs w:val="24"/>
        </w:rPr>
        <w:t xml:space="preserve">prior to the expiration of the notice period. </w:t>
      </w:r>
    </w:p>
    <w:p w14:paraId="37F29CD6" w14:textId="619E83D7" w:rsidR="003E637F" w:rsidRPr="00264F34" w:rsidRDefault="003E637F" w:rsidP="00110FB0">
      <w:pPr>
        <w:rPr>
          <w:rFonts w:ascii="Arial" w:hAnsi="Arial" w:cs="Arial"/>
          <w:sz w:val="24"/>
          <w:szCs w:val="24"/>
        </w:rPr>
      </w:pPr>
      <w:r w:rsidRPr="00264F34">
        <w:rPr>
          <w:rFonts w:ascii="Arial" w:hAnsi="Arial" w:cs="Arial"/>
          <w:sz w:val="24"/>
          <w:szCs w:val="24"/>
        </w:rPr>
        <w:t>For example, if a tenant received a termination notice requiring them to vacate the property in twelve weeks, and the tenant believes that this is a retaliatory termination notice</w:t>
      </w:r>
      <w:r w:rsidR="00DC0AB3" w:rsidRPr="00264F34">
        <w:rPr>
          <w:rFonts w:ascii="Arial" w:hAnsi="Arial" w:cs="Arial"/>
          <w:sz w:val="24"/>
          <w:szCs w:val="24"/>
        </w:rPr>
        <w:t xml:space="preserve">, </w:t>
      </w:r>
      <w:r w:rsidR="006D2698">
        <w:rPr>
          <w:rFonts w:ascii="Arial" w:hAnsi="Arial" w:cs="Arial"/>
          <w:sz w:val="24"/>
          <w:szCs w:val="24"/>
        </w:rPr>
        <w:t xml:space="preserve">under new section 64AD, </w:t>
      </w:r>
      <w:r w:rsidR="00DC0AB3" w:rsidRPr="00264F34">
        <w:rPr>
          <w:rFonts w:ascii="Arial" w:hAnsi="Arial" w:cs="Arial"/>
          <w:sz w:val="24"/>
          <w:szCs w:val="24"/>
        </w:rPr>
        <w:t xml:space="preserve">the tenant would be able to apply to </w:t>
      </w:r>
      <w:r w:rsidR="00DA32DF">
        <w:rPr>
          <w:rFonts w:ascii="Arial" w:hAnsi="Arial" w:cs="Arial"/>
          <w:sz w:val="24"/>
          <w:szCs w:val="24"/>
        </w:rPr>
        <w:t>ACAT</w:t>
      </w:r>
      <w:r w:rsidR="00DC0AB3" w:rsidRPr="00264F34">
        <w:rPr>
          <w:rFonts w:ascii="Arial" w:hAnsi="Arial" w:cs="Arial"/>
          <w:sz w:val="24"/>
          <w:szCs w:val="24"/>
        </w:rPr>
        <w:t xml:space="preserve"> for an order disallowing the </w:t>
      </w:r>
      <w:r w:rsidR="006D2698">
        <w:rPr>
          <w:rFonts w:ascii="Arial" w:hAnsi="Arial" w:cs="Arial"/>
          <w:sz w:val="24"/>
          <w:szCs w:val="24"/>
        </w:rPr>
        <w:t xml:space="preserve">NTV at </w:t>
      </w:r>
      <w:r w:rsidR="00DC0AB3" w:rsidRPr="00264F34">
        <w:rPr>
          <w:rFonts w:ascii="Arial" w:hAnsi="Arial" w:cs="Arial"/>
          <w:sz w:val="24"/>
          <w:szCs w:val="24"/>
        </w:rPr>
        <w:t xml:space="preserve">any time prior to the expiration of the notice period, rather than having to wait until the expiration of the notice period and for the lessor to apply for a </w:t>
      </w:r>
      <w:r w:rsidR="006D2698">
        <w:rPr>
          <w:rFonts w:ascii="Arial" w:hAnsi="Arial" w:cs="Arial"/>
          <w:sz w:val="24"/>
          <w:szCs w:val="24"/>
        </w:rPr>
        <w:t>TPO</w:t>
      </w:r>
      <w:r w:rsidR="00DC0AB3" w:rsidRPr="00264F34">
        <w:rPr>
          <w:rFonts w:ascii="Arial" w:hAnsi="Arial" w:cs="Arial"/>
          <w:sz w:val="24"/>
          <w:szCs w:val="24"/>
        </w:rPr>
        <w:t xml:space="preserve">. This scenario would allow a tenant </w:t>
      </w:r>
      <w:r w:rsidR="006D2698">
        <w:rPr>
          <w:rFonts w:ascii="Arial" w:hAnsi="Arial" w:cs="Arial"/>
          <w:sz w:val="24"/>
          <w:szCs w:val="24"/>
        </w:rPr>
        <w:t>more</w:t>
      </w:r>
      <w:r w:rsidR="00DC0AB3" w:rsidRPr="00264F34">
        <w:rPr>
          <w:rFonts w:ascii="Arial" w:hAnsi="Arial" w:cs="Arial"/>
          <w:sz w:val="24"/>
          <w:szCs w:val="24"/>
        </w:rPr>
        <w:t xml:space="preserve"> time to vacate the property and secure alternative accommodation. </w:t>
      </w:r>
    </w:p>
    <w:p w14:paraId="1337778D" w14:textId="03682742" w:rsidR="00BE0959" w:rsidRPr="00264F34" w:rsidRDefault="00727919" w:rsidP="00BE0959">
      <w:pPr>
        <w:rPr>
          <w:rFonts w:ascii="Arial" w:hAnsi="Arial" w:cs="Arial"/>
          <w:sz w:val="24"/>
          <w:szCs w:val="24"/>
        </w:rPr>
      </w:pPr>
      <w:r w:rsidRPr="00264F34">
        <w:rPr>
          <w:rFonts w:ascii="Arial" w:hAnsi="Arial" w:cs="Arial"/>
          <w:sz w:val="24"/>
          <w:szCs w:val="24"/>
        </w:rPr>
        <w:t xml:space="preserve">Further to the above, </w:t>
      </w:r>
      <w:r w:rsidR="00BE0959" w:rsidRPr="005A14D5">
        <w:rPr>
          <w:rFonts w:ascii="Arial" w:hAnsi="Arial" w:cs="Arial"/>
          <w:sz w:val="24"/>
          <w:szCs w:val="24"/>
        </w:rPr>
        <w:t>clause</w:t>
      </w:r>
      <w:r w:rsidR="005A14D5">
        <w:rPr>
          <w:rFonts w:ascii="Arial" w:hAnsi="Arial" w:cs="Arial"/>
          <w:sz w:val="24"/>
          <w:szCs w:val="24"/>
        </w:rPr>
        <w:t>s 23</w:t>
      </w:r>
      <w:r w:rsidR="00BE0959" w:rsidRPr="005A14D5">
        <w:rPr>
          <w:rFonts w:ascii="Arial" w:hAnsi="Arial" w:cs="Arial"/>
          <w:sz w:val="24"/>
          <w:szCs w:val="24"/>
        </w:rPr>
        <w:t xml:space="preserve"> </w:t>
      </w:r>
      <w:r w:rsidR="005A14D5">
        <w:rPr>
          <w:rFonts w:ascii="Arial" w:hAnsi="Arial" w:cs="Arial"/>
          <w:sz w:val="24"/>
          <w:szCs w:val="24"/>
        </w:rPr>
        <w:t>to</w:t>
      </w:r>
      <w:r w:rsidR="00BE0959" w:rsidRPr="005A14D5">
        <w:rPr>
          <w:rFonts w:ascii="Arial" w:hAnsi="Arial" w:cs="Arial"/>
          <w:sz w:val="24"/>
          <w:szCs w:val="24"/>
        </w:rPr>
        <w:t xml:space="preserve"> </w:t>
      </w:r>
      <w:r w:rsidR="004C4F88" w:rsidRPr="005A14D5">
        <w:rPr>
          <w:rFonts w:ascii="Arial" w:hAnsi="Arial" w:cs="Arial"/>
          <w:sz w:val="24"/>
          <w:szCs w:val="24"/>
        </w:rPr>
        <w:t>2</w:t>
      </w:r>
      <w:r w:rsidR="00382BE2" w:rsidRPr="005A14D5">
        <w:rPr>
          <w:rFonts w:ascii="Arial" w:hAnsi="Arial" w:cs="Arial"/>
          <w:sz w:val="24"/>
          <w:szCs w:val="24"/>
        </w:rPr>
        <w:t>5</w:t>
      </w:r>
      <w:r w:rsidR="00BE0959" w:rsidRPr="00264F34">
        <w:rPr>
          <w:rFonts w:ascii="Arial" w:hAnsi="Arial" w:cs="Arial"/>
          <w:sz w:val="24"/>
          <w:szCs w:val="24"/>
        </w:rPr>
        <w:t xml:space="preserve"> are intended to support the policy objectives of removing </w:t>
      </w:r>
      <w:r w:rsidR="00465521">
        <w:rPr>
          <w:rFonts w:ascii="Arial" w:hAnsi="Arial" w:cs="Arial"/>
          <w:sz w:val="24"/>
          <w:szCs w:val="24"/>
        </w:rPr>
        <w:t>without</w:t>
      </w:r>
      <w:r w:rsidR="00BE0959" w:rsidRPr="00264F34">
        <w:rPr>
          <w:rFonts w:ascii="Arial" w:hAnsi="Arial" w:cs="Arial"/>
          <w:sz w:val="24"/>
          <w:szCs w:val="24"/>
        </w:rPr>
        <w:t xml:space="preserve"> cause evictions. By </w:t>
      </w:r>
      <w:r w:rsidRPr="00264F34">
        <w:rPr>
          <w:rFonts w:ascii="Arial" w:hAnsi="Arial" w:cs="Arial"/>
          <w:sz w:val="24"/>
          <w:szCs w:val="24"/>
        </w:rPr>
        <w:t>requiring a lessor to rely on prescribed</w:t>
      </w:r>
      <w:r w:rsidR="003B4DAC" w:rsidRPr="00264F34">
        <w:rPr>
          <w:rFonts w:ascii="Arial" w:hAnsi="Arial" w:cs="Arial"/>
          <w:sz w:val="24"/>
          <w:szCs w:val="24"/>
        </w:rPr>
        <w:t>, justifiable</w:t>
      </w:r>
      <w:r w:rsidRPr="00264F34">
        <w:rPr>
          <w:rFonts w:ascii="Arial" w:hAnsi="Arial" w:cs="Arial"/>
          <w:sz w:val="24"/>
          <w:szCs w:val="24"/>
        </w:rPr>
        <w:t xml:space="preserve"> grounds</w:t>
      </w:r>
      <w:r w:rsidR="003B4DAC" w:rsidRPr="00264F34">
        <w:rPr>
          <w:rFonts w:ascii="Arial" w:hAnsi="Arial" w:cs="Arial"/>
          <w:sz w:val="24"/>
          <w:szCs w:val="24"/>
        </w:rPr>
        <w:t xml:space="preserve"> for terminating a tenancy,</w:t>
      </w:r>
      <w:r w:rsidR="00BE0959" w:rsidRPr="00264F34">
        <w:rPr>
          <w:rFonts w:ascii="Arial" w:hAnsi="Arial" w:cs="Arial"/>
          <w:sz w:val="24"/>
          <w:szCs w:val="24"/>
        </w:rPr>
        <w:t xml:space="preserve"> a tenant </w:t>
      </w:r>
      <w:r w:rsidR="003B4DAC" w:rsidRPr="00264F34">
        <w:rPr>
          <w:rFonts w:ascii="Arial" w:hAnsi="Arial" w:cs="Arial"/>
          <w:sz w:val="24"/>
          <w:szCs w:val="24"/>
        </w:rPr>
        <w:t xml:space="preserve">has increased rental security, and in the circumstances envisioned by this provision, </w:t>
      </w:r>
      <w:r w:rsidR="00BE0959" w:rsidRPr="00264F34">
        <w:rPr>
          <w:rFonts w:ascii="Arial" w:hAnsi="Arial" w:cs="Arial"/>
          <w:sz w:val="24"/>
          <w:szCs w:val="24"/>
        </w:rPr>
        <w:t>is empowered to engage in public debate and discussion about issues relevant to tenants without fear of eviction or conflict.</w:t>
      </w:r>
    </w:p>
    <w:p w14:paraId="5A54324B" w14:textId="28D33698" w:rsidR="00110FB0" w:rsidRPr="00264F34" w:rsidRDefault="00110FB0" w:rsidP="00110FB0">
      <w:pPr>
        <w:rPr>
          <w:rFonts w:ascii="Arial" w:hAnsi="Arial" w:cs="Arial"/>
          <w:i/>
          <w:iCs/>
          <w:sz w:val="24"/>
          <w:szCs w:val="24"/>
        </w:rPr>
      </w:pPr>
      <w:r w:rsidRPr="00264F34">
        <w:rPr>
          <w:rFonts w:ascii="Arial" w:hAnsi="Arial" w:cs="Arial"/>
          <w:i/>
          <w:iCs/>
          <w:sz w:val="24"/>
          <w:szCs w:val="24"/>
        </w:rPr>
        <w:t>Example</w:t>
      </w:r>
    </w:p>
    <w:p w14:paraId="6B1A510B" w14:textId="7D529BC2" w:rsidR="00110FB0" w:rsidRPr="00264F34" w:rsidRDefault="00980366" w:rsidP="00110FB0">
      <w:pPr>
        <w:rPr>
          <w:rFonts w:ascii="Arial" w:hAnsi="Arial" w:cs="Arial"/>
          <w:sz w:val="24"/>
          <w:szCs w:val="24"/>
        </w:rPr>
      </w:pPr>
      <w:r>
        <w:rPr>
          <w:rFonts w:ascii="Arial" w:hAnsi="Arial" w:cs="Arial"/>
          <w:sz w:val="24"/>
          <w:szCs w:val="24"/>
        </w:rPr>
        <w:t>Frankie</w:t>
      </w:r>
      <w:r w:rsidR="00110FB0" w:rsidRPr="00264F34">
        <w:rPr>
          <w:rFonts w:ascii="Arial" w:hAnsi="Arial" w:cs="Arial"/>
          <w:sz w:val="24"/>
          <w:szCs w:val="24"/>
        </w:rPr>
        <w:t xml:space="preserve"> is a tenant. </w:t>
      </w:r>
      <w:r>
        <w:rPr>
          <w:rFonts w:ascii="Arial" w:hAnsi="Arial" w:cs="Arial"/>
          <w:sz w:val="24"/>
          <w:szCs w:val="24"/>
        </w:rPr>
        <w:t>Frankie</w:t>
      </w:r>
      <w:r w:rsidR="00110FB0" w:rsidRPr="00264F34">
        <w:rPr>
          <w:rFonts w:ascii="Arial" w:hAnsi="Arial" w:cs="Arial"/>
          <w:sz w:val="24"/>
          <w:szCs w:val="24"/>
        </w:rPr>
        <w:t xml:space="preserve"> was approached by a journalist from a local news station and was asked to talk about their experience renting in the ACT. The journalist explained that the interview may be used for a segment about the increasing pressures faced by tenants in the ACT. </w:t>
      </w:r>
      <w:r>
        <w:rPr>
          <w:rFonts w:ascii="Arial" w:hAnsi="Arial" w:cs="Arial"/>
          <w:sz w:val="24"/>
          <w:szCs w:val="24"/>
        </w:rPr>
        <w:t>Frankie</w:t>
      </w:r>
      <w:r w:rsidR="00110FB0" w:rsidRPr="00264F34">
        <w:rPr>
          <w:rFonts w:ascii="Arial" w:hAnsi="Arial" w:cs="Arial"/>
          <w:sz w:val="24"/>
          <w:szCs w:val="24"/>
        </w:rPr>
        <w:t xml:space="preserve"> explained to the journalist that they </w:t>
      </w:r>
      <w:r w:rsidR="00110FB0" w:rsidRPr="00264F34">
        <w:rPr>
          <w:rFonts w:ascii="Arial" w:hAnsi="Arial" w:cs="Arial"/>
          <w:sz w:val="24"/>
          <w:szCs w:val="24"/>
        </w:rPr>
        <w:lastRenderedPageBreak/>
        <w:t xml:space="preserve">had recently received a rent increase notice from their landlord. </w:t>
      </w:r>
      <w:r>
        <w:rPr>
          <w:rFonts w:ascii="Arial" w:hAnsi="Arial" w:cs="Arial"/>
          <w:sz w:val="24"/>
          <w:szCs w:val="24"/>
        </w:rPr>
        <w:t>Frankie</w:t>
      </w:r>
      <w:r w:rsidR="00110FB0" w:rsidRPr="00264F34">
        <w:rPr>
          <w:rFonts w:ascii="Arial" w:hAnsi="Arial" w:cs="Arial"/>
          <w:sz w:val="24"/>
          <w:szCs w:val="24"/>
        </w:rPr>
        <w:t xml:space="preserve"> talked about how this notice had impacted their family, disclosing their concern about their family’s wellbeing and financial security. </w:t>
      </w:r>
      <w:r>
        <w:rPr>
          <w:rFonts w:ascii="Arial" w:hAnsi="Arial" w:cs="Arial"/>
          <w:sz w:val="24"/>
          <w:szCs w:val="24"/>
        </w:rPr>
        <w:t>Frankie</w:t>
      </w:r>
      <w:r w:rsidR="00110FB0" w:rsidRPr="00264F34">
        <w:rPr>
          <w:rFonts w:ascii="Arial" w:hAnsi="Arial" w:cs="Arial"/>
          <w:sz w:val="24"/>
          <w:szCs w:val="24"/>
        </w:rPr>
        <w:t xml:space="preserve"> told the journalist that they believed the rent increase notice was “totally unreasonable” given the size and condition of the property. The interview was aired during the evening news broadcast.</w:t>
      </w:r>
    </w:p>
    <w:p w14:paraId="7061FB7E" w14:textId="4D209A97" w:rsidR="00AD4799" w:rsidRPr="00264F34" w:rsidRDefault="00110FB0" w:rsidP="00AD4799">
      <w:pPr>
        <w:rPr>
          <w:rFonts w:ascii="Arial" w:hAnsi="Arial" w:cs="Arial"/>
          <w:sz w:val="24"/>
          <w:szCs w:val="24"/>
        </w:rPr>
      </w:pPr>
      <w:r w:rsidRPr="00264F34">
        <w:rPr>
          <w:rFonts w:ascii="Arial" w:hAnsi="Arial" w:cs="Arial"/>
          <w:sz w:val="24"/>
          <w:szCs w:val="24"/>
        </w:rPr>
        <w:t xml:space="preserve">Shortly after the interview aired, </w:t>
      </w:r>
      <w:r w:rsidR="00980366">
        <w:rPr>
          <w:rFonts w:ascii="Arial" w:hAnsi="Arial" w:cs="Arial"/>
          <w:sz w:val="24"/>
          <w:szCs w:val="24"/>
        </w:rPr>
        <w:t>Frankie</w:t>
      </w:r>
      <w:r w:rsidRPr="00264F34">
        <w:rPr>
          <w:rFonts w:ascii="Arial" w:hAnsi="Arial" w:cs="Arial"/>
          <w:sz w:val="24"/>
          <w:szCs w:val="24"/>
        </w:rPr>
        <w:t xml:space="preserve"> received a </w:t>
      </w:r>
      <w:r w:rsidR="006D2698">
        <w:rPr>
          <w:rFonts w:ascii="Arial" w:hAnsi="Arial" w:cs="Arial"/>
          <w:sz w:val="24"/>
          <w:szCs w:val="24"/>
        </w:rPr>
        <w:t>NTV</w:t>
      </w:r>
      <w:r w:rsidR="000D0BD3" w:rsidRPr="00264F34">
        <w:rPr>
          <w:rFonts w:ascii="Arial" w:hAnsi="Arial" w:cs="Arial"/>
          <w:sz w:val="24"/>
          <w:szCs w:val="24"/>
        </w:rPr>
        <w:t xml:space="preserve"> on the </w:t>
      </w:r>
      <w:r w:rsidR="00CB1189" w:rsidRPr="00264F34">
        <w:rPr>
          <w:rFonts w:ascii="Arial" w:hAnsi="Arial" w:cs="Arial"/>
          <w:sz w:val="24"/>
          <w:szCs w:val="24"/>
        </w:rPr>
        <w:t>grounds</w:t>
      </w:r>
      <w:r w:rsidR="000D0BD3" w:rsidRPr="00264F34">
        <w:rPr>
          <w:rFonts w:ascii="Arial" w:hAnsi="Arial" w:cs="Arial"/>
          <w:sz w:val="24"/>
          <w:szCs w:val="24"/>
        </w:rPr>
        <w:t xml:space="preserve"> that the lessor wished to renovate the </w:t>
      </w:r>
      <w:r w:rsidR="00571709" w:rsidRPr="00264F34">
        <w:rPr>
          <w:rFonts w:ascii="Arial" w:hAnsi="Arial" w:cs="Arial"/>
          <w:sz w:val="24"/>
          <w:szCs w:val="24"/>
        </w:rPr>
        <w:t>property.</w:t>
      </w:r>
      <w:r w:rsidR="00571709">
        <w:rPr>
          <w:rFonts w:ascii="Arial" w:hAnsi="Arial" w:cs="Arial"/>
          <w:sz w:val="24"/>
          <w:szCs w:val="24"/>
        </w:rPr>
        <w:t xml:space="preserve"> Frankie</w:t>
      </w:r>
      <w:r w:rsidR="00AD4799" w:rsidRPr="00264F34">
        <w:rPr>
          <w:rFonts w:ascii="Arial" w:hAnsi="Arial" w:cs="Arial"/>
          <w:sz w:val="24"/>
          <w:szCs w:val="24"/>
        </w:rPr>
        <w:t xml:space="preserve"> believed that their landlord was angry that they had spoken openly about their concern about the rent increase notice. </w:t>
      </w:r>
    </w:p>
    <w:p w14:paraId="79F9F83F" w14:textId="76D76C04" w:rsidR="00AD4799" w:rsidRPr="00264F34" w:rsidRDefault="00571709" w:rsidP="00AD4799">
      <w:pPr>
        <w:rPr>
          <w:rFonts w:ascii="Arial" w:hAnsi="Arial" w:cs="Arial"/>
          <w:sz w:val="24"/>
          <w:szCs w:val="24"/>
        </w:rPr>
      </w:pPr>
      <w:r>
        <w:rPr>
          <w:rFonts w:ascii="Arial" w:hAnsi="Arial" w:cs="Arial"/>
          <w:sz w:val="24"/>
          <w:szCs w:val="24"/>
        </w:rPr>
        <w:t>Frankie</w:t>
      </w:r>
      <w:r w:rsidR="00AD4799" w:rsidRPr="00264F34">
        <w:rPr>
          <w:rFonts w:ascii="Arial" w:hAnsi="Arial" w:cs="Arial"/>
          <w:sz w:val="24"/>
          <w:szCs w:val="24"/>
        </w:rPr>
        <w:t xml:space="preserve"> applied to </w:t>
      </w:r>
      <w:r>
        <w:rPr>
          <w:rFonts w:ascii="Arial" w:hAnsi="Arial" w:cs="Arial"/>
          <w:sz w:val="24"/>
          <w:szCs w:val="24"/>
        </w:rPr>
        <w:t>ACAT</w:t>
      </w:r>
      <w:r w:rsidR="00AD4799" w:rsidRPr="00264F34">
        <w:rPr>
          <w:rFonts w:ascii="Arial" w:hAnsi="Arial" w:cs="Arial"/>
          <w:sz w:val="24"/>
          <w:szCs w:val="24"/>
        </w:rPr>
        <w:t xml:space="preserve"> for an order disallowing the termination notice under section 64AD. During the hearing, </w:t>
      </w:r>
      <w:r>
        <w:rPr>
          <w:rFonts w:ascii="Arial" w:hAnsi="Arial" w:cs="Arial"/>
          <w:sz w:val="24"/>
          <w:szCs w:val="24"/>
        </w:rPr>
        <w:t>Frankie</w:t>
      </w:r>
      <w:r w:rsidR="00AD4799" w:rsidRPr="00264F34">
        <w:rPr>
          <w:rFonts w:ascii="Arial" w:hAnsi="Arial" w:cs="Arial"/>
          <w:sz w:val="24"/>
          <w:szCs w:val="24"/>
        </w:rPr>
        <w:t xml:space="preserve"> presented evidence that prior to the lessor issuing the NTV, they disclosed information that was published about the premises, the residential tenancy agreement and the lessor. </w:t>
      </w:r>
      <w:r w:rsidR="00AD4799" w:rsidRPr="00264F34">
        <w:rPr>
          <w:rFonts w:ascii="Arial" w:hAnsi="Arial" w:cs="Arial"/>
          <w:sz w:val="24"/>
          <w:szCs w:val="24"/>
        </w:rPr>
        <w:br/>
      </w:r>
      <w:r w:rsidR="00AD4799" w:rsidRPr="00264F34">
        <w:rPr>
          <w:rFonts w:ascii="Arial" w:hAnsi="Arial" w:cs="Arial"/>
          <w:sz w:val="24"/>
          <w:szCs w:val="24"/>
        </w:rPr>
        <w:br/>
        <w:t xml:space="preserve">If </w:t>
      </w:r>
      <w:r>
        <w:rPr>
          <w:rFonts w:ascii="Arial" w:hAnsi="Arial" w:cs="Arial"/>
          <w:sz w:val="24"/>
          <w:szCs w:val="24"/>
        </w:rPr>
        <w:t>ACAT</w:t>
      </w:r>
      <w:r w:rsidR="00AD4799" w:rsidRPr="00264F34">
        <w:rPr>
          <w:rFonts w:ascii="Arial" w:hAnsi="Arial" w:cs="Arial"/>
          <w:sz w:val="24"/>
          <w:szCs w:val="24"/>
        </w:rPr>
        <w:t xml:space="preserve"> was satisfied that </w:t>
      </w:r>
      <w:r w:rsidR="006D2698">
        <w:rPr>
          <w:rFonts w:ascii="Arial" w:hAnsi="Arial" w:cs="Arial"/>
          <w:sz w:val="24"/>
          <w:szCs w:val="24"/>
        </w:rPr>
        <w:t>Frankie</w:t>
      </w:r>
      <w:r>
        <w:rPr>
          <w:rFonts w:ascii="Arial" w:hAnsi="Arial" w:cs="Arial"/>
          <w:sz w:val="24"/>
          <w:szCs w:val="24"/>
        </w:rPr>
        <w:t xml:space="preserve"> had published information about their tenancy agreement (by speaking to the media about their rent increase) </w:t>
      </w:r>
      <w:r w:rsidR="00AD4799" w:rsidRPr="00264F34">
        <w:rPr>
          <w:rFonts w:ascii="Arial" w:hAnsi="Arial" w:cs="Arial"/>
          <w:sz w:val="24"/>
          <w:szCs w:val="24"/>
        </w:rPr>
        <w:t xml:space="preserve">and the lessor was motivated by this circumstance in issuing the NTV, </w:t>
      </w:r>
      <w:r w:rsidR="00DA32DF">
        <w:rPr>
          <w:rFonts w:ascii="Arial" w:hAnsi="Arial" w:cs="Arial"/>
          <w:sz w:val="24"/>
          <w:szCs w:val="24"/>
        </w:rPr>
        <w:t>ACAT</w:t>
      </w:r>
      <w:r w:rsidR="00AD4799" w:rsidRPr="00264F34">
        <w:rPr>
          <w:rFonts w:ascii="Arial" w:hAnsi="Arial" w:cs="Arial"/>
          <w:sz w:val="24"/>
          <w:szCs w:val="24"/>
        </w:rPr>
        <w:t xml:space="preserve"> would be required to disallow the NTV, offering immediate rental security for </w:t>
      </w:r>
      <w:r>
        <w:rPr>
          <w:rFonts w:ascii="Arial" w:hAnsi="Arial" w:cs="Arial"/>
          <w:sz w:val="24"/>
          <w:szCs w:val="24"/>
        </w:rPr>
        <w:t>Frankie</w:t>
      </w:r>
      <w:r w:rsidR="00AD4799" w:rsidRPr="00264F34">
        <w:rPr>
          <w:rFonts w:ascii="Arial" w:hAnsi="Arial" w:cs="Arial"/>
          <w:sz w:val="24"/>
          <w:szCs w:val="24"/>
        </w:rPr>
        <w:t xml:space="preserve"> and their family.</w:t>
      </w:r>
    </w:p>
    <w:p w14:paraId="05B58340" w14:textId="32417D65" w:rsidR="00AD4799" w:rsidRPr="00264F34" w:rsidRDefault="00AD4799" w:rsidP="00AD4799">
      <w:pPr>
        <w:rPr>
          <w:rFonts w:ascii="Arial" w:hAnsi="Arial" w:cs="Arial"/>
          <w:sz w:val="24"/>
          <w:szCs w:val="24"/>
        </w:rPr>
      </w:pPr>
      <w:r w:rsidRPr="00264F34">
        <w:rPr>
          <w:rFonts w:ascii="Arial" w:hAnsi="Arial" w:cs="Arial"/>
          <w:sz w:val="24"/>
          <w:szCs w:val="24"/>
        </w:rPr>
        <w:t xml:space="preserve">If </w:t>
      </w:r>
      <w:r w:rsidR="00571709">
        <w:rPr>
          <w:rFonts w:ascii="Arial" w:hAnsi="Arial" w:cs="Arial"/>
          <w:sz w:val="24"/>
          <w:szCs w:val="24"/>
        </w:rPr>
        <w:t>ACAT</w:t>
      </w:r>
      <w:r w:rsidRPr="00264F34">
        <w:rPr>
          <w:rFonts w:ascii="Arial" w:hAnsi="Arial" w:cs="Arial"/>
          <w:sz w:val="24"/>
          <w:szCs w:val="24"/>
        </w:rPr>
        <w:t xml:space="preserve"> was not satisfied that the lessor was motivated by </w:t>
      </w:r>
      <w:r w:rsidR="00571709">
        <w:rPr>
          <w:rFonts w:ascii="Arial" w:hAnsi="Arial" w:cs="Arial"/>
          <w:sz w:val="24"/>
          <w:szCs w:val="24"/>
        </w:rPr>
        <w:t>Frankie’s conduct</w:t>
      </w:r>
      <w:r w:rsidRPr="00264F34">
        <w:rPr>
          <w:rFonts w:ascii="Arial" w:hAnsi="Arial" w:cs="Arial"/>
          <w:sz w:val="24"/>
          <w:szCs w:val="24"/>
        </w:rPr>
        <w:t xml:space="preserve"> to issue the NTV, </w:t>
      </w:r>
      <w:r w:rsidR="00571709">
        <w:rPr>
          <w:rFonts w:ascii="Arial" w:hAnsi="Arial" w:cs="Arial"/>
          <w:sz w:val="24"/>
          <w:szCs w:val="24"/>
        </w:rPr>
        <w:t>Frankie</w:t>
      </w:r>
      <w:r w:rsidRPr="00264F34">
        <w:rPr>
          <w:rFonts w:ascii="Arial" w:hAnsi="Arial" w:cs="Arial"/>
          <w:sz w:val="24"/>
          <w:szCs w:val="24"/>
        </w:rPr>
        <w:t xml:space="preserve"> and their family would have the remainder of the </w:t>
      </w:r>
      <w:r w:rsidR="00571709">
        <w:rPr>
          <w:rFonts w:ascii="Arial" w:hAnsi="Arial" w:cs="Arial"/>
          <w:sz w:val="24"/>
          <w:szCs w:val="24"/>
        </w:rPr>
        <w:t xml:space="preserve">12 week </w:t>
      </w:r>
      <w:r w:rsidRPr="00264F34">
        <w:rPr>
          <w:rFonts w:ascii="Arial" w:hAnsi="Arial" w:cs="Arial"/>
          <w:sz w:val="24"/>
          <w:szCs w:val="24"/>
        </w:rPr>
        <w:t>notice period to secure alternative accommodation and vacate the property.</w:t>
      </w:r>
    </w:p>
    <w:p w14:paraId="59FA3F79" w14:textId="5BC8881C" w:rsidR="00AD4799" w:rsidRPr="00264F34" w:rsidRDefault="00720B65" w:rsidP="00110FB0">
      <w:pPr>
        <w:rPr>
          <w:rFonts w:ascii="Arial" w:hAnsi="Arial" w:cs="Arial"/>
          <w:sz w:val="24"/>
          <w:szCs w:val="24"/>
        </w:rPr>
      </w:pPr>
      <w:r>
        <w:rPr>
          <w:rFonts w:ascii="Arial" w:hAnsi="Arial" w:cs="Arial"/>
          <w:sz w:val="24"/>
          <w:szCs w:val="24"/>
        </w:rPr>
        <w:t xml:space="preserve">It is noted that </w:t>
      </w:r>
      <w:r w:rsidR="00AD4799" w:rsidRPr="00264F34">
        <w:rPr>
          <w:rFonts w:ascii="Arial" w:hAnsi="Arial" w:cs="Arial"/>
          <w:sz w:val="24"/>
          <w:szCs w:val="24"/>
        </w:rPr>
        <w:t xml:space="preserve">if </w:t>
      </w:r>
      <w:r w:rsidR="00571709">
        <w:rPr>
          <w:rFonts w:ascii="Arial" w:hAnsi="Arial" w:cs="Arial"/>
          <w:sz w:val="24"/>
          <w:szCs w:val="24"/>
        </w:rPr>
        <w:t>Frankie</w:t>
      </w:r>
      <w:r w:rsidR="00AD4799" w:rsidRPr="00264F34">
        <w:rPr>
          <w:rFonts w:ascii="Arial" w:hAnsi="Arial" w:cs="Arial"/>
          <w:sz w:val="24"/>
          <w:szCs w:val="24"/>
        </w:rPr>
        <w:t xml:space="preserve"> </w:t>
      </w:r>
      <w:r w:rsidR="00571709">
        <w:rPr>
          <w:rFonts w:ascii="Arial" w:hAnsi="Arial" w:cs="Arial"/>
          <w:sz w:val="24"/>
          <w:szCs w:val="24"/>
        </w:rPr>
        <w:t>did not rely on new section 64AD to challenge the NTV on the basis it was retaliatory</w:t>
      </w:r>
      <w:r>
        <w:rPr>
          <w:rFonts w:ascii="Arial" w:hAnsi="Arial" w:cs="Arial"/>
          <w:sz w:val="24"/>
          <w:szCs w:val="24"/>
        </w:rPr>
        <w:t xml:space="preserve">, Frankie could still wait </w:t>
      </w:r>
      <w:r w:rsidR="00571709">
        <w:rPr>
          <w:rFonts w:ascii="Arial" w:hAnsi="Arial" w:cs="Arial"/>
          <w:sz w:val="24"/>
          <w:szCs w:val="24"/>
        </w:rPr>
        <w:t>until the TPO hearing to challenge the TPO as retaliatory under existing section</w:t>
      </w:r>
      <w:r>
        <w:rPr>
          <w:rFonts w:ascii="Arial" w:hAnsi="Arial" w:cs="Arial"/>
          <w:sz w:val="24"/>
          <w:szCs w:val="24"/>
        </w:rPr>
        <w:t xml:space="preserve"> 57. However, waiting until the TPO hearing </w:t>
      </w:r>
      <w:r w:rsidR="00571709">
        <w:rPr>
          <w:rFonts w:ascii="Arial" w:hAnsi="Arial" w:cs="Arial"/>
          <w:sz w:val="24"/>
          <w:szCs w:val="24"/>
        </w:rPr>
        <w:t xml:space="preserve">could leave Frankie </w:t>
      </w:r>
      <w:r w:rsidR="00AD4799" w:rsidRPr="00264F34">
        <w:rPr>
          <w:rFonts w:ascii="Arial" w:hAnsi="Arial" w:cs="Arial"/>
          <w:sz w:val="24"/>
          <w:szCs w:val="24"/>
        </w:rPr>
        <w:t xml:space="preserve">and their family </w:t>
      </w:r>
      <w:r w:rsidR="00571709">
        <w:rPr>
          <w:rFonts w:ascii="Arial" w:hAnsi="Arial" w:cs="Arial"/>
          <w:sz w:val="24"/>
          <w:szCs w:val="24"/>
        </w:rPr>
        <w:t>with only a few days to find alternate accommodation if ACAT found the NTV was not retaliatory</w:t>
      </w:r>
      <w:r>
        <w:rPr>
          <w:rFonts w:ascii="Arial" w:hAnsi="Arial" w:cs="Arial"/>
          <w:sz w:val="24"/>
          <w:szCs w:val="24"/>
        </w:rPr>
        <w:t xml:space="preserve"> and allowed the termination of the tenancy</w:t>
      </w:r>
      <w:r w:rsidR="00571709">
        <w:rPr>
          <w:rFonts w:ascii="Arial" w:hAnsi="Arial" w:cs="Arial"/>
          <w:sz w:val="24"/>
          <w:szCs w:val="24"/>
        </w:rPr>
        <w:t xml:space="preserve">. </w:t>
      </w:r>
    </w:p>
    <w:p w14:paraId="24C91E00" w14:textId="628C95B0" w:rsidR="00D7389D" w:rsidRPr="00264F34" w:rsidRDefault="00D7389D" w:rsidP="00D7389D">
      <w:pPr>
        <w:ind w:left="1440" w:hanging="1440"/>
        <w:rPr>
          <w:rFonts w:ascii="Arial" w:eastAsiaTheme="majorEastAsia" w:hAnsi="Arial" w:cs="Arial"/>
          <w:b/>
          <w:sz w:val="24"/>
          <w:szCs w:val="24"/>
        </w:rPr>
      </w:pPr>
      <w:r w:rsidRPr="00264F34">
        <w:rPr>
          <w:rFonts w:ascii="Arial" w:eastAsiaTheme="majorEastAsia" w:hAnsi="Arial" w:cs="Arial"/>
          <w:b/>
          <w:sz w:val="24"/>
          <w:szCs w:val="24"/>
        </w:rPr>
        <w:t>Clause 2</w:t>
      </w:r>
      <w:r w:rsidR="00382BE2">
        <w:rPr>
          <w:rFonts w:ascii="Arial" w:eastAsiaTheme="majorEastAsia" w:hAnsi="Arial" w:cs="Arial"/>
          <w:b/>
          <w:sz w:val="24"/>
          <w:szCs w:val="24"/>
        </w:rPr>
        <w:t>6</w:t>
      </w:r>
      <w:r w:rsidRPr="00264F34">
        <w:rPr>
          <w:rFonts w:ascii="Arial" w:eastAsiaTheme="majorEastAsia" w:hAnsi="Arial" w:cs="Arial"/>
          <w:b/>
          <w:sz w:val="24"/>
          <w:szCs w:val="24"/>
        </w:rPr>
        <w:tab/>
        <w:t>Waiver of notice requirements</w:t>
      </w:r>
      <w:r w:rsidRPr="00264F34">
        <w:rPr>
          <w:rFonts w:ascii="Arial" w:eastAsiaTheme="majorEastAsia" w:hAnsi="Arial" w:cs="Arial"/>
          <w:b/>
          <w:sz w:val="24"/>
          <w:szCs w:val="24"/>
        </w:rPr>
        <w:br/>
        <w:t xml:space="preserve">Section 65 </w:t>
      </w:r>
      <w:r w:rsidRPr="00DA32DF">
        <w:rPr>
          <w:rFonts w:ascii="Arial" w:eastAsiaTheme="majorEastAsia" w:hAnsi="Arial" w:cs="Arial"/>
          <w:b/>
          <w:sz w:val="24"/>
          <w:szCs w:val="24"/>
        </w:rPr>
        <w:t>(2)</w:t>
      </w:r>
    </w:p>
    <w:p w14:paraId="14967369" w14:textId="4657791F" w:rsidR="0048652E" w:rsidRDefault="0048652E" w:rsidP="0048099F">
      <w:pPr>
        <w:rPr>
          <w:rFonts w:ascii="Arial" w:hAnsi="Arial" w:cs="Arial"/>
          <w:sz w:val="24"/>
          <w:szCs w:val="24"/>
        </w:rPr>
      </w:pPr>
      <w:r>
        <w:rPr>
          <w:rFonts w:ascii="Arial" w:hAnsi="Arial" w:cs="Arial"/>
          <w:sz w:val="24"/>
          <w:szCs w:val="24"/>
        </w:rPr>
        <w:t xml:space="preserve">Existing section 65 (2) refers to a tenant giving their lessor a notice in the approved form under section 133 of the RTA. This section has been updated to reflect that there are currently no approved forms under section 133 of the RTA. </w:t>
      </w:r>
    </w:p>
    <w:p w14:paraId="4AAD919B" w14:textId="1400349C" w:rsidR="0048652E" w:rsidRDefault="0048652E" w:rsidP="0048099F">
      <w:pPr>
        <w:rPr>
          <w:rFonts w:ascii="Arial" w:hAnsi="Arial" w:cs="Arial"/>
          <w:sz w:val="24"/>
          <w:szCs w:val="24"/>
        </w:rPr>
      </w:pPr>
      <w:r>
        <w:rPr>
          <w:rFonts w:ascii="Arial" w:hAnsi="Arial" w:cs="Arial"/>
          <w:sz w:val="24"/>
          <w:szCs w:val="24"/>
        </w:rPr>
        <w:t xml:space="preserve">It is noted that this amendment is connected to the amendments in </w:t>
      </w:r>
      <w:r w:rsidRPr="005A14D5">
        <w:rPr>
          <w:rFonts w:ascii="Arial" w:hAnsi="Arial" w:cs="Arial"/>
          <w:sz w:val="24"/>
          <w:szCs w:val="24"/>
        </w:rPr>
        <w:t>clause 4</w:t>
      </w:r>
      <w:r w:rsidR="00382BE2" w:rsidRPr="00485941">
        <w:rPr>
          <w:rFonts w:ascii="Arial" w:hAnsi="Arial" w:cs="Arial"/>
          <w:sz w:val="24"/>
          <w:szCs w:val="24"/>
        </w:rPr>
        <w:t>7</w:t>
      </w:r>
      <w:r>
        <w:rPr>
          <w:rFonts w:ascii="Arial" w:hAnsi="Arial" w:cs="Arial"/>
          <w:sz w:val="24"/>
          <w:szCs w:val="24"/>
        </w:rPr>
        <w:t xml:space="preserve"> which inserts a new definition for </w:t>
      </w:r>
      <w:r w:rsidRPr="0048652E">
        <w:rPr>
          <w:rFonts w:ascii="Arial" w:hAnsi="Arial" w:cs="Arial"/>
          <w:b/>
          <w:bCs/>
          <w:i/>
          <w:iCs/>
          <w:sz w:val="24"/>
          <w:szCs w:val="24"/>
        </w:rPr>
        <w:t>defective termination notice</w:t>
      </w:r>
      <w:r>
        <w:rPr>
          <w:rFonts w:ascii="Arial" w:hAnsi="Arial" w:cs="Arial"/>
          <w:sz w:val="24"/>
          <w:szCs w:val="24"/>
        </w:rPr>
        <w:t xml:space="preserve"> into the Dictionary of the RTA and to the amendments at </w:t>
      </w:r>
      <w:r w:rsidRPr="005A14D5">
        <w:rPr>
          <w:rFonts w:ascii="Arial" w:hAnsi="Arial" w:cs="Arial"/>
          <w:sz w:val="24"/>
          <w:szCs w:val="24"/>
        </w:rPr>
        <w:t>clause 2</w:t>
      </w:r>
      <w:r w:rsidR="00382BE2" w:rsidRPr="00485941">
        <w:rPr>
          <w:rFonts w:ascii="Arial" w:hAnsi="Arial" w:cs="Arial"/>
          <w:sz w:val="24"/>
          <w:szCs w:val="24"/>
        </w:rPr>
        <w:t>4</w:t>
      </w:r>
      <w:r w:rsidR="00B04A8C">
        <w:rPr>
          <w:rFonts w:ascii="Arial" w:hAnsi="Arial" w:cs="Arial"/>
          <w:sz w:val="24"/>
          <w:szCs w:val="24"/>
        </w:rPr>
        <w:t>,</w:t>
      </w:r>
      <w:r>
        <w:rPr>
          <w:rFonts w:ascii="Arial" w:hAnsi="Arial" w:cs="Arial"/>
          <w:sz w:val="24"/>
          <w:szCs w:val="24"/>
        </w:rPr>
        <w:t xml:space="preserve"> which substitute the defective termination notice provisions at sections 58-60 of the RTA.  </w:t>
      </w:r>
    </w:p>
    <w:p w14:paraId="7E77DF55" w14:textId="1044E9E5" w:rsidR="00D7389D" w:rsidRPr="0048099F" w:rsidRDefault="00363A42" w:rsidP="0048099F">
      <w:pPr>
        <w:rPr>
          <w:rFonts w:ascii="Arial" w:hAnsi="Arial" w:cs="Arial"/>
          <w:sz w:val="24"/>
          <w:szCs w:val="24"/>
        </w:rPr>
      </w:pPr>
      <w:r w:rsidRPr="00264F34">
        <w:rPr>
          <w:rFonts w:ascii="Arial" w:hAnsi="Arial" w:cs="Arial"/>
          <w:sz w:val="24"/>
          <w:szCs w:val="24"/>
        </w:rPr>
        <w:t xml:space="preserve">This clause substitutes </w:t>
      </w:r>
      <w:r w:rsidR="00BF42E0">
        <w:rPr>
          <w:rFonts w:ascii="Arial" w:hAnsi="Arial" w:cs="Arial"/>
          <w:sz w:val="24"/>
          <w:szCs w:val="24"/>
        </w:rPr>
        <w:t xml:space="preserve">existing </w:t>
      </w:r>
      <w:r w:rsidRPr="00264F34">
        <w:rPr>
          <w:rFonts w:ascii="Arial" w:hAnsi="Arial" w:cs="Arial"/>
          <w:sz w:val="24"/>
          <w:szCs w:val="24"/>
        </w:rPr>
        <w:t xml:space="preserve">subsection 65 (2) </w:t>
      </w:r>
      <w:r w:rsidR="00BF42E0">
        <w:rPr>
          <w:rFonts w:ascii="Arial" w:hAnsi="Arial" w:cs="Arial"/>
          <w:sz w:val="24"/>
          <w:szCs w:val="24"/>
        </w:rPr>
        <w:t xml:space="preserve">with </w:t>
      </w:r>
      <w:r w:rsidRPr="00264F34">
        <w:rPr>
          <w:rFonts w:ascii="Arial" w:hAnsi="Arial" w:cs="Arial"/>
          <w:sz w:val="24"/>
          <w:szCs w:val="24"/>
        </w:rPr>
        <w:t xml:space="preserve">new subsection 65 </w:t>
      </w:r>
      <w:r w:rsidR="00BF42E0">
        <w:rPr>
          <w:rFonts w:ascii="Arial" w:hAnsi="Arial" w:cs="Arial"/>
          <w:sz w:val="24"/>
          <w:szCs w:val="24"/>
        </w:rPr>
        <w:t xml:space="preserve">(2) and </w:t>
      </w:r>
      <w:r w:rsidRPr="00264F34">
        <w:rPr>
          <w:rFonts w:ascii="Arial" w:hAnsi="Arial" w:cs="Arial"/>
          <w:sz w:val="24"/>
          <w:szCs w:val="24"/>
        </w:rPr>
        <w:t>(3), which</w:t>
      </w:r>
      <w:r w:rsidR="003A123C" w:rsidRPr="00264F34">
        <w:rPr>
          <w:rFonts w:ascii="Arial" w:hAnsi="Arial" w:cs="Arial"/>
          <w:sz w:val="24"/>
          <w:szCs w:val="24"/>
        </w:rPr>
        <w:t xml:space="preserve"> collectively,</w:t>
      </w:r>
      <w:r w:rsidRPr="00264F34">
        <w:rPr>
          <w:rFonts w:ascii="Arial" w:hAnsi="Arial" w:cs="Arial"/>
          <w:sz w:val="24"/>
          <w:szCs w:val="24"/>
        </w:rPr>
        <w:t xml:space="preserve"> empower </w:t>
      </w:r>
      <w:r w:rsidR="00EA6C88">
        <w:rPr>
          <w:rFonts w:ascii="Arial" w:hAnsi="Arial" w:cs="Arial"/>
          <w:sz w:val="24"/>
          <w:szCs w:val="24"/>
        </w:rPr>
        <w:t>ACAT</w:t>
      </w:r>
      <w:r w:rsidRPr="00264F34">
        <w:rPr>
          <w:rFonts w:ascii="Arial" w:hAnsi="Arial" w:cs="Arial"/>
          <w:sz w:val="24"/>
          <w:szCs w:val="24"/>
        </w:rPr>
        <w:t xml:space="preserve"> to make an order correcting a</w:t>
      </w:r>
      <w:r w:rsidR="003A123C" w:rsidRPr="00264F34">
        <w:rPr>
          <w:rFonts w:ascii="Arial" w:hAnsi="Arial" w:cs="Arial"/>
          <w:sz w:val="24"/>
          <w:szCs w:val="24"/>
        </w:rPr>
        <w:t xml:space="preserve"> </w:t>
      </w:r>
      <w:r w:rsidR="00090967" w:rsidRPr="00264F34">
        <w:rPr>
          <w:rFonts w:ascii="Arial" w:hAnsi="Arial" w:cs="Arial"/>
          <w:sz w:val="24"/>
          <w:szCs w:val="24"/>
        </w:rPr>
        <w:t xml:space="preserve">tenant’s </w:t>
      </w:r>
      <w:r w:rsidR="003A123C" w:rsidRPr="00264F34">
        <w:rPr>
          <w:rFonts w:ascii="Arial" w:hAnsi="Arial" w:cs="Arial"/>
          <w:sz w:val="24"/>
          <w:szCs w:val="24"/>
        </w:rPr>
        <w:t>defective</w:t>
      </w:r>
      <w:r w:rsidRPr="00264F34">
        <w:rPr>
          <w:rFonts w:ascii="Arial" w:hAnsi="Arial" w:cs="Arial"/>
          <w:sz w:val="24"/>
          <w:szCs w:val="24"/>
        </w:rPr>
        <w:t xml:space="preserve"> </w:t>
      </w:r>
      <w:r w:rsidR="003A123C" w:rsidRPr="00264F34">
        <w:rPr>
          <w:rFonts w:ascii="Arial" w:hAnsi="Arial" w:cs="Arial"/>
          <w:sz w:val="24"/>
          <w:szCs w:val="24"/>
        </w:rPr>
        <w:t xml:space="preserve">termination notice </w:t>
      </w:r>
      <w:r w:rsidR="00090967" w:rsidRPr="00264F34">
        <w:rPr>
          <w:rFonts w:ascii="Arial" w:hAnsi="Arial" w:cs="Arial"/>
          <w:sz w:val="24"/>
          <w:szCs w:val="24"/>
        </w:rPr>
        <w:t xml:space="preserve">if it was </w:t>
      </w:r>
      <w:r w:rsidR="004C4F88">
        <w:rPr>
          <w:rFonts w:ascii="Arial" w:hAnsi="Arial" w:cs="Arial"/>
          <w:sz w:val="24"/>
          <w:szCs w:val="24"/>
        </w:rPr>
        <w:t>prompted</w:t>
      </w:r>
      <w:r w:rsidR="004C4F88" w:rsidRPr="00264F34">
        <w:rPr>
          <w:rFonts w:ascii="Arial" w:hAnsi="Arial" w:cs="Arial"/>
          <w:sz w:val="24"/>
          <w:szCs w:val="24"/>
        </w:rPr>
        <w:t xml:space="preserve"> </w:t>
      </w:r>
      <w:r w:rsidR="00090967" w:rsidRPr="00264F34">
        <w:rPr>
          <w:rFonts w:ascii="Arial" w:hAnsi="Arial" w:cs="Arial"/>
          <w:sz w:val="24"/>
          <w:szCs w:val="24"/>
        </w:rPr>
        <w:t>by</w:t>
      </w:r>
      <w:r w:rsidR="003A123C" w:rsidRPr="00264F34">
        <w:rPr>
          <w:rFonts w:ascii="Arial" w:hAnsi="Arial" w:cs="Arial"/>
          <w:sz w:val="24"/>
          <w:szCs w:val="24"/>
        </w:rPr>
        <w:t xml:space="preserve"> an increase in rent, </w:t>
      </w:r>
      <w:r w:rsidR="00090967" w:rsidRPr="00264F34">
        <w:rPr>
          <w:rFonts w:ascii="Arial" w:hAnsi="Arial" w:cs="Arial"/>
          <w:sz w:val="24"/>
          <w:szCs w:val="24"/>
        </w:rPr>
        <w:t>and the tenant</w:t>
      </w:r>
      <w:r w:rsidR="003A123C" w:rsidRPr="00264F34">
        <w:rPr>
          <w:rFonts w:ascii="Arial" w:hAnsi="Arial" w:cs="Arial"/>
          <w:sz w:val="24"/>
          <w:szCs w:val="24"/>
        </w:rPr>
        <w:t xml:space="preserve"> has </w:t>
      </w:r>
      <w:r w:rsidR="00090967" w:rsidRPr="00264F34">
        <w:rPr>
          <w:rFonts w:ascii="Arial" w:hAnsi="Arial" w:cs="Arial"/>
          <w:sz w:val="24"/>
          <w:szCs w:val="24"/>
        </w:rPr>
        <w:lastRenderedPageBreak/>
        <w:t xml:space="preserve">vacated in accordance with that notice. Prior to making the order, </w:t>
      </w:r>
      <w:r w:rsidR="00EA6C88">
        <w:rPr>
          <w:rFonts w:ascii="Arial" w:hAnsi="Arial" w:cs="Arial"/>
          <w:sz w:val="24"/>
          <w:szCs w:val="24"/>
        </w:rPr>
        <w:t>ACAT</w:t>
      </w:r>
      <w:r w:rsidR="00090967" w:rsidRPr="00264F34">
        <w:rPr>
          <w:rFonts w:ascii="Arial" w:hAnsi="Arial" w:cs="Arial"/>
          <w:sz w:val="24"/>
          <w:szCs w:val="24"/>
        </w:rPr>
        <w:t xml:space="preserve"> must be satisfied that correcting the defective termination notice would not put the lessor in a significantly worse position than they would have been if the tenant had originally issued a compliant termination notice. </w:t>
      </w:r>
    </w:p>
    <w:p w14:paraId="0D7E9E26" w14:textId="166A9A97" w:rsidR="00706750" w:rsidRPr="00264F34" w:rsidRDefault="00706750" w:rsidP="006B1522">
      <w:pPr>
        <w:ind w:left="1440" w:hanging="1440"/>
        <w:rPr>
          <w:rFonts w:ascii="Arial" w:eastAsiaTheme="majorEastAsia" w:hAnsi="Arial" w:cs="Arial"/>
          <w:b/>
          <w:sz w:val="24"/>
          <w:szCs w:val="24"/>
        </w:rPr>
      </w:pPr>
      <w:r w:rsidRPr="00264F34">
        <w:rPr>
          <w:rFonts w:ascii="Arial" w:eastAsiaTheme="majorEastAsia" w:hAnsi="Arial" w:cs="Arial"/>
          <w:b/>
          <w:sz w:val="24"/>
          <w:szCs w:val="24"/>
        </w:rPr>
        <w:t xml:space="preserve">Clause </w:t>
      </w:r>
      <w:r w:rsidR="00D7389D" w:rsidRPr="00264F34">
        <w:rPr>
          <w:rFonts w:ascii="Arial" w:eastAsiaTheme="majorEastAsia" w:hAnsi="Arial" w:cs="Arial"/>
          <w:b/>
          <w:sz w:val="24"/>
          <w:szCs w:val="24"/>
        </w:rPr>
        <w:t>2</w:t>
      </w:r>
      <w:r w:rsidR="00F52D71">
        <w:rPr>
          <w:rFonts w:ascii="Arial" w:eastAsiaTheme="majorEastAsia" w:hAnsi="Arial" w:cs="Arial"/>
          <w:b/>
          <w:sz w:val="24"/>
          <w:szCs w:val="24"/>
        </w:rPr>
        <w:t>7</w:t>
      </w:r>
      <w:r w:rsidRPr="00264F34">
        <w:rPr>
          <w:rFonts w:ascii="Arial" w:eastAsiaTheme="majorEastAsia" w:hAnsi="Arial" w:cs="Arial"/>
          <w:b/>
          <w:sz w:val="24"/>
          <w:szCs w:val="24"/>
        </w:rPr>
        <w:tab/>
        <w:t>New section 71AA</w:t>
      </w:r>
      <w:r w:rsidR="005D3531">
        <w:rPr>
          <w:rFonts w:ascii="Arial" w:eastAsiaTheme="majorEastAsia" w:hAnsi="Arial" w:cs="Arial"/>
          <w:b/>
          <w:sz w:val="24"/>
          <w:szCs w:val="24"/>
        </w:rPr>
        <w:t>A</w:t>
      </w:r>
    </w:p>
    <w:p w14:paraId="6E506804" w14:textId="6A362C41" w:rsidR="0048652E" w:rsidRDefault="002477A0" w:rsidP="00AD4799">
      <w:pPr>
        <w:rPr>
          <w:rFonts w:ascii="Arial" w:hAnsi="Arial" w:cs="Arial"/>
          <w:sz w:val="24"/>
          <w:szCs w:val="24"/>
        </w:rPr>
      </w:pPr>
      <w:r>
        <w:rPr>
          <w:rFonts w:ascii="Arial" w:hAnsi="Arial" w:cs="Arial"/>
          <w:sz w:val="24"/>
          <w:szCs w:val="24"/>
        </w:rPr>
        <w:t>This clause</w:t>
      </w:r>
      <w:r w:rsidR="0048652E">
        <w:rPr>
          <w:rFonts w:ascii="Arial" w:hAnsi="Arial" w:cs="Arial"/>
          <w:sz w:val="24"/>
          <w:szCs w:val="24"/>
        </w:rPr>
        <w:t xml:space="preserve"> inserts new section 71AA</w:t>
      </w:r>
      <w:r w:rsidR="005D3531">
        <w:rPr>
          <w:rFonts w:ascii="Arial" w:hAnsi="Arial" w:cs="Arial"/>
          <w:sz w:val="24"/>
          <w:szCs w:val="24"/>
        </w:rPr>
        <w:t>A</w:t>
      </w:r>
      <w:r w:rsidR="0048652E">
        <w:rPr>
          <w:rFonts w:ascii="Arial" w:hAnsi="Arial" w:cs="Arial"/>
          <w:sz w:val="24"/>
          <w:szCs w:val="24"/>
        </w:rPr>
        <w:t xml:space="preserve"> into the RTA which empowers a tenant to apply to ACAT for a rent reduction due to their lessor’s failure to comply with minimum housing standards. </w:t>
      </w:r>
    </w:p>
    <w:p w14:paraId="2F5A536E" w14:textId="0A976D7F" w:rsidR="00AD4799" w:rsidRPr="00264F34" w:rsidRDefault="00AD4799" w:rsidP="00AD4799">
      <w:pPr>
        <w:rPr>
          <w:rFonts w:ascii="Arial" w:hAnsi="Arial" w:cs="Arial"/>
          <w:sz w:val="24"/>
          <w:szCs w:val="24"/>
        </w:rPr>
      </w:pPr>
      <w:r w:rsidRPr="00264F34">
        <w:rPr>
          <w:rFonts w:ascii="Arial" w:hAnsi="Arial" w:cs="Arial"/>
          <w:sz w:val="24"/>
          <w:szCs w:val="24"/>
        </w:rPr>
        <w:t xml:space="preserve">While some tenants may wish to terminate the tenancy where a lessor has failed to comply with any minimum housing standards, it is likely that others, once the tenancy has commenced, will want to remain in the premises but be compensated in another way. </w:t>
      </w:r>
    </w:p>
    <w:p w14:paraId="4A554AD9" w14:textId="3B4CA4D6" w:rsidR="00AD4799" w:rsidRPr="00264F34" w:rsidRDefault="00AD4799" w:rsidP="00AD4799">
      <w:pPr>
        <w:rPr>
          <w:rFonts w:ascii="Arial" w:hAnsi="Arial" w:cs="Arial"/>
          <w:sz w:val="24"/>
          <w:szCs w:val="24"/>
        </w:rPr>
      </w:pPr>
      <w:r w:rsidRPr="00264F34">
        <w:rPr>
          <w:rFonts w:ascii="Arial" w:hAnsi="Arial" w:cs="Arial"/>
          <w:sz w:val="24"/>
          <w:szCs w:val="24"/>
        </w:rPr>
        <w:t xml:space="preserve">Currently, section 71 allows a tenant to apply to </w:t>
      </w:r>
      <w:r w:rsidR="0048652E">
        <w:rPr>
          <w:rFonts w:ascii="Arial" w:hAnsi="Arial" w:cs="Arial"/>
          <w:sz w:val="24"/>
          <w:szCs w:val="24"/>
        </w:rPr>
        <w:t>ACAT</w:t>
      </w:r>
      <w:r w:rsidRPr="00264F34">
        <w:rPr>
          <w:rFonts w:ascii="Arial" w:hAnsi="Arial" w:cs="Arial"/>
          <w:sz w:val="24"/>
          <w:szCs w:val="24"/>
        </w:rPr>
        <w:t xml:space="preserve"> for a rent reduction. </w:t>
      </w:r>
      <w:r w:rsidR="0048652E">
        <w:rPr>
          <w:rFonts w:ascii="Arial" w:hAnsi="Arial" w:cs="Arial"/>
          <w:sz w:val="24"/>
          <w:szCs w:val="24"/>
        </w:rPr>
        <w:t>ACAT</w:t>
      </w:r>
      <w:r w:rsidRPr="00264F34">
        <w:rPr>
          <w:rFonts w:ascii="Arial" w:hAnsi="Arial" w:cs="Arial"/>
          <w:sz w:val="24"/>
          <w:szCs w:val="24"/>
        </w:rPr>
        <w:t xml:space="preserve"> must order a rent reduction if it considers that the tenant’s use of enjoyment of the premises has diminished significantly as a result of a range of scenarios listed in the RTA, including a failure to maintain the premises in a reasonable state of repair. However, it is unlikely that this provision will permit </w:t>
      </w:r>
      <w:r w:rsidR="00DA32DF">
        <w:rPr>
          <w:rFonts w:ascii="Arial" w:hAnsi="Arial" w:cs="Arial"/>
          <w:sz w:val="24"/>
          <w:szCs w:val="24"/>
        </w:rPr>
        <w:t>ACAT</w:t>
      </w:r>
      <w:r w:rsidRPr="00264F34">
        <w:rPr>
          <w:rFonts w:ascii="Arial" w:hAnsi="Arial" w:cs="Arial"/>
          <w:sz w:val="24"/>
          <w:szCs w:val="24"/>
        </w:rPr>
        <w:t xml:space="preserve"> to order a rent reduction </w:t>
      </w:r>
      <w:r w:rsidR="006D2698">
        <w:rPr>
          <w:rFonts w:ascii="Arial" w:hAnsi="Arial" w:cs="Arial"/>
          <w:sz w:val="24"/>
          <w:szCs w:val="24"/>
        </w:rPr>
        <w:t>in all circumstances where</w:t>
      </w:r>
      <w:r w:rsidR="006D2698" w:rsidRPr="00264F34">
        <w:rPr>
          <w:rFonts w:ascii="Arial" w:hAnsi="Arial" w:cs="Arial"/>
          <w:sz w:val="24"/>
          <w:szCs w:val="24"/>
        </w:rPr>
        <w:t xml:space="preserve"> </w:t>
      </w:r>
      <w:r w:rsidRPr="00264F34">
        <w:rPr>
          <w:rFonts w:ascii="Arial" w:hAnsi="Arial" w:cs="Arial"/>
          <w:sz w:val="24"/>
          <w:szCs w:val="24"/>
        </w:rPr>
        <w:t xml:space="preserve">tenants </w:t>
      </w:r>
      <w:r w:rsidR="006D2698">
        <w:rPr>
          <w:rFonts w:ascii="Arial" w:hAnsi="Arial" w:cs="Arial"/>
          <w:sz w:val="24"/>
          <w:szCs w:val="24"/>
        </w:rPr>
        <w:t xml:space="preserve">have been </w:t>
      </w:r>
      <w:r w:rsidRPr="00264F34">
        <w:rPr>
          <w:rFonts w:ascii="Arial" w:hAnsi="Arial" w:cs="Arial"/>
          <w:sz w:val="24"/>
          <w:szCs w:val="24"/>
        </w:rPr>
        <w:t xml:space="preserve">impacted by a lessor’s failure to comply with minimum standards. For example, it is unlikely that a tenant residing in a premises that never complied with any minimum housing standards is able to satisfy </w:t>
      </w:r>
      <w:r w:rsidR="00DA32DF">
        <w:rPr>
          <w:rFonts w:ascii="Arial" w:hAnsi="Arial" w:cs="Arial"/>
          <w:sz w:val="24"/>
          <w:szCs w:val="24"/>
        </w:rPr>
        <w:t>ACAT</w:t>
      </w:r>
      <w:r w:rsidRPr="00264F34">
        <w:rPr>
          <w:rFonts w:ascii="Arial" w:hAnsi="Arial" w:cs="Arial"/>
          <w:sz w:val="24"/>
          <w:szCs w:val="24"/>
        </w:rPr>
        <w:t xml:space="preserve"> that their ‘use of enjoyment of the premises has diminished significantly.’  </w:t>
      </w:r>
    </w:p>
    <w:p w14:paraId="16AAFD85" w14:textId="2819763A" w:rsidR="00706750" w:rsidRPr="00264F34" w:rsidRDefault="00706750" w:rsidP="00C677E6">
      <w:pPr>
        <w:rPr>
          <w:rFonts w:ascii="Arial" w:hAnsi="Arial" w:cs="Arial"/>
          <w:sz w:val="24"/>
          <w:szCs w:val="24"/>
        </w:rPr>
      </w:pPr>
      <w:r w:rsidRPr="00264F34">
        <w:rPr>
          <w:rFonts w:ascii="Arial" w:hAnsi="Arial" w:cs="Arial"/>
          <w:sz w:val="24"/>
          <w:szCs w:val="24"/>
        </w:rPr>
        <w:t>New section 71AA</w:t>
      </w:r>
      <w:r w:rsidR="005D3531">
        <w:rPr>
          <w:rFonts w:ascii="Arial" w:hAnsi="Arial" w:cs="Arial"/>
          <w:sz w:val="24"/>
          <w:szCs w:val="24"/>
        </w:rPr>
        <w:t>A</w:t>
      </w:r>
      <w:r w:rsidRPr="00264F34">
        <w:rPr>
          <w:rFonts w:ascii="Arial" w:hAnsi="Arial" w:cs="Arial"/>
          <w:sz w:val="24"/>
          <w:szCs w:val="24"/>
        </w:rPr>
        <w:t xml:space="preserve"> allows a tenant to apply to </w:t>
      </w:r>
      <w:r w:rsidR="00DA32DF">
        <w:rPr>
          <w:rFonts w:ascii="Arial" w:hAnsi="Arial" w:cs="Arial"/>
          <w:sz w:val="24"/>
          <w:szCs w:val="24"/>
        </w:rPr>
        <w:t>ACAT</w:t>
      </w:r>
      <w:r w:rsidRPr="00264F34">
        <w:rPr>
          <w:rFonts w:ascii="Arial" w:hAnsi="Arial" w:cs="Arial"/>
          <w:sz w:val="24"/>
          <w:szCs w:val="24"/>
        </w:rPr>
        <w:t xml:space="preserve"> for a</w:t>
      </w:r>
      <w:r w:rsidR="004C4F88">
        <w:rPr>
          <w:rFonts w:ascii="Arial" w:hAnsi="Arial" w:cs="Arial"/>
          <w:sz w:val="24"/>
          <w:szCs w:val="24"/>
        </w:rPr>
        <w:t xml:space="preserve"> </w:t>
      </w:r>
      <w:r w:rsidR="004C4F88">
        <w:rPr>
          <w:rFonts w:ascii="Arial" w:hAnsi="Arial" w:cs="Arial"/>
          <w:b/>
          <w:bCs/>
          <w:i/>
          <w:iCs/>
          <w:sz w:val="24"/>
          <w:szCs w:val="24"/>
        </w:rPr>
        <w:t xml:space="preserve">rent reduction order, </w:t>
      </w:r>
      <w:r w:rsidR="004C4F88">
        <w:rPr>
          <w:rFonts w:ascii="Arial" w:hAnsi="Arial" w:cs="Arial"/>
          <w:sz w:val="24"/>
          <w:szCs w:val="24"/>
        </w:rPr>
        <w:t>which is an order requiring a</w:t>
      </w:r>
      <w:r w:rsidRPr="00264F34">
        <w:rPr>
          <w:rFonts w:ascii="Arial" w:hAnsi="Arial" w:cs="Arial"/>
          <w:sz w:val="24"/>
          <w:szCs w:val="24"/>
        </w:rPr>
        <w:t xml:space="preserve"> reduction in the rent payable under a residential tenancy agreement</w:t>
      </w:r>
      <w:r w:rsidR="00AE2241">
        <w:rPr>
          <w:rFonts w:ascii="Arial" w:hAnsi="Arial" w:cs="Arial"/>
          <w:sz w:val="24"/>
          <w:szCs w:val="24"/>
        </w:rPr>
        <w:t>,</w:t>
      </w:r>
      <w:r w:rsidRPr="00264F34">
        <w:rPr>
          <w:rFonts w:ascii="Arial" w:hAnsi="Arial" w:cs="Arial"/>
          <w:sz w:val="24"/>
          <w:szCs w:val="24"/>
        </w:rPr>
        <w:t xml:space="preserve"> where a lessor has failed to comply with minimum housing standards</w:t>
      </w:r>
      <w:r w:rsidR="00C00A0D">
        <w:rPr>
          <w:rFonts w:ascii="Arial" w:hAnsi="Arial" w:cs="Arial"/>
          <w:sz w:val="24"/>
          <w:szCs w:val="24"/>
        </w:rPr>
        <w:t xml:space="preserve"> under new section 19B</w:t>
      </w:r>
      <w:r w:rsidR="004C4F88">
        <w:rPr>
          <w:rFonts w:ascii="Arial" w:hAnsi="Arial" w:cs="Arial"/>
          <w:sz w:val="24"/>
          <w:szCs w:val="24"/>
        </w:rPr>
        <w:t>.</w:t>
      </w:r>
    </w:p>
    <w:p w14:paraId="1ACDF530" w14:textId="47A36BE8" w:rsidR="00490A9D" w:rsidRDefault="00D92877" w:rsidP="00C677E6">
      <w:pPr>
        <w:rPr>
          <w:rFonts w:ascii="Arial" w:hAnsi="Arial" w:cs="Arial"/>
          <w:sz w:val="24"/>
          <w:szCs w:val="24"/>
        </w:rPr>
      </w:pPr>
      <w:r w:rsidRPr="00264F34">
        <w:rPr>
          <w:rFonts w:ascii="Arial" w:hAnsi="Arial" w:cs="Arial"/>
          <w:sz w:val="24"/>
          <w:szCs w:val="24"/>
        </w:rPr>
        <w:t xml:space="preserve">This section indicates that a rent reduction order will take effect from the day the premises </w:t>
      </w:r>
      <w:r w:rsidR="00B02200" w:rsidRPr="00264F34">
        <w:rPr>
          <w:rFonts w:ascii="Arial" w:hAnsi="Arial" w:cs="Arial"/>
          <w:sz w:val="24"/>
          <w:szCs w:val="24"/>
        </w:rPr>
        <w:t>stopped</w:t>
      </w:r>
      <w:r w:rsidRPr="00264F34">
        <w:rPr>
          <w:rFonts w:ascii="Arial" w:hAnsi="Arial" w:cs="Arial"/>
          <w:sz w:val="24"/>
          <w:szCs w:val="24"/>
        </w:rPr>
        <w:t xml:space="preserve"> complying with the minimum housing standard, or any later date stated by the ACAT. </w:t>
      </w:r>
      <w:r w:rsidR="0088216A">
        <w:rPr>
          <w:rFonts w:ascii="Arial" w:hAnsi="Arial" w:cs="Arial"/>
          <w:sz w:val="24"/>
          <w:szCs w:val="24"/>
        </w:rPr>
        <w:t>This section differs from the rent reduction provisions</w:t>
      </w:r>
      <w:r w:rsidR="005D3531">
        <w:rPr>
          <w:rFonts w:ascii="Arial" w:hAnsi="Arial" w:cs="Arial"/>
          <w:sz w:val="24"/>
          <w:szCs w:val="24"/>
        </w:rPr>
        <w:t xml:space="preserve">, as it </w:t>
      </w:r>
      <w:r w:rsidR="0088216A">
        <w:rPr>
          <w:rFonts w:ascii="Arial" w:hAnsi="Arial" w:cs="Arial"/>
          <w:sz w:val="24"/>
          <w:szCs w:val="24"/>
        </w:rPr>
        <w:t xml:space="preserve">does not limit </w:t>
      </w:r>
      <w:r w:rsidR="005D3531">
        <w:rPr>
          <w:rFonts w:ascii="Arial" w:hAnsi="Arial" w:cs="Arial"/>
          <w:sz w:val="24"/>
          <w:szCs w:val="24"/>
        </w:rPr>
        <w:t>any</w:t>
      </w:r>
      <w:r w:rsidR="0088216A">
        <w:rPr>
          <w:rFonts w:ascii="Arial" w:hAnsi="Arial" w:cs="Arial"/>
          <w:sz w:val="24"/>
          <w:szCs w:val="24"/>
        </w:rPr>
        <w:t xml:space="preserve"> compensation order to 12 months. </w:t>
      </w:r>
      <w:r w:rsidR="005D3531">
        <w:rPr>
          <w:rFonts w:ascii="Arial" w:hAnsi="Arial" w:cs="Arial"/>
          <w:sz w:val="24"/>
          <w:szCs w:val="24"/>
        </w:rPr>
        <w:t xml:space="preserve">Rather, a rent reduction order granted under this section will remain in force for the period stated by ACAT. </w:t>
      </w:r>
    </w:p>
    <w:p w14:paraId="7EB72223" w14:textId="636F8A02" w:rsidR="009851FE" w:rsidRPr="00264F34" w:rsidRDefault="009851FE" w:rsidP="00C677E6">
      <w:pPr>
        <w:rPr>
          <w:rFonts w:ascii="Arial" w:hAnsi="Arial" w:cs="Arial"/>
          <w:sz w:val="24"/>
          <w:szCs w:val="24"/>
        </w:rPr>
      </w:pPr>
      <w:r>
        <w:rPr>
          <w:rFonts w:ascii="Arial" w:hAnsi="Arial" w:cs="Arial"/>
          <w:sz w:val="24"/>
          <w:szCs w:val="24"/>
        </w:rPr>
        <w:t>This section also empowers ACAT to refuse to make an order if the tenant has failed to provide the lessor with reasonable access</w:t>
      </w:r>
      <w:r w:rsidRPr="009851FE">
        <w:rPr>
          <w:rFonts w:ascii="Arial" w:hAnsi="Arial" w:cs="Arial"/>
          <w:sz w:val="24"/>
          <w:szCs w:val="24"/>
        </w:rPr>
        <w:t xml:space="preserve"> </w:t>
      </w:r>
      <w:r w:rsidR="006D2698">
        <w:rPr>
          <w:rFonts w:ascii="Arial" w:hAnsi="Arial" w:cs="Arial"/>
          <w:sz w:val="24"/>
          <w:szCs w:val="24"/>
        </w:rPr>
        <w:t xml:space="preserve">to </w:t>
      </w:r>
      <w:r w:rsidRPr="009851FE">
        <w:rPr>
          <w:rFonts w:ascii="Arial" w:hAnsi="Arial" w:cs="Arial"/>
          <w:sz w:val="24"/>
          <w:szCs w:val="24"/>
        </w:rPr>
        <w:t>enable the lessor to undertake</w:t>
      </w:r>
      <w:r w:rsidR="006D2698">
        <w:rPr>
          <w:rFonts w:ascii="Arial" w:hAnsi="Arial" w:cs="Arial"/>
          <w:sz w:val="24"/>
          <w:szCs w:val="24"/>
        </w:rPr>
        <w:t xml:space="preserve"> the</w:t>
      </w:r>
      <w:r w:rsidRPr="009851FE">
        <w:rPr>
          <w:rFonts w:ascii="Arial" w:hAnsi="Arial" w:cs="Arial"/>
          <w:sz w:val="24"/>
          <w:szCs w:val="24"/>
        </w:rPr>
        <w:t xml:space="preserve"> work necessary to ensure the premises complies with minimum housing standards. The policy intention of this</w:t>
      </w:r>
      <w:r w:rsidR="005D3531">
        <w:rPr>
          <w:rFonts w:ascii="Arial" w:hAnsi="Arial" w:cs="Arial"/>
          <w:sz w:val="24"/>
          <w:szCs w:val="24"/>
        </w:rPr>
        <w:t xml:space="preserve"> provision</w:t>
      </w:r>
      <w:r w:rsidRPr="009851FE">
        <w:rPr>
          <w:rFonts w:ascii="Arial" w:hAnsi="Arial" w:cs="Arial"/>
          <w:sz w:val="24"/>
          <w:szCs w:val="24"/>
        </w:rPr>
        <w:t xml:space="preserve"> is to recognise that allowing a tenant to </w:t>
      </w:r>
      <w:r>
        <w:rPr>
          <w:rFonts w:ascii="Arial" w:hAnsi="Arial" w:cs="Arial"/>
          <w:sz w:val="24"/>
          <w:szCs w:val="24"/>
        </w:rPr>
        <w:t>obtain a rent reduction</w:t>
      </w:r>
      <w:r w:rsidRPr="009851FE">
        <w:rPr>
          <w:rFonts w:ascii="Arial" w:hAnsi="Arial" w:cs="Arial"/>
          <w:sz w:val="24"/>
          <w:szCs w:val="24"/>
        </w:rPr>
        <w:t xml:space="preserve"> where the lessor fails to comply with minimum standards may be unfair on a lessor in circumstances where the tenant has failed to provide reasonable access. </w:t>
      </w:r>
    </w:p>
    <w:p w14:paraId="075BD9CE" w14:textId="5D39C231" w:rsidR="00D92877" w:rsidRDefault="00490A9D" w:rsidP="00C677E6">
      <w:pPr>
        <w:rPr>
          <w:rFonts w:ascii="Arial" w:hAnsi="Arial" w:cs="Arial"/>
          <w:sz w:val="24"/>
          <w:szCs w:val="24"/>
        </w:rPr>
      </w:pPr>
      <w:r w:rsidRPr="00264F34">
        <w:rPr>
          <w:rFonts w:ascii="Arial" w:hAnsi="Arial" w:cs="Arial"/>
          <w:sz w:val="24"/>
          <w:szCs w:val="24"/>
        </w:rPr>
        <w:t xml:space="preserve">This section also allows </w:t>
      </w:r>
      <w:r w:rsidR="00C00A0D">
        <w:rPr>
          <w:rFonts w:ascii="Arial" w:hAnsi="Arial" w:cs="Arial"/>
          <w:sz w:val="24"/>
          <w:szCs w:val="24"/>
        </w:rPr>
        <w:t>ACAT</w:t>
      </w:r>
      <w:r w:rsidRPr="00264F34">
        <w:rPr>
          <w:rFonts w:ascii="Arial" w:hAnsi="Arial" w:cs="Arial"/>
          <w:sz w:val="24"/>
          <w:szCs w:val="24"/>
        </w:rPr>
        <w:t xml:space="preserve"> to order the lessor to pay the tenant the difference between the rent that the tenant has paid and the rent that would have been payable </w:t>
      </w:r>
      <w:r w:rsidRPr="00264F34">
        <w:rPr>
          <w:rFonts w:ascii="Arial" w:hAnsi="Arial" w:cs="Arial"/>
          <w:sz w:val="24"/>
          <w:szCs w:val="24"/>
        </w:rPr>
        <w:lastRenderedPageBreak/>
        <w:t>as a result of the rent reduction order – that is</w:t>
      </w:r>
      <w:r w:rsidR="00B02200" w:rsidRPr="00264F34">
        <w:rPr>
          <w:rFonts w:ascii="Arial" w:hAnsi="Arial" w:cs="Arial"/>
          <w:sz w:val="24"/>
          <w:szCs w:val="24"/>
        </w:rPr>
        <w:t>,</w:t>
      </w:r>
      <w:r w:rsidRPr="00264F34">
        <w:rPr>
          <w:rFonts w:ascii="Arial" w:hAnsi="Arial" w:cs="Arial"/>
          <w:sz w:val="24"/>
          <w:szCs w:val="24"/>
        </w:rPr>
        <w:t xml:space="preserve"> if the tenant has paid more in rent than the reduced rent amount, the amount overpaid is a debt that the lessor owes to the tenant. </w:t>
      </w:r>
      <w:r w:rsidR="00D92877" w:rsidRPr="00264F34">
        <w:rPr>
          <w:rFonts w:ascii="Arial" w:hAnsi="Arial" w:cs="Arial"/>
          <w:sz w:val="24"/>
          <w:szCs w:val="24"/>
        </w:rPr>
        <w:t xml:space="preserve">It also provides that if a lessor purports to increase the rent for the premises in order to work around the rent reduction order, </w:t>
      </w:r>
      <w:r w:rsidRPr="00264F34">
        <w:rPr>
          <w:rFonts w:ascii="Arial" w:hAnsi="Arial" w:cs="Arial"/>
          <w:sz w:val="24"/>
          <w:szCs w:val="24"/>
        </w:rPr>
        <w:t xml:space="preserve">the purported rent increase will be void (that is, of no effect) and any amount of rent paid by the tenant which is above the rent reduction order amount will also become a debt that the lessor owes to the tenant. </w:t>
      </w:r>
    </w:p>
    <w:p w14:paraId="1585AC04" w14:textId="2CEDC815" w:rsidR="001C53D0" w:rsidRPr="00264F34" w:rsidRDefault="001C53D0" w:rsidP="00D4599F">
      <w:pPr>
        <w:keepNext/>
        <w:keepLines/>
        <w:ind w:left="1440" w:hanging="1440"/>
        <w:rPr>
          <w:rFonts w:ascii="Arial" w:eastAsiaTheme="majorEastAsia" w:hAnsi="Arial" w:cs="Arial"/>
          <w:b/>
          <w:sz w:val="24"/>
          <w:szCs w:val="24"/>
        </w:rPr>
      </w:pPr>
      <w:r w:rsidRPr="00264F34">
        <w:rPr>
          <w:rFonts w:ascii="Arial" w:eastAsiaTheme="majorEastAsia" w:hAnsi="Arial" w:cs="Arial"/>
          <w:b/>
          <w:sz w:val="24"/>
          <w:szCs w:val="24"/>
        </w:rPr>
        <w:t>Clause</w:t>
      </w:r>
      <w:r w:rsidR="00D7389D" w:rsidRPr="00264F34">
        <w:rPr>
          <w:rFonts w:ascii="Arial" w:eastAsiaTheme="majorEastAsia" w:hAnsi="Arial" w:cs="Arial"/>
          <w:b/>
          <w:sz w:val="24"/>
          <w:szCs w:val="24"/>
        </w:rPr>
        <w:t xml:space="preserve"> 2</w:t>
      </w:r>
      <w:r w:rsidR="00F52D71">
        <w:rPr>
          <w:rFonts w:ascii="Arial" w:eastAsiaTheme="majorEastAsia" w:hAnsi="Arial" w:cs="Arial"/>
          <w:b/>
          <w:sz w:val="24"/>
          <w:szCs w:val="24"/>
        </w:rPr>
        <w:t>8</w:t>
      </w:r>
      <w:r w:rsidRPr="00264F34">
        <w:rPr>
          <w:rFonts w:ascii="Arial" w:eastAsiaTheme="majorEastAsia" w:hAnsi="Arial" w:cs="Arial"/>
          <w:b/>
          <w:sz w:val="24"/>
          <w:szCs w:val="24"/>
        </w:rPr>
        <w:tab/>
        <w:t xml:space="preserve">Orders by ACAT </w:t>
      </w:r>
      <w:r w:rsidR="00857F67">
        <w:rPr>
          <w:rFonts w:ascii="Arial" w:eastAsiaTheme="majorEastAsia" w:hAnsi="Arial" w:cs="Arial"/>
          <w:b/>
          <w:sz w:val="24"/>
          <w:szCs w:val="24"/>
        </w:rPr>
        <w:br/>
      </w:r>
      <w:r w:rsidRPr="00264F34">
        <w:rPr>
          <w:rFonts w:ascii="Arial" w:eastAsiaTheme="majorEastAsia" w:hAnsi="Arial" w:cs="Arial"/>
          <w:b/>
          <w:sz w:val="24"/>
          <w:szCs w:val="24"/>
        </w:rPr>
        <w:t>New section 83</w:t>
      </w:r>
      <w:r w:rsidR="00490A9D" w:rsidRPr="00264F34">
        <w:rPr>
          <w:rFonts w:ascii="Arial" w:eastAsiaTheme="majorEastAsia" w:hAnsi="Arial" w:cs="Arial"/>
          <w:b/>
          <w:sz w:val="24"/>
          <w:szCs w:val="24"/>
        </w:rPr>
        <w:t xml:space="preserve"> </w:t>
      </w:r>
      <w:r w:rsidRPr="00264F34">
        <w:rPr>
          <w:rFonts w:ascii="Arial" w:eastAsiaTheme="majorEastAsia" w:hAnsi="Arial" w:cs="Arial"/>
          <w:b/>
          <w:sz w:val="24"/>
          <w:szCs w:val="24"/>
        </w:rPr>
        <w:t>(1)</w:t>
      </w:r>
      <w:r w:rsidR="00490A9D" w:rsidRPr="00264F34">
        <w:rPr>
          <w:rFonts w:ascii="Arial" w:eastAsiaTheme="majorEastAsia" w:hAnsi="Arial" w:cs="Arial"/>
          <w:b/>
          <w:sz w:val="24"/>
          <w:szCs w:val="24"/>
        </w:rPr>
        <w:t xml:space="preserve"> </w:t>
      </w:r>
      <w:r w:rsidRPr="00264F34">
        <w:rPr>
          <w:rFonts w:ascii="Arial" w:eastAsiaTheme="majorEastAsia" w:hAnsi="Arial" w:cs="Arial"/>
          <w:b/>
          <w:sz w:val="24"/>
          <w:szCs w:val="24"/>
        </w:rPr>
        <w:t>(da)</w:t>
      </w:r>
    </w:p>
    <w:p w14:paraId="666472AD" w14:textId="7811CA0C" w:rsidR="002E4A3A" w:rsidRPr="00264F34" w:rsidRDefault="00BD67B8" w:rsidP="00C677E6">
      <w:pPr>
        <w:rPr>
          <w:rFonts w:ascii="Arial" w:hAnsi="Arial" w:cs="Arial"/>
          <w:sz w:val="24"/>
          <w:szCs w:val="24"/>
        </w:rPr>
      </w:pPr>
      <w:r w:rsidRPr="00264F34">
        <w:rPr>
          <w:rFonts w:ascii="Arial" w:hAnsi="Arial" w:cs="Arial"/>
          <w:sz w:val="24"/>
          <w:szCs w:val="24"/>
        </w:rPr>
        <w:t>New subsection 83</w:t>
      </w:r>
      <w:r w:rsidR="00490A9D" w:rsidRPr="00264F34">
        <w:rPr>
          <w:rFonts w:ascii="Arial" w:hAnsi="Arial" w:cs="Arial"/>
          <w:sz w:val="24"/>
          <w:szCs w:val="24"/>
        </w:rPr>
        <w:t xml:space="preserve"> </w:t>
      </w:r>
      <w:r w:rsidRPr="00264F34">
        <w:rPr>
          <w:rFonts w:ascii="Arial" w:hAnsi="Arial" w:cs="Arial"/>
          <w:sz w:val="24"/>
          <w:szCs w:val="24"/>
        </w:rPr>
        <w:t>(1)</w:t>
      </w:r>
      <w:r w:rsidR="00490A9D" w:rsidRPr="00264F34">
        <w:rPr>
          <w:rFonts w:ascii="Arial" w:hAnsi="Arial" w:cs="Arial"/>
          <w:sz w:val="24"/>
          <w:szCs w:val="24"/>
        </w:rPr>
        <w:t xml:space="preserve"> </w:t>
      </w:r>
      <w:r w:rsidRPr="00264F34">
        <w:rPr>
          <w:rFonts w:ascii="Arial" w:hAnsi="Arial" w:cs="Arial"/>
          <w:sz w:val="24"/>
          <w:szCs w:val="24"/>
        </w:rPr>
        <w:t xml:space="preserve">(da) </w:t>
      </w:r>
      <w:r w:rsidR="002E4A3A" w:rsidRPr="00264F34">
        <w:rPr>
          <w:rFonts w:ascii="Arial" w:hAnsi="Arial" w:cs="Arial"/>
          <w:sz w:val="24"/>
          <w:szCs w:val="24"/>
        </w:rPr>
        <w:t xml:space="preserve">confers a power on </w:t>
      </w:r>
      <w:r w:rsidR="00C00A0D">
        <w:rPr>
          <w:rFonts w:ascii="Arial" w:hAnsi="Arial" w:cs="Arial"/>
          <w:sz w:val="24"/>
          <w:szCs w:val="24"/>
        </w:rPr>
        <w:t>ACAT</w:t>
      </w:r>
      <w:r w:rsidR="002E4A3A" w:rsidRPr="00264F34">
        <w:rPr>
          <w:rFonts w:ascii="Arial" w:hAnsi="Arial" w:cs="Arial"/>
          <w:sz w:val="24"/>
          <w:szCs w:val="24"/>
        </w:rPr>
        <w:t xml:space="preserve"> to </w:t>
      </w:r>
      <w:r w:rsidR="00A02BE2" w:rsidRPr="00264F34">
        <w:rPr>
          <w:rFonts w:ascii="Arial" w:hAnsi="Arial" w:cs="Arial"/>
          <w:sz w:val="24"/>
          <w:szCs w:val="24"/>
        </w:rPr>
        <w:t xml:space="preserve">make an order requiring </w:t>
      </w:r>
      <w:r w:rsidRPr="00264F34">
        <w:rPr>
          <w:rFonts w:ascii="Arial" w:hAnsi="Arial" w:cs="Arial"/>
          <w:sz w:val="24"/>
          <w:szCs w:val="24"/>
        </w:rPr>
        <w:t>a lessor to compensate a tenant for loss they have suffered because of the lessor’s failure to comply with any minimum housing standards</w:t>
      </w:r>
      <w:r w:rsidR="00D7389D" w:rsidRPr="00264F34">
        <w:rPr>
          <w:rFonts w:ascii="Arial" w:hAnsi="Arial" w:cs="Arial"/>
          <w:sz w:val="24"/>
          <w:szCs w:val="24"/>
        </w:rPr>
        <w:t xml:space="preserve"> in accordance with section 19B</w:t>
      </w:r>
      <w:r w:rsidRPr="00264F34">
        <w:rPr>
          <w:rFonts w:ascii="Arial" w:hAnsi="Arial" w:cs="Arial"/>
          <w:sz w:val="24"/>
          <w:szCs w:val="24"/>
        </w:rPr>
        <w:t>.</w:t>
      </w:r>
      <w:r w:rsidR="00A02BE2" w:rsidRPr="00264F34">
        <w:rPr>
          <w:rFonts w:ascii="Arial" w:hAnsi="Arial" w:cs="Arial"/>
          <w:sz w:val="24"/>
          <w:szCs w:val="24"/>
        </w:rPr>
        <w:t xml:space="preserve"> </w:t>
      </w:r>
      <w:r w:rsidRPr="00264F34">
        <w:rPr>
          <w:rFonts w:ascii="Arial" w:hAnsi="Arial" w:cs="Arial"/>
          <w:sz w:val="24"/>
          <w:szCs w:val="24"/>
        </w:rPr>
        <w:t>The intention of this amendment is to strengthen and extend the remedies available to a tenant, recognising the cost</w:t>
      </w:r>
      <w:r w:rsidR="009A62EB" w:rsidRPr="00264F34">
        <w:rPr>
          <w:rFonts w:ascii="Arial" w:hAnsi="Arial" w:cs="Arial"/>
          <w:sz w:val="24"/>
          <w:szCs w:val="24"/>
        </w:rPr>
        <w:t>, inconvenience and stress a tenant is likely to experience if a lessor fails to comply with any minimum housing standards.</w:t>
      </w:r>
    </w:p>
    <w:p w14:paraId="6BB7524C" w14:textId="3921A179" w:rsidR="00BD67B8" w:rsidRPr="00264F34" w:rsidRDefault="00BD67B8" w:rsidP="00C677E6">
      <w:pPr>
        <w:rPr>
          <w:rFonts w:ascii="Arial" w:hAnsi="Arial" w:cs="Arial"/>
          <w:sz w:val="24"/>
          <w:szCs w:val="24"/>
        </w:rPr>
      </w:pPr>
      <w:r w:rsidRPr="00264F34">
        <w:rPr>
          <w:rFonts w:ascii="Arial" w:hAnsi="Arial" w:cs="Arial"/>
          <w:sz w:val="24"/>
          <w:szCs w:val="24"/>
        </w:rPr>
        <w:t xml:space="preserve">For example, if a tenant applies to </w:t>
      </w:r>
      <w:r w:rsidR="00DA32DF">
        <w:rPr>
          <w:rFonts w:ascii="Arial" w:hAnsi="Arial" w:cs="Arial"/>
          <w:sz w:val="24"/>
          <w:szCs w:val="24"/>
        </w:rPr>
        <w:t>ACAT</w:t>
      </w:r>
      <w:r w:rsidRPr="00264F34">
        <w:rPr>
          <w:rFonts w:ascii="Arial" w:hAnsi="Arial" w:cs="Arial"/>
          <w:sz w:val="24"/>
          <w:szCs w:val="24"/>
        </w:rPr>
        <w:t xml:space="preserve"> to terminate a tenancy because of the lessor’s failure to comply with any minimum housing standards, new section 83</w:t>
      </w:r>
      <w:r w:rsidR="00E576EE" w:rsidRPr="00264F34">
        <w:rPr>
          <w:rFonts w:ascii="Arial" w:hAnsi="Arial" w:cs="Arial"/>
          <w:sz w:val="24"/>
          <w:szCs w:val="24"/>
        </w:rPr>
        <w:t xml:space="preserve"> </w:t>
      </w:r>
      <w:r w:rsidRPr="00264F34">
        <w:rPr>
          <w:rFonts w:ascii="Arial" w:hAnsi="Arial" w:cs="Arial"/>
          <w:sz w:val="24"/>
          <w:szCs w:val="24"/>
        </w:rPr>
        <w:t>(1)</w:t>
      </w:r>
      <w:r w:rsidR="00E576EE" w:rsidRPr="00264F34">
        <w:rPr>
          <w:rFonts w:ascii="Arial" w:hAnsi="Arial" w:cs="Arial"/>
          <w:sz w:val="24"/>
          <w:szCs w:val="24"/>
        </w:rPr>
        <w:t xml:space="preserve"> </w:t>
      </w:r>
      <w:r w:rsidRPr="00264F34">
        <w:rPr>
          <w:rFonts w:ascii="Arial" w:hAnsi="Arial" w:cs="Arial"/>
          <w:sz w:val="24"/>
          <w:szCs w:val="24"/>
        </w:rPr>
        <w:t xml:space="preserve">(da) allows the tenant to also seek compensation for </w:t>
      </w:r>
      <w:r w:rsidR="009A62EB" w:rsidRPr="00264F34">
        <w:rPr>
          <w:rFonts w:ascii="Arial" w:hAnsi="Arial" w:cs="Arial"/>
          <w:sz w:val="24"/>
          <w:szCs w:val="24"/>
        </w:rPr>
        <w:t xml:space="preserve">other </w:t>
      </w:r>
      <w:r w:rsidRPr="00264F34">
        <w:rPr>
          <w:rFonts w:ascii="Arial" w:hAnsi="Arial" w:cs="Arial"/>
          <w:sz w:val="24"/>
          <w:szCs w:val="24"/>
        </w:rPr>
        <w:t>costs</w:t>
      </w:r>
      <w:r w:rsidR="009A62EB" w:rsidRPr="00264F34">
        <w:rPr>
          <w:rFonts w:ascii="Arial" w:hAnsi="Arial" w:cs="Arial"/>
          <w:sz w:val="24"/>
          <w:szCs w:val="24"/>
        </w:rPr>
        <w:t xml:space="preserve"> they have, or are likely to incur </w:t>
      </w:r>
      <w:r w:rsidR="005D3531">
        <w:rPr>
          <w:rFonts w:ascii="Arial" w:hAnsi="Arial" w:cs="Arial"/>
          <w:sz w:val="24"/>
          <w:szCs w:val="24"/>
        </w:rPr>
        <w:t>(</w:t>
      </w:r>
      <w:r w:rsidR="009A62EB" w:rsidRPr="00264F34">
        <w:rPr>
          <w:rFonts w:ascii="Arial" w:hAnsi="Arial" w:cs="Arial"/>
          <w:sz w:val="24"/>
          <w:szCs w:val="24"/>
        </w:rPr>
        <w:t>for example, those</w:t>
      </w:r>
      <w:r w:rsidRPr="00264F34">
        <w:rPr>
          <w:rFonts w:ascii="Arial" w:hAnsi="Arial" w:cs="Arial"/>
          <w:sz w:val="24"/>
          <w:szCs w:val="24"/>
        </w:rPr>
        <w:t xml:space="preserve"> associated with moving</w:t>
      </w:r>
      <w:r w:rsidR="005D3531">
        <w:rPr>
          <w:rFonts w:ascii="Arial" w:hAnsi="Arial" w:cs="Arial"/>
          <w:sz w:val="24"/>
          <w:szCs w:val="24"/>
        </w:rPr>
        <w:t>)</w:t>
      </w:r>
      <w:r w:rsidRPr="00264F34">
        <w:rPr>
          <w:rFonts w:ascii="Arial" w:hAnsi="Arial" w:cs="Arial"/>
          <w:sz w:val="24"/>
          <w:szCs w:val="24"/>
        </w:rPr>
        <w:t>.</w:t>
      </w:r>
    </w:p>
    <w:p w14:paraId="262ACD9B" w14:textId="5EBA30B9" w:rsidR="00D7389D" w:rsidRPr="00264F34" w:rsidRDefault="00D7389D" w:rsidP="0064040A">
      <w:pPr>
        <w:keepNext/>
        <w:rPr>
          <w:rFonts w:ascii="Arial" w:eastAsiaTheme="majorEastAsia" w:hAnsi="Arial" w:cs="Arial"/>
          <w:b/>
          <w:sz w:val="24"/>
          <w:szCs w:val="24"/>
        </w:rPr>
      </w:pPr>
      <w:r w:rsidRPr="00264F34">
        <w:rPr>
          <w:rFonts w:ascii="Arial" w:eastAsiaTheme="majorEastAsia" w:hAnsi="Arial" w:cs="Arial"/>
          <w:b/>
          <w:sz w:val="24"/>
          <w:szCs w:val="24"/>
        </w:rPr>
        <w:t>Clause 2</w:t>
      </w:r>
      <w:r w:rsidR="00F52D71">
        <w:rPr>
          <w:rFonts w:ascii="Arial" w:eastAsiaTheme="majorEastAsia" w:hAnsi="Arial" w:cs="Arial"/>
          <w:b/>
          <w:sz w:val="24"/>
          <w:szCs w:val="24"/>
        </w:rPr>
        <w:t>9</w:t>
      </w:r>
      <w:r w:rsidRPr="00264F34">
        <w:rPr>
          <w:rFonts w:ascii="Arial" w:eastAsiaTheme="majorEastAsia" w:hAnsi="Arial" w:cs="Arial"/>
          <w:b/>
          <w:sz w:val="24"/>
          <w:szCs w:val="24"/>
        </w:rPr>
        <w:tab/>
        <w:t>Section 83 (1) (f) (ii)</w:t>
      </w:r>
    </w:p>
    <w:p w14:paraId="06500EA4" w14:textId="4309D69C" w:rsidR="00090967" w:rsidRPr="00264F34" w:rsidRDefault="00090967" w:rsidP="00C677E6">
      <w:pPr>
        <w:rPr>
          <w:rFonts w:ascii="Arial" w:eastAsiaTheme="majorEastAsia" w:hAnsi="Arial" w:cs="Arial"/>
          <w:b/>
          <w:sz w:val="24"/>
          <w:szCs w:val="24"/>
        </w:rPr>
      </w:pPr>
      <w:r w:rsidRPr="00264F34">
        <w:rPr>
          <w:rFonts w:ascii="Arial" w:hAnsi="Arial" w:cs="Arial"/>
          <w:sz w:val="24"/>
          <w:szCs w:val="24"/>
        </w:rPr>
        <w:t xml:space="preserve">This clause </w:t>
      </w:r>
      <w:r w:rsidR="00C00A0D">
        <w:rPr>
          <w:rFonts w:ascii="Arial" w:hAnsi="Arial" w:cs="Arial"/>
          <w:sz w:val="24"/>
          <w:szCs w:val="24"/>
        </w:rPr>
        <w:t xml:space="preserve">is consequential to the introduction of a new definition of a </w:t>
      </w:r>
      <w:r w:rsidR="00C00A0D">
        <w:rPr>
          <w:rFonts w:ascii="Arial" w:hAnsi="Arial" w:cs="Arial"/>
          <w:b/>
          <w:bCs/>
          <w:i/>
          <w:iCs/>
          <w:sz w:val="24"/>
          <w:szCs w:val="24"/>
        </w:rPr>
        <w:t xml:space="preserve">defective termination </w:t>
      </w:r>
      <w:r w:rsidR="00C00A0D" w:rsidRPr="00C00A0D">
        <w:rPr>
          <w:rFonts w:ascii="Arial" w:hAnsi="Arial" w:cs="Arial"/>
          <w:b/>
          <w:bCs/>
          <w:i/>
          <w:iCs/>
          <w:sz w:val="24"/>
          <w:szCs w:val="24"/>
        </w:rPr>
        <w:t>notice</w:t>
      </w:r>
      <w:r w:rsidR="00C00A0D">
        <w:rPr>
          <w:rFonts w:ascii="Arial" w:hAnsi="Arial" w:cs="Arial"/>
          <w:b/>
          <w:bCs/>
          <w:sz w:val="24"/>
          <w:szCs w:val="24"/>
        </w:rPr>
        <w:t xml:space="preserve"> </w:t>
      </w:r>
      <w:r w:rsidR="00C00A0D">
        <w:rPr>
          <w:rFonts w:ascii="Arial" w:hAnsi="Arial" w:cs="Arial"/>
          <w:sz w:val="24"/>
          <w:szCs w:val="24"/>
        </w:rPr>
        <w:t xml:space="preserve">at </w:t>
      </w:r>
      <w:r w:rsidR="00C00A0D" w:rsidRPr="005A14D5">
        <w:rPr>
          <w:rFonts w:ascii="Arial" w:hAnsi="Arial" w:cs="Arial"/>
          <w:sz w:val="24"/>
          <w:szCs w:val="24"/>
        </w:rPr>
        <w:t>clause 4</w:t>
      </w:r>
      <w:r w:rsidR="00F52D71" w:rsidRPr="00485941">
        <w:rPr>
          <w:rFonts w:ascii="Arial" w:hAnsi="Arial" w:cs="Arial"/>
          <w:sz w:val="24"/>
          <w:szCs w:val="24"/>
        </w:rPr>
        <w:t>7</w:t>
      </w:r>
      <w:r w:rsidR="00C00A0D">
        <w:rPr>
          <w:rFonts w:ascii="Arial" w:hAnsi="Arial" w:cs="Arial"/>
          <w:sz w:val="24"/>
          <w:szCs w:val="24"/>
        </w:rPr>
        <w:t xml:space="preserve">. It </w:t>
      </w:r>
      <w:r w:rsidRPr="00C00A0D">
        <w:rPr>
          <w:rFonts w:ascii="Arial" w:hAnsi="Arial" w:cs="Arial"/>
          <w:sz w:val="24"/>
          <w:szCs w:val="24"/>
        </w:rPr>
        <w:t>substitutes</w:t>
      </w:r>
      <w:r w:rsidRPr="00264F34">
        <w:rPr>
          <w:rFonts w:ascii="Arial" w:hAnsi="Arial" w:cs="Arial"/>
          <w:sz w:val="24"/>
          <w:szCs w:val="24"/>
        </w:rPr>
        <w:t xml:space="preserve"> subsection 83 (1) (f) (ii), an</w:t>
      </w:r>
      <w:r w:rsidR="00541524" w:rsidRPr="00264F34">
        <w:rPr>
          <w:rFonts w:ascii="Arial" w:hAnsi="Arial" w:cs="Arial"/>
          <w:sz w:val="24"/>
          <w:szCs w:val="24"/>
        </w:rPr>
        <w:t>d</w:t>
      </w:r>
      <w:r w:rsidRPr="00264F34">
        <w:rPr>
          <w:rFonts w:ascii="Arial" w:hAnsi="Arial" w:cs="Arial"/>
          <w:sz w:val="24"/>
          <w:szCs w:val="24"/>
        </w:rPr>
        <w:t xml:space="preserve"> by doing so, removes references to forms approved by the Minister under section 133</w:t>
      </w:r>
      <w:r w:rsidR="00C00A0D">
        <w:rPr>
          <w:rFonts w:ascii="Arial" w:hAnsi="Arial" w:cs="Arial"/>
          <w:sz w:val="24"/>
          <w:szCs w:val="24"/>
        </w:rPr>
        <w:t xml:space="preserve"> and replaces it with a refence to </w:t>
      </w:r>
      <w:r w:rsidR="006D2698">
        <w:rPr>
          <w:rFonts w:ascii="Arial" w:hAnsi="Arial" w:cs="Arial"/>
          <w:sz w:val="24"/>
          <w:szCs w:val="24"/>
        </w:rPr>
        <w:t>a</w:t>
      </w:r>
      <w:r w:rsidR="00C00A0D">
        <w:rPr>
          <w:rFonts w:ascii="Arial" w:hAnsi="Arial" w:cs="Arial"/>
          <w:sz w:val="24"/>
          <w:szCs w:val="24"/>
        </w:rPr>
        <w:t xml:space="preserve"> defective termination notice</w:t>
      </w:r>
      <w:r w:rsidRPr="00264F34">
        <w:rPr>
          <w:rFonts w:ascii="Arial" w:hAnsi="Arial" w:cs="Arial"/>
          <w:sz w:val="24"/>
          <w:szCs w:val="24"/>
        </w:rPr>
        <w:t>.</w:t>
      </w:r>
    </w:p>
    <w:p w14:paraId="2509B54B" w14:textId="349EF270" w:rsidR="00D7389D" w:rsidRPr="00264F34" w:rsidRDefault="00D7389D" w:rsidP="00C677E6">
      <w:pPr>
        <w:rPr>
          <w:rFonts w:ascii="Arial" w:eastAsiaTheme="majorEastAsia" w:hAnsi="Arial" w:cs="Arial"/>
          <w:b/>
          <w:sz w:val="24"/>
          <w:szCs w:val="24"/>
        </w:rPr>
      </w:pPr>
      <w:r w:rsidRPr="00264F34">
        <w:rPr>
          <w:rFonts w:ascii="Arial" w:eastAsiaTheme="majorEastAsia" w:hAnsi="Arial" w:cs="Arial"/>
          <w:b/>
          <w:sz w:val="24"/>
          <w:szCs w:val="24"/>
        </w:rPr>
        <w:t xml:space="preserve">Clause </w:t>
      </w:r>
      <w:r w:rsidR="00F52D71">
        <w:rPr>
          <w:rFonts w:ascii="Arial" w:eastAsiaTheme="majorEastAsia" w:hAnsi="Arial" w:cs="Arial"/>
          <w:b/>
          <w:sz w:val="24"/>
          <w:szCs w:val="24"/>
        </w:rPr>
        <w:t>30</w:t>
      </w:r>
      <w:r w:rsidRPr="00264F34">
        <w:rPr>
          <w:rFonts w:ascii="Arial" w:eastAsiaTheme="majorEastAsia" w:hAnsi="Arial" w:cs="Arial"/>
          <w:b/>
          <w:sz w:val="24"/>
          <w:szCs w:val="24"/>
        </w:rPr>
        <w:tab/>
        <w:t>Section 83 (1) (k)</w:t>
      </w:r>
    </w:p>
    <w:p w14:paraId="19AFA418" w14:textId="3D023333" w:rsidR="00541524" w:rsidRPr="00264F34" w:rsidRDefault="006D2698" w:rsidP="00541524">
      <w:pPr>
        <w:rPr>
          <w:rFonts w:ascii="Arial" w:eastAsiaTheme="majorEastAsia" w:hAnsi="Arial" w:cs="Arial"/>
          <w:b/>
          <w:sz w:val="24"/>
          <w:szCs w:val="24"/>
        </w:rPr>
      </w:pPr>
      <w:r>
        <w:rPr>
          <w:rFonts w:ascii="Arial" w:hAnsi="Arial" w:cs="Arial"/>
          <w:sz w:val="24"/>
          <w:szCs w:val="24"/>
        </w:rPr>
        <w:t>As above, t</w:t>
      </w:r>
      <w:r w:rsidR="00541524" w:rsidRPr="00264F34">
        <w:rPr>
          <w:rFonts w:ascii="Arial" w:hAnsi="Arial" w:cs="Arial"/>
          <w:sz w:val="24"/>
          <w:szCs w:val="24"/>
        </w:rPr>
        <w:t>his clause is a consequential amendment, and substitutes subsection 83 (1) (k) so that it refers to the newly defined term, ‘defective termination notice’ (</w:t>
      </w:r>
      <w:r w:rsidR="00541524" w:rsidRPr="005A14D5">
        <w:rPr>
          <w:rFonts w:ascii="Arial" w:hAnsi="Arial" w:cs="Arial"/>
          <w:sz w:val="24"/>
          <w:szCs w:val="24"/>
        </w:rPr>
        <w:t>clause 4</w:t>
      </w:r>
      <w:r w:rsidR="00F52D71" w:rsidRPr="00485941">
        <w:rPr>
          <w:rFonts w:ascii="Arial" w:hAnsi="Arial" w:cs="Arial"/>
          <w:sz w:val="24"/>
          <w:szCs w:val="24"/>
        </w:rPr>
        <w:t>7</w:t>
      </w:r>
      <w:r w:rsidR="00541524" w:rsidRPr="00264F34">
        <w:rPr>
          <w:rFonts w:ascii="Arial" w:hAnsi="Arial" w:cs="Arial"/>
          <w:sz w:val="24"/>
          <w:szCs w:val="24"/>
        </w:rPr>
        <w:t>).</w:t>
      </w:r>
    </w:p>
    <w:p w14:paraId="19854ADF" w14:textId="0AFCB70C" w:rsidR="00D7389D" w:rsidRPr="00264F34" w:rsidRDefault="00D7389D" w:rsidP="00C677E6">
      <w:pPr>
        <w:rPr>
          <w:rFonts w:ascii="Arial" w:eastAsiaTheme="majorEastAsia" w:hAnsi="Arial" w:cs="Arial"/>
          <w:b/>
          <w:sz w:val="24"/>
          <w:szCs w:val="24"/>
        </w:rPr>
      </w:pPr>
      <w:r w:rsidRPr="00264F34">
        <w:rPr>
          <w:rFonts w:ascii="Arial" w:eastAsiaTheme="majorEastAsia" w:hAnsi="Arial" w:cs="Arial"/>
          <w:b/>
          <w:sz w:val="24"/>
          <w:szCs w:val="24"/>
        </w:rPr>
        <w:t xml:space="preserve">Clause </w:t>
      </w:r>
      <w:r w:rsidR="00F52D71">
        <w:rPr>
          <w:rFonts w:ascii="Arial" w:eastAsiaTheme="majorEastAsia" w:hAnsi="Arial" w:cs="Arial"/>
          <w:b/>
          <w:sz w:val="24"/>
          <w:szCs w:val="24"/>
        </w:rPr>
        <w:t>31</w:t>
      </w:r>
      <w:r w:rsidRPr="00264F34">
        <w:rPr>
          <w:rFonts w:ascii="Arial" w:eastAsiaTheme="majorEastAsia" w:hAnsi="Arial" w:cs="Arial"/>
          <w:b/>
          <w:sz w:val="24"/>
          <w:szCs w:val="24"/>
        </w:rPr>
        <w:tab/>
        <w:t>Section 83 (2)</w:t>
      </w:r>
      <w:r w:rsidR="005D3531">
        <w:rPr>
          <w:rFonts w:ascii="Arial" w:eastAsiaTheme="majorEastAsia" w:hAnsi="Arial" w:cs="Arial"/>
          <w:b/>
          <w:sz w:val="24"/>
          <w:szCs w:val="24"/>
        </w:rPr>
        <w:t>, except notes</w:t>
      </w:r>
    </w:p>
    <w:p w14:paraId="35BCB71B" w14:textId="54DFBDBF" w:rsidR="005D3531" w:rsidRDefault="00541524" w:rsidP="00C677E6">
      <w:pPr>
        <w:rPr>
          <w:rFonts w:ascii="Arial" w:hAnsi="Arial" w:cs="Arial"/>
          <w:sz w:val="24"/>
          <w:szCs w:val="24"/>
        </w:rPr>
      </w:pPr>
      <w:r w:rsidRPr="00264F34">
        <w:rPr>
          <w:rFonts w:ascii="Arial" w:hAnsi="Arial" w:cs="Arial"/>
          <w:sz w:val="24"/>
          <w:szCs w:val="24"/>
        </w:rPr>
        <w:t>This clause is a consequential amendment and substitutes subsection 83 (2) so that it refers to the newly defined term, ‘defective termination notice’ (</w:t>
      </w:r>
      <w:r w:rsidRPr="005A14D5">
        <w:rPr>
          <w:rFonts w:ascii="Arial" w:hAnsi="Arial" w:cs="Arial"/>
          <w:sz w:val="24"/>
          <w:szCs w:val="24"/>
        </w:rPr>
        <w:t>clause 4</w:t>
      </w:r>
      <w:r w:rsidR="00F52D71" w:rsidRPr="00485941">
        <w:rPr>
          <w:rFonts w:ascii="Arial" w:hAnsi="Arial" w:cs="Arial"/>
          <w:sz w:val="24"/>
          <w:szCs w:val="24"/>
        </w:rPr>
        <w:t>7</w:t>
      </w:r>
      <w:r w:rsidRPr="00264F34">
        <w:rPr>
          <w:rFonts w:ascii="Arial" w:hAnsi="Arial" w:cs="Arial"/>
          <w:sz w:val="24"/>
          <w:szCs w:val="24"/>
        </w:rPr>
        <w:t>).</w:t>
      </w:r>
    </w:p>
    <w:p w14:paraId="5F69D478" w14:textId="435155D0" w:rsidR="00541524" w:rsidRPr="00264F34" w:rsidRDefault="005D3531" w:rsidP="00C677E6">
      <w:pPr>
        <w:rPr>
          <w:rFonts w:ascii="Arial" w:eastAsiaTheme="majorEastAsia" w:hAnsi="Arial" w:cs="Arial"/>
          <w:b/>
          <w:sz w:val="24"/>
          <w:szCs w:val="24"/>
        </w:rPr>
      </w:pPr>
      <w:r>
        <w:rPr>
          <w:rFonts w:ascii="Arial" w:hAnsi="Arial" w:cs="Arial"/>
          <w:sz w:val="24"/>
          <w:szCs w:val="24"/>
        </w:rPr>
        <w:t>To assist ACAT to interpret section 83, for subsection 83 (2) contains 2 notes.</w:t>
      </w:r>
      <w:r w:rsidR="00541524" w:rsidRPr="00264F34">
        <w:rPr>
          <w:rFonts w:ascii="Arial" w:hAnsi="Arial" w:cs="Arial"/>
          <w:sz w:val="24"/>
          <w:szCs w:val="24"/>
        </w:rPr>
        <w:t xml:space="preserve"> </w:t>
      </w:r>
      <w:r>
        <w:rPr>
          <w:rFonts w:ascii="Arial" w:hAnsi="Arial" w:cs="Arial"/>
          <w:sz w:val="24"/>
          <w:szCs w:val="24"/>
        </w:rPr>
        <w:t xml:space="preserve">These continue to be relevant to the interpretation of section 83, even once subsection 83 (2) is removed. </w:t>
      </w:r>
      <w:r w:rsidR="006D2698">
        <w:rPr>
          <w:rFonts w:ascii="Arial" w:hAnsi="Arial" w:cs="Arial"/>
          <w:sz w:val="24"/>
          <w:szCs w:val="24"/>
        </w:rPr>
        <w:t xml:space="preserve">This clause clarifies that these notes will </w:t>
      </w:r>
      <w:r w:rsidR="006D2698" w:rsidRPr="00480D5F">
        <w:rPr>
          <w:rFonts w:ascii="Arial" w:hAnsi="Arial" w:cs="Arial"/>
          <w:sz w:val="24"/>
          <w:szCs w:val="24"/>
          <w:u w:val="single"/>
        </w:rPr>
        <w:t>not</w:t>
      </w:r>
      <w:r w:rsidR="006D2698">
        <w:rPr>
          <w:rFonts w:ascii="Arial" w:hAnsi="Arial" w:cs="Arial"/>
          <w:sz w:val="24"/>
          <w:szCs w:val="24"/>
        </w:rPr>
        <w:t xml:space="preserve"> be omitted under this amendment.</w:t>
      </w:r>
    </w:p>
    <w:p w14:paraId="42D7E153" w14:textId="04952927" w:rsidR="00D7389D" w:rsidRPr="00264F34" w:rsidRDefault="00D7389D" w:rsidP="00143AD1">
      <w:pPr>
        <w:keepNext/>
        <w:rPr>
          <w:rFonts w:ascii="Arial" w:eastAsiaTheme="majorEastAsia" w:hAnsi="Arial" w:cs="Arial"/>
          <w:b/>
          <w:sz w:val="24"/>
          <w:szCs w:val="24"/>
        </w:rPr>
      </w:pPr>
      <w:r w:rsidRPr="00264F34">
        <w:rPr>
          <w:rFonts w:ascii="Arial" w:eastAsiaTheme="majorEastAsia" w:hAnsi="Arial" w:cs="Arial"/>
          <w:b/>
          <w:sz w:val="24"/>
          <w:szCs w:val="24"/>
        </w:rPr>
        <w:lastRenderedPageBreak/>
        <w:t xml:space="preserve">Clause </w:t>
      </w:r>
      <w:r w:rsidR="003B5907">
        <w:rPr>
          <w:rFonts w:ascii="Arial" w:eastAsiaTheme="majorEastAsia" w:hAnsi="Arial" w:cs="Arial"/>
          <w:b/>
          <w:sz w:val="24"/>
          <w:szCs w:val="24"/>
        </w:rPr>
        <w:t>3</w:t>
      </w:r>
      <w:r w:rsidR="00F52D71">
        <w:rPr>
          <w:rFonts w:ascii="Arial" w:eastAsiaTheme="majorEastAsia" w:hAnsi="Arial" w:cs="Arial"/>
          <w:b/>
          <w:sz w:val="24"/>
          <w:szCs w:val="24"/>
        </w:rPr>
        <w:t>2</w:t>
      </w:r>
      <w:r w:rsidRPr="00264F34">
        <w:rPr>
          <w:rFonts w:ascii="Arial" w:eastAsiaTheme="majorEastAsia" w:hAnsi="Arial" w:cs="Arial"/>
          <w:b/>
          <w:sz w:val="24"/>
          <w:szCs w:val="24"/>
        </w:rPr>
        <w:tab/>
        <w:t>Notice of intention to vacate – award of compensation</w:t>
      </w:r>
      <w:r w:rsidRPr="00264F34">
        <w:rPr>
          <w:rFonts w:ascii="Arial" w:eastAsiaTheme="majorEastAsia" w:hAnsi="Arial" w:cs="Arial"/>
          <w:b/>
          <w:sz w:val="24"/>
          <w:szCs w:val="24"/>
        </w:rPr>
        <w:br/>
      </w:r>
      <w:r w:rsidRPr="00264F34">
        <w:rPr>
          <w:rFonts w:ascii="Arial" w:eastAsiaTheme="majorEastAsia" w:hAnsi="Arial" w:cs="Arial"/>
          <w:b/>
          <w:sz w:val="24"/>
          <w:szCs w:val="24"/>
        </w:rPr>
        <w:tab/>
      </w:r>
      <w:r w:rsidRPr="00264F34">
        <w:rPr>
          <w:rFonts w:ascii="Arial" w:eastAsiaTheme="majorEastAsia" w:hAnsi="Arial" w:cs="Arial"/>
          <w:b/>
          <w:sz w:val="24"/>
          <w:szCs w:val="24"/>
        </w:rPr>
        <w:tab/>
        <w:t xml:space="preserve">Section 84 </w:t>
      </w:r>
      <w:r w:rsidR="00857F67">
        <w:rPr>
          <w:rFonts w:ascii="Arial" w:eastAsiaTheme="majorEastAsia" w:hAnsi="Arial" w:cs="Arial"/>
          <w:b/>
          <w:sz w:val="24"/>
          <w:szCs w:val="24"/>
        </w:rPr>
        <w:t xml:space="preserve">(1) </w:t>
      </w:r>
      <w:r w:rsidRPr="00264F34">
        <w:rPr>
          <w:rFonts w:ascii="Arial" w:eastAsiaTheme="majorEastAsia" w:hAnsi="Arial" w:cs="Arial"/>
          <w:b/>
          <w:sz w:val="24"/>
          <w:szCs w:val="24"/>
        </w:rPr>
        <w:t>(b)</w:t>
      </w:r>
    </w:p>
    <w:p w14:paraId="146D0DC7" w14:textId="03AC3BAC" w:rsidR="00541524" w:rsidRPr="0048099F" w:rsidRDefault="00541524" w:rsidP="00C677E6">
      <w:pPr>
        <w:rPr>
          <w:rFonts w:ascii="Arial" w:hAnsi="Arial" w:cs="Arial"/>
          <w:sz w:val="24"/>
          <w:szCs w:val="24"/>
        </w:rPr>
      </w:pPr>
      <w:r w:rsidRPr="0048099F">
        <w:rPr>
          <w:rFonts w:ascii="Arial" w:hAnsi="Arial" w:cs="Arial"/>
          <w:sz w:val="24"/>
          <w:szCs w:val="24"/>
        </w:rPr>
        <w:t>This clause is a consequential amendment, and substitutes subsection 84</w:t>
      </w:r>
      <w:r w:rsidR="005D3531">
        <w:rPr>
          <w:rFonts w:ascii="Arial" w:hAnsi="Arial" w:cs="Arial"/>
          <w:sz w:val="24"/>
          <w:szCs w:val="24"/>
        </w:rPr>
        <w:t xml:space="preserve"> (1)</w:t>
      </w:r>
      <w:r w:rsidRPr="0048099F">
        <w:rPr>
          <w:rFonts w:ascii="Arial" w:hAnsi="Arial" w:cs="Arial"/>
          <w:sz w:val="24"/>
          <w:szCs w:val="24"/>
        </w:rPr>
        <w:t xml:space="preserve"> (b) so that it omits the phrase ‘break lease clause’ and substitutes it with the defined term ‘break lease fee clause’</w:t>
      </w:r>
      <w:r w:rsidR="00515092">
        <w:rPr>
          <w:rFonts w:ascii="Arial" w:hAnsi="Arial" w:cs="Arial"/>
          <w:sz w:val="24"/>
          <w:szCs w:val="24"/>
        </w:rPr>
        <w:t xml:space="preserve"> to align with the new definition of </w:t>
      </w:r>
      <w:r w:rsidR="00515092" w:rsidRPr="00515092">
        <w:rPr>
          <w:rFonts w:ascii="Arial" w:hAnsi="Arial" w:cs="Arial"/>
          <w:b/>
          <w:bCs/>
          <w:i/>
          <w:iCs/>
          <w:sz w:val="24"/>
          <w:szCs w:val="24"/>
        </w:rPr>
        <w:t>break lease fee clause</w:t>
      </w:r>
      <w:r w:rsidR="00515092">
        <w:rPr>
          <w:rFonts w:ascii="Arial" w:hAnsi="Arial" w:cs="Arial"/>
          <w:sz w:val="24"/>
          <w:szCs w:val="24"/>
        </w:rPr>
        <w:t xml:space="preserve"> introduced by </w:t>
      </w:r>
      <w:r w:rsidRPr="005A14D5">
        <w:rPr>
          <w:rFonts w:ascii="Arial" w:hAnsi="Arial" w:cs="Arial"/>
          <w:sz w:val="24"/>
          <w:szCs w:val="24"/>
        </w:rPr>
        <w:t xml:space="preserve">clause </w:t>
      </w:r>
      <w:r w:rsidR="00515092" w:rsidRPr="005A14D5">
        <w:rPr>
          <w:rFonts w:ascii="Arial" w:hAnsi="Arial" w:cs="Arial"/>
          <w:sz w:val="24"/>
          <w:szCs w:val="24"/>
        </w:rPr>
        <w:t>3</w:t>
      </w:r>
      <w:r w:rsidR="00F52D71" w:rsidRPr="00485941">
        <w:rPr>
          <w:rFonts w:ascii="Arial" w:hAnsi="Arial" w:cs="Arial"/>
          <w:sz w:val="24"/>
          <w:szCs w:val="24"/>
        </w:rPr>
        <w:t>3</w:t>
      </w:r>
      <w:r w:rsidRPr="0048099F">
        <w:rPr>
          <w:rFonts w:ascii="Arial" w:hAnsi="Arial" w:cs="Arial"/>
          <w:sz w:val="24"/>
          <w:szCs w:val="24"/>
        </w:rPr>
        <w:t>.</w:t>
      </w:r>
    </w:p>
    <w:p w14:paraId="11359075" w14:textId="7B2A748B" w:rsidR="00D7389D" w:rsidRPr="00264F34" w:rsidRDefault="00D7389D" w:rsidP="00C677E6">
      <w:pPr>
        <w:rPr>
          <w:rFonts w:ascii="Arial" w:eastAsiaTheme="majorEastAsia" w:hAnsi="Arial" w:cs="Arial"/>
          <w:b/>
          <w:i/>
          <w:iCs/>
          <w:sz w:val="24"/>
          <w:szCs w:val="24"/>
        </w:rPr>
      </w:pPr>
      <w:r w:rsidRPr="00264F34">
        <w:rPr>
          <w:rFonts w:ascii="Arial" w:eastAsiaTheme="majorEastAsia" w:hAnsi="Arial" w:cs="Arial"/>
          <w:b/>
          <w:sz w:val="24"/>
          <w:szCs w:val="24"/>
        </w:rPr>
        <w:t xml:space="preserve">Clause </w:t>
      </w:r>
      <w:r w:rsidR="00857F67">
        <w:rPr>
          <w:rFonts w:ascii="Arial" w:eastAsiaTheme="majorEastAsia" w:hAnsi="Arial" w:cs="Arial"/>
          <w:b/>
          <w:sz w:val="24"/>
          <w:szCs w:val="24"/>
        </w:rPr>
        <w:t>3</w:t>
      </w:r>
      <w:r w:rsidR="00F52D71">
        <w:rPr>
          <w:rFonts w:ascii="Arial" w:eastAsiaTheme="majorEastAsia" w:hAnsi="Arial" w:cs="Arial"/>
          <w:b/>
          <w:sz w:val="24"/>
          <w:szCs w:val="24"/>
        </w:rPr>
        <w:t>3</w:t>
      </w:r>
      <w:r w:rsidRPr="00264F34">
        <w:rPr>
          <w:rFonts w:ascii="Arial" w:eastAsiaTheme="majorEastAsia" w:hAnsi="Arial" w:cs="Arial"/>
          <w:b/>
          <w:sz w:val="24"/>
          <w:szCs w:val="24"/>
        </w:rPr>
        <w:tab/>
        <w:t xml:space="preserve">Section 84 (6), definition of </w:t>
      </w:r>
      <w:r w:rsidRPr="00264F34">
        <w:rPr>
          <w:rFonts w:ascii="Arial" w:eastAsiaTheme="majorEastAsia" w:hAnsi="Arial" w:cs="Arial"/>
          <w:b/>
          <w:i/>
          <w:iCs/>
          <w:sz w:val="24"/>
          <w:szCs w:val="24"/>
        </w:rPr>
        <w:t>break lease clause</w:t>
      </w:r>
    </w:p>
    <w:p w14:paraId="048612A6" w14:textId="12118B74" w:rsidR="00541524" w:rsidRPr="00264F34" w:rsidRDefault="00541524" w:rsidP="00C677E6">
      <w:pPr>
        <w:rPr>
          <w:rFonts w:ascii="Arial" w:hAnsi="Arial" w:cs="Arial"/>
          <w:b/>
          <w:bCs/>
          <w:i/>
          <w:iCs/>
          <w:sz w:val="24"/>
          <w:szCs w:val="24"/>
        </w:rPr>
      </w:pPr>
      <w:r w:rsidRPr="00264F34">
        <w:rPr>
          <w:rFonts w:ascii="Arial" w:hAnsi="Arial" w:cs="Arial"/>
          <w:sz w:val="24"/>
          <w:szCs w:val="24"/>
        </w:rPr>
        <w:t xml:space="preserve">This clause substitutes the term </w:t>
      </w:r>
      <w:r w:rsidR="00891404" w:rsidRPr="00264F34">
        <w:rPr>
          <w:rFonts w:ascii="Arial" w:hAnsi="Arial" w:cs="Arial"/>
          <w:sz w:val="24"/>
          <w:szCs w:val="24"/>
        </w:rPr>
        <w:t>‘</w:t>
      </w:r>
      <w:r w:rsidRPr="0048099F">
        <w:rPr>
          <w:rFonts w:ascii="Arial" w:hAnsi="Arial" w:cs="Arial"/>
          <w:sz w:val="24"/>
          <w:szCs w:val="24"/>
        </w:rPr>
        <w:t>break lease clause</w:t>
      </w:r>
      <w:r w:rsidR="00891404" w:rsidRPr="00264F34">
        <w:rPr>
          <w:rFonts w:ascii="Arial" w:hAnsi="Arial" w:cs="Arial"/>
          <w:sz w:val="24"/>
          <w:szCs w:val="24"/>
        </w:rPr>
        <w:t>’</w:t>
      </w:r>
      <w:r w:rsidRPr="00264F34">
        <w:rPr>
          <w:rFonts w:ascii="Arial" w:hAnsi="Arial" w:cs="Arial"/>
          <w:b/>
          <w:bCs/>
          <w:i/>
          <w:iCs/>
          <w:sz w:val="24"/>
          <w:szCs w:val="24"/>
        </w:rPr>
        <w:t xml:space="preserve"> </w:t>
      </w:r>
      <w:r w:rsidRPr="00264F34">
        <w:rPr>
          <w:rFonts w:ascii="Arial" w:hAnsi="Arial" w:cs="Arial"/>
          <w:sz w:val="24"/>
          <w:szCs w:val="24"/>
        </w:rPr>
        <w:t xml:space="preserve">with </w:t>
      </w:r>
      <w:r w:rsidRPr="00264F34">
        <w:rPr>
          <w:rFonts w:ascii="Arial" w:hAnsi="Arial" w:cs="Arial"/>
          <w:b/>
          <w:bCs/>
          <w:i/>
          <w:iCs/>
          <w:sz w:val="24"/>
          <w:szCs w:val="24"/>
        </w:rPr>
        <w:t>break lease fee clause.</w:t>
      </w:r>
    </w:p>
    <w:p w14:paraId="4CEE2D3D" w14:textId="46C5C158" w:rsidR="00541524" w:rsidRPr="0048099F" w:rsidRDefault="00541524" w:rsidP="00C677E6">
      <w:pPr>
        <w:rPr>
          <w:rFonts w:ascii="Arial" w:hAnsi="Arial" w:cs="Arial"/>
          <w:sz w:val="24"/>
          <w:szCs w:val="24"/>
        </w:rPr>
      </w:pPr>
      <w:r w:rsidRPr="00264F34">
        <w:rPr>
          <w:rFonts w:ascii="Arial" w:hAnsi="Arial" w:cs="Arial"/>
          <w:sz w:val="24"/>
          <w:szCs w:val="24"/>
        </w:rPr>
        <w:t xml:space="preserve">This clause also introduces </w:t>
      </w:r>
      <w:r w:rsidR="00891404" w:rsidRPr="00264F34">
        <w:rPr>
          <w:rFonts w:ascii="Arial" w:hAnsi="Arial" w:cs="Arial"/>
          <w:b/>
          <w:bCs/>
          <w:i/>
          <w:iCs/>
          <w:sz w:val="24"/>
          <w:szCs w:val="24"/>
        </w:rPr>
        <w:t>b</w:t>
      </w:r>
      <w:r w:rsidRPr="00264F34">
        <w:rPr>
          <w:rFonts w:ascii="Arial" w:hAnsi="Arial" w:cs="Arial"/>
          <w:b/>
          <w:bCs/>
          <w:i/>
          <w:iCs/>
          <w:sz w:val="24"/>
          <w:szCs w:val="24"/>
        </w:rPr>
        <w:t xml:space="preserve">reak lease fee </w:t>
      </w:r>
      <w:r w:rsidR="00891404" w:rsidRPr="00264F34">
        <w:rPr>
          <w:rFonts w:ascii="Arial" w:hAnsi="Arial" w:cs="Arial"/>
          <w:b/>
          <w:bCs/>
          <w:i/>
          <w:iCs/>
          <w:sz w:val="24"/>
          <w:szCs w:val="24"/>
        </w:rPr>
        <w:t xml:space="preserve">clause </w:t>
      </w:r>
      <w:r w:rsidR="00891404" w:rsidRPr="00264F34">
        <w:rPr>
          <w:rFonts w:ascii="Arial" w:hAnsi="Arial" w:cs="Arial"/>
          <w:sz w:val="24"/>
          <w:szCs w:val="24"/>
        </w:rPr>
        <w:t>as a defined term for the purposes of section 84, referring the reader to schedule 2, section 2.1.</w:t>
      </w:r>
    </w:p>
    <w:p w14:paraId="6C65720A" w14:textId="5CAF36F5" w:rsidR="00D7389D" w:rsidRPr="00264F34" w:rsidRDefault="00D7389D" w:rsidP="00D4599F">
      <w:pPr>
        <w:keepNext/>
        <w:keepLines/>
        <w:rPr>
          <w:rFonts w:ascii="Arial" w:eastAsiaTheme="majorEastAsia" w:hAnsi="Arial" w:cs="Arial"/>
          <w:b/>
          <w:sz w:val="24"/>
          <w:szCs w:val="24"/>
        </w:rPr>
      </w:pPr>
      <w:r w:rsidRPr="00264F34">
        <w:rPr>
          <w:rFonts w:ascii="Arial" w:eastAsiaTheme="majorEastAsia" w:hAnsi="Arial" w:cs="Arial"/>
          <w:b/>
          <w:sz w:val="24"/>
          <w:szCs w:val="24"/>
        </w:rPr>
        <w:t>Clause 3</w:t>
      </w:r>
      <w:r w:rsidR="00F52D71">
        <w:rPr>
          <w:rFonts w:ascii="Arial" w:eastAsiaTheme="majorEastAsia" w:hAnsi="Arial" w:cs="Arial"/>
          <w:b/>
          <w:sz w:val="24"/>
          <w:szCs w:val="24"/>
        </w:rPr>
        <w:t>4</w:t>
      </w:r>
      <w:r w:rsidRPr="00264F34">
        <w:rPr>
          <w:rFonts w:ascii="Arial" w:eastAsiaTheme="majorEastAsia" w:hAnsi="Arial" w:cs="Arial"/>
          <w:b/>
          <w:sz w:val="24"/>
          <w:szCs w:val="24"/>
        </w:rPr>
        <w:tab/>
        <w:t>Section 85</w:t>
      </w:r>
    </w:p>
    <w:p w14:paraId="63480762" w14:textId="4B01B46B" w:rsidR="00891404" w:rsidRPr="00264F34" w:rsidRDefault="00891404" w:rsidP="00C677E6">
      <w:pPr>
        <w:rPr>
          <w:rFonts w:ascii="Arial" w:hAnsi="Arial" w:cs="Arial"/>
          <w:b/>
          <w:bCs/>
          <w:i/>
          <w:iCs/>
          <w:sz w:val="24"/>
          <w:szCs w:val="24"/>
        </w:rPr>
      </w:pPr>
      <w:r w:rsidRPr="00264F34">
        <w:rPr>
          <w:rFonts w:ascii="Arial" w:hAnsi="Arial" w:cs="Arial"/>
          <w:sz w:val="24"/>
          <w:szCs w:val="24"/>
        </w:rPr>
        <w:t xml:space="preserve">This clause substitutes section 85, and by doing so amends the definitions for the terms </w:t>
      </w:r>
      <w:r w:rsidRPr="00264F34">
        <w:rPr>
          <w:rFonts w:ascii="Arial" w:hAnsi="Arial" w:cs="Arial"/>
          <w:b/>
          <w:bCs/>
          <w:i/>
          <w:iCs/>
          <w:sz w:val="24"/>
          <w:szCs w:val="24"/>
        </w:rPr>
        <w:t xml:space="preserve">protected person </w:t>
      </w:r>
      <w:r w:rsidRPr="00264F34">
        <w:rPr>
          <w:rFonts w:ascii="Arial" w:hAnsi="Arial" w:cs="Arial"/>
          <w:sz w:val="24"/>
          <w:szCs w:val="24"/>
        </w:rPr>
        <w:t xml:space="preserve">and </w:t>
      </w:r>
      <w:r w:rsidRPr="00264F34">
        <w:rPr>
          <w:rFonts w:ascii="Arial" w:hAnsi="Arial" w:cs="Arial"/>
          <w:b/>
          <w:bCs/>
          <w:i/>
          <w:iCs/>
          <w:sz w:val="24"/>
          <w:szCs w:val="24"/>
        </w:rPr>
        <w:t>respondent.</w:t>
      </w:r>
    </w:p>
    <w:p w14:paraId="1B7348A9" w14:textId="3DBE7A95" w:rsidR="00891404" w:rsidRPr="00264F34" w:rsidRDefault="00891404" w:rsidP="00C677E6">
      <w:pPr>
        <w:rPr>
          <w:rFonts w:ascii="Arial" w:hAnsi="Arial" w:cs="Arial"/>
          <w:sz w:val="24"/>
          <w:szCs w:val="24"/>
        </w:rPr>
      </w:pPr>
      <w:r w:rsidRPr="00264F34">
        <w:rPr>
          <w:rFonts w:ascii="Arial" w:hAnsi="Arial" w:cs="Arial"/>
          <w:sz w:val="24"/>
          <w:szCs w:val="24"/>
        </w:rPr>
        <w:t xml:space="preserve">For the purposes of division 6.5A, </w:t>
      </w:r>
      <w:r w:rsidRPr="00264F34">
        <w:rPr>
          <w:rFonts w:ascii="Arial" w:hAnsi="Arial" w:cs="Arial"/>
          <w:b/>
          <w:bCs/>
          <w:i/>
          <w:iCs/>
          <w:sz w:val="24"/>
          <w:szCs w:val="24"/>
        </w:rPr>
        <w:t xml:space="preserve">protected person </w:t>
      </w:r>
      <w:r w:rsidRPr="00264F34">
        <w:rPr>
          <w:rFonts w:ascii="Arial" w:hAnsi="Arial" w:cs="Arial"/>
          <w:sz w:val="24"/>
          <w:szCs w:val="24"/>
        </w:rPr>
        <w:t xml:space="preserve">means – (a) in relation to a protection order under the </w:t>
      </w:r>
      <w:r w:rsidRPr="00264F34">
        <w:rPr>
          <w:rFonts w:ascii="Arial" w:hAnsi="Arial" w:cs="Arial"/>
          <w:i/>
          <w:iCs/>
          <w:sz w:val="24"/>
          <w:szCs w:val="24"/>
        </w:rPr>
        <w:t xml:space="preserve">Family Violence Act 2016, </w:t>
      </w:r>
      <w:r w:rsidRPr="00264F34">
        <w:rPr>
          <w:rFonts w:ascii="Arial" w:hAnsi="Arial" w:cs="Arial"/>
          <w:sz w:val="24"/>
          <w:szCs w:val="24"/>
        </w:rPr>
        <w:t xml:space="preserve">refer to that Act, dictionary; or, (b) in relation to a protection order under the </w:t>
      </w:r>
      <w:r w:rsidRPr="00264F34">
        <w:rPr>
          <w:rFonts w:ascii="Arial" w:hAnsi="Arial" w:cs="Arial"/>
          <w:i/>
          <w:iCs/>
          <w:sz w:val="24"/>
          <w:szCs w:val="24"/>
        </w:rPr>
        <w:t xml:space="preserve">Personal Violence Act 2016, </w:t>
      </w:r>
      <w:r w:rsidRPr="00264F34">
        <w:rPr>
          <w:rFonts w:ascii="Arial" w:hAnsi="Arial" w:cs="Arial"/>
          <w:sz w:val="24"/>
          <w:szCs w:val="24"/>
        </w:rPr>
        <w:t>refer to that Act, dictionary.</w:t>
      </w:r>
    </w:p>
    <w:p w14:paraId="3B598B8A" w14:textId="0A7ECE56" w:rsidR="00891404" w:rsidRPr="0048099F" w:rsidRDefault="00891404" w:rsidP="00C677E6">
      <w:pPr>
        <w:rPr>
          <w:rFonts w:ascii="Arial" w:hAnsi="Arial" w:cs="Arial"/>
          <w:sz w:val="24"/>
          <w:szCs w:val="24"/>
        </w:rPr>
      </w:pPr>
      <w:r w:rsidRPr="00264F34">
        <w:rPr>
          <w:rFonts w:ascii="Arial" w:hAnsi="Arial" w:cs="Arial"/>
          <w:sz w:val="24"/>
          <w:szCs w:val="24"/>
        </w:rPr>
        <w:t xml:space="preserve">For the purposes of division 6.5A, </w:t>
      </w:r>
      <w:r w:rsidRPr="00264F34">
        <w:rPr>
          <w:rFonts w:ascii="Arial" w:hAnsi="Arial" w:cs="Arial"/>
          <w:b/>
          <w:bCs/>
          <w:i/>
          <w:iCs/>
          <w:sz w:val="24"/>
          <w:szCs w:val="24"/>
        </w:rPr>
        <w:t xml:space="preserve">respondent </w:t>
      </w:r>
      <w:r w:rsidRPr="00264F34">
        <w:rPr>
          <w:rFonts w:ascii="Arial" w:hAnsi="Arial" w:cs="Arial"/>
          <w:sz w:val="24"/>
          <w:szCs w:val="24"/>
        </w:rPr>
        <w:t xml:space="preserve">means – (a) in relation to a protection order under the </w:t>
      </w:r>
      <w:r w:rsidRPr="00264F34">
        <w:rPr>
          <w:rFonts w:ascii="Arial" w:hAnsi="Arial" w:cs="Arial"/>
          <w:i/>
          <w:iCs/>
          <w:sz w:val="24"/>
          <w:szCs w:val="24"/>
        </w:rPr>
        <w:t xml:space="preserve">Family Violence Act 2016, </w:t>
      </w:r>
      <w:r w:rsidRPr="00264F34">
        <w:rPr>
          <w:rFonts w:ascii="Arial" w:hAnsi="Arial" w:cs="Arial"/>
          <w:sz w:val="24"/>
          <w:szCs w:val="24"/>
        </w:rPr>
        <w:t xml:space="preserve">refer to that Act, dictionary; or, (b) in relation to a protection order under the </w:t>
      </w:r>
      <w:r w:rsidRPr="00264F34">
        <w:rPr>
          <w:rFonts w:ascii="Arial" w:hAnsi="Arial" w:cs="Arial"/>
          <w:i/>
          <w:iCs/>
          <w:sz w:val="24"/>
          <w:szCs w:val="24"/>
        </w:rPr>
        <w:t xml:space="preserve">Personal Violence Act 2016, </w:t>
      </w:r>
      <w:r w:rsidRPr="00264F34">
        <w:rPr>
          <w:rFonts w:ascii="Arial" w:hAnsi="Arial" w:cs="Arial"/>
          <w:sz w:val="24"/>
          <w:szCs w:val="24"/>
        </w:rPr>
        <w:t>refer to that Act, dictionary.</w:t>
      </w:r>
    </w:p>
    <w:p w14:paraId="1445EE44" w14:textId="7EB8A973" w:rsidR="00D7389D" w:rsidRPr="00264F34" w:rsidRDefault="00D7389D" w:rsidP="00C677E6">
      <w:pPr>
        <w:rPr>
          <w:rFonts w:ascii="Arial" w:eastAsiaTheme="majorEastAsia" w:hAnsi="Arial" w:cs="Arial"/>
          <w:b/>
          <w:i/>
          <w:iCs/>
          <w:sz w:val="24"/>
          <w:szCs w:val="24"/>
        </w:rPr>
      </w:pPr>
      <w:r w:rsidRPr="00264F34">
        <w:rPr>
          <w:rFonts w:ascii="Arial" w:eastAsiaTheme="majorEastAsia" w:hAnsi="Arial" w:cs="Arial"/>
          <w:b/>
          <w:sz w:val="24"/>
          <w:szCs w:val="24"/>
        </w:rPr>
        <w:t xml:space="preserve">Clause </w:t>
      </w:r>
      <w:r w:rsidR="00857F67">
        <w:rPr>
          <w:rFonts w:ascii="Arial" w:eastAsiaTheme="majorEastAsia" w:hAnsi="Arial" w:cs="Arial"/>
          <w:b/>
          <w:sz w:val="24"/>
          <w:szCs w:val="24"/>
        </w:rPr>
        <w:t>3</w:t>
      </w:r>
      <w:r w:rsidR="00F52D71">
        <w:rPr>
          <w:rFonts w:ascii="Arial" w:eastAsiaTheme="majorEastAsia" w:hAnsi="Arial" w:cs="Arial"/>
          <w:b/>
          <w:sz w:val="24"/>
          <w:szCs w:val="24"/>
        </w:rPr>
        <w:t>5</w:t>
      </w:r>
      <w:r w:rsidRPr="00264F34">
        <w:rPr>
          <w:rFonts w:ascii="Arial" w:eastAsiaTheme="majorEastAsia" w:hAnsi="Arial" w:cs="Arial"/>
          <w:b/>
          <w:sz w:val="24"/>
          <w:szCs w:val="24"/>
        </w:rPr>
        <w:tab/>
        <w:t>New tenancy agreement – family violence and protection orders</w:t>
      </w:r>
      <w:r w:rsidRPr="00264F34">
        <w:rPr>
          <w:rFonts w:ascii="Arial" w:eastAsiaTheme="majorEastAsia" w:hAnsi="Arial" w:cs="Arial"/>
          <w:b/>
          <w:sz w:val="24"/>
          <w:szCs w:val="24"/>
        </w:rPr>
        <w:br/>
      </w:r>
      <w:r w:rsidRPr="00264F34">
        <w:rPr>
          <w:rFonts w:ascii="Arial" w:eastAsiaTheme="majorEastAsia" w:hAnsi="Arial" w:cs="Arial"/>
          <w:b/>
          <w:sz w:val="24"/>
          <w:szCs w:val="24"/>
        </w:rPr>
        <w:tab/>
      </w:r>
      <w:r w:rsidRPr="00264F34">
        <w:rPr>
          <w:rFonts w:ascii="Arial" w:eastAsiaTheme="majorEastAsia" w:hAnsi="Arial" w:cs="Arial"/>
          <w:b/>
          <w:sz w:val="24"/>
          <w:szCs w:val="24"/>
        </w:rPr>
        <w:tab/>
        <w:t xml:space="preserve">Section 85A (4), definition of </w:t>
      </w:r>
      <w:r w:rsidRPr="00264F34">
        <w:rPr>
          <w:rFonts w:ascii="Arial" w:eastAsiaTheme="majorEastAsia" w:hAnsi="Arial" w:cs="Arial"/>
          <w:b/>
          <w:i/>
          <w:iCs/>
          <w:sz w:val="24"/>
          <w:szCs w:val="24"/>
        </w:rPr>
        <w:t>exclusion condition</w:t>
      </w:r>
    </w:p>
    <w:p w14:paraId="4BEFCCE3" w14:textId="16635F99" w:rsidR="003E2C0D" w:rsidRPr="00264F34" w:rsidRDefault="003E2C0D" w:rsidP="00C677E6">
      <w:pPr>
        <w:rPr>
          <w:rFonts w:ascii="Arial" w:hAnsi="Arial" w:cs="Arial"/>
          <w:sz w:val="24"/>
          <w:szCs w:val="24"/>
        </w:rPr>
      </w:pPr>
      <w:r w:rsidRPr="00264F34">
        <w:rPr>
          <w:rFonts w:ascii="Arial" w:hAnsi="Arial" w:cs="Arial"/>
          <w:sz w:val="24"/>
          <w:szCs w:val="24"/>
        </w:rPr>
        <w:t xml:space="preserve">This clause substitutes the definition </w:t>
      </w:r>
      <w:r w:rsidR="00891404" w:rsidRPr="00264F34">
        <w:rPr>
          <w:rFonts w:ascii="Arial" w:hAnsi="Arial" w:cs="Arial"/>
          <w:sz w:val="24"/>
          <w:szCs w:val="24"/>
        </w:rPr>
        <w:t xml:space="preserve">of the term </w:t>
      </w:r>
      <w:r w:rsidR="00891404" w:rsidRPr="00264F34">
        <w:rPr>
          <w:rFonts w:ascii="Arial" w:hAnsi="Arial" w:cs="Arial"/>
          <w:b/>
          <w:bCs/>
          <w:i/>
          <w:iCs/>
          <w:sz w:val="24"/>
          <w:szCs w:val="24"/>
        </w:rPr>
        <w:t>exclusion condition</w:t>
      </w:r>
      <w:r w:rsidR="00891404" w:rsidRPr="00264F34">
        <w:rPr>
          <w:rFonts w:ascii="Arial" w:hAnsi="Arial" w:cs="Arial"/>
          <w:sz w:val="24"/>
          <w:szCs w:val="24"/>
        </w:rPr>
        <w:t>.</w:t>
      </w:r>
    </w:p>
    <w:p w14:paraId="7D573477" w14:textId="5C1935DC" w:rsidR="00891404" w:rsidRPr="0048099F" w:rsidRDefault="00891404" w:rsidP="00C677E6">
      <w:pPr>
        <w:rPr>
          <w:rFonts w:ascii="Arial" w:eastAsiaTheme="majorEastAsia" w:hAnsi="Arial" w:cs="Arial"/>
          <w:sz w:val="24"/>
          <w:szCs w:val="24"/>
        </w:rPr>
      </w:pPr>
      <w:r w:rsidRPr="00264F34">
        <w:rPr>
          <w:rFonts w:ascii="Arial" w:hAnsi="Arial" w:cs="Arial"/>
          <w:sz w:val="24"/>
          <w:szCs w:val="24"/>
        </w:rPr>
        <w:t xml:space="preserve">For the purposes of section 85A, </w:t>
      </w:r>
      <w:r w:rsidRPr="00264F34">
        <w:rPr>
          <w:rFonts w:ascii="Arial" w:hAnsi="Arial" w:cs="Arial"/>
          <w:b/>
          <w:bCs/>
          <w:i/>
          <w:iCs/>
          <w:sz w:val="24"/>
          <w:szCs w:val="24"/>
        </w:rPr>
        <w:t xml:space="preserve">exclusion condition </w:t>
      </w:r>
      <w:r w:rsidRPr="00264F34">
        <w:rPr>
          <w:rFonts w:ascii="Arial" w:hAnsi="Arial" w:cs="Arial"/>
          <w:sz w:val="24"/>
          <w:szCs w:val="24"/>
        </w:rPr>
        <w:t xml:space="preserve">means – (a) </w:t>
      </w:r>
      <w:r w:rsidR="003B5907">
        <w:rPr>
          <w:rFonts w:ascii="Arial" w:hAnsi="Arial" w:cs="Arial"/>
          <w:sz w:val="24"/>
          <w:szCs w:val="24"/>
        </w:rPr>
        <w:t xml:space="preserve">in relation to a protection order </w:t>
      </w:r>
      <w:r w:rsidRPr="00264F34">
        <w:rPr>
          <w:rFonts w:ascii="Arial" w:hAnsi="Arial" w:cs="Arial"/>
          <w:sz w:val="24"/>
          <w:szCs w:val="24"/>
        </w:rPr>
        <w:t xml:space="preserve">under the </w:t>
      </w:r>
      <w:r w:rsidRPr="00264F34">
        <w:rPr>
          <w:rFonts w:ascii="Arial" w:hAnsi="Arial" w:cs="Arial"/>
          <w:i/>
          <w:iCs/>
          <w:sz w:val="24"/>
          <w:szCs w:val="24"/>
        </w:rPr>
        <w:t>Family Violence Act 2016</w:t>
      </w:r>
      <w:r w:rsidRPr="00264F34">
        <w:rPr>
          <w:rFonts w:ascii="Arial" w:hAnsi="Arial" w:cs="Arial"/>
          <w:sz w:val="24"/>
          <w:szCs w:val="24"/>
        </w:rPr>
        <w:t xml:space="preserve">, refer to that Act, section 39 (4); and (b) </w:t>
      </w:r>
      <w:r w:rsidR="003B5907">
        <w:rPr>
          <w:rFonts w:ascii="Arial" w:hAnsi="Arial" w:cs="Arial"/>
          <w:sz w:val="24"/>
          <w:szCs w:val="24"/>
        </w:rPr>
        <w:t>in relation to a protection order under</w:t>
      </w:r>
      <w:r w:rsidRPr="00264F34">
        <w:rPr>
          <w:rFonts w:ascii="Arial" w:hAnsi="Arial" w:cs="Arial"/>
          <w:sz w:val="24"/>
          <w:szCs w:val="24"/>
        </w:rPr>
        <w:t xml:space="preserve"> the </w:t>
      </w:r>
      <w:r w:rsidRPr="00264F34">
        <w:rPr>
          <w:rFonts w:ascii="Arial" w:hAnsi="Arial" w:cs="Arial"/>
          <w:i/>
          <w:iCs/>
          <w:sz w:val="24"/>
          <w:szCs w:val="24"/>
        </w:rPr>
        <w:t xml:space="preserve">Personal Violence Act 2016, </w:t>
      </w:r>
      <w:r w:rsidRPr="00264F34">
        <w:rPr>
          <w:rFonts w:ascii="Arial" w:hAnsi="Arial" w:cs="Arial"/>
          <w:sz w:val="24"/>
          <w:szCs w:val="24"/>
        </w:rPr>
        <w:t>refer to that Act, section 31 (4).</w:t>
      </w:r>
    </w:p>
    <w:p w14:paraId="72B7AFDE" w14:textId="6561C276" w:rsidR="00857F67" w:rsidRDefault="001C53D0" w:rsidP="00857F67">
      <w:pPr>
        <w:ind w:left="1440" w:hanging="1440"/>
        <w:rPr>
          <w:rFonts w:ascii="Arial" w:hAnsi="Arial" w:cs="Arial"/>
          <w:sz w:val="24"/>
          <w:szCs w:val="24"/>
        </w:rPr>
      </w:pPr>
      <w:r w:rsidRPr="00264F34">
        <w:rPr>
          <w:rFonts w:ascii="Arial" w:eastAsiaTheme="majorEastAsia" w:hAnsi="Arial" w:cs="Arial"/>
          <w:b/>
          <w:sz w:val="24"/>
          <w:szCs w:val="24"/>
        </w:rPr>
        <w:t>Clause</w:t>
      </w:r>
      <w:r w:rsidR="00C83CB3" w:rsidRPr="00264F34">
        <w:rPr>
          <w:rFonts w:ascii="Arial" w:eastAsiaTheme="majorEastAsia" w:hAnsi="Arial" w:cs="Arial"/>
          <w:b/>
          <w:sz w:val="24"/>
          <w:szCs w:val="24"/>
        </w:rPr>
        <w:t xml:space="preserve"> 3</w:t>
      </w:r>
      <w:r w:rsidR="00F52D71">
        <w:rPr>
          <w:rFonts w:ascii="Arial" w:eastAsiaTheme="majorEastAsia" w:hAnsi="Arial" w:cs="Arial"/>
          <w:b/>
          <w:sz w:val="24"/>
          <w:szCs w:val="24"/>
        </w:rPr>
        <w:t>6</w:t>
      </w:r>
      <w:r w:rsidRPr="00264F34">
        <w:rPr>
          <w:rFonts w:ascii="Arial" w:eastAsiaTheme="majorEastAsia" w:hAnsi="Arial" w:cs="Arial"/>
          <w:b/>
          <w:sz w:val="24"/>
          <w:szCs w:val="24"/>
        </w:rPr>
        <w:tab/>
        <w:t xml:space="preserve">Regulation-making power </w:t>
      </w:r>
      <w:r w:rsidR="00857F67">
        <w:rPr>
          <w:rFonts w:ascii="Arial" w:eastAsiaTheme="majorEastAsia" w:hAnsi="Arial" w:cs="Arial"/>
          <w:b/>
          <w:sz w:val="24"/>
          <w:szCs w:val="24"/>
        </w:rPr>
        <w:br/>
      </w:r>
      <w:r w:rsidRPr="00264F34">
        <w:rPr>
          <w:rFonts w:ascii="Arial" w:eastAsiaTheme="majorEastAsia" w:hAnsi="Arial" w:cs="Arial"/>
          <w:b/>
          <w:sz w:val="24"/>
          <w:szCs w:val="24"/>
        </w:rPr>
        <w:t>Section 136</w:t>
      </w:r>
      <w:r w:rsidR="00E576EE" w:rsidRPr="00264F34">
        <w:rPr>
          <w:rFonts w:ascii="Arial" w:eastAsiaTheme="majorEastAsia" w:hAnsi="Arial" w:cs="Arial"/>
          <w:b/>
          <w:sz w:val="24"/>
          <w:szCs w:val="24"/>
        </w:rPr>
        <w:t xml:space="preserve"> </w:t>
      </w:r>
      <w:r w:rsidRPr="00264F34">
        <w:rPr>
          <w:rFonts w:ascii="Arial" w:eastAsiaTheme="majorEastAsia" w:hAnsi="Arial" w:cs="Arial"/>
          <w:b/>
          <w:sz w:val="24"/>
          <w:szCs w:val="24"/>
        </w:rPr>
        <w:t>(2)</w:t>
      </w:r>
      <w:r w:rsidR="00E576EE" w:rsidRPr="00264F34">
        <w:rPr>
          <w:rFonts w:ascii="Arial" w:eastAsiaTheme="majorEastAsia" w:hAnsi="Arial" w:cs="Arial"/>
          <w:b/>
          <w:sz w:val="24"/>
          <w:szCs w:val="24"/>
        </w:rPr>
        <w:t xml:space="preserve"> </w:t>
      </w:r>
      <w:r w:rsidRPr="00264F34">
        <w:rPr>
          <w:rFonts w:ascii="Arial" w:eastAsiaTheme="majorEastAsia" w:hAnsi="Arial" w:cs="Arial"/>
          <w:b/>
          <w:sz w:val="24"/>
          <w:szCs w:val="24"/>
        </w:rPr>
        <w:t>(d)</w:t>
      </w:r>
      <w:r w:rsidR="00945C93">
        <w:rPr>
          <w:rFonts w:ascii="Arial" w:eastAsiaTheme="majorEastAsia" w:hAnsi="Arial" w:cs="Arial"/>
          <w:b/>
          <w:sz w:val="24"/>
          <w:szCs w:val="24"/>
        </w:rPr>
        <w:t>, except note</w:t>
      </w:r>
    </w:p>
    <w:p w14:paraId="5C83852B" w14:textId="06B76E63" w:rsidR="001C53D0" w:rsidRDefault="001C53D0" w:rsidP="00857F67">
      <w:pPr>
        <w:rPr>
          <w:rFonts w:ascii="Arial" w:hAnsi="Arial" w:cs="Arial"/>
          <w:sz w:val="24"/>
          <w:szCs w:val="24"/>
        </w:rPr>
      </w:pPr>
      <w:r w:rsidRPr="00264F34">
        <w:rPr>
          <w:rFonts w:ascii="Arial" w:hAnsi="Arial" w:cs="Arial"/>
          <w:sz w:val="24"/>
          <w:szCs w:val="24"/>
        </w:rPr>
        <w:t xml:space="preserve">This is a consequential amendment to </w:t>
      </w:r>
      <w:r w:rsidRPr="00D4599F">
        <w:rPr>
          <w:rFonts w:ascii="Arial" w:hAnsi="Arial" w:cs="Arial"/>
          <w:sz w:val="24"/>
          <w:szCs w:val="24"/>
        </w:rPr>
        <w:t xml:space="preserve">clause </w:t>
      </w:r>
      <w:r w:rsidR="00C83CB3" w:rsidRPr="005A14D5">
        <w:rPr>
          <w:rFonts w:ascii="Arial" w:hAnsi="Arial" w:cs="Arial"/>
          <w:sz w:val="24"/>
          <w:szCs w:val="24"/>
        </w:rPr>
        <w:t>1</w:t>
      </w:r>
      <w:r w:rsidR="00F52D71" w:rsidRPr="00485941">
        <w:rPr>
          <w:rFonts w:ascii="Arial" w:hAnsi="Arial" w:cs="Arial"/>
          <w:sz w:val="24"/>
          <w:szCs w:val="24"/>
        </w:rPr>
        <w:t>4</w:t>
      </w:r>
      <w:r w:rsidR="002E4A3A" w:rsidRPr="00264F34">
        <w:rPr>
          <w:rFonts w:ascii="Arial" w:hAnsi="Arial" w:cs="Arial"/>
          <w:sz w:val="24"/>
          <w:szCs w:val="24"/>
        </w:rPr>
        <w:t>.</w:t>
      </w:r>
      <w:r w:rsidR="00E576EE" w:rsidRPr="00264F34">
        <w:rPr>
          <w:rFonts w:ascii="Arial" w:hAnsi="Arial" w:cs="Arial"/>
          <w:sz w:val="24"/>
          <w:szCs w:val="24"/>
        </w:rPr>
        <w:t xml:space="preserve"> As noted above</w:t>
      </w:r>
      <w:r w:rsidR="00B02200" w:rsidRPr="00264F34">
        <w:rPr>
          <w:rFonts w:ascii="Arial" w:hAnsi="Arial" w:cs="Arial"/>
          <w:sz w:val="24"/>
          <w:szCs w:val="24"/>
        </w:rPr>
        <w:t>,</w:t>
      </w:r>
      <w:r w:rsidR="00E576EE" w:rsidRPr="00264F34">
        <w:rPr>
          <w:rFonts w:ascii="Arial" w:hAnsi="Arial" w:cs="Arial"/>
          <w:sz w:val="24"/>
          <w:szCs w:val="24"/>
        </w:rPr>
        <w:t xml:space="preserve"> the minim</w:t>
      </w:r>
      <w:r w:rsidR="00B02200" w:rsidRPr="00264F34">
        <w:rPr>
          <w:rFonts w:ascii="Arial" w:hAnsi="Arial" w:cs="Arial"/>
          <w:sz w:val="24"/>
          <w:szCs w:val="24"/>
        </w:rPr>
        <w:t>um</w:t>
      </w:r>
      <w:r w:rsidR="00857F67">
        <w:rPr>
          <w:rFonts w:ascii="Arial" w:hAnsi="Arial" w:cs="Arial"/>
          <w:sz w:val="24"/>
          <w:szCs w:val="24"/>
        </w:rPr>
        <w:t xml:space="preserve"> </w:t>
      </w:r>
      <w:r w:rsidR="00E576EE" w:rsidRPr="00264F34">
        <w:rPr>
          <w:rFonts w:ascii="Arial" w:hAnsi="Arial" w:cs="Arial"/>
          <w:sz w:val="24"/>
          <w:szCs w:val="24"/>
        </w:rPr>
        <w:t>standards regulation</w:t>
      </w:r>
      <w:r w:rsidR="00B02200" w:rsidRPr="00264F34">
        <w:rPr>
          <w:rFonts w:ascii="Arial" w:hAnsi="Arial" w:cs="Arial"/>
          <w:sz w:val="24"/>
          <w:szCs w:val="24"/>
        </w:rPr>
        <w:t>-</w:t>
      </w:r>
      <w:r w:rsidR="00E576EE" w:rsidRPr="00264F34">
        <w:rPr>
          <w:rFonts w:ascii="Arial" w:hAnsi="Arial" w:cs="Arial"/>
          <w:sz w:val="24"/>
          <w:szCs w:val="24"/>
        </w:rPr>
        <w:t xml:space="preserve">making power has been omitted from section 136 (2) (d) and reinserted at section 19A of the Act so that sections relevant to minimum housing standards can be grouped together in new division 2.5 of the RTA. </w:t>
      </w:r>
    </w:p>
    <w:p w14:paraId="25139CB0" w14:textId="723C6513" w:rsidR="00945C93" w:rsidRPr="00480D5F" w:rsidRDefault="00945C93" w:rsidP="00857F67">
      <w:pPr>
        <w:rPr>
          <w:rFonts w:ascii="Arial" w:hAnsi="Arial" w:cs="Arial"/>
          <w:sz w:val="24"/>
          <w:szCs w:val="24"/>
        </w:rPr>
      </w:pPr>
      <w:r>
        <w:rPr>
          <w:rFonts w:ascii="Arial" w:hAnsi="Arial" w:cs="Arial"/>
          <w:sz w:val="24"/>
          <w:szCs w:val="24"/>
        </w:rPr>
        <w:lastRenderedPageBreak/>
        <w:t>However,</w:t>
      </w:r>
      <w:r w:rsidR="006D2698">
        <w:rPr>
          <w:rFonts w:ascii="Arial" w:hAnsi="Arial" w:cs="Arial"/>
          <w:sz w:val="24"/>
          <w:szCs w:val="24"/>
        </w:rPr>
        <w:t xml:space="preserve"> this clause clarifies that</w:t>
      </w:r>
      <w:r>
        <w:rPr>
          <w:rFonts w:ascii="Arial" w:hAnsi="Arial" w:cs="Arial"/>
          <w:sz w:val="24"/>
          <w:szCs w:val="24"/>
        </w:rPr>
        <w:t xml:space="preserve"> the note </w:t>
      </w:r>
      <w:r w:rsidR="006D2698">
        <w:rPr>
          <w:rFonts w:ascii="Arial" w:hAnsi="Arial" w:cs="Arial"/>
          <w:sz w:val="24"/>
          <w:szCs w:val="24"/>
        </w:rPr>
        <w:t>included in</w:t>
      </w:r>
      <w:r>
        <w:rPr>
          <w:rFonts w:ascii="Arial" w:hAnsi="Arial" w:cs="Arial"/>
          <w:sz w:val="24"/>
          <w:szCs w:val="24"/>
        </w:rPr>
        <w:t xml:space="preserve"> section 136 (2) (d) </w:t>
      </w:r>
      <w:r w:rsidR="006D2698">
        <w:rPr>
          <w:rFonts w:ascii="Arial" w:hAnsi="Arial" w:cs="Arial"/>
          <w:sz w:val="24"/>
          <w:szCs w:val="24"/>
        </w:rPr>
        <w:t>is not omitted by this amendment as it maintains relevance to the remaining subsections.</w:t>
      </w:r>
    </w:p>
    <w:p w14:paraId="5A463A67" w14:textId="0D75416B" w:rsidR="00C83CB3" w:rsidRPr="00264F34" w:rsidRDefault="00C83CB3" w:rsidP="00B53E56">
      <w:pPr>
        <w:ind w:left="1440" w:hanging="1440"/>
        <w:rPr>
          <w:rFonts w:ascii="Arial" w:eastAsiaTheme="majorEastAsia" w:hAnsi="Arial" w:cs="Arial"/>
          <w:b/>
          <w:sz w:val="24"/>
          <w:szCs w:val="24"/>
        </w:rPr>
      </w:pPr>
      <w:r w:rsidRPr="00264F34">
        <w:rPr>
          <w:rFonts w:ascii="Arial" w:eastAsiaTheme="majorEastAsia" w:hAnsi="Arial" w:cs="Arial"/>
          <w:b/>
          <w:sz w:val="24"/>
          <w:szCs w:val="24"/>
        </w:rPr>
        <w:t>Clause 3</w:t>
      </w:r>
      <w:r w:rsidR="00CF6460">
        <w:rPr>
          <w:rFonts w:ascii="Arial" w:eastAsiaTheme="majorEastAsia" w:hAnsi="Arial" w:cs="Arial"/>
          <w:b/>
          <w:sz w:val="24"/>
          <w:szCs w:val="24"/>
        </w:rPr>
        <w:t>7</w:t>
      </w:r>
      <w:r w:rsidRPr="00264F34">
        <w:rPr>
          <w:rFonts w:ascii="Arial" w:eastAsiaTheme="majorEastAsia" w:hAnsi="Arial" w:cs="Arial"/>
          <w:b/>
          <w:sz w:val="24"/>
          <w:szCs w:val="24"/>
        </w:rPr>
        <w:tab/>
        <w:t>Section 136 (3) and (4)</w:t>
      </w:r>
      <w:r w:rsidR="006D2698">
        <w:rPr>
          <w:rFonts w:ascii="Arial" w:eastAsiaTheme="majorEastAsia" w:hAnsi="Arial" w:cs="Arial"/>
          <w:b/>
          <w:sz w:val="24"/>
          <w:szCs w:val="24"/>
        </w:rPr>
        <w:t>, and note</w:t>
      </w:r>
    </w:p>
    <w:p w14:paraId="186566D6" w14:textId="5A515390" w:rsidR="006D2698" w:rsidRDefault="00C83CB3" w:rsidP="006B1522">
      <w:pPr>
        <w:rPr>
          <w:rFonts w:ascii="Arial" w:eastAsiaTheme="majorEastAsia" w:hAnsi="Arial" w:cs="Arial"/>
          <w:bCs/>
          <w:sz w:val="24"/>
          <w:szCs w:val="24"/>
        </w:rPr>
      </w:pPr>
      <w:r w:rsidRPr="00264F34">
        <w:rPr>
          <w:rFonts w:ascii="Arial" w:eastAsiaTheme="majorEastAsia" w:hAnsi="Arial" w:cs="Arial"/>
          <w:bCs/>
          <w:sz w:val="24"/>
          <w:szCs w:val="24"/>
        </w:rPr>
        <w:t xml:space="preserve">As above, this is a consequential amendment to </w:t>
      </w:r>
      <w:r w:rsidRPr="005A14D5">
        <w:rPr>
          <w:rFonts w:ascii="Arial" w:eastAsiaTheme="majorEastAsia" w:hAnsi="Arial" w:cs="Arial"/>
          <w:bCs/>
          <w:sz w:val="24"/>
          <w:szCs w:val="24"/>
        </w:rPr>
        <w:t>clause 1</w:t>
      </w:r>
      <w:r w:rsidR="00CF6460" w:rsidRPr="00485941">
        <w:rPr>
          <w:rFonts w:ascii="Arial" w:eastAsiaTheme="majorEastAsia" w:hAnsi="Arial" w:cs="Arial"/>
          <w:bCs/>
          <w:sz w:val="24"/>
          <w:szCs w:val="24"/>
        </w:rPr>
        <w:t>4</w:t>
      </w:r>
      <w:r w:rsidRPr="00264F34">
        <w:rPr>
          <w:rFonts w:ascii="Arial" w:eastAsiaTheme="majorEastAsia" w:hAnsi="Arial" w:cs="Arial"/>
          <w:bCs/>
          <w:sz w:val="24"/>
          <w:szCs w:val="24"/>
        </w:rPr>
        <w:t xml:space="preserve">. The regulation-making power has been omitted from section 136 and reinserted at section 19A of the RTA. </w:t>
      </w:r>
    </w:p>
    <w:p w14:paraId="1EE20FD1" w14:textId="07D1D858" w:rsidR="00C83CB3" w:rsidRPr="00264F34" w:rsidRDefault="006D2698" w:rsidP="006B1522">
      <w:pPr>
        <w:rPr>
          <w:rFonts w:ascii="Arial" w:eastAsiaTheme="majorEastAsia" w:hAnsi="Arial" w:cs="Arial"/>
          <w:bCs/>
          <w:sz w:val="24"/>
          <w:szCs w:val="24"/>
        </w:rPr>
      </w:pPr>
      <w:r>
        <w:rPr>
          <w:rFonts w:ascii="Arial" w:eastAsiaTheme="majorEastAsia" w:hAnsi="Arial" w:cs="Arial"/>
          <w:bCs/>
          <w:sz w:val="24"/>
          <w:szCs w:val="24"/>
        </w:rPr>
        <w:t>The note that was contained in this section is also omitted by this clause.</w:t>
      </w:r>
    </w:p>
    <w:p w14:paraId="78B8D608" w14:textId="2E34FC84" w:rsidR="001C53D0" w:rsidRPr="00264F34" w:rsidRDefault="001C53D0" w:rsidP="00B53E56">
      <w:pPr>
        <w:ind w:left="1440" w:hanging="1440"/>
        <w:rPr>
          <w:rFonts w:ascii="Arial" w:eastAsiaTheme="majorEastAsia" w:hAnsi="Arial" w:cs="Arial"/>
          <w:b/>
          <w:sz w:val="24"/>
          <w:szCs w:val="24"/>
        </w:rPr>
      </w:pPr>
      <w:r w:rsidRPr="00264F34">
        <w:rPr>
          <w:rFonts w:ascii="Arial" w:eastAsiaTheme="majorEastAsia" w:hAnsi="Arial" w:cs="Arial"/>
          <w:b/>
          <w:sz w:val="24"/>
          <w:szCs w:val="24"/>
        </w:rPr>
        <w:t xml:space="preserve">Clause </w:t>
      </w:r>
      <w:r w:rsidR="00C83CB3" w:rsidRPr="00264F34">
        <w:rPr>
          <w:rFonts w:ascii="Arial" w:eastAsiaTheme="majorEastAsia" w:hAnsi="Arial" w:cs="Arial"/>
          <w:b/>
          <w:sz w:val="24"/>
          <w:szCs w:val="24"/>
        </w:rPr>
        <w:t>3</w:t>
      </w:r>
      <w:r w:rsidR="00CF6460">
        <w:rPr>
          <w:rFonts w:ascii="Arial" w:eastAsiaTheme="majorEastAsia" w:hAnsi="Arial" w:cs="Arial"/>
          <w:b/>
          <w:sz w:val="24"/>
          <w:szCs w:val="24"/>
        </w:rPr>
        <w:t>8</w:t>
      </w:r>
      <w:r w:rsidRPr="00264F34">
        <w:rPr>
          <w:rFonts w:ascii="Arial" w:eastAsiaTheme="majorEastAsia" w:hAnsi="Arial" w:cs="Arial"/>
          <w:b/>
          <w:sz w:val="24"/>
          <w:szCs w:val="24"/>
        </w:rPr>
        <w:tab/>
      </w:r>
      <w:r w:rsidR="00C83CB3" w:rsidRPr="00264F34">
        <w:rPr>
          <w:rFonts w:ascii="Arial" w:eastAsiaTheme="majorEastAsia" w:hAnsi="Arial" w:cs="Arial"/>
          <w:b/>
          <w:sz w:val="24"/>
          <w:szCs w:val="24"/>
        </w:rPr>
        <w:t>Schedule 1</w:t>
      </w:r>
      <w:r w:rsidR="006D2698">
        <w:rPr>
          <w:rFonts w:ascii="Arial" w:eastAsiaTheme="majorEastAsia" w:hAnsi="Arial" w:cs="Arial"/>
          <w:b/>
          <w:sz w:val="24"/>
          <w:szCs w:val="24"/>
        </w:rPr>
        <w:t>, n</w:t>
      </w:r>
      <w:r w:rsidRPr="00264F34">
        <w:rPr>
          <w:rFonts w:ascii="Arial" w:eastAsiaTheme="majorEastAsia" w:hAnsi="Arial" w:cs="Arial"/>
          <w:b/>
          <w:sz w:val="24"/>
          <w:szCs w:val="24"/>
        </w:rPr>
        <w:t>ew clause 62A</w:t>
      </w:r>
    </w:p>
    <w:p w14:paraId="346D0748" w14:textId="41C826F9" w:rsidR="001C53D0" w:rsidRPr="00264F34" w:rsidRDefault="001C53D0" w:rsidP="00C677E6">
      <w:pPr>
        <w:rPr>
          <w:rFonts w:ascii="Arial" w:hAnsi="Arial" w:cs="Arial"/>
          <w:sz w:val="24"/>
          <w:szCs w:val="24"/>
        </w:rPr>
      </w:pPr>
      <w:r w:rsidRPr="00264F34">
        <w:rPr>
          <w:rFonts w:ascii="Arial" w:hAnsi="Arial" w:cs="Arial"/>
          <w:sz w:val="24"/>
          <w:szCs w:val="24"/>
        </w:rPr>
        <w:t xml:space="preserve">This clause inserts a new </w:t>
      </w:r>
      <w:r w:rsidR="00E576EE" w:rsidRPr="00264F34">
        <w:rPr>
          <w:rFonts w:ascii="Arial" w:hAnsi="Arial" w:cs="Arial"/>
          <w:sz w:val="24"/>
          <w:szCs w:val="24"/>
        </w:rPr>
        <w:t xml:space="preserve">heading and a new </w:t>
      </w:r>
      <w:r w:rsidR="004C4F88">
        <w:rPr>
          <w:rFonts w:ascii="Arial" w:hAnsi="Arial" w:cs="Arial"/>
          <w:sz w:val="24"/>
          <w:szCs w:val="24"/>
        </w:rPr>
        <w:t xml:space="preserve">SRTT </w:t>
      </w:r>
      <w:r w:rsidR="00E576EE" w:rsidRPr="00264F34">
        <w:rPr>
          <w:rFonts w:ascii="Arial" w:hAnsi="Arial" w:cs="Arial"/>
          <w:sz w:val="24"/>
          <w:szCs w:val="24"/>
        </w:rPr>
        <w:t>which indicate that the lessor must comply with any minimum housing standard that applies to the premises.</w:t>
      </w:r>
    </w:p>
    <w:p w14:paraId="460898EE" w14:textId="368C0230" w:rsidR="00C83CB3" w:rsidRPr="00264F34" w:rsidRDefault="00C83CB3" w:rsidP="00C677E6">
      <w:pPr>
        <w:rPr>
          <w:rFonts w:ascii="Arial" w:hAnsi="Arial" w:cs="Arial"/>
          <w:sz w:val="24"/>
          <w:szCs w:val="24"/>
        </w:rPr>
      </w:pPr>
      <w:r w:rsidRPr="00264F34">
        <w:rPr>
          <w:rFonts w:ascii="Arial" w:hAnsi="Arial" w:cs="Arial"/>
          <w:sz w:val="24"/>
          <w:szCs w:val="24"/>
        </w:rPr>
        <w:t>This clause also contains a note which explains that a regulation may prescribe minimum housing standards</w:t>
      </w:r>
      <w:r w:rsidR="00165EB2">
        <w:rPr>
          <w:rFonts w:ascii="Arial" w:hAnsi="Arial" w:cs="Arial"/>
          <w:sz w:val="24"/>
          <w:szCs w:val="24"/>
        </w:rPr>
        <w:t>, including in relation</w:t>
      </w:r>
      <w:r w:rsidRPr="00264F34">
        <w:rPr>
          <w:rFonts w:ascii="Arial" w:hAnsi="Arial" w:cs="Arial"/>
          <w:sz w:val="24"/>
          <w:szCs w:val="24"/>
        </w:rPr>
        <w:t xml:space="preserve"> to physical accessibility, energy efficiency, safety and security, sanitation or amenity (as per new section 19A</w:t>
      </w:r>
      <w:r w:rsidR="00515092">
        <w:rPr>
          <w:rFonts w:ascii="Arial" w:hAnsi="Arial" w:cs="Arial"/>
          <w:sz w:val="24"/>
          <w:szCs w:val="24"/>
        </w:rPr>
        <w:t>)</w:t>
      </w:r>
      <w:r w:rsidRPr="00264F34">
        <w:rPr>
          <w:rFonts w:ascii="Arial" w:hAnsi="Arial" w:cs="Arial"/>
          <w:sz w:val="24"/>
          <w:szCs w:val="24"/>
        </w:rPr>
        <w:t>.</w:t>
      </w:r>
    </w:p>
    <w:p w14:paraId="087A2794" w14:textId="343CBC36" w:rsidR="00B53E56" w:rsidRPr="00264F34" w:rsidRDefault="00B53E56" w:rsidP="00C677E6">
      <w:pPr>
        <w:rPr>
          <w:rFonts w:ascii="Arial" w:hAnsi="Arial" w:cs="Arial"/>
          <w:sz w:val="24"/>
          <w:szCs w:val="24"/>
        </w:rPr>
      </w:pPr>
      <w:r w:rsidRPr="00264F34">
        <w:rPr>
          <w:rFonts w:ascii="Arial" w:hAnsi="Arial" w:cs="Arial"/>
          <w:sz w:val="24"/>
          <w:szCs w:val="24"/>
        </w:rPr>
        <w:t xml:space="preserve">This amendment acknowledges that tenants are unlikely to refer to the RTA or the </w:t>
      </w:r>
      <w:r w:rsidR="006D2698">
        <w:rPr>
          <w:rFonts w:ascii="Arial" w:hAnsi="Arial" w:cs="Arial"/>
          <w:sz w:val="24"/>
          <w:szCs w:val="24"/>
        </w:rPr>
        <w:t>RTR</w:t>
      </w:r>
      <w:r w:rsidR="006D2698" w:rsidRPr="00264F34">
        <w:rPr>
          <w:rFonts w:ascii="Arial" w:hAnsi="Arial" w:cs="Arial"/>
          <w:sz w:val="24"/>
          <w:szCs w:val="24"/>
        </w:rPr>
        <w:t xml:space="preserve"> </w:t>
      </w:r>
      <w:r w:rsidRPr="00264F34">
        <w:rPr>
          <w:rFonts w:ascii="Arial" w:hAnsi="Arial" w:cs="Arial"/>
          <w:sz w:val="24"/>
          <w:szCs w:val="24"/>
        </w:rPr>
        <w:t>when entering a tenancy agreement and therefore, may not be aware of the lessor’s obligation to comply with any minimum housing standards that are in force at the time.</w:t>
      </w:r>
    </w:p>
    <w:p w14:paraId="6F70BCEB" w14:textId="4823033D" w:rsidR="00B53E56" w:rsidRPr="00264F34" w:rsidRDefault="00B53E56" w:rsidP="00C677E6">
      <w:pPr>
        <w:rPr>
          <w:rFonts w:ascii="Arial" w:hAnsi="Arial" w:cs="Arial"/>
          <w:sz w:val="24"/>
          <w:szCs w:val="24"/>
        </w:rPr>
      </w:pPr>
      <w:r w:rsidRPr="00264F34">
        <w:rPr>
          <w:rFonts w:ascii="Arial" w:hAnsi="Arial" w:cs="Arial"/>
          <w:sz w:val="24"/>
          <w:szCs w:val="24"/>
        </w:rPr>
        <w:t xml:space="preserve">The intention of this </w:t>
      </w:r>
      <w:r w:rsidR="00023D6C" w:rsidRPr="00264F34">
        <w:rPr>
          <w:rFonts w:ascii="Arial" w:hAnsi="Arial" w:cs="Arial"/>
          <w:sz w:val="24"/>
          <w:szCs w:val="24"/>
        </w:rPr>
        <w:t>section</w:t>
      </w:r>
      <w:r w:rsidRPr="00264F34">
        <w:rPr>
          <w:rFonts w:ascii="Arial" w:hAnsi="Arial" w:cs="Arial"/>
          <w:sz w:val="24"/>
          <w:szCs w:val="24"/>
        </w:rPr>
        <w:t xml:space="preserve"> is to ensure that tenants </w:t>
      </w:r>
      <w:r w:rsidR="00515092">
        <w:rPr>
          <w:rFonts w:ascii="Arial" w:hAnsi="Arial" w:cs="Arial"/>
          <w:sz w:val="24"/>
          <w:szCs w:val="24"/>
        </w:rPr>
        <w:t xml:space="preserve">are </w:t>
      </w:r>
      <w:r w:rsidR="00A02BE2" w:rsidRPr="00264F34">
        <w:rPr>
          <w:rFonts w:ascii="Arial" w:hAnsi="Arial" w:cs="Arial"/>
          <w:sz w:val="24"/>
          <w:szCs w:val="24"/>
        </w:rPr>
        <w:t xml:space="preserve">aware of </w:t>
      </w:r>
      <w:r w:rsidRPr="00264F34">
        <w:rPr>
          <w:rFonts w:ascii="Arial" w:hAnsi="Arial" w:cs="Arial"/>
          <w:sz w:val="24"/>
          <w:szCs w:val="24"/>
        </w:rPr>
        <w:t xml:space="preserve">a lessor’s obligations </w:t>
      </w:r>
      <w:r w:rsidR="00E576EE" w:rsidRPr="00264F34">
        <w:rPr>
          <w:rFonts w:ascii="Arial" w:hAnsi="Arial" w:cs="Arial"/>
          <w:sz w:val="24"/>
          <w:szCs w:val="24"/>
        </w:rPr>
        <w:t xml:space="preserve">to comply with </w:t>
      </w:r>
      <w:r w:rsidR="00CD34D0" w:rsidRPr="00264F34">
        <w:rPr>
          <w:rFonts w:ascii="Arial" w:hAnsi="Arial" w:cs="Arial"/>
          <w:sz w:val="24"/>
          <w:szCs w:val="24"/>
        </w:rPr>
        <w:t>any</w:t>
      </w:r>
      <w:r w:rsidRPr="00264F34">
        <w:rPr>
          <w:rFonts w:ascii="Arial" w:hAnsi="Arial" w:cs="Arial"/>
          <w:sz w:val="24"/>
          <w:szCs w:val="24"/>
        </w:rPr>
        <w:t xml:space="preserve"> minimum housing standards</w:t>
      </w:r>
      <w:r w:rsidR="00E576EE" w:rsidRPr="00264F34">
        <w:rPr>
          <w:rFonts w:ascii="Arial" w:hAnsi="Arial" w:cs="Arial"/>
          <w:sz w:val="24"/>
          <w:szCs w:val="24"/>
        </w:rPr>
        <w:t xml:space="preserve"> by making it a term of their </w:t>
      </w:r>
      <w:r w:rsidR="008F2D67" w:rsidRPr="00264F34">
        <w:rPr>
          <w:rFonts w:ascii="Arial" w:hAnsi="Arial" w:cs="Arial"/>
          <w:sz w:val="24"/>
          <w:szCs w:val="24"/>
        </w:rPr>
        <w:t xml:space="preserve">residential </w:t>
      </w:r>
      <w:r w:rsidR="00E576EE" w:rsidRPr="00264F34">
        <w:rPr>
          <w:rFonts w:ascii="Arial" w:hAnsi="Arial" w:cs="Arial"/>
          <w:sz w:val="24"/>
          <w:szCs w:val="24"/>
        </w:rPr>
        <w:t>tenancy agreement. This equips tenants</w:t>
      </w:r>
      <w:r w:rsidR="00737BC9" w:rsidRPr="00264F34">
        <w:rPr>
          <w:rFonts w:ascii="Arial" w:hAnsi="Arial" w:cs="Arial"/>
          <w:sz w:val="24"/>
          <w:szCs w:val="24"/>
        </w:rPr>
        <w:t xml:space="preserve"> to assert their rights should the lessor fail to comply</w:t>
      </w:r>
      <w:r w:rsidR="00E576EE" w:rsidRPr="00264F34">
        <w:rPr>
          <w:rFonts w:ascii="Arial" w:hAnsi="Arial" w:cs="Arial"/>
          <w:sz w:val="24"/>
          <w:szCs w:val="24"/>
        </w:rPr>
        <w:t xml:space="preserve"> with their obligations</w:t>
      </w:r>
      <w:r w:rsidR="00737BC9" w:rsidRPr="00264F34">
        <w:rPr>
          <w:rFonts w:ascii="Arial" w:hAnsi="Arial" w:cs="Arial"/>
          <w:sz w:val="24"/>
          <w:szCs w:val="24"/>
        </w:rPr>
        <w:t>.</w:t>
      </w:r>
    </w:p>
    <w:p w14:paraId="195229A7" w14:textId="0BAB2305" w:rsidR="001C53D0" w:rsidRPr="00264F34" w:rsidRDefault="001C53D0" w:rsidP="00C677E6">
      <w:pPr>
        <w:rPr>
          <w:rFonts w:ascii="Arial" w:eastAsiaTheme="majorEastAsia" w:hAnsi="Arial" w:cs="Arial"/>
          <w:b/>
          <w:sz w:val="24"/>
          <w:szCs w:val="24"/>
        </w:rPr>
      </w:pPr>
      <w:r w:rsidRPr="00264F34">
        <w:rPr>
          <w:rFonts w:ascii="Arial" w:eastAsiaTheme="majorEastAsia" w:hAnsi="Arial" w:cs="Arial"/>
          <w:b/>
          <w:sz w:val="24"/>
          <w:szCs w:val="24"/>
        </w:rPr>
        <w:t xml:space="preserve">Clause </w:t>
      </w:r>
      <w:r w:rsidR="00C83CB3" w:rsidRPr="00264F34">
        <w:rPr>
          <w:rFonts w:ascii="Arial" w:eastAsiaTheme="majorEastAsia" w:hAnsi="Arial" w:cs="Arial"/>
          <w:b/>
          <w:sz w:val="24"/>
          <w:szCs w:val="24"/>
        </w:rPr>
        <w:t>3</w:t>
      </w:r>
      <w:r w:rsidR="00CF6460">
        <w:rPr>
          <w:rFonts w:ascii="Arial" w:eastAsiaTheme="majorEastAsia" w:hAnsi="Arial" w:cs="Arial"/>
          <w:b/>
          <w:sz w:val="24"/>
          <w:szCs w:val="24"/>
        </w:rPr>
        <w:t>9</w:t>
      </w:r>
      <w:r w:rsidRPr="00264F34">
        <w:rPr>
          <w:rFonts w:ascii="Arial" w:eastAsiaTheme="majorEastAsia" w:hAnsi="Arial" w:cs="Arial"/>
          <w:b/>
          <w:sz w:val="24"/>
          <w:szCs w:val="24"/>
        </w:rPr>
        <w:tab/>
        <w:t xml:space="preserve">Schedule 1, </w:t>
      </w:r>
      <w:r w:rsidR="0091478F">
        <w:rPr>
          <w:rFonts w:ascii="Arial" w:eastAsiaTheme="majorEastAsia" w:hAnsi="Arial" w:cs="Arial"/>
          <w:b/>
          <w:sz w:val="24"/>
          <w:szCs w:val="24"/>
        </w:rPr>
        <w:t>clause 82 (1) and heading</w:t>
      </w:r>
    </w:p>
    <w:p w14:paraId="35EA34EB" w14:textId="2FC45001" w:rsidR="001C53D0" w:rsidRPr="00264F34" w:rsidRDefault="001C53D0" w:rsidP="00C677E6">
      <w:pPr>
        <w:rPr>
          <w:rFonts w:ascii="Arial" w:hAnsi="Arial" w:cs="Arial"/>
          <w:sz w:val="24"/>
          <w:szCs w:val="24"/>
        </w:rPr>
      </w:pPr>
      <w:r w:rsidRPr="00264F34">
        <w:rPr>
          <w:rFonts w:ascii="Arial" w:hAnsi="Arial" w:cs="Arial"/>
          <w:sz w:val="24"/>
          <w:szCs w:val="24"/>
        </w:rPr>
        <w:t>T</w:t>
      </w:r>
      <w:r w:rsidR="006D2698">
        <w:rPr>
          <w:rFonts w:ascii="Arial" w:hAnsi="Arial" w:cs="Arial"/>
          <w:sz w:val="24"/>
          <w:szCs w:val="24"/>
        </w:rPr>
        <w:t xml:space="preserve">o support the amendments made at clauses </w:t>
      </w:r>
      <w:r w:rsidR="006D2698" w:rsidRPr="005A14D5">
        <w:rPr>
          <w:rFonts w:ascii="Arial" w:hAnsi="Arial" w:cs="Arial"/>
          <w:sz w:val="24"/>
          <w:szCs w:val="24"/>
        </w:rPr>
        <w:t>1</w:t>
      </w:r>
      <w:r w:rsidR="00CF6460" w:rsidRPr="005A14D5">
        <w:rPr>
          <w:rFonts w:ascii="Arial" w:hAnsi="Arial" w:cs="Arial"/>
          <w:sz w:val="24"/>
          <w:szCs w:val="24"/>
        </w:rPr>
        <w:t>4</w:t>
      </w:r>
      <w:r w:rsidR="006D2698" w:rsidRPr="005A14D5">
        <w:rPr>
          <w:rFonts w:ascii="Arial" w:hAnsi="Arial" w:cs="Arial"/>
          <w:sz w:val="24"/>
          <w:szCs w:val="24"/>
        </w:rPr>
        <w:t xml:space="preserve"> and 2</w:t>
      </w:r>
      <w:r w:rsidR="00CF6460" w:rsidRPr="00485941">
        <w:rPr>
          <w:rFonts w:ascii="Arial" w:hAnsi="Arial" w:cs="Arial"/>
          <w:sz w:val="24"/>
          <w:szCs w:val="24"/>
        </w:rPr>
        <w:t>8</w:t>
      </w:r>
      <w:r w:rsidR="006D2698">
        <w:rPr>
          <w:rFonts w:ascii="Arial" w:hAnsi="Arial" w:cs="Arial"/>
          <w:sz w:val="24"/>
          <w:szCs w:val="24"/>
        </w:rPr>
        <w:t>, new clause 82 (1)</w:t>
      </w:r>
      <w:r w:rsidRPr="00264F34">
        <w:rPr>
          <w:rFonts w:ascii="Arial" w:hAnsi="Arial" w:cs="Arial"/>
          <w:sz w:val="24"/>
          <w:szCs w:val="24"/>
        </w:rPr>
        <w:t xml:space="preserve"> </w:t>
      </w:r>
      <w:r w:rsidR="00E576EE" w:rsidRPr="00264F34">
        <w:rPr>
          <w:rFonts w:ascii="Arial" w:hAnsi="Arial" w:cs="Arial"/>
          <w:sz w:val="24"/>
          <w:szCs w:val="24"/>
        </w:rPr>
        <w:t>broadens the scope of the lessor’s right of access to include access for the purpose of complying with minimum standards. This clause</w:t>
      </w:r>
      <w:r w:rsidR="006D2698">
        <w:rPr>
          <w:rFonts w:ascii="Arial" w:hAnsi="Arial" w:cs="Arial"/>
          <w:sz w:val="24"/>
          <w:szCs w:val="24"/>
        </w:rPr>
        <w:t xml:space="preserve"> also</w:t>
      </w:r>
      <w:r w:rsidR="00E576EE" w:rsidRPr="00264F34">
        <w:rPr>
          <w:rFonts w:ascii="Arial" w:hAnsi="Arial" w:cs="Arial"/>
          <w:sz w:val="24"/>
          <w:szCs w:val="24"/>
        </w:rPr>
        <w:t xml:space="preserve"> inserts a new heading which reflects the amended scope of the lessor’s right of access. </w:t>
      </w:r>
    </w:p>
    <w:p w14:paraId="4F440E8E" w14:textId="68E1C4BB" w:rsidR="00AD4799" w:rsidRPr="00264F34" w:rsidRDefault="00AD4799" w:rsidP="00AD4799">
      <w:pPr>
        <w:rPr>
          <w:rFonts w:ascii="Arial" w:hAnsi="Arial" w:cs="Arial"/>
          <w:sz w:val="24"/>
          <w:szCs w:val="24"/>
        </w:rPr>
      </w:pPr>
      <w:r w:rsidRPr="00264F34">
        <w:rPr>
          <w:rFonts w:ascii="Arial" w:hAnsi="Arial" w:cs="Arial"/>
          <w:sz w:val="24"/>
          <w:szCs w:val="24"/>
        </w:rPr>
        <w:t xml:space="preserve">Currently, clause 75 of the SRTTs prevents a lessor from requiring access to a premises during a tenancy except as provided by the law, the residential tenancy agreement or an order of </w:t>
      </w:r>
      <w:r w:rsidR="00DA32DF">
        <w:rPr>
          <w:rFonts w:ascii="Arial" w:hAnsi="Arial" w:cs="Arial"/>
          <w:sz w:val="24"/>
          <w:szCs w:val="24"/>
        </w:rPr>
        <w:t>ACAT</w:t>
      </w:r>
      <w:r w:rsidRPr="00264F34">
        <w:rPr>
          <w:rFonts w:ascii="Arial" w:hAnsi="Arial" w:cs="Arial"/>
          <w:sz w:val="24"/>
          <w:szCs w:val="24"/>
        </w:rPr>
        <w:t xml:space="preserve">. </w:t>
      </w:r>
    </w:p>
    <w:p w14:paraId="00EF41FE" w14:textId="640683D0" w:rsidR="00AD4799" w:rsidRPr="00264F34" w:rsidRDefault="00AD4799" w:rsidP="00AD4799">
      <w:pPr>
        <w:rPr>
          <w:rFonts w:ascii="Arial" w:hAnsi="Arial" w:cs="Arial"/>
          <w:sz w:val="24"/>
          <w:szCs w:val="24"/>
        </w:rPr>
      </w:pPr>
      <w:r w:rsidRPr="00264F34">
        <w:rPr>
          <w:rFonts w:ascii="Arial" w:hAnsi="Arial" w:cs="Arial"/>
          <w:sz w:val="24"/>
          <w:szCs w:val="24"/>
        </w:rPr>
        <w:t xml:space="preserve">While </w:t>
      </w:r>
      <w:r w:rsidR="006D2698">
        <w:rPr>
          <w:rFonts w:ascii="Arial" w:hAnsi="Arial" w:cs="Arial"/>
          <w:sz w:val="24"/>
          <w:szCs w:val="24"/>
        </w:rPr>
        <w:t xml:space="preserve">current </w:t>
      </w:r>
      <w:r w:rsidRPr="00264F34">
        <w:rPr>
          <w:rFonts w:ascii="Arial" w:hAnsi="Arial" w:cs="Arial"/>
          <w:sz w:val="24"/>
          <w:szCs w:val="24"/>
        </w:rPr>
        <w:t xml:space="preserve">clause 82 of the SRTTs allows a lessor to require access to the premises for the purpose of making or inspecting repairs, it is unlikely that </w:t>
      </w:r>
      <w:r w:rsidR="006D2698">
        <w:rPr>
          <w:rFonts w:ascii="Arial" w:hAnsi="Arial" w:cs="Arial"/>
          <w:sz w:val="24"/>
          <w:szCs w:val="24"/>
        </w:rPr>
        <w:t xml:space="preserve">ensuring </w:t>
      </w:r>
      <w:r w:rsidRPr="00264F34">
        <w:rPr>
          <w:rFonts w:ascii="Arial" w:hAnsi="Arial" w:cs="Arial"/>
          <w:sz w:val="24"/>
          <w:szCs w:val="24"/>
        </w:rPr>
        <w:t xml:space="preserve">compliance with minimum housing standards would </w:t>
      </w:r>
      <w:r w:rsidR="006D2698">
        <w:rPr>
          <w:rFonts w:ascii="Arial" w:hAnsi="Arial" w:cs="Arial"/>
          <w:sz w:val="24"/>
          <w:szCs w:val="24"/>
        </w:rPr>
        <w:t xml:space="preserve">always </w:t>
      </w:r>
      <w:r w:rsidRPr="00264F34">
        <w:rPr>
          <w:rFonts w:ascii="Arial" w:hAnsi="Arial" w:cs="Arial"/>
          <w:sz w:val="24"/>
          <w:szCs w:val="24"/>
        </w:rPr>
        <w:t>fall within the scope of a repair to the property</w:t>
      </w:r>
      <w:r w:rsidR="006D2698">
        <w:rPr>
          <w:rFonts w:ascii="Arial" w:hAnsi="Arial" w:cs="Arial"/>
          <w:sz w:val="24"/>
          <w:szCs w:val="24"/>
        </w:rPr>
        <w:t xml:space="preserve"> (for example, an inspection to assess whether the property meet</w:t>
      </w:r>
      <w:r w:rsidR="00CF6460">
        <w:rPr>
          <w:rFonts w:ascii="Arial" w:hAnsi="Arial" w:cs="Arial"/>
          <w:sz w:val="24"/>
          <w:szCs w:val="24"/>
        </w:rPr>
        <w:t>s a newly introduced</w:t>
      </w:r>
      <w:r w:rsidR="006D2698">
        <w:rPr>
          <w:rFonts w:ascii="Arial" w:hAnsi="Arial" w:cs="Arial"/>
          <w:sz w:val="24"/>
          <w:szCs w:val="24"/>
        </w:rPr>
        <w:t xml:space="preserve"> minimum standard)</w:t>
      </w:r>
      <w:r w:rsidRPr="00264F34">
        <w:rPr>
          <w:rFonts w:ascii="Arial" w:hAnsi="Arial" w:cs="Arial"/>
          <w:sz w:val="24"/>
          <w:szCs w:val="24"/>
        </w:rPr>
        <w:t xml:space="preserve">. </w:t>
      </w:r>
    </w:p>
    <w:p w14:paraId="75C37008" w14:textId="68FBA6F7" w:rsidR="00AD4799" w:rsidRPr="00264F34" w:rsidRDefault="00AD4799" w:rsidP="00AD4799">
      <w:pPr>
        <w:rPr>
          <w:rFonts w:ascii="Arial" w:hAnsi="Arial" w:cs="Arial"/>
          <w:sz w:val="24"/>
          <w:szCs w:val="24"/>
        </w:rPr>
      </w:pPr>
      <w:r w:rsidRPr="00264F34">
        <w:rPr>
          <w:rFonts w:ascii="Arial" w:hAnsi="Arial" w:cs="Arial"/>
          <w:sz w:val="24"/>
          <w:szCs w:val="24"/>
        </w:rPr>
        <w:t xml:space="preserve">Given this, and with the intention of supporting the introduction of </w:t>
      </w:r>
      <w:r w:rsidR="00CF6460">
        <w:rPr>
          <w:rFonts w:ascii="Arial" w:hAnsi="Arial" w:cs="Arial"/>
          <w:sz w:val="24"/>
          <w:szCs w:val="24"/>
        </w:rPr>
        <w:t>new</w:t>
      </w:r>
      <w:r w:rsidR="00CF6460" w:rsidRPr="00264F34">
        <w:rPr>
          <w:rFonts w:ascii="Arial" w:hAnsi="Arial" w:cs="Arial"/>
          <w:sz w:val="24"/>
          <w:szCs w:val="24"/>
        </w:rPr>
        <w:t xml:space="preserve"> </w:t>
      </w:r>
      <w:r w:rsidRPr="00264F34">
        <w:rPr>
          <w:rFonts w:ascii="Arial" w:hAnsi="Arial" w:cs="Arial"/>
          <w:sz w:val="24"/>
          <w:szCs w:val="24"/>
        </w:rPr>
        <w:t>minimum housing standards, new clause 82 (1) seeks to clarify that</w:t>
      </w:r>
      <w:r w:rsidR="00945C93">
        <w:rPr>
          <w:rFonts w:ascii="Arial" w:hAnsi="Arial" w:cs="Arial"/>
          <w:sz w:val="24"/>
          <w:szCs w:val="24"/>
        </w:rPr>
        <w:t xml:space="preserve"> on giving the tenant 1 </w:t>
      </w:r>
      <w:r w:rsidR="00945C93">
        <w:rPr>
          <w:rFonts w:ascii="Arial" w:hAnsi="Arial" w:cs="Arial"/>
          <w:sz w:val="24"/>
          <w:szCs w:val="24"/>
        </w:rPr>
        <w:lastRenderedPageBreak/>
        <w:t>week notice (or such other agreed period),</w:t>
      </w:r>
      <w:r w:rsidRPr="00264F34">
        <w:rPr>
          <w:rFonts w:ascii="Arial" w:hAnsi="Arial" w:cs="Arial"/>
          <w:sz w:val="24"/>
          <w:szCs w:val="24"/>
        </w:rPr>
        <w:t xml:space="preserve"> a lessor can require access to a tenanted premises</w:t>
      </w:r>
      <w:r w:rsidR="00945C93">
        <w:rPr>
          <w:rFonts w:ascii="Arial" w:hAnsi="Arial" w:cs="Arial"/>
          <w:sz w:val="24"/>
          <w:szCs w:val="24"/>
        </w:rPr>
        <w:t xml:space="preserve"> at a reasonable time</w:t>
      </w:r>
      <w:r w:rsidRPr="00264F34">
        <w:rPr>
          <w:rFonts w:ascii="Arial" w:hAnsi="Arial" w:cs="Arial"/>
          <w:sz w:val="24"/>
          <w:szCs w:val="24"/>
        </w:rPr>
        <w:t xml:space="preserve"> for the purpose of:</w:t>
      </w:r>
    </w:p>
    <w:p w14:paraId="65ADDD0A" w14:textId="20A30EE5" w:rsidR="00AD4799" w:rsidRPr="00264F34" w:rsidRDefault="002A235A" w:rsidP="00AD4799">
      <w:pPr>
        <w:pStyle w:val="ListParagraph"/>
        <w:numPr>
          <w:ilvl w:val="0"/>
          <w:numId w:val="6"/>
        </w:numPr>
        <w:spacing w:after="160" w:line="259" w:lineRule="auto"/>
        <w:contextualSpacing/>
        <w:rPr>
          <w:rFonts w:ascii="Arial" w:hAnsi="Arial" w:cs="Arial"/>
          <w:sz w:val="24"/>
          <w:szCs w:val="24"/>
          <w:lang w:eastAsia="en-US"/>
        </w:rPr>
      </w:pPr>
      <w:r>
        <w:rPr>
          <w:rFonts w:ascii="Arial" w:hAnsi="Arial" w:cs="Arial"/>
          <w:sz w:val="24"/>
          <w:szCs w:val="24"/>
          <w:lang w:eastAsia="en-US"/>
        </w:rPr>
        <w:t xml:space="preserve">making or </w:t>
      </w:r>
      <w:r w:rsidR="00C83CB3" w:rsidRPr="00264F34">
        <w:rPr>
          <w:rFonts w:ascii="Arial" w:hAnsi="Arial" w:cs="Arial"/>
          <w:sz w:val="24"/>
          <w:szCs w:val="24"/>
          <w:lang w:eastAsia="en-US"/>
        </w:rPr>
        <w:t>inspecting</w:t>
      </w:r>
      <w:r w:rsidR="00AD4799" w:rsidRPr="00264F34">
        <w:rPr>
          <w:rFonts w:ascii="Arial" w:hAnsi="Arial" w:cs="Arial"/>
          <w:sz w:val="24"/>
          <w:szCs w:val="24"/>
          <w:lang w:eastAsia="en-US"/>
        </w:rPr>
        <w:t xml:space="preserve"> </w:t>
      </w:r>
      <w:r w:rsidR="00945C93">
        <w:rPr>
          <w:rFonts w:ascii="Arial" w:hAnsi="Arial" w:cs="Arial"/>
          <w:sz w:val="24"/>
          <w:szCs w:val="24"/>
          <w:lang w:eastAsia="en-US"/>
        </w:rPr>
        <w:t>repairs</w:t>
      </w:r>
      <w:r w:rsidR="00AD4799" w:rsidRPr="00264F34">
        <w:rPr>
          <w:rFonts w:ascii="Arial" w:hAnsi="Arial" w:cs="Arial"/>
          <w:sz w:val="24"/>
          <w:szCs w:val="24"/>
          <w:lang w:eastAsia="en-US"/>
        </w:rPr>
        <w:t>;</w:t>
      </w:r>
    </w:p>
    <w:p w14:paraId="0E2F16E6" w14:textId="2A7F1E0B" w:rsidR="00AD4799" w:rsidRPr="00264F34" w:rsidRDefault="00945C93" w:rsidP="00C83CB3">
      <w:pPr>
        <w:pStyle w:val="ListParagraph"/>
        <w:numPr>
          <w:ilvl w:val="0"/>
          <w:numId w:val="6"/>
        </w:numPr>
        <w:spacing w:after="160" w:line="259" w:lineRule="auto"/>
        <w:contextualSpacing/>
        <w:rPr>
          <w:rFonts w:ascii="Arial" w:hAnsi="Arial" w:cs="Arial"/>
          <w:sz w:val="24"/>
          <w:szCs w:val="24"/>
          <w:lang w:eastAsia="en-US"/>
        </w:rPr>
      </w:pPr>
      <w:r>
        <w:rPr>
          <w:rFonts w:ascii="Arial" w:hAnsi="Arial" w:cs="Arial"/>
          <w:sz w:val="24"/>
          <w:szCs w:val="24"/>
          <w:lang w:eastAsia="en-US"/>
        </w:rPr>
        <w:t>inspecting the premises to ensure the premises comply with the minimum housing standards</w:t>
      </w:r>
      <w:r w:rsidR="00AD4799" w:rsidRPr="00264F34">
        <w:rPr>
          <w:rFonts w:ascii="Arial" w:hAnsi="Arial" w:cs="Arial"/>
          <w:sz w:val="24"/>
          <w:szCs w:val="24"/>
          <w:lang w:eastAsia="en-US"/>
        </w:rPr>
        <w:t>; an</w:t>
      </w:r>
      <w:r w:rsidR="00C83CB3" w:rsidRPr="00264F34">
        <w:rPr>
          <w:rFonts w:ascii="Arial" w:hAnsi="Arial" w:cs="Arial"/>
          <w:sz w:val="24"/>
          <w:szCs w:val="24"/>
          <w:lang w:eastAsia="en-US"/>
        </w:rPr>
        <w:t>d</w:t>
      </w:r>
    </w:p>
    <w:p w14:paraId="54611D56" w14:textId="29EB0CE8" w:rsidR="00C83CB3" w:rsidRDefault="00C83CB3" w:rsidP="006B1522">
      <w:pPr>
        <w:pStyle w:val="ListParagraph"/>
        <w:numPr>
          <w:ilvl w:val="0"/>
          <w:numId w:val="6"/>
        </w:numPr>
        <w:spacing w:after="160" w:line="259" w:lineRule="auto"/>
        <w:contextualSpacing/>
        <w:rPr>
          <w:rFonts w:ascii="Arial" w:hAnsi="Arial" w:cs="Arial"/>
          <w:sz w:val="24"/>
          <w:szCs w:val="24"/>
          <w:lang w:eastAsia="en-US"/>
        </w:rPr>
      </w:pPr>
      <w:r w:rsidRPr="00264F34">
        <w:rPr>
          <w:rFonts w:ascii="Arial" w:hAnsi="Arial" w:cs="Arial"/>
          <w:sz w:val="24"/>
          <w:szCs w:val="24"/>
          <w:lang w:eastAsia="en-US"/>
        </w:rPr>
        <w:t>undertaking work, or inspecting work undertaken, to ensure the premises comply with any minimum housing standards.</w:t>
      </w:r>
    </w:p>
    <w:p w14:paraId="395AEF68" w14:textId="1C70C505" w:rsidR="000E1D83" w:rsidRDefault="000E1D83" w:rsidP="000E1D83">
      <w:pPr>
        <w:spacing w:after="160" w:line="259" w:lineRule="auto"/>
        <w:contextualSpacing/>
        <w:rPr>
          <w:rFonts w:ascii="Arial" w:hAnsi="Arial" w:cs="Arial"/>
          <w:sz w:val="24"/>
          <w:szCs w:val="24"/>
        </w:rPr>
      </w:pPr>
      <w:r>
        <w:rPr>
          <w:rFonts w:ascii="Arial" w:hAnsi="Arial" w:cs="Arial"/>
          <w:sz w:val="24"/>
          <w:szCs w:val="24"/>
        </w:rPr>
        <w:t xml:space="preserve">However, to ensure that broadening a lessor’s right of entry does not unreasonably </w:t>
      </w:r>
      <w:r w:rsidR="00FC7609">
        <w:rPr>
          <w:rFonts w:ascii="Arial" w:hAnsi="Arial" w:cs="Arial"/>
          <w:sz w:val="24"/>
          <w:szCs w:val="24"/>
        </w:rPr>
        <w:t xml:space="preserve">interfere with a tenant’s right to peaceful enjoyment of the property, subsection </w:t>
      </w:r>
      <w:r w:rsidR="006D2698">
        <w:rPr>
          <w:rFonts w:ascii="Arial" w:hAnsi="Arial" w:cs="Arial"/>
          <w:sz w:val="24"/>
          <w:szCs w:val="24"/>
        </w:rPr>
        <w:t>(</w:t>
      </w:r>
      <w:r w:rsidR="00FC7609">
        <w:rPr>
          <w:rFonts w:ascii="Arial" w:hAnsi="Arial" w:cs="Arial"/>
          <w:sz w:val="24"/>
          <w:szCs w:val="24"/>
        </w:rPr>
        <w:t>1A</w:t>
      </w:r>
      <w:r w:rsidR="006D2698">
        <w:rPr>
          <w:rFonts w:ascii="Arial" w:hAnsi="Arial" w:cs="Arial"/>
          <w:sz w:val="24"/>
          <w:szCs w:val="24"/>
        </w:rPr>
        <w:t>)</w:t>
      </w:r>
      <w:r w:rsidR="00FC7609">
        <w:rPr>
          <w:rFonts w:ascii="Arial" w:hAnsi="Arial" w:cs="Arial"/>
          <w:sz w:val="24"/>
          <w:szCs w:val="24"/>
        </w:rPr>
        <w:t xml:space="preserve"> provides that the lessor must only enter the premises under this section, if, taking into account the nature of the activity, it is reasonable and necessary to do so.</w:t>
      </w:r>
    </w:p>
    <w:p w14:paraId="758FBD98" w14:textId="77777777" w:rsidR="000E1D83" w:rsidRPr="00480D5F" w:rsidRDefault="000E1D83" w:rsidP="00480D5F">
      <w:pPr>
        <w:spacing w:after="160" w:line="259" w:lineRule="auto"/>
        <w:contextualSpacing/>
        <w:rPr>
          <w:rFonts w:ascii="Arial" w:hAnsi="Arial" w:cs="Arial"/>
          <w:sz w:val="24"/>
          <w:szCs w:val="24"/>
        </w:rPr>
      </w:pPr>
    </w:p>
    <w:p w14:paraId="17BCFF0D" w14:textId="44B34263" w:rsidR="00C83CB3" w:rsidRPr="00264F34" w:rsidRDefault="00C83CB3" w:rsidP="00C677E6">
      <w:pPr>
        <w:rPr>
          <w:rFonts w:ascii="Arial" w:eastAsiaTheme="majorEastAsia" w:hAnsi="Arial" w:cs="Arial"/>
          <w:b/>
          <w:sz w:val="24"/>
          <w:szCs w:val="24"/>
        </w:rPr>
      </w:pPr>
      <w:r w:rsidRPr="00264F34">
        <w:rPr>
          <w:rFonts w:ascii="Arial" w:eastAsiaTheme="majorEastAsia" w:hAnsi="Arial" w:cs="Arial"/>
          <w:b/>
          <w:sz w:val="24"/>
          <w:szCs w:val="24"/>
        </w:rPr>
        <w:t xml:space="preserve">Clause </w:t>
      </w:r>
      <w:r w:rsidR="00CF6460">
        <w:rPr>
          <w:rFonts w:ascii="Arial" w:eastAsiaTheme="majorEastAsia" w:hAnsi="Arial" w:cs="Arial"/>
          <w:b/>
          <w:sz w:val="24"/>
          <w:szCs w:val="24"/>
        </w:rPr>
        <w:t>40</w:t>
      </w:r>
      <w:r w:rsidRPr="00264F34">
        <w:rPr>
          <w:rFonts w:ascii="Arial" w:eastAsiaTheme="majorEastAsia" w:hAnsi="Arial" w:cs="Arial"/>
          <w:b/>
          <w:sz w:val="24"/>
          <w:szCs w:val="24"/>
        </w:rPr>
        <w:tab/>
        <w:t xml:space="preserve">Schedule 1, clause 83 </w:t>
      </w:r>
    </w:p>
    <w:p w14:paraId="5400D90A" w14:textId="2C06962D" w:rsidR="003E2C0D" w:rsidRPr="00264F34" w:rsidRDefault="003E2C0D" w:rsidP="003E2C0D">
      <w:pPr>
        <w:rPr>
          <w:rFonts w:ascii="Arial" w:hAnsi="Arial" w:cs="Arial"/>
          <w:sz w:val="24"/>
          <w:szCs w:val="24"/>
        </w:rPr>
      </w:pPr>
      <w:r w:rsidRPr="00264F34">
        <w:rPr>
          <w:rFonts w:ascii="Arial" w:hAnsi="Arial" w:cs="Arial"/>
          <w:sz w:val="24"/>
          <w:szCs w:val="24"/>
        </w:rPr>
        <w:t xml:space="preserve">This clause omits the word ‘the’ in clause 83 </w:t>
      </w:r>
      <w:r w:rsidR="00F60E96">
        <w:rPr>
          <w:rFonts w:ascii="Arial" w:hAnsi="Arial" w:cs="Arial"/>
          <w:sz w:val="24"/>
          <w:szCs w:val="24"/>
        </w:rPr>
        <w:t xml:space="preserve">of the SRTTs </w:t>
      </w:r>
      <w:r w:rsidRPr="00264F34">
        <w:rPr>
          <w:rFonts w:ascii="Arial" w:hAnsi="Arial" w:cs="Arial"/>
          <w:sz w:val="24"/>
          <w:szCs w:val="24"/>
        </w:rPr>
        <w:t>and substitutes it with ‘a’.</w:t>
      </w:r>
      <w:r w:rsidR="00515092">
        <w:rPr>
          <w:rFonts w:ascii="Arial" w:hAnsi="Arial" w:cs="Arial"/>
          <w:sz w:val="24"/>
          <w:szCs w:val="24"/>
        </w:rPr>
        <w:t xml:space="preserve"> This is a minor change to improve </w:t>
      </w:r>
      <w:r w:rsidR="00F60E96">
        <w:rPr>
          <w:rFonts w:ascii="Arial" w:hAnsi="Arial" w:cs="Arial"/>
          <w:sz w:val="24"/>
          <w:szCs w:val="24"/>
        </w:rPr>
        <w:t xml:space="preserve">phrasing in the SRTTs. </w:t>
      </w:r>
    </w:p>
    <w:p w14:paraId="7FF88EEE" w14:textId="683A6733" w:rsidR="00C83CB3" w:rsidRPr="00264F34" w:rsidRDefault="00C83CB3" w:rsidP="00C677E6">
      <w:pPr>
        <w:rPr>
          <w:rFonts w:ascii="Arial" w:eastAsiaTheme="majorEastAsia" w:hAnsi="Arial" w:cs="Arial"/>
          <w:b/>
          <w:sz w:val="24"/>
          <w:szCs w:val="24"/>
        </w:rPr>
      </w:pPr>
      <w:r w:rsidRPr="00264F34">
        <w:rPr>
          <w:rFonts w:ascii="Arial" w:eastAsiaTheme="majorEastAsia" w:hAnsi="Arial" w:cs="Arial"/>
          <w:b/>
          <w:sz w:val="24"/>
          <w:szCs w:val="24"/>
        </w:rPr>
        <w:t xml:space="preserve">Clause </w:t>
      </w:r>
      <w:r w:rsidR="00CF6460">
        <w:rPr>
          <w:rFonts w:ascii="Arial" w:eastAsiaTheme="majorEastAsia" w:hAnsi="Arial" w:cs="Arial"/>
          <w:b/>
          <w:sz w:val="24"/>
          <w:szCs w:val="24"/>
        </w:rPr>
        <w:t>41</w:t>
      </w:r>
      <w:r w:rsidRPr="00264F34">
        <w:rPr>
          <w:rFonts w:ascii="Arial" w:eastAsiaTheme="majorEastAsia" w:hAnsi="Arial" w:cs="Arial"/>
          <w:b/>
          <w:sz w:val="24"/>
          <w:szCs w:val="24"/>
        </w:rPr>
        <w:tab/>
        <w:t>Schedule 1, clause 85</w:t>
      </w:r>
    </w:p>
    <w:p w14:paraId="0F0319A2" w14:textId="497EA462" w:rsidR="00C647B0" w:rsidRDefault="00C647B0" w:rsidP="00C677E6">
      <w:pPr>
        <w:rPr>
          <w:rFonts w:ascii="Arial" w:hAnsi="Arial" w:cs="Arial"/>
          <w:sz w:val="24"/>
          <w:szCs w:val="24"/>
        </w:rPr>
      </w:pPr>
      <w:r w:rsidRPr="0048099F">
        <w:rPr>
          <w:rFonts w:ascii="Arial" w:hAnsi="Arial" w:cs="Arial"/>
          <w:sz w:val="24"/>
          <w:szCs w:val="24"/>
        </w:rPr>
        <w:t xml:space="preserve">This </w:t>
      </w:r>
      <w:r w:rsidR="003E2C0D" w:rsidRPr="00264F34">
        <w:rPr>
          <w:rFonts w:ascii="Arial" w:hAnsi="Arial" w:cs="Arial"/>
          <w:sz w:val="24"/>
          <w:szCs w:val="24"/>
        </w:rPr>
        <w:t>clause omits the phrase ‘the notice to vacate’ from clause 85</w:t>
      </w:r>
      <w:r w:rsidR="00F60E96">
        <w:rPr>
          <w:rFonts w:ascii="Arial" w:hAnsi="Arial" w:cs="Arial"/>
          <w:sz w:val="24"/>
          <w:szCs w:val="24"/>
        </w:rPr>
        <w:t xml:space="preserve"> of the SRTTs</w:t>
      </w:r>
      <w:r w:rsidR="003E2C0D" w:rsidRPr="00264F34">
        <w:rPr>
          <w:rFonts w:ascii="Arial" w:hAnsi="Arial" w:cs="Arial"/>
          <w:sz w:val="24"/>
          <w:szCs w:val="24"/>
        </w:rPr>
        <w:t xml:space="preserve"> and substitutes it with the phrase ‘a notice to vacate’.</w:t>
      </w:r>
      <w:r w:rsidR="00F60E96">
        <w:rPr>
          <w:rFonts w:ascii="Arial" w:hAnsi="Arial" w:cs="Arial"/>
          <w:sz w:val="24"/>
          <w:szCs w:val="24"/>
        </w:rPr>
        <w:t xml:space="preserve"> This is a minor change to improve phrasing in the SRTTs.</w:t>
      </w:r>
    </w:p>
    <w:p w14:paraId="1A753259" w14:textId="4B3A54E5" w:rsidR="0091478F" w:rsidRPr="00480D5F" w:rsidRDefault="0091478F" w:rsidP="00C677E6">
      <w:pPr>
        <w:rPr>
          <w:rFonts w:ascii="Arial" w:hAnsi="Arial" w:cs="Arial"/>
          <w:b/>
          <w:bCs/>
          <w:sz w:val="24"/>
          <w:szCs w:val="24"/>
        </w:rPr>
      </w:pPr>
      <w:r w:rsidRPr="00480D5F">
        <w:rPr>
          <w:rFonts w:ascii="Arial" w:hAnsi="Arial" w:cs="Arial"/>
          <w:b/>
          <w:bCs/>
          <w:sz w:val="24"/>
          <w:szCs w:val="24"/>
        </w:rPr>
        <w:t>Clause 4</w:t>
      </w:r>
      <w:r w:rsidR="00CF6460">
        <w:rPr>
          <w:rFonts w:ascii="Arial" w:hAnsi="Arial" w:cs="Arial"/>
          <w:b/>
          <w:bCs/>
          <w:sz w:val="24"/>
          <w:szCs w:val="24"/>
        </w:rPr>
        <w:t>2</w:t>
      </w:r>
      <w:r w:rsidRPr="00480D5F">
        <w:rPr>
          <w:rFonts w:ascii="Arial" w:hAnsi="Arial" w:cs="Arial"/>
          <w:b/>
          <w:bCs/>
          <w:sz w:val="24"/>
          <w:szCs w:val="24"/>
        </w:rPr>
        <w:tab/>
        <w:t>Schedule 1, new clause 86 (2)</w:t>
      </w:r>
    </w:p>
    <w:p w14:paraId="4C7E113B" w14:textId="17D7B374" w:rsidR="0091478F" w:rsidRDefault="00BF50A2" w:rsidP="00C677E6">
      <w:pPr>
        <w:rPr>
          <w:rFonts w:ascii="Arial" w:hAnsi="Arial" w:cs="Arial"/>
          <w:sz w:val="24"/>
          <w:szCs w:val="24"/>
        </w:rPr>
      </w:pPr>
      <w:r>
        <w:rPr>
          <w:rFonts w:ascii="Arial" w:hAnsi="Arial" w:cs="Arial"/>
          <w:sz w:val="24"/>
          <w:szCs w:val="24"/>
        </w:rPr>
        <w:t xml:space="preserve">Current </w:t>
      </w:r>
      <w:r w:rsidR="0091478F">
        <w:rPr>
          <w:rFonts w:ascii="Arial" w:hAnsi="Arial" w:cs="Arial"/>
          <w:sz w:val="24"/>
          <w:szCs w:val="24"/>
        </w:rPr>
        <w:t>clause 86 of the SRTTs</w:t>
      </w:r>
      <w:r>
        <w:rPr>
          <w:rFonts w:ascii="Arial" w:hAnsi="Arial" w:cs="Arial"/>
          <w:sz w:val="24"/>
          <w:szCs w:val="24"/>
        </w:rPr>
        <w:t xml:space="preserve"> provides a pathway for lessors or tenants to terminate a tenancy where the premises is not fit for habitation. </w:t>
      </w:r>
      <w:r w:rsidR="00665FF4">
        <w:rPr>
          <w:rFonts w:ascii="Arial" w:hAnsi="Arial" w:cs="Arial"/>
          <w:sz w:val="24"/>
          <w:szCs w:val="24"/>
        </w:rPr>
        <w:t xml:space="preserve">New subclause 86 (2) clarifies that this pathway is not available in circumstances where the lessor has </w:t>
      </w:r>
      <w:r w:rsidR="006D2698">
        <w:rPr>
          <w:rFonts w:ascii="Arial" w:hAnsi="Arial" w:cs="Arial"/>
          <w:sz w:val="24"/>
          <w:szCs w:val="24"/>
        </w:rPr>
        <w:t xml:space="preserve">only </w:t>
      </w:r>
      <w:r w:rsidR="00665FF4">
        <w:rPr>
          <w:rFonts w:ascii="Arial" w:hAnsi="Arial" w:cs="Arial"/>
          <w:sz w:val="24"/>
          <w:szCs w:val="24"/>
        </w:rPr>
        <w:t xml:space="preserve">failed to comply with the minimum housing standards that apply to the premises. </w:t>
      </w:r>
    </w:p>
    <w:p w14:paraId="0F4660B2" w14:textId="6B51CEE6" w:rsidR="00665FF4" w:rsidRDefault="00665FF4" w:rsidP="00C677E6">
      <w:pPr>
        <w:rPr>
          <w:rFonts w:ascii="Arial" w:hAnsi="Arial" w:cs="Arial"/>
          <w:sz w:val="24"/>
          <w:szCs w:val="24"/>
        </w:rPr>
      </w:pPr>
      <w:r>
        <w:rPr>
          <w:rFonts w:ascii="Arial" w:hAnsi="Arial" w:cs="Arial"/>
          <w:sz w:val="24"/>
          <w:szCs w:val="24"/>
        </w:rPr>
        <w:t xml:space="preserve">This clause also contains a note which directs to section 46AA if a tenant wants to apply to the ACAT to terminate the tenancy if the lessor fails to comply with the minimum housing standards. </w:t>
      </w:r>
    </w:p>
    <w:p w14:paraId="3C7B3E06" w14:textId="5524DCC0" w:rsidR="00CF6460" w:rsidRPr="00264F34" w:rsidRDefault="00CF6460" w:rsidP="00C677E6">
      <w:pPr>
        <w:rPr>
          <w:rFonts w:ascii="Arial" w:hAnsi="Arial" w:cs="Arial"/>
          <w:sz w:val="24"/>
          <w:szCs w:val="24"/>
        </w:rPr>
      </w:pPr>
      <w:r>
        <w:rPr>
          <w:rFonts w:ascii="Arial" w:hAnsi="Arial" w:cs="Arial"/>
          <w:sz w:val="24"/>
          <w:szCs w:val="24"/>
        </w:rPr>
        <w:t xml:space="preserve">The intention of this provision is to prevent lessors from failing to comply with minimum standards and then using that as a reason to terminate the tenancy.  Where the tenant wants to terminate a tenancy due to the lessor’s failure to comply with the minimum </w:t>
      </w:r>
      <w:r w:rsidR="00E359A9">
        <w:rPr>
          <w:rFonts w:ascii="Arial" w:hAnsi="Arial" w:cs="Arial"/>
          <w:sz w:val="24"/>
          <w:szCs w:val="24"/>
        </w:rPr>
        <w:t xml:space="preserve">housing </w:t>
      </w:r>
      <w:r>
        <w:rPr>
          <w:rFonts w:ascii="Arial" w:hAnsi="Arial" w:cs="Arial"/>
          <w:sz w:val="24"/>
          <w:szCs w:val="24"/>
        </w:rPr>
        <w:t>standards they are able to do so.</w:t>
      </w:r>
    </w:p>
    <w:p w14:paraId="772D182E" w14:textId="345062B8" w:rsidR="00A5520A" w:rsidRPr="00264F34" w:rsidRDefault="00A5520A" w:rsidP="00C677E6">
      <w:pPr>
        <w:rPr>
          <w:rFonts w:ascii="Arial" w:eastAsiaTheme="majorEastAsia" w:hAnsi="Arial" w:cs="Arial"/>
          <w:b/>
          <w:sz w:val="24"/>
          <w:szCs w:val="24"/>
        </w:rPr>
      </w:pPr>
      <w:r w:rsidRPr="00264F34">
        <w:rPr>
          <w:rFonts w:ascii="Arial" w:eastAsiaTheme="majorEastAsia" w:hAnsi="Arial" w:cs="Arial"/>
          <w:b/>
          <w:sz w:val="24"/>
          <w:szCs w:val="24"/>
        </w:rPr>
        <w:t xml:space="preserve">Clause </w:t>
      </w:r>
      <w:r w:rsidR="008E7C47">
        <w:rPr>
          <w:rFonts w:ascii="Arial" w:eastAsiaTheme="majorEastAsia" w:hAnsi="Arial" w:cs="Arial"/>
          <w:b/>
          <w:sz w:val="24"/>
          <w:szCs w:val="24"/>
        </w:rPr>
        <w:t>4</w:t>
      </w:r>
      <w:r w:rsidR="00741BDE">
        <w:rPr>
          <w:rFonts w:ascii="Arial" w:eastAsiaTheme="majorEastAsia" w:hAnsi="Arial" w:cs="Arial"/>
          <w:b/>
          <w:sz w:val="24"/>
          <w:szCs w:val="24"/>
        </w:rPr>
        <w:t>3</w:t>
      </w:r>
      <w:r w:rsidRPr="00264F34">
        <w:rPr>
          <w:rFonts w:ascii="Arial" w:eastAsiaTheme="majorEastAsia" w:hAnsi="Arial" w:cs="Arial"/>
          <w:b/>
          <w:sz w:val="24"/>
          <w:szCs w:val="24"/>
        </w:rPr>
        <w:tab/>
        <w:t>Schedule 1, clauses 94 and 95</w:t>
      </w:r>
    </w:p>
    <w:p w14:paraId="154E9329" w14:textId="0AE80F14" w:rsidR="00A6118E" w:rsidRPr="00264F34" w:rsidRDefault="00A6118E" w:rsidP="00C677E6">
      <w:pPr>
        <w:rPr>
          <w:rFonts w:ascii="Arial" w:hAnsi="Arial" w:cs="Arial"/>
          <w:sz w:val="24"/>
          <w:szCs w:val="24"/>
        </w:rPr>
      </w:pPr>
      <w:r w:rsidRPr="00264F34">
        <w:rPr>
          <w:rFonts w:ascii="Arial" w:hAnsi="Arial" w:cs="Arial"/>
          <w:sz w:val="24"/>
          <w:szCs w:val="24"/>
        </w:rPr>
        <w:t xml:space="preserve">Under the current legislative framework, </w:t>
      </w:r>
      <w:r w:rsidR="009347CD" w:rsidRPr="00264F34">
        <w:rPr>
          <w:rFonts w:ascii="Arial" w:hAnsi="Arial" w:cs="Arial"/>
          <w:sz w:val="24"/>
          <w:szCs w:val="24"/>
        </w:rPr>
        <w:t xml:space="preserve">the </w:t>
      </w:r>
      <w:r w:rsidR="00C62042" w:rsidRPr="00264F34">
        <w:rPr>
          <w:rFonts w:ascii="Arial" w:hAnsi="Arial" w:cs="Arial"/>
          <w:sz w:val="24"/>
          <w:szCs w:val="24"/>
        </w:rPr>
        <w:t xml:space="preserve">SRTTs </w:t>
      </w:r>
      <w:r w:rsidR="009347CD" w:rsidRPr="00264F34">
        <w:rPr>
          <w:rFonts w:ascii="Arial" w:hAnsi="Arial" w:cs="Arial"/>
          <w:sz w:val="24"/>
          <w:szCs w:val="24"/>
        </w:rPr>
        <w:t>permit a lessor to terminate a</w:t>
      </w:r>
      <w:r w:rsidR="00390007" w:rsidRPr="00264F34">
        <w:rPr>
          <w:rFonts w:ascii="Arial" w:hAnsi="Arial" w:cs="Arial"/>
          <w:sz w:val="24"/>
          <w:szCs w:val="24"/>
        </w:rPr>
        <w:t xml:space="preserve"> </w:t>
      </w:r>
      <w:r w:rsidR="009347CD" w:rsidRPr="00264F34">
        <w:rPr>
          <w:rFonts w:ascii="Arial" w:hAnsi="Arial" w:cs="Arial"/>
          <w:sz w:val="24"/>
          <w:szCs w:val="24"/>
        </w:rPr>
        <w:t xml:space="preserve">tenancy </w:t>
      </w:r>
      <w:r w:rsidR="008E005F" w:rsidRPr="00264F34">
        <w:rPr>
          <w:rFonts w:ascii="Arial" w:hAnsi="Arial" w:cs="Arial"/>
          <w:sz w:val="24"/>
          <w:szCs w:val="24"/>
        </w:rPr>
        <w:t xml:space="preserve">by issuing a </w:t>
      </w:r>
      <w:r w:rsidR="00F60E96">
        <w:rPr>
          <w:rFonts w:ascii="Arial" w:hAnsi="Arial" w:cs="Arial"/>
          <w:sz w:val="24"/>
          <w:szCs w:val="24"/>
        </w:rPr>
        <w:t xml:space="preserve">without cause NTV with </w:t>
      </w:r>
      <w:r w:rsidR="008E005F" w:rsidRPr="00264F34">
        <w:rPr>
          <w:rFonts w:ascii="Arial" w:hAnsi="Arial" w:cs="Arial"/>
          <w:sz w:val="24"/>
          <w:szCs w:val="24"/>
        </w:rPr>
        <w:t xml:space="preserve">26 </w:t>
      </w:r>
      <w:r w:rsidR="00F60E96" w:rsidRPr="00264F34">
        <w:rPr>
          <w:rFonts w:ascii="Arial" w:hAnsi="Arial" w:cs="Arial"/>
          <w:sz w:val="24"/>
          <w:szCs w:val="24"/>
        </w:rPr>
        <w:t>weeks</w:t>
      </w:r>
      <w:r w:rsidR="00F60E96">
        <w:rPr>
          <w:rFonts w:ascii="Arial" w:hAnsi="Arial" w:cs="Arial"/>
          <w:sz w:val="24"/>
          <w:szCs w:val="24"/>
        </w:rPr>
        <w:t xml:space="preserve"> notice</w:t>
      </w:r>
      <w:r w:rsidR="001A784A" w:rsidRPr="00264F34">
        <w:rPr>
          <w:rFonts w:ascii="Arial" w:hAnsi="Arial" w:cs="Arial"/>
          <w:sz w:val="24"/>
          <w:szCs w:val="24"/>
        </w:rPr>
        <w:t>.</w:t>
      </w:r>
      <w:r w:rsidR="00390007" w:rsidRPr="00264F34">
        <w:rPr>
          <w:rFonts w:ascii="Arial" w:hAnsi="Arial" w:cs="Arial"/>
          <w:sz w:val="24"/>
          <w:szCs w:val="24"/>
        </w:rPr>
        <w:t xml:space="preserve"> </w:t>
      </w:r>
      <w:r w:rsidR="008E005F" w:rsidRPr="00264F34">
        <w:rPr>
          <w:rFonts w:ascii="Arial" w:hAnsi="Arial" w:cs="Arial"/>
          <w:sz w:val="24"/>
          <w:szCs w:val="24"/>
        </w:rPr>
        <w:t>If it is a fixed term agreement, the tenancy end date</w:t>
      </w:r>
      <w:r w:rsidR="00F60E96">
        <w:rPr>
          <w:rFonts w:ascii="Arial" w:hAnsi="Arial" w:cs="Arial"/>
          <w:sz w:val="24"/>
          <w:szCs w:val="24"/>
        </w:rPr>
        <w:t xml:space="preserve"> specified in the notice</w:t>
      </w:r>
      <w:r w:rsidR="008E005F" w:rsidRPr="00264F34">
        <w:rPr>
          <w:rFonts w:ascii="Arial" w:hAnsi="Arial" w:cs="Arial"/>
          <w:sz w:val="24"/>
          <w:szCs w:val="24"/>
        </w:rPr>
        <w:t xml:space="preserve"> must be after the end of the fixed term.</w:t>
      </w:r>
    </w:p>
    <w:p w14:paraId="2DE00F7A" w14:textId="1BEB7FBE" w:rsidR="00390007" w:rsidRPr="00264F34" w:rsidRDefault="00390007" w:rsidP="00C677E6">
      <w:pPr>
        <w:rPr>
          <w:rFonts w:ascii="Arial" w:hAnsi="Arial" w:cs="Arial"/>
          <w:sz w:val="24"/>
          <w:szCs w:val="24"/>
        </w:rPr>
      </w:pPr>
      <w:r w:rsidRPr="00264F34">
        <w:rPr>
          <w:rFonts w:ascii="Arial" w:hAnsi="Arial" w:cs="Arial"/>
          <w:sz w:val="24"/>
          <w:szCs w:val="24"/>
        </w:rPr>
        <w:lastRenderedPageBreak/>
        <w:t xml:space="preserve">This clause removes a lessor’s ability to </w:t>
      </w:r>
      <w:r w:rsidR="008E005F" w:rsidRPr="00264F34">
        <w:rPr>
          <w:rFonts w:ascii="Arial" w:hAnsi="Arial" w:cs="Arial"/>
          <w:sz w:val="24"/>
          <w:szCs w:val="24"/>
        </w:rPr>
        <w:t>terminate a tenancy</w:t>
      </w:r>
      <w:r w:rsidRPr="00264F34">
        <w:rPr>
          <w:rFonts w:ascii="Arial" w:hAnsi="Arial" w:cs="Arial"/>
          <w:sz w:val="24"/>
          <w:szCs w:val="24"/>
        </w:rPr>
        <w:t xml:space="preserve"> without grounds. The intended consequence of this provision is that a lessor </w:t>
      </w:r>
      <w:r w:rsidR="00F60E96">
        <w:rPr>
          <w:rFonts w:ascii="Arial" w:hAnsi="Arial" w:cs="Arial"/>
          <w:sz w:val="24"/>
          <w:szCs w:val="24"/>
        </w:rPr>
        <w:t xml:space="preserve">will be required to provide the tenant with a reason for the tenancy termination by </w:t>
      </w:r>
      <w:r w:rsidRPr="00264F34">
        <w:rPr>
          <w:rFonts w:ascii="Arial" w:hAnsi="Arial" w:cs="Arial"/>
          <w:sz w:val="24"/>
          <w:szCs w:val="24"/>
        </w:rPr>
        <w:t>rely</w:t>
      </w:r>
      <w:r w:rsidR="00F60E96">
        <w:rPr>
          <w:rFonts w:ascii="Arial" w:hAnsi="Arial" w:cs="Arial"/>
          <w:sz w:val="24"/>
          <w:szCs w:val="24"/>
        </w:rPr>
        <w:t xml:space="preserve">ing </w:t>
      </w:r>
      <w:r w:rsidRPr="00264F34">
        <w:rPr>
          <w:rFonts w:ascii="Arial" w:hAnsi="Arial" w:cs="Arial"/>
          <w:sz w:val="24"/>
          <w:szCs w:val="24"/>
        </w:rPr>
        <w:t xml:space="preserve">upon </w:t>
      </w:r>
      <w:r w:rsidR="00F60E96">
        <w:rPr>
          <w:rFonts w:ascii="Arial" w:hAnsi="Arial" w:cs="Arial"/>
          <w:sz w:val="24"/>
          <w:szCs w:val="24"/>
        </w:rPr>
        <w:t xml:space="preserve">the </w:t>
      </w:r>
      <w:r w:rsidRPr="00264F34">
        <w:rPr>
          <w:rFonts w:ascii="Arial" w:hAnsi="Arial" w:cs="Arial"/>
          <w:sz w:val="24"/>
          <w:szCs w:val="24"/>
        </w:rPr>
        <w:t>prescribed grounds to terminate a tenancy</w:t>
      </w:r>
      <w:r w:rsidR="00F60E96">
        <w:rPr>
          <w:rFonts w:ascii="Arial" w:hAnsi="Arial" w:cs="Arial"/>
          <w:sz w:val="24"/>
          <w:szCs w:val="24"/>
        </w:rPr>
        <w:t xml:space="preserve"> under the RTA</w:t>
      </w:r>
      <w:r w:rsidRPr="00264F34">
        <w:rPr>
          <w:rFonts w:ascii="Arial" w:hAnsi="Arial" w:cs="Arial"/>
          <w:sz w:val="24"/>
          <w:szCs w:val="24"/>
        </w:rPr>
        <w:t>.</w:t>
      </w:r>
      <w:r w:rsidR="008E005F" w:rsidRPr="00264F34">
        <w:rPr>
          <w:rFonts w:ascii="Arial" w:hAnsi="Arial" w:cs="Arial"/>
          <w:sz w:val="24"/>
          <w:szCs w:val="24"/>
        </w:rPr>
        <w:t xml:space="preserve"> </w:t>
      </w:r>
    </w:p>
    <w:p w14:paraId="6C3E0559" w14:textId="21F87D49" w:rsidR="008E005F" w:rsidRPr="00264F34" w:rsidRDefault="008E005F" w:rsidP="00C677E6">
      <w:pPr>
        <w:rPr>
          <w:rFonts w:ascii="Arial" w:hAnsi="Arial" w:cs="Arial"/>
          <w:sz w:val="24"/>
          <w:szCs w:val="24"/>
        </w:rPr>
      </w:pPr>
      <w:r w:rsidRPr="00264F34">
        <w:rPr>
          <w:rFonts w:ascii="Arial" w:hAnsi="Arial" w:cs="Arial"/>
          <w:sz w:val="24"/>
          <w:szCs w:val="24"/>
        </w:rPr>
        <w:t>The removal of a lessor’s ability to terminate a tenancy without grounds is intended to give tenant</w:t>
      </w:r>
      <w:r w:rsidR="00737BC9" w:rsidRPr="00264F34">
        <w:rPr>
          <w:rFonts w:ascii="Arial" w:hAnsi="Arial" w:cs="Arial"/>
          <w:sz w:val="24"/>
          <w:szCs w:val="24"/>
        </w:rPr>
        <w:t>s confidence and assurance</w:t>
      </w:r>
      <w:r w:rsidRPr="00264F34">
        <w:rPr>
          <w:rFonts w:ascii="Arial" w:hAnsi="Arial" w:cs="Arial"/>
          <w:sz w:val="24"/>
          <w:szCs w:val="24"/>
        </w:rPr>
        <w:t xml:space="preserve"> that their tenancy can only come to an end for a legitimate reason, rather than at the unfettered discretion of a lessor. With this significant improvement in </w:t>
      </w:r>
      <w:r w:rsidR="00737BC9" w:rsidRPr="00264F34">
        <w:rPr>
          <w:rFonts w:ascii="Arial" w:hAnsi="Arial" w:cs="Arial"/>
          <w:sz w:val="24"/>
          <w:szCs w:val="24"/>
        </w:rPr>
        <w:t>a tenant’s rental security, a tenant can assert their rights, such as requesting repairs and maintenance, under a residential tenancy agreement, without fear that this may lead to their eviction.</w:t>
      </w:r>
    </w:p>
    <w:p w14:paraId="7D63012F" w14:textId="798E2BBA" w:rsidR="00C647B0" w:rsidRPr="00264F34" w:rsidRDefault="00C647B0" w:rsidP="00C677E6">
      <w:pPr>
        <w:rPr>
          <w:rFonts w:ascii="Arial" w:eastAsiaTheme="majorEastAsia" w:hAnsi="Arial" w:cs="Arial"/>
          <w:b/>
          <w:sz w:val="24"/>
          <w:szCs w:val="24"/>
        </w:rPr>
      </w:pPr>
      <w:r w:rsidRPr="00264F34">
        <w:rPr>
          <w:rFonts w:ascii="Arial" w:eastAsiaTheme="majorEastAsia" w:hAnsi="Arial" w:cs="Arial"/>
          <w:b/>
          <w:sz w:val="24"/>
          <w:szCs w:val="24"/>
        </w:rPr>
        <w:t>Clause 4</w:t>
      </w:r>
      <w:r w:rsidR="00741BDE">
        <w:rPr>
          <w:rFonts w:ascii="Arial" w:eastAsiaTheme="majorEastAsia" w:hAnsi="Arial" w:cs="Arial"/>
          <w:b/>
          <w:sz w:val="24"/>
          <w:szCs w:val="24"/>
        </w:rPr>
        <w:t>4</w:t>
      </w:r>
      <w:r w:rsidRPr="00264F34">
        <w:rPr>
          <w:rFonts w:ascii="Arial" w:eastAsiaTheme="majorEastAsia" w:hAnsi="Arial" w:cs="Arial"/>
          <w:b/>
          <w:sz w:val="24"/>
          <w:szCs w:val="24"/>
        </w:rPr>
        <w:tab/>
        <w:t>Schedule 1, clause 96 and heading</w:t>
      </w:r>
    </w:p>
    <w:p w14:paraId="5FA06291" w14:textId="01C1EE9E" w:rsidR="004D34D6" w:rsidRDefault="00891404" w:rsidP="00C677E6">
      <w:pPr>
        <w:rPr>
          <w:rFonts w:ascii="Arial" w:hAnsi="Arial" w:cs="Arial"/>
          <w:sz w:val="24"/>
          <w:szCs w:val="24"/>
        </w:rPr>
      </w:pPr>
      <w:r w:rsidRPr="0048099F">
        <w:rPr>
          <w:rFonts w:ascii="Arial" w:hAnsi="Arial" w:cs="Arial"/>
          <w:sz w:val="24"/>
          <w:szCs w:val="24"/>
        </w:rPr>
        <w:t xml:space="preserve">This </w:t>
      </w:r>
      <w:r w:rsidR="008D3EB3" w:rsidRPr="0048099F">
        <w:rPr>
          <w:rFonts w:ascii="Arial" w:hAnsi="Arial" w:cs="Arial"/>
          <w:sz w:val="24"/>
          <w:szCs w:val="24"/>
        </w:rPr>
        <w:t>clause substitutes both the heading and substance of clause 96 of the SRTT</w:t>
      </w:r>
      <w:r w:rsidR="00741BDE">
        <w:rPr>
          <w:rFonts w:ascii="Arial" w:hAnsi="Arial" w:cs="Arial"/>
          <w:sz w:val="24"/>
          <w:szCs w:val="24"/>
        </w:rPr>
        <w:t xml:space="preserve">.  It also </w:t>
      </w:r>
      <w:r w:rsidR="008D3EB3" w:rsidRPr="0048099F">
        <w:rPr>
          <w:rFonts w:ascii="Arial" w:hAnsi="Arial" w:cs="Arial"/>
          <w:sz w:val="24"/>
          <w:szCs w:val="24"/>
        </w:rPr>
        <w:t>create</w:t>
      </w:r>
      <w:r w:rsidR="00F60E96">
        <w:rPr>
          <w:rFonts w:ascii="Arial" w:hAnsi="Arial" w:cs="Arial"/>
          <w:sz w:val="24"/>
          <w:szCs w:val="24"/>
        </w:rPr>
        <w:t>s</w:t>
      </w:r>
      <w:r w:rsidR="008D3EB3" w:rsidRPr="0048099F">
        <w:rPr>
          <w:rFonts w:ascii="Arial" w:hAnsi="Arial" w:cs="Arial"/>
          <w:sz w:val="24"/>
          <w:szCs w:val="24"/>
        </w:rPr>
        <w:t xml:space="preserve"> a new ground for the termination of a periodic residential tenancy agreement. </w:t>
      </w:r>
    </w:p>
    <w:p w14:paraId="5E9C2387" w14:textId="121B1E35" w:rsidR="00D608C4" w:rsidRDefault="008D3EB3" w:rsidP="00C677E6">
      <w:pPr>
        <w:rPr>
          <w:rFonts w:ascii="Arial" w:hAnsi="Arial" w:cs="Arial"/>
          <w:sz w:val="24"/>
          <w:szCs w:val="24"/>
        </w:rPr>
      </w:pPr>
      <w:r w:rsidRPr="0048099F">
        <w:rPr>
          <w:rFonts w:ascii="Arial" w:hAnsi="Arial" w:cs="Arial"/>
          <w:sz w:val="24"/>
          <w:szCs w:val="24"/>
        </w:rPr>
        <w:t xml:space="preserve">Under new clause 96 (1) (f), a lessor may </w:t>
      </w:r>
      <w:r w:rsidR="00741BDE">
        <w:rPr>
          <w:rFonts w:ascii="Arial" w:hAnsi="Arial" w:cs="Arial"/>
          <w:sz w:val="24"/>
          <w:szCs w:val="24"/>
        </w:rPr>
        <w:t xml:space="preserve">now </w:t>
      </w:r>
      <w:r w:rsidRPr="0048099F">
        <w:rPr>
          <w:rFonts w:ascii="Arial" w:hAnsi="Arial" w:cs="Arial"/>
          <w:sz w:val="24"/>
          <w:szCs w:val="24"/>
        </w:rPr>
        <w:t xml:space="preserve">terminate a periodic tenancy if the lessor genuinely requires the premises for a lawful use other than as a home but must provide a tenant 26 </w:t>
      </w:r>
      <w:r w:rsidR="00D608C4" w:rsidRPr="0048099F">
        <w:rPr>
          <w:rFonts w:ascii="Arial" w:hAnsi="Arial" w:cs="Arial"/>
          <w:sz w:val="24"/>
          <w:szCs w:val="24"/>
        </w:rPr>
        <w:t>weeks’ notice</w:t>
      </w:r>
      <w:r w:rsidRPr="0048099F">
        <w:rPr>
          <w:rFonts w:ascii="Arial" w:hAnsi="Arial" w:cs="Arial"/>
          <w:sz w:val="24"/>
          <w:szCs w:val="24"/>
        </w:rPr>
        <w:t>.</w:t>
      </w:r>
      <w:r w:rsidR="002606CE">
        <w:rPr>
          <w:rFonts w:ascii="Arial" w:hAnsi="Arial" w:cs="Arial"/>
          <w:sz w:val="24"/>
          <w:szCs w:val="24"/>
        </w:rPr>
        <w:t xml:space="preserve"> </w:t>
      </w:r>
      <w:r w:rsidR="00D608C4">
        <w:rPr>
          <w:rFonts w:ascii="Arial" w:hAnsi="Arial" w:cs="Arial"/>
          <w:sz w:val="24"/>
          <w:szCs w:val="24"/>
        </w:rPr>
        <w:t xml:space="preserve">This notice period is intended to match the notice period that a lessor would currently need to provide to a tenant if they were relying on the without cause termination provision. </w:t>
      </w:r>
    </w:p>
    <w:p w14:paraId="63B36E91" w14:textId="55A96532" w:rsidR="008D3EB3" w:rsidRPr="00264F34" w:rsidRDefault="002606CE" w:rsidP="00C677E6">
      <w:pPr>
        <w:rPr>
          <w:rFonts w:ascii="Arial" w:hAnsi="Arial" w:cs="Arial"/>
          <w:sz w:val="24"/>
          <w:szCs w:val="24"/>
        </w:rPr>
      </w:pPr>
      <w:r>
        <w:rPr>
          <w:rFonts w:ascii="Arial" w:hAnsi="Arial" w:cs="Arial"/>
          <w:sz w:val="24"/>
          <w:szCs w:val="24"/>
        </w:rPr>
        <w:t xml:space="preserve">The notice periods for the existing section 96 termination provisions have not been changed. </w:t>
      </w:r>
    </w:p>
    <w:p w14:paraId="43CCBA91" w14:textId="264FEEFB" w:rsidR="008D3EB3" w:rsidRDefault="000B785B" w:rsidP="00C677E6">
      <w:pPr>
        <w:rPr>
          <w:rFonts w:ascii="Arial" w:hAnsi="Arial" w:cs="Arial"/>
          <w:sz w:val="24"/>
          <w:szCs w:val="24"/>
        </w:rPr>
      </w:pPr>
      <w:r w:rsidRPr="00264F34">
        <w:rPr>
          <w:rFonts w:ascii="Arial" w:hAnsi="Arial" w:cs="Arial"/>
          <w:sz w:val="24"/>
          <w:szCs w:val="24"/>
        </w:rPr>
        <w:t xml:space="preserve">As discussed above, the removal of a lessor’s ability to terminate a tenancy without grounds is intended to give tenants confidence and assurance that their tenancy can only come to an end for a legitimate reason, rather than at the unfettered discretion of a lessor. </w:t>
      </w:r>
      <w:r w:rsidR="002606CE">
        <w:rPr>
          <w:rFonts w:ascii="Arial" w:hAnsi="Arial" w:cs="Arial"/>
          <w:sz w:val="24"/>
          <w:szCs w:val="24"/>
        </w:rPr>
        <w:t>This new termination provision recognises that there is an additional circumstance where a property owner may wish to end a tenancy that is not currently recognised as a standalone tenancy termination provision – that is where the lessor genuinely intends the premises for a lawful use other than as a home</w:t>
      </w:r>
      <w:r w:rsidRPr="00264F34">
        <w:rPr>
          <w:rFonts w:ascii="Arial" w:hAnsi="Arial" w:cs="Arial"/>
          <w:sz w:val="24"/>
          <w:szCs w:val="24"/>
        </w:rPr>
        <w:t>.</w:t>
      </w:r>
      <w:r w:rsidR="002606CE">
        <w:rPr>
          <w:rFonts w:ascii="Arial" w:hAnsi="Arial" w:cs="Arial"/>
          <w:sz w:val="24"/>
          <w:szCs w:val="24"/>
        </w:rPr>
        <w:t xml:space="preserve"> For example, the lessor may wish to convert the premises to a business use. </w:t>
      </w:r>
    </w:p>
    <w:p w14:paraId="638FE467" w14:textId="43894431" w:rsidR="002606CE" w:rsidRDefault="002606CE" w:rsidP="00C677E6">
      <w:pPr>
        <w:rPr>
          <w:rFonts w:ascii="Arial" w:hAnsi="Arial" w:cs="Arial"/>
          <w:sz w:val="24"/>
          <w:szCs w:val="24"/>
        </w:rPr>
      </w:pPr>
      <w:r>
        <w:rPr>
          <w:rFonts w:ascii="Arial" w:hAnsi="Arial" w:cs="Arial"/>
          <w:sz w:val="24"/>
          <w:szCs w:val="24"/>
        </w:rPr>
        <w:t xml:space="preserve">It is noted that this provision specifies that the lessor’s proposed conversion of use for the premises must be a </w:t>
      </w:r>
      <w:r w:rsidRPr="002606CE">
        <w:rPr>
          <w:rFonts w:ascii="Arial" w:hAnsi="Arial" w:cs="Arial"/>
          <w:i/>
          <w:iCs/>
          <w:sz w:val="24"/>
          <w:szCs w:val="24"/>
        </w:rPr>
        <w:t>lawful</w:t>
      </w:r>
      <w:r>
        <w:rPr>
          <w:rFonts w:ascii="Arial" w:hAnsi="Arial" w:cs="Arial"/>
          <w:sz w:val="24"/>
          <w:szCs w:val="24"/>
        </w:rPr>
        <w:t xml:space="preserve"> use. This would mean, for example, that a lessor would not be able to propose to </w:t>
      </w:r>
      <w:r w:rsidR="00D608C4">
        <w:rPr>
          <w:rFonts w:ascii="Arial" w:hAnsi="Arial" w:cs="Arial"/>
          <w:sz w:val="24"/>
          <w:szCs w:val="24"/>
        </w:rPr>
        <w:t>convert the use of a premises to a commercial purpose where such a purpose was prevented by the zoning requirements for the property or if the proposed use of the property was prevented by any other legal requirements.</w:t>
      </w:r>
    </w:p>
    <w:p w14:paraId="29785AA0" w14:textId="79008E1F" w:rsidR="004D34D6" w:rsidRDefault="002606CE" w:rsidP="002606CE">
      <w:pPr>
        <w:rPr>
          <w:rFonts w:ascii="Arial" w:hAnsi="Arial" w:cs="Arial"/>
          <w:sz w:val="24"/>
          <w:szCs w:val="24"/>
        </w:rPr>
      </w:pPr>
      <w:r w:rsidRPr="00264F34">
        <w:rPr>
          <w:rFonts w:ascii="Arial" w:hAnsi="Arial" w:cs="Arial"/>
          <w:sz w:val="24"/>
          <w:szCs w:val="24"/>
        </w:rPr>
        <w:t>This clause also removes clause 96 (1A) of the SRTTs, which currently requires a lessor to give a tenant a statutory declaration about their intention to reside in the premises, an immediate family member’s</w:t>
      </w:r>
      <w:r w:rsidR="004D34D6">
        <w:rPr>
          <w:rFonts w:ascii="Arial" w:hAnsi="Arial" w:cs="Arial"/>
          <w:sz w:val="24"/>
          <w:szCs w:val="24"/>
        </w:rPr>
        <w:t>,</w:t>
      </w:r>
      <w:r w:rsidRPr="00264F34">
        <w:rPr>
          <w:rFonts w:ascii="Arial" w:hAnsi="Arial" w:cs="Arial"/>
          <w:sz w:val="24"/>
          <w:szCs w:val="24"/>
        </w:rPr>
        <w:t xml:space="preserve"> </w:t>
      </w:r>
      <w:r w:rsidR="004D34D6" w:rsidRPr="00264F34">
        <w:rPr>
          <w:rFonts w:ascii="Arial" w:hAnsi="Arial" w:cs="Arial"/>
          <w:sz w:val="24"/>
          <w:szCs w:val="24"/>
        </w:rPr>
        <w:t>or an interested person’s</w:t>
      </w:r>
      <w:r w:rsidR="004D34D6">
        <w:rPr>
          <w:rFonts w:ascii="Arial" w:hAnsi="Arial" w:cs="Arial"/>
          <w:sz w:val="24"/>
          <w:szCs w:val="24"/>
        </w:rPr>
        <w:t>,</w:t>
      </w:r>
      <w:r w:rsidR="004D34D6" w:rsidRPr="00264F34">
        <w:rPr>
          <w:rFonts w:ascii="Arial" w:hAnsi="Arial" w:cs="Arial"/>
          <w:sz w:val="24"/>
          <w:szCs w:val="24"/>
        </w:rPr>
        <w:t xml:space="preserve"> </w:t>
      </w:r>
      <w:r w:rsidRPr="00264F34">
        <w:rPr>
          <w:rFonts w:ascii="Arial" w:hAnsi="Arial" w:cs="Arial"/>
          <w:sz w:val="24"/>
          <w:szCs w:val="24"/>
        </w:rPr>
        <w:t xml:space="preserve">intention to </w:t>
      </w:r>
      <w:r w:rsidRPr="00264F34">
        <w:rPr>
          <w:rFonts w:ascii="Arial" w:hAnsi="Arial" w:cs="Arial"/>
          <w:sz w:val="24"/>
          <w:szCs w:val="24"/>
        </w:rPr>
        <w:lastRenderedPageBreak/>
        <w:t>reside in the premises, if they intend to rely on those grounds to terminate the residential tenancy agreement (as per clause 96 (1) (a) – (c)).</w:t>
      </w:r>
      <w:r>
        <w:rPr>
          <w:rFonts w:ascii="Arial" w:hAnsi="Arial" w:cs="Arial"/>
          <w:sz w:val="24"/>
          <w:szCs w:val="24"/>
        </w:rPr>
        <w:t xml:space="preserve"> </w:t>
      </w:r>
    </w:p>
    <w:p w14:paraId="523C5287" w14:textId="2BB3FDB1" w:rsidR="002606CE" w:rsidRDefault="002606CE" w:rsidP="002606CE">
      <w:pPr>
        <w:rPr>
          <w:rFonts w:ascii="Arial" w:hAnsi="Arial" w:cs="Arial"/>
          <w:sz w:val="24"/>
          <w:szCs w:val="24"/>
        </w:rPr>
      </w:pPr>
      <w:r>
        <w:rPr>
          <w:rFonts w:ascii="Arial" w:hAnsi="Arial" w:cs="Arial"/>
          <w:sz w:val="24"/>
          <w:szCs w:val="24"/>
        </w:rPr>
        <w:t xml:space="preserve">Existing </w:t>
      </w:r>
      <w:r w:rsidR="00D608C4">
        <w:rPr>
          <w:rFonts w:ascii="Arial" w:hAnsi="Arial" w:cs="Arial"/>
          <w:sz w:val="24"/>
          <w:szCs w:val="24"/>
        </w:rPr>
        <w:t>clause</w:t>
      </w:r>
      <w:r>
        <w:rPr>
          <w:rFonts w:ascii="Arial" w:hAnsi="Arial" w:cs="Arial"/>
          <w:sz w:val="24"/>
          <w:szCs w:val="24"/>
        </w:rPr>
        <w:t xml:space="preserve"> 96 (1A) is replaced with new subclause 96 (2) which extends the requirement for the lessor to provide evidence to support their reliance on the nominated tenancy termination ground</w:t>
      </w:r>
      <w:r w:rsidR="00480D5F">
        <w:rPr>
          <w:rFonts w:ascii="Arial" w:hAnsi="Arial" w:cs="Arial"/>
          <w:sz w:val="24"/>
          <w:szCs w:val="24"/>
        </w:rPr>
        <w:t xml:space="preserve">. </w:t>
      </w:r>
      <w:r>
        <w:rPr>
          <w:rFonts w:ascii="Arial" w:hAnsi="Arial" w:cs="Arial"/>
          <w:sz w:val="24"/>
          <w:szCs w:val="24"/>
        </w:rPr>
        <w:t>This is intended to ensure that the</w:t>
      </w:r>
      <w:r w:rsidR="00D608C4">
        <w:rPr>
          <w:rFonts w:ascii="Arial" w:hAnsi="Arial" w:cs="Arial"/>
          <w:sz w:val="24"/>
          <w:szCs w:val="24"/>
        </w:rPr>
        <w:t>se</w:t>
      </w:r>
      <w:r>
        <w:rPr>
          <w:rFonts w:ascii="Arial" w:hAnsi="Arial" w:cs="Arial"/>
          <w:sz w:val="24"/>
          <w:szCs w:val="24"/>
        </w:rPr>
        <w:t xml:space="preserve"> prescribed grounds for termination under the RTA are not misused</w:t>
      </w:r>
      <w:r w:rsidR="00D608C4">
        <w:rPr>
          <w:rFonts w:ascii="Arial" w:hAnsi="Arial" w:cs="Arial"/>
          <w:sz w:val="24"/>
          <w:szCs w:val="24"/>
        </w:rPr>
        <w:t xml:space="preserve"> by requiring the lessor to provide evidence to the tenant that their reliance on the nominated ground is genuine</w:t>
      </w:r>
      <w:r>
        <w:rPr>
          <w:rFonts w:ascii="Arial" w:hAnsi="Arial" w:cs="Arial"/>
          <w:sz w:val="24"/>
          <w:szCs w:val="24"/>
        </w:rPr>
        <w:t xml:space="preserve">. </w:t>
      </w:r>
    </w:p>
    <w:p w14:paraId="0DDD1C66" w14:textId="4362E91A" w:rsidR="00665FF4" w:rsidRDefault="00665FF4" w:rsidP="002606CE">
      <w:pPr>
        <w:rPr>
          <w:rFonts w:ascii="Arial" w:hAnsi="Arial" w:cs="Arial"/>
          <w:sz w:val="24"/>
          <w:szCs w:val="24"/>
        </w:rPr>
      </w:pPr>
      <w:r>
        <w:rPr>
          <w:rFonts w:ascii="Arial" w:hAnsi="Arial" w:cs="Arial"/>
          <w:sz w:val="24"/>
          <w:szCs w:val="24"/>
        </w:rPr>
        <w:t xml:space="preserve">An example of what constitutes written evidence has been inserted in this clause which provides that evidence may </w:t>
      </w:r>
      <w:r w:rsidR="006D2698">
        <w:rPr>
          <w:rFonts w:ascii="Arial" w:hAnsi="Arial" w:cs="Arial"/>
          <w:sz w:val="24"/>
          <w:szCs w:val="24"/>
        </w:rPr>
        <w:t>include</w:t>
      </w:r>
      <w:r>
        <w:rPr>
          <w:rFonts w:ascii="Arial" w:hAnsi="Arial" w:cs="Arial"/>
          <w:sz w:val="24"/>
          <w:szCs w:val="24"/>
        </w:rPr>
        <w:t xml:space="preserve"> a statutory declaration, development application, or quotes from a tradesperson for renovations</w:t>
      </w:r>
      <w:r w:rsidR="006D2698">
        <w:rPr>
          <w:rFonts w:ascii="Arial" w:hAnsi="Arial" w:cs="Arial"/>
          <w:sz w:val="24"/>
          <w:szCs w:val="24"/>
        </w:rPr>
        <w:t>, notice of decision from the Housing Commissioner</w:t>
      </w:r>
      <w:r>
        <w:rPr>
          <w:rFonts w:ascii="Arial" w:hAnsi="Arial" w:cs="Arial"/>
          <w:sz w:val="24"/>
          <w:szCs w:val="24"/>
        </w:rPr>
        <w:t xml:space="preserve">. </w:t>
      </w:r>
    </w:p>
    <w:p w14:paraId="59587A32" w14:textId="2679BBF3" w:rsidR="00D608C4" w:rsidRDefault="00D608C4" w:rsidP="002606CE">
      <w:pPr>
        <w:rPr>
          <w:rFonts w:ascii="Arial" w:hAnsi="Arial" w:cs="Arial"/>
          <w:sz w:val="24"/>
          <w:szCs w:val="24"/>
        </w:rPr>
      </w:pPr>
      <w:r>
        <w:rPr>
          <w:rFonts w:ascii="Arial" w:hAnsi="Arial" w:cs="Arial"/>
          <w:sz w:val="24"/>
          <w:szCs w:val="24"/>
        </w:rPr>
        <w:t xml:space="preserve">Substituted clause 96 retains the existing definitions for </w:t>
      </w:r>
      <w:r w:rsidRPr="00D608C4">
        <w:rPr>
          <w:rFonts w:ascii="Arial" w:hAnsi="Arial" w:cs="Arial"/>
          <w:b/>
          <w:bCs/>
          <w:i/>
          <w:iCs/>
          <w:sz w:val="24"/>
          <w:szCs w:val="24"/>
        </w:rPr>
        <w:t>immediate relative</w:t>
      </w:r>
      <w:r>
        <w:rPr>
          <w:rFonts w:ascii="Arial" w:hAnsi="Arial" w:cs="Arial"/>
          <w:sz w:val="24"/>
          <w:szCs w:val="24"/>
        </w:rPr>
        <w:t xml:space="preserve"> and </w:t>
      </w:r>
      <w:r w:rsidRPr="00D608C4">
        <w:rPr>
          <w:rFonts w:ascii="Arial" w:hAnsi="Arial" w:cs="Arial"/>
          <w:b/>
          <w:bCs/>
          <w:i/>
          <w:iCs/>
          <w:sz w:val="24"/>
          <w:szCs w:val="24"/>
        </w:rPr>
        <w:t>interested person</w:t>
      </w:r>
      <w:r>
        <w:rPr>
          <w:rFonts w:ascii="Arial" w:hAnsi="Arial" w:cs="Arial"/>
          <w:sz w:val="24"/>
          <w:szCs w:val="24"/>
        </w:rPr>
        <w:t xml:space="preserve"> contained in existing clause 96 but now inserts those definitions in subclause (3) of the provision. </w:t>
      </w:r>
    </w:p>
    <w:p w14:paraId="272C25C8" w14:textId="13D8A7B7" w:rsidR="00D608C4" w:rsidRPr="00D608C4" w:rsidRDefault="00D608C4" w:rsidP="002606CE">
      <w:pPr>
        <w:rPr>
          <w:rFonts w:ascii="Arial" w:hAnsi="Arial" w:cs="Arial"/>
          <w:sz w:val="24"/>
          <w:szCs w:val="24"/>
        </w:rPr>
      </w:pPr>
      <w:r w:rsidRPr="00D608C4">
        <w:rPr>
          <w:rFonts w:ascii="Arial" w:hAnsi="Arial" w:cs="Arial"/>
          <w:sz w:val="24"/>
          <w:szCs w:val="24"/>
        </w:rPr>
        <w:t xml:space="preserve">The reinserted definition of </w:t>
      </w:r>
      <w:r w:rsidRPr="00D608C4">
        <w:rPr>
          <w:rFonts w:ascii="Arial" w:hAnsi="Arial" w:cs="Arial"/>
          <w:b/>
          <w:bCs/>
          <w:i/>
          <w:iCs/>
          <w:sz w:val="24"/>
          <w:szCs w:val="24"/>
        </w:rPr>
        <w:t>immediate relative</w:t>
      </w:r>
      <w:r w:rsidRPr="00D608C4">
        <w:rPr>
          <w:rFonts w:ascii="Arial" w:hAnsi="Arial" w:cs="Arial"/>
          <w:sz w:val="24"/>
          <w:szCs w:val="24"/>
        </w:rPr>
        <w:t xml:space="preserve"> </w:t>
      </w:r>
      <w:r w:rsidR="00665FF4">
        <w:rPr>
          <w:rFonts w:ascii="Arial" w:hAnsi="Arial" w:cs="Arial"/>
          <w:sz w:val="24"/>
          <w:szCs w:val="24"/>
        </w:rPr>
        <w:t xml:space="preserve">of the lessor </w:t>
      </w:r>
      <w:r w:rsidRPr="00D608C4">
        <w:rPr>
          <w:rFonts w:ascii="Arial" w:hAnsi="Arial" w:cs="Arial"/>
          <w:sz w:val="24"/>
          <w:szCs w:val="24"/>
        </w:rPr>
        <w:t>is</w:t>
      </w:r>
      <w:r>
        <w:rPr>
          <w:rFonts w:ascii="Arial" w:hAnsi="Arial" w:cs="Arial"/>
          <w:sz w:val="24"/>
          <w:szCs w:val="24"/>
        </w:rPr>
        <w:t>:</w:t>
      </w:r>
      <w:r w:rsidRPr="00D608C4">
        <w:rPr>
          <w:rFonts w:ascii="Arial" w:hAnsi="Arial" w:cs="Arial"/>
          <w:sz w:val="24"/>
          <w:szCs w:val="24"/>
        </w:rPr>
        <w:t xml:space="preserve"> a son, daughter, son-in-law, daughter-in</w:t>
      </w:r>
      <w:r w:rsidR="00085D07">
        <w:rPr>
          <w:rFonts w:ascii="Arial" w:hAnsi="Arial" w:cs="Arial"/>
          <w:sz w:val="24"/>
          <w:szCs w:val="24"/>
        </w:rPr>
        <w:t>-</w:t>
      </w:r>
      <w:r w:rsidRPr="00D608C4">
        <w:rPr>
          <w:rFonts w:ascii="Arial" w:hAnsi="Arial" w:cs="Arial"/>
          <w:sz w:val="24"/>
          <w:szCs w:val="24"/>
        </w:rPr>
        <w:t>law, mother, father, mother-in-law, father-in-law, brother, sister, brother-in-law or sister-in-law.</w:t>
      </w:r>
    </w:p>
    <w:p w14:paraId="076F41CF" w14:textId="23F605B1" w:rsidR="002606CE" w:rsidRPr="0048099F" w:rsidRDefault="00D608C4" w:rsidP="00C677E6">
      <w:pPr>
        <w:rPr>
          <w:rFonts w:ascii="Arial" w:hAnsi="Arial" w:cs="Arial"/>
          <w:sz w:val="24"/>
          <w:szCs w:val="24"/>
        </w:rPr>
      </w:pPr>
      <w:r w:rsidRPr="00D608C4">
        <w:rPr>
          <w:rFonts w:ascii="Arial" w:hAnsi="Arial" w:cs="Arial"/>
          <w:sz w:val="24"/>
          <w:szCs w:val="24"/>
        </w:rPr>
        <w:t xml:space="preserve">The reinserted definition of </w:t>
      </w:r>
      <w:r w:rsidRPr="00D608C4">
        <w:rPr>
          <w:rFonts w:ascii="Arial" w:hAnsi="Arial" w:cs="Arial"/>
          <w:b/>
          <w:bCs/>
          <w:i/>
          <w:iCs/>
          <w:sz w:val="24"/>
          <w:szCs w:val="24"/>
        </w:rPr>
        <w:t>interested person</w:t>
      </w:r>
      <w:r w:rsidRPr="00D608C4">
        <w:rPr>
          <w:rFonts w:ascii="Arial" w:hAnsi="Arial" w:cs="Arial"/>
          <w:sz w:val="24"/>
          <w:szCs w:val="24"/>
        </w:rPr>
        <w:t xml:space="preserve">, for a lessor, means a person who is not an immediate relative of the lessor but who has a close family or personal relationship with the lessor and who has a reasonable expectation arising from that relationship that the lessor would provide accommodation for that person. </w:t>
      </w:r>
    </w:p>
    <w:p w14:paraId="6890C473" w14:textId="790B147A" w:rsidR="00C647B0" w:rsidRPr="00264F34" w:rsidRDefault="00C647B0" w:rsidP="0064040A">
      <w:pPr>
        <w:keepNext/>
        <w:ind w:left="1440" w:hanging="1440"/>
        <w:rPr>
          <w:rFonts w:ascii="Arial" w:eastAsiaTheme="majorEastAsia" w:hAnsi="Arial" w:cs="Arial"/>
          <w:b/>
          <w:sz w:val="24"/>
          <w:szCs w:val="24"/>
        </w:rPr>
      </w:pPr>
      <w:r w:rsidRPr="00D608C4">
        <w:rPr>
          <w:rFonts w:ascii="Arial" w:eastAsiaTheme="majorEastAsia" w:hAnsi="Arial" w:cs="Arial"/>
          <w:b/>
          <w:sz w:val="24"/>
          <w:szCs w:val="24"/>
        </w:rPr>
        <w:t>C</w:t>
      </w:r>
      <w:bookmarkStart w:id="3" w:name="OLE_LINK1"/>
      <w:bookmarkEnd w:id="3"/>
      <w:r w:rsidRPr="00D608C4">
        <w:rPr>
          <w:rFonts w:ascii="Arial" w:eastAsiaTheme="majorEastAsia" w:hAnsi="Arial" w:cs="Arial"/>
          <w:b/>
          <w:sz w:val="24"/>
          <w:szCs w:val="24"/>
        </w:rPr>
        <w:t>lause 4</w:t>
      </w:r>
      <w:r w:rsidR="00741BDE">
        <w:rPr>
          <w:rFonts w:ascii="Arial" w:eastAsiaTheme="majorEastAsia" w:hAnsi="Arial" w:cs="Arial"/>
          <w:b/>
          <w:sz w:val="24"/>
          <w:szCs w:val="24"/>
        </w:rPr>
        <w:t>5</w:t>
      </w:r>
      <w:r w:rsidRPr="00D608C4">
        <w:rPr>
          <w:rFonts w:ascii="Arial" w:eastAsiaTheme="majorEastAsia" w:hAnsi="Arial" w:cs="Arial"/>
          <w:b/>
          <w:sz w:val="24"/>
          <w:szCs w:val="24"/>
        </w:rPr>
        <w:tab/>
        <w:t>New schedule 2</w:t>
      </w:r>
      <w:r w:rsidR="003C3C47">
        <w:rPr>
          <w:rFonts w:ascii="Arial" w:eastAsiaTheme="majorEastAsia" w:hAnsi="Arial" w:cs="Arial"/>
          <w:b/>
          <w:sz w:val="24"/>
          <w:szCs w:val="24"/>
        </w:rPr>
        <w:t xml:space="preserve"> </w:t>
      </w:r>
    </w:p>
    <w:p w14:paraId="2D5377A5" w14:textId="77777777" w:rsidR="00503B46" w:rsidRDefault="002B23A0" w:rsidP="002B23A0">
      <w:pPr>
        <w:rPr>
          <w:rFonts w:ascii="Arial" w:hAnsi="Arial" w:cs="Arial"/>
          <w:sz w:val="24"/>
          <w:szCs w:val="24"/>
        </w:rPr>
      </w:pPr>
      <w:r w:rsidRPr="00264F34">
        <w:rPr>
          <w:rFonts w:ascii="Arial" w:hAnsi="Arial" w:cs="Arial"/>
          <w:sz w:val="24"/>
          <w:szCs w:val="24"/>
        </w:rPr>
        <w:t xml:space="preserve">This clause inserts new </w:t>
      </w:r>
      <w:r>
        <w:rPr>
          <w:rFonts w:ascii="Arial" w:hAnsi="Arial" w:cs="Arial"/>
          <w:sz w:val="24"/>
          <w:szCs w:val="24"/>
        </w:rPr>
        <w:t>schedule</w:t>
      </w:r>
      <w:r w:rsidRPr="00264F34">
        <w:rPr>
          <w:rFonts w:ascii="Arial" w:hAnsi="Arial" w:cs="Arial"/>
          <w:sz w:val="24"/>
          <w:szCs w:val="24"/>
        </w:rPr>
        <w:t xml:space="preserve"> 2</w:t>
      </w:r>
      <w:r>
        <w:rPr>
          <w:rFonts w:ascii="Arial" w:hAnsi="Arial" w:cs="Arial"/>
          <w:sz w:val="24"/>
          <w:szCs w:val="24"/>
        </w:rPr>
        <w:t>.</w:t>
      </w:r>
    </w:p>
    <w:p w14:paraId="56B681AD" w14:textId="10C590E5" w:rsidR="006D2698" w:rsidRDefault="002B23A0" w:rsidP="002B23A0">
      <w:pPr>
        <w:rPr>
          <w:rFonts w:ascii="Arial" w:hAnsi="Arial" w:cs="Arial"/>
          <w:sz w:val="24"/>
          <w:szCs w:val="24"/>
        </w:rPr>
      </w:pPr>
      <w:r>
        <w:rPr>
          <w:rFonts w:ascii="Arial" w:hAnsi="Arial" w:cs="Arial"/>
          <w:sz w:val="24"/>
          <w:szCs w:val="24"/>
        </w:rPr>
        <w:t>Schedule 2</w:t>
      </w:r>
      <w:r w:rsidRPr="00264F34">
        <w:rPr>
          <w:rFonts w:ascii="Arial" w:hAnsi="Arial" w:cs="Arial"/>
          <w:sz w:val="24"/>
          <w:szCs w:val="24"/>
        </w:rPr>
        <w:t xml:space="preserve"> </w:t>
      </w:r>
      <w:r w:rsidR="00B02DFD">
        <w:rPr>
          <w:rFonts w:ascii="Arial" w:hAnsi="Arial" w:cs="Arial"/>
          <w:sz w:val="24"/>
          <w:szCs w:val="24"/>
        </w:rPr>
        <w:t>introduces</w:t>
      </w:r>
      <w:r w:rsidR="00296E80">
        <w:rPr>
          <w:rFonts w:ascii="Arial" w:hAnsi="Arial" w:cs="Arial"/>
          <w:sz w:val="24"/>
          <w:szCs w:val="24"/>
        </w:rPr>
        <w:t xml:space="preserve"> the new additional </w:t>
      </w:r>
      <w:r w:rsidR="00741BDE">
        <w:rPr>
          <w:rFonts w:ascii="Arial" w:hAnsi="Arial" w:cs="Arial"/>
          <w:sz w:val="24"/>
          <w:szCs w:val="24"/>
        </w:rPr>
        <w:t xml:space="preserve">standard residential </w:t>
      </w:r>
      <w:r w:rsidR="00296E80">
        <w:rPr>
          <w:rFonts w:ascii="Arial" w:hAnsi="Arial" w:cs="Arial"/>
          <w:sz w:val="24"/>
          <w:szCs w:val="24"/>
        </w:rPr>
        <w:t>tenancy terms for residential tenancy agreements</w:t>
      </w:r>
      <w:r w:rsidR="00B02DFD">
        <w:rPr>
          <w:rFonts w:ascii="Arial" w:hAnsi="Arial" w:cs="Arial"/>
          <w:sz w:val="24"/>
          <w:szCs w:val="24"/>
        </w:rPr>
        <w:t>,</w:t>
      </w:r>
      <w:r w:rsidR="00296E80">
        <w:rPr>
          <w:rFonts w:ascii="Arial" w:hAnsi="Arial" w:cs="Arial"/>
          <w:sz w:val="24"/>
          <w:szCs w:val="24"/>
        </w:rPr>
        <w:t xml:space="preserve"> which will be incorporated into tenancy agreements in the manner set out in amended</w:t>
      </w:r>
      <w:r>
        <w:rPr>
          <w:rFonts w:ascii="Arial" w:hAnsi="Arial" w:cs="Arial"/>
          <w:sz w:val="24"/>
          <w:szCs w:val="24"/>
        </w:rPr>
        <w:t xml:space="preserve"> section 8 </w:t>
      </w:r>
      <w:r w:rsidR="00296E80">
        <w:rPr>
          <w:rFonts w:ascii="Arial" w:hAnsi="Arial" w:cs="Arial"/>
          <w:sz w:val="24"/>
          <w:szCs w:val="24"/>
        </w:rPr>
        <w:t>(see</w:t>
      </w:r>
      <w:r>
        <w:rPr>
          <w:rFonts w:ascii="Arial" w:hAnsi="Arial" w:cs="Arial"/>
          <w:sz w:val="24"/>
          <w:szCs w:val="24"/>
        </w:rPr>
        <w:t xml:space="preserve"> </w:t>
      </w:r>
      <w:r w:rsidRPr="005A14D5">
        <w:rPr>
          <w:rFonts w:ascii="Arial" w:hAnsi="Arial" w:cs="Arial"/>
          <w:sz w:val="24"/>
          <w:szCs w:val="24"/>
        </w:rPr>
        <w:t xml:space="preserve">clause </w:t>
      </w:r>
      <w:r w:rsidR="00E359A9" w:rsidRPr="00E359A9">
        <w:rPr>
          <w:rFonts w:ascii="Arial" w:hAnsi="Arial" w:cs="Arial"/>
          <w:sz w:val="24"/>
          <w:szCs w:val="24"/>
        </w:rPr>
        <w:t>5</w:t>
      </w:r>
      <w:r w:rsidR="00741BDE">
        <w:rPr>
          <w:rFonts w:ascii="Arial" w:hAnsi="Arial" w:cs="Arial"/>
          <w:sz w:val="24"/>
          <w:szCs w:val="24"/>
        </w:rPr>
        <w:t xml:space="preserve"> </w:t>
      </w:r>
      <w:r>
        <w:rPr>
          <w:rFonts w:ascii="Arial" w:hAnsi="Arial" w:cs="Arial"/>
          <w:sz w:val="24"/>
          <w:szCs w:val="24"/>
        </w:rPr>
        <w:t>of this Bill</w:t>
      </w:r>
      <w:r w:rsidR="00296E80">
        <w:rPr>
          <w:rFonts w:ascii="Arial" w:hAnsi="Arial" w:cs="Arial"/>
          <w:sz w:val="24"/>
          <w:szCs w:val="24"/>
        </w:rPr>
        <w:t>)</w:t>
      </w:r>
      <w:r>
        <w:rPr>
          <w:rFonts w:ascii="Arial" w:hAnsi="Arial" w:cs="Arial"/>
          <w:sz w:val="24"/>
          <w:szCs w:val="24"/>
        </w:rPr>
        <w:t xml:space="preserve">. </w:t>
      </w:r>
    </w:p>
    <w:p w14:paraId="5775C2B5" w14:textId="1B7AF284" w:rsidR="002B23A0" w:rsidRDefault="002B23A0" w:rsidP="002B23A0">
      <w:pPr>
        <w:rPr>
          <w:rFonts w:ascii="Arial" w:hAnsi="Arial" w:cs="Arial"/>
          <w:sz w:val="24"/>
          <w:szCs w:val="24"/>
        </w:rPr>
      </w:pPr>
      <w:r>
        <w:rPr>
          <w:rFonts w:ascii="Arial" w:hAnsi="Arial" w:cs="Arial"/>
          <w:sz w:val="24"/>
          <w:szCs w:val="24"/>
        </w:rPr>
        <w:t xml:space="preserve">Section 8 </w:t>
      </w:r>
      <w:r w:rsidR="003C3C47">
        <w:rPr>
          <w:rFonts w:ascii="Arial" w:hAnsi="Arial" w:cs="Arial"/>
          <w:sz w:val="24"/>
          <w:szCs w:val="24"/>
        </w:rPr>
        <w:t>sets out the way in which particular tenanc</w:t>
      </w:r>
      <w:r w:rsidR="00085D07">
        <w:rPr>
          <w:rFonts w:ascii="Arial" w:hAnsi="Arial" w:cs="Arial"/>
          <w:sz w:val="24"/>
          <w:szCs w:val="24"/>
        </w:rPr>
        <w:t>y</w:t>
      </w:r>
      <w:r w:rsidR="003C3C47">
        <w:rPr>
          <w:rFonts w:ascii="Arial" w:hAnsi="Arial" w:cs="Arial"/>
          <w:sz w:val="24"/>
          <w:szCs w:val="24"/>
        </w:rPr>
        <w:t xml:space="preserve"> </w:t>
      </w:r>
      <w:r>
        <w:rPr>
          <w:rFonts w:ascii="Arial" w:hAnsi="Arial" w:cs="Arial"/>
          <w:sz w:val="24"/>
          <w:szCs w:val="24"/>
        </w:rPr>
        <w:t xml:space="preserve">terms </w:t>
      </w:r>
      <w:r w:rsidR="003C3C47">
        <w:rPr>
          <w:rFonts w:ascii="Arial" w:hAnsi="Arial" w:cs="Arial"/>
          <w:sz w:val="24"/>
          <w:szCs w:val="24"/>
        </w:rPr>
        <w:t xml:space="preserve">can be </w:t>
      </w:r>
      <w:r>
        <w:rPr>
          <w:rFonts w:ascii="Arial" w:hAnsi="Arial" w:cs="Arial"/>
          <w:sz w:val="24"/>
          <w:szCs w:val="24"/>
        </w:rPr>
        <w:t>included in a residential tenancy agreement</w:t>
      </w:r>
      <w:r w:rsidR="002E4ACA">
        <w:rPr>
          <w:rFonts w:ascii="Arial" w:hAnsi="Arial" w:cs="Arial"/>
          <w:sz w:val="24"/>
          <w:szCs w:val="24"/>
        </w:rPr>
        <w:t>. Some tenancy terms</w:t>
      </w:r>
      <w:r>
        <w:rPr>
          <w:rFonts w:ascii="Arial" w:hAnsi="Arial" w:cs="Arial"/>
          <w:sz w:val="24"/>
          <w:szCs w:val="24"/>
        </w:rPr>
        <w:t xml:space="preserve"> may be incorporated automatically</w:t>
      </w:r>
      <w:r w:rsidR="00B02DFD">
        <w:rPr>
          <w:rFonts w:ascii="Arial" w:hAnsi="Arial" w:cs="Arial"/>
          <w:sz w:val="24"/>
          <w:szCs w:val="24"/>
        </w:rPr>
        <w:t>,</w:t>
      </w:r>
      <w:r>
        <w:rPr>
          <w:rFonts w:ascii="Arial" w:hAnsi="Arial" w:cs="Arial"/>
          <w:sz w:val="24"/>
          <w:szCs w:val="24"/>
        </w:rPr>
        <w:t xml:space="preserve"> </w:t>
      </w:r>
      <w:r w:rsidR="002E4ACA">
        <w:rPr>
          <w:rFonts w:ascii="Arial" w:hAnsi="Arial" w:cs="Arial"/>
          <w:sz w:val="24"/>
          <w:szCs w:val="24"/>
        </w:rPr>
        <w:t>whil</w:t>
      </w:r>
      <w:r w:rsidR="00B02DFD">
        <w:rPr>
          <w:rFonts w:ascii="Arial" w:hAnsi="Arial" w:cs="Arial"/>
          <w:sz w:val="24"/>
          <w:szCs w:val="24"/>
        </w:rPr>
        <w:t>e</w:t>
      </w:r>
      <w:r w:rsidR="002E4ACA">
        <w:rPr>
          <w:rFonts w:ascii="Arial" w:hAnsi="Arial" w:cs="Arial"/>
          <w:sz w:val="24"/>
          <w:szCs w:val="24"/>
        </w:rPr>
        <w:t xml:space="preserve"> others will be</w:t>
      </w:r>
      <w:r w:rsidR="00B5332D">
        <w:rPr>
          <w:rFonts w:ascii="Arial" w:hAnsi="Arial" w:cs="Arial"/>
          <w:sz w:val="24"/>
          <w:szCs w:val="24"/>
        </w:rPr>
        <w:t xml:space="preserve"> incorporated </w:t>
      </w:r>
      <w:r>
        <w:rPr>
          <w:rFonts w:ascii="Arial" w:hAnsi="Arial" w:cs="Arial"/>
          <w:sz w:val="24"/>
          <w:szCs w:val="24"/>
        </w:rPr>
        <w:t xml:space="preserve">by agreement between the tenant and the lessor. </w:t>
      </w:r>
    </w:p>
    <w:p w14:paraId="1E58180B" w14:textId="1803C60B" w:rsidR="00296E80" w:rsidRDefault="00296E80" w:rsidP="002B23A0">
      <w:pPr>
        <w:rPr>
          <w:rFonts w:ascii="Arial" w:hAnsi="Arial" w:cs="Arial"/>
          <w:sz w:val="24"/>
          <w:szCs w:val="24"/>
        </w:rPr>
      </w:pPr>
      <w:r>
        <w:rPr>
          <w:rFonts w:ascii="Arial" w:hAnsi="Arial" w:cs="Arial"/>
          <w:sz w:val="24"/>
          <w:szCs w:val="24"/>
        </w:rPr>
        <w:t xml:space="preserve">The new terms inserted in schedule 2 </w:t>
      </w:r>
      <w:r w:rsidR="00B02DFD">
        <w:rPr>
          <w:rFonts w:ascii="Arial" w:hAnsi="Arial" w:cs="Arial"/>
          <w:sz w:val="24"/>
          <w:szCs w:val="24"/>
        </w:rPr>
        <w:t>are also</w:t>
      </w:r>
      <w:r>
        <w:rPr>
          <w:rFonts w:ascii="Arial" w:hAnsi="Arial" w:cs="Arial"/>
          <w:sz w:val="24"/>
          <w:szCs w:val="24"/>
        </w:rPr>
        <w:t xml:space="preserve"> ‘standard residential tenancy terms’ (referred to throughout this Explanatory Statement as SRTTs) – see the new definition of </w:t>
      </w:r>
      <w:r w:rsidRPr="00AD38AE">
        <w:rPr>
          <w:rFonts w:ascii="Arial" w:hAnsi="Arial" w:cs="Arial"/>
          <w:b/>
          <w:bCs/>
          <w:i/>
          <w:iCs/>
          <w:sz w:val="24"/>
          <w:szCs w:val="24"/>
        </w:rPr>
        <w:t>standard residential tenancy terms</w:t>
      </w:r>
      <w:r>
        <w:rPr>
          <w:rFonts w:ascii="Arial" w:hAnsi="Arial" w:cs="Arial"/>
          <w:b/>
          <w:bCs/>
          <w:sz w:val="24"/>
          <w:szCs w:val="24"/>
        </w:rPr>
        <w:t xml:space="preserve"> </w:t>
      </w:r>
      <w:r>
        <w:rPr>
          <w:rFonts w:ascii="Arial" w:hAnsi="Arial" w:cs="Arial"/>
          <w:sz w:val="24"/>
          <w:szCs w:val="24"/>
        </w:rPr>
        <w:t xml:space="preserve">substituted in the RTA Dictionary by clause </w:t>
      </w:r>
      <w:r w:rsidRPr="005A14D5">
        <w:rPr>
          <w:rFonts w:ascii="Arial" w:hAnsi="Arial" w:cs="Arial"/>
          <w:sz w:val="24"/>
          <w:szCs w:val="24"/>
        </w:rPr>
        <w:t>5</w:t>
      </w:r>
      <w:r w:rsidR="00741BDE" w:rsidRPr="00E359A9">
        <w:rPr>
          <w:rFonts w:ascii="Arial" w:hAnsi="Arial" w:cs="Arial"/>
          <w:sz w:val="24"/>
          <w:szCs w:val="24"/>
        </w:rPr>
        <w:t>7</w:t>
      </w:r>
      <w:r>
        <w:rPr>
          <w:rFonts w:ascii="Arial" w:hAnsi="Arial" w:cs="Arial"/>
          <w:sz w:val="24"/>
          <w:szCs w:val="24"/>
        </w:rPr>
        <w:t xml:space="preserve"> of this Bill. </w:t>
      </w:r>
    </w:p>
    <w:p w14:paraId="6DFE0B0B" w14:textId="33C3A1CD" w:rsidR="00741BDE" w:rsidRPr="00264F34" w:rsidRDefault="00741BDE" w:rsidP="002B23A0">
      <w:pPr>
        <w:rPr>
          <w:rFonts w:ascii="Arial" w:hAnsi="Arial" w:cs="Arial"/>
          <w:sz w:val="24"/>
          <w:szCs w:val="24"/>
        </w:rPr>
      </w:pPr>
      <w:r>
        <w:rPr>
          <w:rFonts w:ascii="Arial" w:hAnsi="Arial" w:cs="Arial"/>
          <w:sz w:val="24"/>
          <w:szCs w:val="24"/>
        </w:rPr>
        <w:t xml:space="preserve">It is noted that, for ease of reference, these new SRTTs are numbered, with then numbers following on from the existing 100 SRTTs contained in Schedule 1.  </w:t>
      </w:r>
      <w:r>
        <w:rPr>
          <w:rFonts w:ascii="Arial" w:hAnsi="Arial" w:cs="Arial"/>
          <w:sz w:val="24"/>
          <w:szCs w:val="24"/>
        </w:rPr>
        <w:lastRenderedPageBreak/>
        <w:t xml:space="preserve">However, it is acknowledged that where some but not all of these clauses are incorporated in a tenancy agreement this could result in gaps in the numbering of the standard terms.  However, so that the clauses can be referred to consistently by ACAT and others numbering has been provided. </w:t>
      </w:r>
    </w:p>
    <w:p w14:paraId="0D5DDFF7" w14:textId="3F30E2AC" w:rsidR="00296E80" w:rsidRPr="00DA1AEA" w:rsidRDefault="00F43AF2" w:rsidP="00296E80">
      <w:pPr>
        <w:rPr>
          <w:rFonts w:ascii="Arial" w:hAnsi="Arial" w:cs="Arial"/>
          <w:b/>
          <w:bCs/>
          <w:i/>
          <w:iCs/>
          <w:sz w:val="24"/>
          <w:szCs w:val="24"/>
        </w:rPr>
      </w:pPr>
      <w:r w:rsidRPr="00DA1AEA">
        <w:rPr>
          <w:rFonts w:ascii="Arial" w:hAnsi="Arial" w:cs="Arial"/>
          <w:b/>
          <w:bCs/>
          <w:i/>
          <w:iCs/>
          <w:sz w:val="24"/>
          <w:szCs w:val="24"/>
        </w:rPr>
        <w:t xml:space="preserve">Schedule 2, </w:t>
      </w:r>
      <w:r w:rsidR="002B23A0" w:rsidRPr="00DA1AEA">
        <w:rPr>
          <w:rFonts w:ascii="Arial" w:hAnsi="Arial" w:cs="Arial"/>
          <w:b/>
          <w:bCs/>
          <w:i/>
          <w:iCs/>
          <w:sz w:val="24"/>
          <w:szCs w:val="24"/>
        </w:rPr>
        <w:t>2.1</w:t>
      </w:r>
      <w:r w:rsidR="00DA1AEA">
        <w:rPr>
          <w:rFonts w:ascii="Arial" w:hAnsi="Arial" w:cs="Arial"/>
          <w:b/>
          <w:bCs/>
          <w:i/>
          <w:iCs/>
          <w:sz w:val="24"/>
          <w:szCs w:val="24"/>
        </w:rPr>
        <w:tab/>
      </w:r>
      <w:r w:rsidR="00296E80" w:rsidRPr="00DA1AEA">
        <w:rPr>
          <w:rFonts w:ascii="Arial" w:hAnsi="Arial" w:cs="Arial"/>
          <w:b/>
          <w:bCs/>
          <w:i/>
          <w:iCs/>
          <w:sz w:val="24"/>
          <w:szCs w:val="24"/>
        </w:rPr>
        <w:t>Break lease fee clause</w:t>
      </w:r>
    </w:p>
    <w:p w14:paraId="7627408C" w14:textId="59FAEE0F" w:rsidR="00741BDE" w:rsidRPr="00480D5F" w:rsidRDefault="00741BDE" w:rsidP="00296E80">
      <w:pPr>
        <w:rPr>
          <w:rFonts w:ascii="Arial" w:hAnsi="Arial" w:cs="Arial"/>
          <w:i/>
          <w:iCs/>
          <w:sz w:val="24"/>
          <w:szCs w:val="24"/>
        </w:rPr>
      </w:pPr>
      <w:r w:rsidRPr="00480D5F">
        <w:rPr>
          <w:rFonts w:ascii="Arial" w:hAnsi="Arial" w:cs="Arial"/>
          <w:i/>
          <w:iCs/>
          <w:sz w:val="24"/>
          <w:szCs w:val="24"/>
        </w:rPr>
        <w:t>101</w:t>
      </w:r>
      <w:r w:rsidRPr="00480D5F">
        <w:rPr>
          <w:rFonts w:ascii="Arial" w:hAnsi="Arial" w:cs="Arial"/>
          <w:i/>
          <w:iCs/>
          <w:sz w:val="24"/>
          <w:szCs w:val="24"/>
        </w:rPr>
        <w:tab/>
        <w:t>Termination before end of fixed term – fee for breaking lease</w:t>
      </w:r>
    </w:p>
    <w:p w14:paraId="6565C931" w14:textId="676A5AB8" w:rsidR="00296E80" w:rsidRDefault="00296E80" w:rsidP="00296E80">
      <w:pPr>
        <w:rPr>
          <w:rFonts w:ascii="Arial" w:hAnsi="Arial" w:cs="Arial"/>
          <w:sz w:val="24"/>
          <w:szCs w:val="24"/>
        </w:rPr>
      </w:pPr>
      <w:r>
        <w:rPr>
          <w:rFonts w:ascii="Arial" w:hAnsi="Arial" w:cs="Arial"/>
          <w:sz w:val="24"/>
          <w:szCs w:val="24"/>
        </w:rPr>
        <w:t xml:space="preserve">This provision relocates the existing break lease tenancy </w:t>
      </w:r>
      <w:r w:rsidR="00DE1E6D">
        <w:rPr>
          <w:rFonts w:ascii="Arial" w:hAnsi="Arial" w:cs="Arial"/>
          <w:sz w:val="24"/>
          <w:szCs w:val="24"/>
        </w:rPr>
        <w:t xml:space="preserve">term </w:t>
      </w:r>
      <w:r w:rsidRPr="00264F34">
        <w:rPr>
          <w:rFonts w:ascii="Arial" w:hAnsi="Arial" w:cs="Arial"/>
          <w:sz w:val="24"/>
          <w:szCs w:val="24"/>
        </w:rPr>
        <w:t xml:space="preserve">from </w:t>
      </w:r>
      <w:r>
        <w:rPr>
          <w:rFonts w:ascii="Arial" w:hAnsi="Arial" w:cs="Arial"/>
          <w:sz w:val="24"/>
          <w:szCs w:val="24"/>
        </w:rPr>
        <w:t xml:space="preserve">the </w:t>
      </w:r>
      <w:r w:rsidRPr="00264F34">
        <w:rPr>
          <w:rFonts w:ascii="Arial" w:hAnsi="Arial" w:cs="Arial"/>
          <w:sz w:val="24"/>
          <w:szCs w:val="24"/>
        </w:rPr>
        <w:t xml:space="preserve">definition </w:t>
      </w:r>
      <w:r>
        <w:rPr>
          <w:rFonts w:ascii="Arial" w:hAnsi="Arial" w:cs="Arial"/>
          <w:sz w:val="24"/>
          <w:szCs w:val="24"/>
        </w:rPr>
        <w:t xml:space="preserve">of the term </w:t>
      </w:r>
      <w:r w:rsidRPr="00264F34">
        <w:rPr>
          <w:rFonts w:ascii="Arial" w:hAnsi="Arial" w:cs="Arial"/>
          <w:sz w:val="24"/>
          <w:szCs w:val="24"/>
        </w:rPr>
        <w:t>formerly found in section 8.</w:t>
      </w:r>
    </w:p>
    <w:p w14:paraId="4B7DE760" w14:textId="45F11C72" w:rsidR="00296E80" w:rsidRDefault="00296E80" w:rsidP="002B23A0">
      <w:pPr>
        <w:rPr>
          <w:rFonts w:ascii="Arial" w:hAnsi="Arial" w:cs="Arial"/>
          <w:sz w:val="24"/>
          <w:szCs w:val="24"/>
        </w:rPr>
      </w:pPr>
      <w:r>
        <w:rPr>
          <w:rFonts w:ascii="Arial" w:hAnsi="Arial" w:cs="Arial"/>
          <w:sz w:val="24"/>
          <w:szCs w:val="24"/>
        </w:rPr>
        <w:t xml:space="preserve">This tenancy term </w:t>
      </w:r>
      <w:r w:rsidR="002B23A0" w:rsidRPr="00264F34">
        <w:rPr>
          <w:rFonts w:ascii="Arial" w:hAnsi="Arial" w:cs="Arial"/>
          <w:sz w:val="24"/>
          <w:szCs w:val="24"/>
        </w:rPr>
        <w:t>provides a standard break lease fee clause</w:t>
      </w:r>
      <w:r w:rsidR="002B23A0">
        <w:rPr>
          <w:rFonts w:ascii="Arial" w:hAnsi="Arial" w:cs="Arial"/>
          <w:sz w:val="24"/>
          <w:szCs w:val="24"/>
        </w:rPr>
        <w:t xml:space="preserve"> which can be included in a residential tenancy agreement by agreement between a tenant and a lessor. </w:t>
      </w:r>
    </w:p>
    <w:p w14:paraId="5BBB8CFE" w14:textId="6EFD5B22" w:rsidR="002B23A0" w:rsidRDefault="002B23A0" w:rsidP="002B23A0">
      <w:pPr>
        <w:rPr>
          <w:rFonts w:ascii="Arial" w:hAnsi="Arial" w:cs="Arial"/>
          <w:sz w:val="24"/>
          <w:szCs w:val="24"/>
        </w:rPr>
      </w:pPr>
      <w:r>
        <w:rPr>
          <w:rFonts w:ascii="Arial" w:hAnsi="Arial" w:cs="Arial"/>
          <w:sz w:val="24"/>
          <w:szCs w:val="24"/>
        </w:rPr>
        <w:t xml:space="preserve">The </w:t>
      </w:r>
      <w:r w:rsidR="002E4ACA">
        <w:rPr>
          <w:rFonts w:ascii="Arial" w:hAnsi="Arial" w:cs="Arial"/>
          <w:sz w:val="24"/>
          <w:szCs w:val="24"/>
        </w:rPr>
        <w:t xml:space="preserve">substance of this provision remains unchanged </w:t>
      </w:r>
      <w:r w:rsidR="00296E80">
        <w:rPr>
          <w:rFonts w:ascii="Arial" w:hAnsi="Arial" w:cs="Arial"/>
          <w:sz w:val="24"/>
          <w:szCs w:val="24"/>
        </w:rPr>
        <w:t xml:space="preserve">by its relocation, </w:t>
      </w:r>
      <w:r w:rsidR="002E4ACA">
        <w:rPr>
          <w:rFonts w:ascii="Arial" w:hAnsi="Arial" w:cs="Arial"/>
          <w:sz w:val="24"/>
          <w:szCs w:val="24"/>
        </w:rPr>
        <w:t xml:space="preserve">however this </w:t>
      </w:r>
      <w:r>
        <w:rPr>
          <w:rFonts w:ascii="Arial" w:hAnsi="Arial" w:cs="Arial"/>
          <w:sz w:val="24"/>
          <w:szCs w:val="24"/>
        </w:rPr>
        <w:t xml:space="preserve">amendment renames the </w:t>
      </w:r>
      <w:r w:rsidR="002E4ACA">
        <w:rPr>
          <w:rFonts w:ascii="Arial" w:hAnsi="Arial" w:cs="Arial"/>
          <w:sz w:val="24"/>
          <w:szCs w:val="24"/>
        </w:rPr>
        <w:t xml:space="preserve">provision from ‘break lease clause’ </w:t>
      </w:r>
      <w:r>
        <w:rPr>
          <w:rFonts w:ascii="Arial" w:hAnsi="Arial" w:cs="Arial"/>
          <w:sz w:val="24"/>
          <w:szCs w:val="24"/>
        </w:rPr>
        <w:t xml:space="preserve">to </w:t>
      </w:r>
      <w:r w:rsidR="002E4ACA">
        <w:rPr>
          <w:rFonts w:ascii="Arial" w:hAnsi="Arial" w:cs="Arial"/>
          <w:sz w:val="24"/>
          <w:szCs w:val="24"/>
        </w:rPr>
        <w:t>‘</w:t>
      </w:r>
      <w:r w:rsidRPr="00D23FC1">
        <w:rPr>
          <w:rFonts w:ascii="Arial" w:hAnsi="Arial" w:cs="Arial"/>
          <w:i/>
          <w:iCs/>
          <w:sz w:val="24"/>
          <w:szCs w:val="24"/>
        </w:rPr>
        <w:t>break lease fee clause</w:t>
      </w:r>
      <w:r w:rsidR="002E4ACA">
        <w:rPr>
          <w:rFonts w:ascii="Arial" w:hAnsi="Arial" w:cs="Arial"/>
          <w:i/>
          <w:iCs/>
          <w:sz w:val="24"/>
          <w:szCs w:val="24"/>
        </w:rPr>
        <w:t>’</w:t>
      </w:r>
      <w:r>
        <w:rPr>
          <w:rFonts w:ascii="Arial" w:hAnsi="Arial" w:cs="Arial"/>
          <w:sz w:val="24"/>
          <w:szCs w:val="24"/>
        </w:rPr>
        <w:t xml:space="preserve">. This clarifies the intent of the clause which is to provide a framework for determining what fee is payable by a tenant to a lessor when they end a fixed term agreement </w:t>
      </w:r>
      <w:r w:rsidR="00B02DFD">
        <w:rPr>
          <w:rFonts w:ascii="Arial" w:hAnsi="Arial" w:cs="Arial"/>
          <w:sz w:val="24"/>
          <w:szCs w:val="24"/>
        </w:rPr>
        <w:t xml:space="preserve">prior to the expiry of the fixed </w:t>
      </w:r>
      <w:r w:rsidR="006D2698">
        <w:rPr>
          <w:rFonts w:ascii="Arial" w:hAnsi="Arial" w:cs="Arial"/>
          <w:sz w:val="24"/>
          <w:szCs w:val="24"/>
        </w:rPr>
        <w:t>term and</w:t>
      </w:r>
      <w:r>
        <w:rPr>
          <w:rFonts w:ascii="Arial" w:hAnsi="Arial" w:cs="Arial"/>
          <w:sz w:val="24"/>
          <w:szCs w:val="24"/>
        </w:rPr>
        <w:t xml:space="preserve"> are not relying on any of the permitted grounds for terminating a residential tenancy agreement. </w:t>
      </w:r>
    </w:p>
    <w:p w14:paraId="2740AC36" w14:textId="77777777" w:rsidR="00B02DFD" w:rsidRDefault="00F43AF2" w:rsidP="00296E80">
      <w:pPr>
        <w:rPr>
          <w:rFonts w:ascii="Arial" w:hAnsi="Arial" w:cs="Arial"/>
          <w:b/>
          <w:bCs/>
          <w:i/>
          <w:iCs/>
          <w:sz w:val="24"/>
          <w:szCs w:val="24"/>
        </w:rPr>
      </w:pPr>
      <w:r w:rsidRPr="00DA1AEA">
        <w:rPr>
          <w:rFonts w:ascii="Arial" w:hAnsi="Arial" w:cs="Arial"/>
          <w:b/>
          <w:bCs/>
          <w:i/>
          <w:iCs/>
          <w:sz w:val="24"/>
          <w:szCs w:val="24"/>
        </w:rPr>
        <w:t xml:space="preserve">Schedule 2, </w:t>
      </w:r>
      <w:r w:rsidR="002B23A0" w:rsidRPr="00DA1AEA">
        <w:rPr>
          <w:rFonts w:ascii="Arial" w:hAnsi="Arial" w:cs="Arial"/>
          <w:b/>
          <w:bCs/>
          <w:i/>
          <w:iCs/>
          <w:sz w:val="24"/>
          <w:szCs w:val="24"/>
        </w:rPr>
        <w:t>2.2</w:t>
      </w:r>
      <w:r w:rsidR="00DA1AEA">
        <w:rPr>
          <w:rFonts w:ascii="Arial" w:hAnsi="Arial" w:cs="Arial"/>
          <w:i/>
          <w:iCs/>
          <w:sz w:val="24"/>
          <w:szCs w:val="24"/>
        </w:rPr>
        <w:tab/>
      </w:r>
      <w:r w:rsidR="00B02DFD">
        <w:rPr>
          <w:rFonts w:ascii="Arial" w:hAnsi="Arial" w:cs="Arial"/>
          <w:b/>
          <w:bCs/>
          <w:i/>
          <w:iCs/>
          <w:sz w:val="24"/>
          <w:szCs w:val="24"/>
        </w:rPr>
        <w:t>Posting termination clause</w:t>
      </w:r>
    </w:p>
    <w:p w14:paraId="4760843F" w14:textId="1DA7FF85" w:rsidR="00B02DFD" w:rsidRDefault="002A235A" w:rsidP="00296E80">
      <w:pPr>
        <w:rPr>
          <w:rFonts w:ascii="Arial" w:hAnsi="Arial" w:cs="Arial"/>
          <w:b/>
          <w:bCs/>
          <w:i/>
          <w:iCs/>
          <w:sz w:val="24"/>
          <w:szCs w:val="24"/>
        </w:rPr>
      </w:pPr>
      <w:r>
        <w:rPr>
          <w:rFonts w:ascii="Arial" w:hAnsi="Arial" w:cs="Arial"/>
          <w:b/>
          <w:bCs/>
          <w:i/>
          <w:iCs/>
          <w:sz w:val="24"/>
          <w:szCs w:val="24"/>
        </w:rPr>
        <w:t>102</w:t>
      </w:r>
      <w:r>
        <w:rPr>
          <w:rFonts w:ascii="Arial" w:hAnsi="Arial" w:cs="Arial"/>
          <w:b/>
          <w:bCs/>
          <w:i/>
          <w:iCs/>
          <w:sz w:val="24"/>
          <w:szCs w:val="24"/>
        </w:rPr>
        <w:tab/>
      </w:r>
      <w:r w:rsidR="00B02DFD">
        <w:rPr>
          <w:rFonts w:ascii="Arial" w:hAnsi="Arial" w:cs="Arial"/>
          <w:b/>
          <w:bCs/>
          <w:i/>
          <w:iCs/>
          <w:sz w:val="24"/>
          <w:szCs w:val="24"/>
        </w:rPr>
        <w:t>Termination because of posting</w:t>
      </w:r>
    </w:p>
    <w:p w14:paraId="57B6DB6A" w14:textId="22194A16" w:rsidR="00B02DFD" w:rsidRDefault="00307EEE" w:rsidP="00296E80">
      <w:pPr>
        <w:rPr>
          <w:rFonts w:ascii="Arial" w:hAnsi="Arial" w:cs="Arial"/>
          <w:sz w:val="24"/>
          <w:szCs w:val="24"/>
        </w:rPr>
      </w:pPr>
      <w:r>
        <w:rPr>
          <w:rFonts w:ascii="Arial" w:hAnsi="Arial" w:cs="Arial"/>
          <w:sz w:val="24"/>
          <w:szCs w:val="24"/>
        </w:rPr>
        <w:t>Claus</w:t>
      </w:r>
      <w:r w:rsidR="006D2698">
        <w:rPr>
          <w:rFonts w:ascii="Arial" w:hAnsi="Arial" w:cs="Arial"/>
          <w:sz w:val="24"/>
          <w:szCs w:val="24"/>
        </w:rPr>
        <w:t>e</w:t>
      </w:r>
      <w:r>
        <w:rPr>
          <w:rFonts w:ascii="Arial" w:hAnsi="Arial" w:cs="Arial"/>
          <w:sz w:val="24"/>
          <w:szCs w:val="24"/>
        </w:rPr>
        <w:t xml:space="preserve"> 2.2 reproduces the posting termination clause formerly in section 8, with a slight amendment to the wording to provide greater clarity about the policy intent.</w:t>
      </w:r>
    </w:p>
    <w:p w14:paraId="735CDE2F" w14:textId="3EE92BE9" w:rsidR="00307EEE" w:rsidRDefault="00307EEE" w:rsidP="00296E80">
      <w:pPr>
        <w:rPr>
          <w:rFonts w:ascii="Arial" w:hAnsi="Arial" w:cs="Arial"/>
          <w:sz w:val="24"/>
          <w:szCs w:val="24"/>
        </w:rPr>
      </w:pPr>
      <w:r>
        <w:rPr>
          <w:rFonts w:ascii="Arial" w:hAnsi="Arial" w:cs="Arial"/>
          <w:sz w:val="24"/>
          <w:szCs w:val="24"/>
        </w:rPr>
        <w:t>The posting termination clause provides that a tenancy agreement may be terminated if: (a) the lessor is posted to the ACT in the course of their employment; or (b) the tenant is posted away from the ACT in the course of their employment.</w:t>
      </w:r>
    </w:p>
    <w:p w14:paraId="39D4CD2A" w14:textId="697B4420" w:rsidR="006D2698" w:rsidRDefault="00307EEE" w:rsidP="00296E80">
      <w:pPr>
        <w:rPr>
          <w:rFonts w:ascii="Arial" w:hAnsi="Arial" w:cs="Arial"/>
          <w:sz w:val="24"/>
          <w:szCs w:val="24"/>
        </w:rPr>
      </w:pPr>
      <w:r>
        <w:rPr>
          <w:rFonts w:ascii="Arial" w:hAnsi="Arial" w:cs="Arial"/>
          <w:sz w:val="24"/>
          <w:szCs w:val="24"/>
        </w:rPr>
        <w:t>If either party wishes to rely on this clause, they must provide either a</w:t>
      </w:r>
      <w:r w:rsidR="006D2698">
        <w:rPr>
          <w:rFonts w:ascii="Arial" w:hAnsi="Arial" w:cs="Arial"/>
          <w:sz w:val="24"/>
          <w:szCs w:val="24"/>
        </w:rPr>
        <w:t>n</w:t>
      </w:r>
      <w:r>
        <w:rPr>
          <w:rFonts w:ascii="Arial" w:hAnsi="Arial" w:cs="Arial"/>
          <w:sz w:val="24"/>
          <w:szCs w:val="24"/>
        </w:rPr>
        <w:t xml:space="preserve"> </w:t>
      </w:r>
      <w:r w:rsidR="006D2698">
        <w:rPr>
          <w:rFonts w:ascii="Arial" w:hAnsi="Arial" w:cs="Arial"/>
          <w:sz w:val="24"/>
          <w:szCs w:val="24"/>
        </w:rPr>
        <w:t>NTV</w:t>
      </w:r>
      <w:r>
        <w:rPr>
          <w:rFonts w:ascii="Arial" w:hAnsi="Arial" w:cs="Arial"/>
          <w:sz w:val="24"/>
          <w:szCs w:val="24"/>
        </w:rPr>
        <w:t>, or a notice of intention to vacate with a minimum of 8 weeks</w:t>
      </w:r>
      <w:r w:rsidR="000B1647">
        <w:rPr>
          <w:rFonts w:ascii="Arial" w:hAnsi="Arial" w:cs="Arial"/>
          <w:sz w:val="24"/>
          <w:szCs w:val="24"/>
        </w:rPr>
        <w:t>’</w:t>
      </w:r>
      <w:r>
        <w:rPr>
          <w:rFonts w:ascii="Arial" w:hAnsi="Arial" w:cs="Arial"/>
          <w:sz w:val="24"/>
          <w:szCs w:val="24"/>
        </w:rPr>
        <w:t xml:space="preserve"> notice. This notice must be supplemented by evidence of their posting</w:t>
      </w:r>
      <w:r w:rsidR="006D2698">
        <w:rPr>
          <w:rFonts w:ascii="Arial" w:hAnsi="Arial" w:cs="Arial"/>
          <w:sz w:val="24"/>
          <w:szCs w:val="24"/>
        </w:rPr>
        <w:t xml:space="preserve"> (for example, a letter from the employer of the lessor or tenant confirming the details of the posting).</w:t>
      </w:r>
    </w:p>
    <w:p w14:paraId="0E7DBE9E" w14:textId="34BCB050" w:rsidR="006D2698" w:rsidRDefault="006D2698" w:rsidP="00296E80">
      <w:pPr>
        <w:rPr>
          <w:rFonts w:ascii="Arial" w:hAnsi="Arial" w:cs="Arial"/>
          <w:sz w:val="24"/>
          <w:szCs w:val="24"/>
        </w:rPr>
      </w:pPr>
      <w:r>
        <w:rPr>
          <w:rFonts w:ascii="Arial" w:hAnsi="Arial" w:cs="Arial"/>
          <w:sz w:val="24"/>
          <w:szCs w:val="24"/>
        </w:rPr>
        <w:t>Where a party has relied on this section, the residential tenancy agreement terminates either – (a) 8 weeks after the day the notice is received; or (b) if a later date is stated in the notice – on the stated date.</w:t>
      </w:r>
    </w:p>
    <w:p w14:paraId="7503F040" w14:textId="00F83F33" w:rsidR="00307EEE" w:rsidRDefault="00307EEE" w:rsidP="00296E80">
      <w:pPr>
        <w:rPr>
          <w:rFonts w:ascii="Arial" w:hAnsi="Arial" w:cs="Arial"/>
          <w:sz w:val="24"/>
          <w:szCs w:val="24"/>
        </w:rPr>
      </w:pPr>
      <w:r>
        <w:rPr>
          <w:rFonts w:ascii="Arial" w:hAnsi="Arial" w:cs="Arial"/>
          <w:sz w:val="24"/>
          <w:szCs w:val="24"/>
        </w:rPr>
        <w:t>The relocation of the posting termination clause is not intended to amend its interpretation or operation. Rather, this amendment has been made so that the additional SRTTs are grouped together in a single schedule for readability and clarity.</w:t>
      </w:r>
    </w:p>
    <w:p w14:paraId="70EEB112" w14:textId="5D2D6DFF" w:rsidR="00AB506B" w:rsidRPr="00480D5F" w:rsidRDefault="00B02DFD" w:rsidP="00296E80">
      <w:pPr>
        <w:rPr>
          <w:rFonts w:ascii="Arial" w:hAnsi="Arial" w:cs="Arial"/>
          <w:sz w:val="24"/>
          <w:szCs w:val="24"/>
        </w:rPr>
      </w:pPr>
      <w:r>
        <w:rPr>
          <w:rFonts w:ascii="Arial" w:hAnsi="Arial" w:cs="Arial"/>
          <w:sz w:val="24"/>
          <w:szCs w:val="24"/>
        </w:rPr>
        <w:t>However, this amendment substitutes ‘Canberra’ for ‘ACT’</w:t>
      </w:r>
      <w:r w:rsidR="00AB506B">
        <w:rPr>
          <w:rFonts w:ascii="Arial" w:hAnsi="Arial" w:cs="Arial"/>
          <w:sz w:val="24"/>
          <w:szCs w:val="24"/>
        </w:rPr>
        <w:t xml:space="preserve">. The posting termination clause was never intended to </w:t>
      </w:r>
      <w:r w:rsidR="00307EEE">
        <w:rPr>
          <w:rFonts w:ascii="Arial" w:hAnsi="Arial" w:cs="Arial"/>
          <w:sz w:val="24"/>
          <w:szCs w:val="24"/>
        </w:rPr>
        <w:t>apply</w:t>
      </w:r>
      <w:r w:rsidR="00AB506B">
        <w:rPr>
          <w:rFonts w:ascii="Arial" w:hAnsi="Arial" w:cs="Arial"/>
          <w:sz w:val="24"/>
          <w:szCs w:val="24"/>
        </w:rPr>
        <w:t xml:space="preserve"> exclusively to residential tenancy agreements </w:t>
      </w:r>
      <w:r w:rsidR="00AB506B">
        <w:rPr>
          <w:rFonts w:ascii="Arial" w:hAnsi="Arial" w:cs="Arial"/>
          <w:sz w:val="24"/>
          <w:szCs w:val="24"/>
        </w:rPr>
        <w:lastRenderedPageBreak/>
        <w:t xml:space="preserve">within Canberra, </w:t>
      </w:r>
      <w:r w:rsidR="006D2698">
        <w:rPr>
          <w:rFonts w:ascii="Arial" w:hAnsi="Arial" w:cs="Arial"/>
          <w:sz w:val="24"/>
          <w:szCs w:val="24"/>
        </w:rPr>
        <w:t>rather than</w:t>
      </w:r>
      <w:r w:rsidR="00AB506B">
        <w:rPr>
          <w:rFonts w:ascii="Arial" w:hAnsi="Arial" w:cs="Arial"/>
          <w:sz w:val="24"/>
          <w:szCs w:val="24"/>
        </w:rPr>
        <w:t xml:space="preserve"> the greater ACT. This amendment was made to explicitly </w:t>
      </w:r>
      <w:r w:rsidR="006D2698">
        <w:rPr>
          <w:rFonts w:ascii="Arial" w:hAnsi="Arial" w:cs="Arial"/>
          <w:sz w:val="24"/>
          <w:szCs w:val="24"/>
        </w:rPr>
        <w:t>confirm</w:t>
      </w:r>
      <w:r w:rsidR="00307EEE">
        <w:rPr>
          <w:rFonts w:ascii="Arial" w:hAnsi="Arial" w:cs="Arial"/>
          <w:sz w:val="24"/>
          <w:szCs w:val="24"/>
        </w:rPr>
        <w:t xml:space="preserve"> this intent.</w:t>
      </w:r>
    </w:p>
    <w:p w14:paraId="682C27F8" w14:textId="77777777" w:rsidR="002A235A" w:rsidRDefault="00AB506B">
      <w:pPr>
        <w:ind w:left="720" w:hanging="720"/>
        <w:rPr>
          <w:rFonts w:ascii="Arial" w:hAnsi="Arial" w:cs="Arial"/>
          <w:b/>
          <w:bCs/>
          <w:i/>
          <w:iCs/>
          <w:sz w:val="24"/>
          <w:szCs w:val="24"/>
        </w:rPr>
      </w:pPr>
      <w:r>
        <w:rPr>
          <w:rFonts w:ascii="Arial" w:hAnsi="Arial" w:cs="Arial"/>
          <w:b/>
          <w:bCs/>
          <w:i/>
          <w:iCs/>
          <w:sz w:val="24"/>
          <w:szCs w:val="24"/>
        </w:rPr>
        <w:t>Schedule 2, 2.3</w:t>
      </w:r>
      <w:r>
        <w:rPr>
          <w:rFonts w:ascii="Arial" w:hAnsi="Arial" w:cs="Arial"/>
          <w:b/>
          <w:bCs/>
          <w:i/>
          <w:iCs/>
          <w:sz w:val="24"/>
          <w:szCs w:val="24"/>
        </w:rPr>
        <w:tab/>
      </w:r>
      <w:r w:rsidR="00296E80" w:rsidRPr="00DA1AEA">
        <w:rPr>
          <w:rFonts w:ascii="Arial" w:hAnsi="Arial" w:cs="Arial"/>
          <w:b/>
          <w:bCs/>
          <w:i/>
          <w:iCs/>
          <w:sz w:val="24"/>
          <w:szCs w:val="24"/>
        </w:rPr>
        <w:t>Community housing provider termination clause</w:t>
      </w:r>
    </w:p>
    <w:p w14:paraId="213597BD" w14:textId="22245DB8" w:rsidR="00296E80" w:rsidRPr="00480D5F" w:rsidRDefault="00EE0C95" w:rsidP="00480D5F">
      <w:pPr>
        <w:ind w:left="720" w:hanging="720"/>
        <w:rPr>
          <w:rFonts w:ascii="Arial" w:hAnsi="Arial" w:cs="Arial"/>
          <w:b/>
          <w:bCs/>
          <w:i/>
          <w:iCs/>
          <w:sz w:val="24"/>
          <w:szCs w:val="24"/>
        </w:rPr>
      </w:pPr>
      <w:r>
        <w:rPr>
          <w:rFonts w:ascii="Arial" w:hAnsi="Arial" w:cs="Arial"/>
          <w:b/>
          <w:bCs/>
          <w:i/>
          <w:iCs/>
          <w:sz w:val="24"/>
          <w:szCs w:val="24"/>
        </w:rPr>
        <w:t>103</w:t>
      </w:r>
      <w:r>
        <w:rPr>
          <w:rFonts w:ascii="Arial" w:hAnsi="Arial" w:cs="Arial"/>
          <w:b/>
          <w:bCs/>
          <w:i/>
          <w:iCs/>
          <w:sz w:val="24"/>
          <w:szCs w:val="24"/>
        </w:rPr>
        <w:tab/>
      </w:r>
      <w:r w:rsidR="001D5147">
        <w:rPr>
          <w:rFonts w:ascii="Arial" w:hAnsi="Arial" w:cs="Arial"/>
          <w:b/>
          <w:bCs/>
          <w:i/>
          <w:iCs/>
          <w:sz w:val="24"/>
          <w:szCs w:val="24"/>
        </w:rPr>
        <w:t>Termination by community housing provider if premises required by owner</w:t>
      </w:r>
    </w:p>
    <w:p w14:paraId="1DFF0765" w14:textId="77777777" w:rsidR="00985DE9" w:rsidRDefault="00985DE9" w:rsidP="00296E80">
      <w:pPr>
        <w:rPr>
          <w:rFonts w:ascii="Arial" w:hAnsi="Arial" w:cs="Arial"/>
          <w:i/>
          <w:iCs/>
          <w:sz w:val="24"/>
          <w:szCs w:val="24"/>
        </w:rPr>
      </w:pPr>
      <w:r>
        <w:rPr>
          <w:rFonts w:ascii="Arial" w:hAnsi="Arial" w:cs="Arial"/>
          <w:i/>
          <w:iCs/>
          <w:sz w:val="24"/>
          <w:szCs w:val="24"/>
        </w:rPr>
        <w:t>Background</w:t>
      </w:r>
    </w:p>
    <w:p w14:paraId="691205F7" w14:textId="36E19E70" w:rsidR="00985DE9" w:rsidRDefault="00985DE9" w:rsidP="00296E80">
      <w:pPr>
        <w:rPr>
          <w:rFonts w:ascii="Arial" w:hAnsi="Arial" w:cs="Arial"/>
          <w:sz w:val="24"/>
          <w:szCs w:val="24"/>
        </w:rPr>
      </w:pPr>
      <w:r>
        <w:rPr>
          <w:rFonts w:ascii="Arial" w:hAnsi="Arial" w:cs="Arial"/>
          <w:sz w:val="24"/>
          <w:szCs w:val="24"/>
        </w:rPr>
        <w:t xml:space="preserve">The policy intention of this provision </w:t>
      </w:r>
      <w:r w:rsidR="000B1647">
        <w:rPr>
          <w:rFonts w:ascii="Arial" w:hAnsi="Arial" w:cs="Arial"/>
          <w:sz w:val="24"/>
          <w:szCs w:val="24"/>
        </w:rPr>
        <w:t xml:space="preserve">(when it applies to private property owners) </w:t>
      </w:r>
      <w:r w:rsidR="006D2698">
        <w:rPr>
          <w:rFonts w:ascii="Arial" w:hAnsi="Arial" w:cs="Arial"/>
          <w:sz w:val="24"/>
          <w:szCs w:val="24"/>
        </w:rPr>
        <w:t>i</w:t>
      </w:r>
      <w:r>
        <w:rPr>
          <w:rFonts w:ascii="Arial" w:hAnsi="Arial" w:cs="Arial"/>
          <w:sz w:val="24"/>
          <w:szCs w:val="24"/>
        </w:rPr>
        <w:t>s to give property owners</w:t>
      </w:r>
      <w:r w:rsidR="006D2698">
        <w:rPr>
          <w:rFonts w:ascii="Arial" w:hAnsi="Arial" w:cs="Arial"/>
          <w:sz w:val="24"/>
          <w:szCs w:val="24"/>
        </w:rPr>
        <w:t xml:space="preserve">, </w:t>
      </w:r>
      <w:r>
        <w:rPr>
          <w:rFonts w:ascii="Arial" w:hAnsi="Arial" w:cs="Arial"/>
          <w:sz w:val="24"/>
          <w:szCs w:val="24"/>
        </w:rPr>
        <w:t xml:space="preserve">confidence that </w:t>
      </w:r>
      <w:r w:rsidR="006D2698">
        <w:rPr>
          <w:rFonts w:ascii="Arial" w:hAnsi="Arial" w:cs="Arial"/>
          <w:sz w:val="24"/>
          <w:szCs w:val="24"/>
        </w:rPr>
        <w:t>if they choose to</w:t>
      </w:r>
      <w:r>
        <w:rPr>
          <w:rFonts w:ascii="Arial" w:hAnsi="Arial" w:cs="Arial"/>
          <w:sz w:val="24"/>
          <w:szCs w:val="24"/>
        </w:rPr>
        <w:t xml:space="preserve"> participate in an affordable housing program, </w:t>
      </w:r>
      <w:r w:rsidR="006D2698">
        <w:rPr>
          <w:rFonts w:ascii="Arial" w:hAnsi="Arial" w:cs="Arial"/>
          <w:sz w:val="24"/>
          <w:szCs w:val="24"/>
        </w:rPr>
        <w:t>they</w:t>
      </w:r>
      <w:r>
        <w:rPr>
          <w:rFonts w:ascii="Arial" w:hAnsi="Arial" w:cs="Arial"/>
          <w:sz w:val="24"/>
          <w:szCs w:val="24"/>
        </w:rPr>
        <w:t xml:space="preserve"> can regain</w:t>
      </w:r>
      <w:r w:rsidR="006D2698">
        <w:rPr>
          <w:rFonts w:ascii="Arial" w:hAnsi="Arial" w:cs="Arial"/>
          <w:sz w:val="24"/>
          <w:szCs w:val="24"/>
        </w:rPr>
        <w:t xml:space="preserve"> possession of their premises if they need to</w:t>
      </w:r>
      <w:r w:rsidR="000B1647">
        <w:rPr>
          <w:rFonts w:ascii="Arial" w:hAnsi="Arial" w:cs="Arial"/>
          <w:sz w:val="24"/>
          <w:szCs w:val="24"/>
        </w:rPr>
        <w:t xml:space="preserve">.  </w:t>
      </w:r>
      <w:r w:rsidR="006D2698">
        <w:rPr>
          <w:rFonts w:ascii="Arial" w:hAnsi="Arial" w:cs="Arial"/>
          <w:sz w:val="24"/>
          <w:szCs w:val="24"/>
        </w:rPr>
        <w:t xml:space="preserve"> </w:t>
      </w:r>
      <w:r w:rsidR="000B1647">
        <w:rPr>
          <w:rFonts w:ascii="Arial" w:hAnsi="Arial" w:cs="Arial"/>
          <w:sz w:val="24"/>
          <w:szCs w:val="24"/>
        </w:rPr>
        <w:t xml:space="preserve">The provision is also intended to enable the Housing Commissioner to regain control of the property when a property has been provided to a registered community housing provider (CHP) in accordance with a housing assistance program but the Housing Commissioner has withdrawn assistance from the CHP in accordance with the Housing Assistance program. </w:t>
      </w:r>
    </w:p>
    <w:p w14:paraId="6A534B5F" w14:textId="77777777" w:rsidR="00985DE9" w:rsidRDefault="00985DE9" w:rsidP="00296E80">
      <w:pPr>
        <w:rPr>
          <w:rFonts w:ascii="Arial" w:hAnsi="Arial" w:cs="Arial"/>
          <w:i/>
          <w:iCs/>
          <w:sz w:val="24"/>
          <w:szCs w:val="24"/>
        </w:rPr>
      </w:pPr>
      <w:r>
        <w:rPr>
          <w:rFonts w:ascii="Arial" w:hAnsi="Arial" w:cs="Arial"/>
          <w:i/>
          <w:iCs/>
          <w:sz w:val="24"/>
          <w:szCs w:val="24"/>
        </w:rPr>
        <w:t>Operation of the provision</w:t>
      </w:r>
    </w:p>
    <w:p w14:paraId="7A2995BA" w14:textId="077338B6" w:rsidR="001D5147" w:rsidRDefault="00EE0C95" w:rsidP="00296E80">
      <w:pPr>
        <w:rPr>
          <w:rFonts w:ascii="Arial" w:hAnsi="Arial" w:cs="Arial"/>
          <w:sz w:val="24"/>
          <w:szCs w:val="24"/>
        </w:rPr>
      </w:pPr>
      <w:r>
        <w:rPr>
          <w:rFonts w:ascii="Arial" w:hAnsi="Arial" w:cs="Arial"/>
          <w:sz w:val="24"/>
          <w:szCs w:val="24"/>
        </w:rPr>
        <w:t>This amendment</w:t>
      </w:r>
      <w:r w:rsidR="001D5147">
        <w:rPr>
          <w:rFonts w:ascii="Arial" w:hAnsi="Arial" w:cs="Arial"/>
          <w:sz w:val="24"/>
          <w:szCs w:val="24"/>
        </w:rPr>
        <w:t xml:space="preserve"> </w:t>
      </w:r>
      <w:r w:rsidR="008C40F4">
        <w:rPr>
          <w:rFonts w:ascii="Arial" w:hAnsi="Arial" w:cs="Arial"/>
          <w:sz w:val="24"/>
          <w:szCs w:val="24"/>
        </w:rPr>
        <w:t>introduces</w:t>
      </w:r>
      <w:r w:rsidR="001D5147">
        <w:rPr>
          <w:rFonts w:ascii="Arial" w:hAnsi="Arial" w:cs="Arial"/>
          <w:sz w:val="24"/>
          <w:szCs w:val="24"/>
        </w:rPr>
        <w:t xml:space="preserve"> </w:t>
      </w:r>
      <w:r>
        <w:rPr>
          <w:rFonts w:ascii="Arial" w:hAnsi="Arial" w:cs="Arial"/>
          <w:sz w:val="24"/>
          <w:szCs w:val="24"/>
        </w:rPr>
        <w:t xml:space="preserve">clause 103, and by doing so, </w:t>
      </w:r>
      <w:r w:rsidR="001D5147">
        <w:rPr>
          <w:rFonts w:ascii="Arial" w:hAnsi="Arial" w:cs="Arial"/>
          <w:sz w:val="24"/>
          <w:szCs w:val="24"/>
        </w:rPr>
        <w:t>new grounds on which a community housing provider may terminate a tenancy</w:t>
      </w:r>
      <w:r w:rsidR="00174344">
        <w:rPr>
          <w:rFonts w:ascii="Arial" w:hAnsi="Arial" w:cs="Arial"/>
          <w:sz w:val="24"/>
          <w:szCs w:val="24"/>
        </w:rPr>
        <w:t xml:space="preserve"> in circumstances</w:t>
      </w:r>
      <w:r w:rsidR="005B5671">
        <w:rPr>
          <w:rFonts w:ascii="Arial" w:hAnsi="Arial" w:cs="Arial"/>
          <w:sz w:val="24"/>
          <w:szCs w:val="24"/>
        </w:rPr>
        <w:t xml:space="preserve"> where the owner requires the premises.</w:t>
      </w:r>
    </w:p>
    <w:p w14:paraId="14B1D4FB" w14:textId="10801C85" w:rsidR="005B5671" w:rsidRDefault="005B5671" w:rsidP="00296E80">
      <w:pPr>
        <w:rPr>
          <w:rFonts w:ascii="Arial" w:hAnsi="Arial" w:cs="Arial"/>
          <w:sz w:val="24"/>
          <w:szCs w:val="24"/>
        </w:rPr>
      </w:pPr>
      <w:r>
        <w:rPr>
          <w:rFonts w:ascii="Arial" w:hAnsi="Arial" w:cs="Arial"/>
          <w:sz w:val="24"/>
          <w:szCs w:val="24"/>
        </w:rPr>
        <w:t xml:space="preserve">The clause </w:t>
      </w:r>
      <w:r w:rsidR="00174344">
        <w:rPr>
          <w:rFonts w:ascii="Arial" w:hAnsi="Arial" w:cs="Arial"/>
          <w:sz w:val="24"/>
          <w:szCs w:val="24"/>
        </w:rPr>
        <w:t>provides that an owner requires the premises, if they genuinely:</w:t>
      </w:r>
    </w:p>
    <w:p w14:paraId="59761280" w14:textId="1AC05E86" w:rsidR="005B5671" w:rsidRDefault="005B5671" w:rsidP="005B5671">
      <w:pPr>
        <w:pStyle w:val="ListParagraph"/>
        <w:numPr>
          <w:ilvl w:val="0"/>
          <w:numId w:val="36"/>
        </w:numPr>
        <w:rPr>
          <w:rFonts w:ascii="Arial" w:hAnsi="Arial" w:cs="Arial"/>
          <w:sz w:val="24"/>
          <w:szCs w:val="24"/>
        </w:rPr>
      </w:pPr>
      <w:r>
        <w:rPr>
          <w:rFonts w:ascii="Arial" w:hAnsi="Arial" w:cs="Arial"/>
          <w:sz w:val="24"/>
          <w:szCs w:val="24"/>
        </w:rPr>
        <w:t>intend to sell the premises</w:t>
      </w:r>
    </w:p>
    <w:p w14:paraId="1840D9EB" w14:textId="113BF6DF" w:rsidR="005B5671" w:rsidRDefault="005B5671" w:rsidP="005B5671">
      <w:pPr>
        <w:pStyle w:val="ListParagraph"/>
        <w:numPr>
          <w:ilvl w:val="0"/>
          <w:numId w:val="36"/>
        </w:numPr>
        <w:rPr>
          <w:rFonts w:ascii="Arial" w:hAnsi="Arial" w:cs="Arial"/>
          <w:sz w:val="24"/>
          <w:szCs w:val="24"/>
        </w:rPr>
      </w:pPr>
      <w:r>
        <w:rPr>
          <w:rFonts w:ascii="Arial" w:hAnsi="Arial" w:cs="Arial"/>
          <w:sz w:val="24"/>
          <w:szCs w:val="24"/>
        </w:rPr>
        <w:t>intend to live in the premises</w:t>
      </w:r>
    </w:p>
    <w:p w14:paraId="3DB69B38" w14:textId="7D5925EA" w:rsidR="005B5671" w:rsidRDefault="005B5671" w:rsidP="005B5671">
      <w:pPr>
        <w:pStyle w:val="ListParagraph"/>
        <w:numPr>
          <w:ilvl w:val="0"/>
          <w:numId w:val="36"/>
        </w:numPr>
        <w:rPr>
          <w:rFonts w:ascii="Arial" w:hAnsi="Arial" w:cs="Arial"/>
          <w:sz w:val="24"/>
          <w:szCs w:val="24"/>
        </w:rPr>
      </w:pPr>
      <w:r w:rsidRPr="00480D5F">
        <w:rPr>
          <w:rFonts w:ascii="Arial" w:hAnsi="Arial" w:cs="Arial"/>
          <w:sz w:val="24"/>
          <w:szCs w:val="24"/>
        </w:rPr>
        <w:t>believe their immediate relative intends to live in the premises</w:t>
      </w:r>
    </w:p>
    <w:p w14:paraId="6644910F" w14:textId="6A5F4E69" w:rsidR="005B5671" w:rsidRDefault="005B5671" w:rsidP="005B5671">
      <w:pPr>
        <w:pStyle w:val="ListParagraph"/>
        <w:numPr>
          <w:ilvl w:val="0"/>
          <w:numId w:val="36"/>
        </w:numPr>
        <w:rPr>
          <w:rFonts w:ascii="Arial" w:hAnsi="Arial" w:cs="Arial"/>
          <w:sz w:val="24"/>
          <w:szCs w:val="24"/>
        </w:rPr>
      </w:pPr>
      <w:r>
        <w:rPr>
          <w:rFonts w:ascii="Arial" w:hAnsi="Arial" w:cs="Arial"/>
          <w:sz w:val="24"/>
          <w:szCs w:val="24"/>
        </w:rPr>
        <w:t>believe an interested person intends to live in the premises</w:t>
      </w:r>
    </w:p>
    <w:p w14:paraId="210478B7" w14:textId="0DA5981F" w:rsidR="005B5671" w:rsidRDefault="005B5671" w:rsidP="005B5671">
      <w:pPr>
        <w:pStyle w:val="ListParagraph"/>
        <w:numPr>
          <w:ilvl w:val="0"/>
          <w:numId w:val="36"/>
        </w:numPr>
        <w:rPr>
          <w:rFonts w:ascii="Arial" w:hAnsi="Arial" w:cs="Arial"/>
          <w:sz w:val="24"/>
          <w:szCs w:val="24"/>
        </w:rPr>
      </w:pPr>
      <w:r>
        <w:rPr>
          <w:rFonts w:ascii="Arial" w:hAnsi="Arial" w:cs="Arial"/>
          <w:sz w:val="24"/>
          <w:szCs w:val="24"/>
        </w:rPr>
        <w:t>intend to reconstruct, renovate or make major repairs to the premises and that work could not reasonably be carried out with the tenant continuing to live in the premises</w:t>
      </w:r>
    </w:p>
    <w:p w14:paraId="6A338531" w14:textId="5F4C5087" w:rsidR="005B5671" w:rsidRDefault="005B5671" w:rsidP="005B5671">
      <w:pPr>
        <w:pStyle w:val="ListParagraph"/>
        <w:numPr>
          <w:ilvl w:val="0"/>
          <w:numId w:val="36"/>
        </w:numPr>
        <w:rPr>
          <w:rFonts w:ascii="Arial" w:hAnsi="Arial" w:cs="Arial"/>
          <w:sz w:val="24"/>
          <w:szCs w:val="24"/>
        </w:rPr>
      </w:pPr>
      <w:r>
        <w:rPr>
          <w:rFonts w:ascii="Arial" w:hAnsi="Arial" w:cs="Arial"/>
          <w:sz w:val="24"/>
          <w:szCs w:val="24"/>
        </w:rPr>
        <w:t>intend to stop using the premises for community housing</w:t>
      </w:r>
      <w:r w:rsidR="006D2698">
        <w:rPr>
          <w:rFonts w:ascii="Arial" w:hAnsi="Arial" w:cs="Arial"/>
          <w:sz w:val="24"/>
          <w:szCs w:val="24"/>
        </w:rPr>
        <w:t xml:space="preserve"> (and are not the Housing Commissioner).</w:t>
      </w:r>
    </w:p>
    <w:p w14:paraId="3E440FAE" w14:textId="5CDB7B60" w:rsidR="005B5671" w:rsidRDefault="005B5671" w:rsidP="005B5671">
      <w:pPr>
        <w:pStyle w:val="ListParagraph"/>
        <w:rPr>
          <w:rFonts w:ascii="Arial" w:hAnsi="Arial" w:cs="Arial"/>
          <w:sz w:val="24"/>
          <w:szCs w:val="24"/>
        </w:rPr>
      </w:pPr>
    </w:p>
    <w:p w14:paraId="1519025A" w14:textId="2E5E9D6E" w:rsidR="006D2698" w:rsidRDefault="006D2698" w:rsidP="005B5671">
      <w:pPr>
        <w:rPr>
          <w:rFonts w:ascii="Arial" w:hAnsi="Arial" w:cs="Arial"/>
          <w:sz w:val="24"/>
          <w:szCs w:val="24"/>
        </w:rPr>
      </w:pPr>
      <w:r>
        <w:rPr>
          <w:rFonts w:ascii="Arial" w:hAnsi="Arial" w:cs="Arial"/>
          <w:sz w:val="24"/>
          <w:szCs w:val="24"/>
        </w:rPr>
        <w:t xml:space="preserve">The provision also stipulates the minimum notice period for each of the prescribed grounds. Where an owner intends to sell the premises, live in the premises, or believes their immediate relative or other interested person intends to live in the premises, the tenant must be provided at least 8 weeks notice. Where the owner intends to reconstruct, renovate or make major repairs to the premises, a tenant must be provided with at least 12 weeks notice. </w:t>
      </w:r>
      <w:r w:rsidR="000B1647">
        <w:rPr>
          <w:rFonts w:ascii="Arial" w:hAnsi="Arial" w:cs="Arial"/>
          <w:sz w:val="24"/>
          <w:szCs w:val="24"/>
        </w:rPr>
        <w:t xml:space="preserve">These notice periods align with the those provided to other property owners (who are the lessors of the property they own) in clause 96 of the SRTSS.  </w:t>
      </w:r>
      <w:r>
        <w:rPr>
          <w:rFonts w:ascii="Arial" w:hAnsi="Arial" w:cs="Arial"/>
          <w:sz w:val="24"/>
          <w:szCs w:val="24"/>
        </w:rPr>
        <w:t>Finally, where an owner who is not the Housing Commissioner intends to stop using the premises for community housing, the tenant must be provided at least 26 weeks notice.</w:t>
      </w:r>
    </w:p>
    <w:p w14:paraId="3CE83EF7" w14:textId="3470A06C" w:rsidR="005B5671" w:rsidRPr="00480D5F" w:rsidRDefault="00174344" w:rsidP="005B5671">
      <w:pPr>
        <w:rPr>
          <w:rFonts w:ascii="Arial" w:hAnsi="Arial" w:cs="Arial"/>
          <w:sz w:val="24"/>
          <w:szCs w:val="24"/>
        </w:rPr>
      </w:pPr>
      <w:r>
        <w:rPr>
          <w:rFonts w:ascii="Arial" w:hAnsi="Arial" w:cs="Arial"/>
          <w:sz w:val="24"/>
          <w:szCs w:val="24"/>
        </w:rPr>
        <w:lastRenderedPageBreak/>
        <w:t>In addition to the above, c</w:t>
      </w:r>
      <w:r w:rsidR="005B5671">
        <w:rPr>
          <w:rFonts w:ascii="Arial" w:hAnsi="Arial" w:cs="Arial"/>
          <w:sz w:val="24"/>
          <w:szCs w:val="24"/>
        </w:rPr>
        <w:t xml:space="preserve">lause 2.3 also provides that where the Housing Commissioner owns the premises, they may rely on this section if they </w:t>
      </w:r>
      <w:r w:rsidR="006D2698">
        <w:rPr>
          <w:rFonts w:ascii="Arial" w:hAnsi="Arial" w:cs="Arial"/>
          <w:sz w:val="24"/>
          <w:szCs w:val="24"/>
        </w:rPr>
        <w:t>withdraw the premises in accordance with an approved</w:t>
      </w:r>
      <w:r w:rsidR="005B5671">
        <w:rPr>
          <w:rFonts w:ascii="Arial" w:hAnsi="Arial" w:cs="Arial"/>
          <w:sz w:val="24"/>
          <w:szCs w:val="24"/>
        </w:rPr>
        <w:t xml:space="preserve"> Housing Assistance Program.</w:t>
      </w:r>
      <w:r w:rsidR="000B1647">
        <w:rPr>
          <w:rFonts w:ascii="Arial" w:hAnsi="Arial" w:cs="Arial"/>
          <w:sz w:val="24"/>
          <w:szCs w:val="24"/>
        </w:rPr>
        <w:t xml:space="preserve">  This provision will apply regardless of whether the tenancy is fixed or periodic.  </w:t>
      </w:r>
    </w:p>
    <w:p w14:paraId="495507CA" w14:textId="0A19FB93" w:rsidR="008C40F4" w:rsidRDefault="001D5147" w:rsidP="00296E80">
      <w:pPr>
        <w:rPr>
          <w:rFonts w:ascii="Arial" w:hAnsi="Arial" w:cs="Arial"/>
          <w:sz w:val="24"/>
          <w:szCs w:val="24"/>
        </w:rPr>
      </w:pPr>
      <w:r>
        <w:rPr>
          <w:rFonts w:ascii="Arial" w:hAnsi="Arial" w:cs="Arial"/>
          <w:sz w:val="24"/>
          <w:szCs w:val="24"/>
        </w:rPr>
        <w:t xml:space="preserve">If a community housing provider wants to rely on this clause, </w:t>
      </w:r>
      <w:r w:rsidR="008C40F4">
        <w:rPr>
          <w:rFonts w:ascii="Arial" w:hAnsi="Arial" w:cs="Arial"/>
          <w:sz w:val="24"/>
          <w:szCs w:val="24"/>
        </w:rPr>
        <w:t>they must</w:t>
      </w:r>
      <w:r w:rsidR="005B5671">
        <w:rPr>
          <w:rFonts w:ascii="Arial" w:hAnsi="Arial" w:cs="Arial"/>
          <w:sz w:val="24"/>
          <w:szCs w:val="24"/>
        </w:rPr>
        <w:t xml:space="preserve"> provide written e</w:t>
      </w:r>
      <w:r w:rsidR="008C40F4">
        <w:rPr>
          <w:rFonts w:ascii="Arial" w:hAnsi="Arial" w:cs="Arial"/>
          <w:sz w:val="24"/>
          <w:szCs w:val="24"/>
        </w:rPr>
        <w:t>vidence</w:t>
      </w:r>
      <w:r w:rsidR="005B5671">
        <w:rPr>
          <w:rFonts w:ascii="Arial" w:hAnsi="Arial" w:cs="Arial"/>
          <w:sz w:val="24"/>
          <w:szCs w:val="24"/>
        </w:rPr>
        <w:t xml:space="preserve"> of their grounds for terminating with the</w:t>
      </w:r>
      <w:r w:rsidR="008C40F4">
        <w:rPr>
          <w:rFonts w:ascii="Arial" w:hAnsi="Arial" w:cs="Arial"/>
          <w:sz w:val="24"/>
          <w:szCs w:val="24"/>
        </w:rPr>
        <w:t xml:space="preserve"> NTV.</w:t>
      </w:r>
      <w:r w:rsidR="006D2698">
        <w:rPr>
          <w:rFonts w:ascii="Arial" w:hAnsi="Arial" w:cs="Arial"/>
          <w:sz w:val="24"/>
          <w:szCs w:val="24"/>
        </w:rPr>
        <w:t xml:space="preserve"> </w:t>
      </w:r>
      <w:r w:rsidR="008C40F4">
        <w:rPr>
          <w:rFonts w:ascii="Arial" w:hAnsi="Arial" w:cs="Arial"/>
          <w:sz w:val="24"/>
          <w:szCs w:val="24"/>
        </w:rPr>
        <w:t xml:space="preserve">To assist community housing providers to understand their responsibilities under this section, the amendment inserts an example. It provides that written evidence may include a statutory declaration, development application, quotes from a tradesperson for the proposed renovations. </w:t>
      </w:r>
    </w:p>
    <w:p w14:paraId="5ECE0EEE" w14:textId="782191AB" w:rsidR="0070557E" w:rsidRDefault="00EE0C95" w:rsidP="0070557E">
      <w:pPr>
        <w:rPr>
          <w:rFonts w:ascii="Arial" w:hAnsi="Arial" w:cs="Arial"/>
          <w:sz w:val="24"/>
          <w:szCs w:val="24"/>
        </w:rPr>
      </w:pPr>
      <w:r>
        <w:rPr>
          <w:rFonts w:ascii="Arial" w:hAnsi="Arial" w:cs="Arial"/>
          <w:sz w:val="24"/>
          <w:szCs w:val="24"/>
        </w:rPr>
        <w:t xml:space="preserve">To ensure that a tenant is not unduly restricted in their search for alternative accommodation, </w:t>
      </w:r>
      <w:r w:rsidR="000B1647">
        <w:rPr>
          <w:rFonts w:ascii="Arial" w:hAnsi="Arial" w:cs="Arial"/>
          <w:sz w:val="24"/>
          <w:szCs w:val="24"/>
        </w:rPr>
        <w:t xml:space="preserve">and to minimise the time they may need to pay rent on two properties if they have found somewhere to relocate to </w:t>
      </w:r>
      <w:r>
        <w:rPr>
          <w:rFonts w:ascii="Arial" w:hAnsi="Arial" w:cs="Arial"/>
          <w:sz w:val="24"/>
          <w:szCs w:val="24"/>
        </w:rPr>
        <w:t xml:space="preserve">subclause (3) provides </w:t>
      </w:r>
      <w:r w:rsidR="0070557E">
        <w:rPr>
          <w:rFonts w:ascii="Arial" w:hAnsi="Arial" w:cs="Arial"/>
          <w:sz w:val="24"/>
          <w:szCs w:val="24"/>
        </w:rPr>
        <w:t>that where a tenant is issued a NTV under this section, they may either: (a) vacate the premises at any time before the expiry of the notice – provided they give at least 2 weeks notice of their intention to vacate; or, (b) at any time during the 2 weeks before the expiry of that notice- provided they give at least 4 days notice of their intention to vacate.</w:t>
      </w:r>
    </w:p>
    <w:p w14:paraId="4A41E919" w14:textId="5259A7C1" w:rsidR="00EE0C95" w:rsidRDefault="00EE0C95" w:rsidP="00296E80">
      <w:pPr>
        <w:rPr>
          <w:rFonts w:ascii="Arial" w:hAnsi="Arial" w:cs="Arial"/>
          <w:sz w:val="24"/>
          <w:szCs w:val="24"/>
        </w:rPr>
      </w:pPr>
      <w:r>
        <w:rPr>
          <w:rFonts w:ascii="Arial" w:hAnsi="Arial" w:cs="Arial"/>
          <w:sz w:val="24"/>
          <w:szCs w:val="24"/>
        </w:rPr>
        <w:t>Where a community housing provider has issued a NTV under this clause, the tenancy ends on the day the tenant vacates the premises.</w:t>
      </w:r>
    </w:p>
    <w:p w14:paraId="7D1687C1" w14:textId="642F0040" w:rsidR="001D5147" w:rsidRDefault="001D5147" w:rsidP="00296E80">
      <w:pPr>
        <w:rPr>
          <w:rFonts w:ascii="Arial" w:hAnsi="Arial" w:cs="Arial"/>
          <w:sz w:val="24"/>
          <w:szCs w:val="24"/>
        </w:rPr>
      </w:pPr>
      <w:r>
        <w:rPr>
          <w:rFonts w:ascii="Arial" w:hAnsi="Arial" w:cs="Arial"/>
          <w:sz w:val="24"/>
          <w:szCs w:val="24"/>
        </w:rPr>
        <w:t xml:space="preserve">This provision introduces </w:t>
      </w:r>
      <w:r>
        <w:rPr>
          <w:rFonts w:ascii="Arial" w:hAnsi="Arial" w:cs="Arial"/>
          <w:b/>
          <w:bCs/>
          <w:i/>
          <w:iCs/>
          <w:sz w:val="24"/>
          <w:szCs w:val="24"/>
        </w:rPr>
        <w:t xml:space="preserve">immediate relative </w:t>
      </w:r>
      <w:r>
        <w:rPr>
          <w:rFonts w:ascii="Arial" w:hAnsi="Arial" w:cs="Arial"/>
          <w:sz w:val="24"/>
          <w:szCs w:val="24"/>
        </w:rPr>
        <w:t xml:space="preserve">and </w:t>
      </w:r>
      <w:r>
        <w:rPr>
          <w:rFonts w:ascii="Arial" w:hAnsi="Arial" w:cs="Arial"/>
          <w:b/>
          <w:bCs/>
          <w:i/>
          <w:iCs/>
          <w:sz w:val="24"/>
          <w:szCs w:val="24"/>
        </w:rPr>
        <w:t xml:space="preserve">interested person </w:t>
      </w:r>
      <w:r>
        <w:rPr>
          <w:rFonts w:ascii="Arial" w:hAnsi="Arial" w:cs="Arial"/>
          <w:sz w:val="24"/>
          <w:szCs w:val="24"/>
        </w:rPr>
        <w:t xml:space="preserve">as defined terms for the purposes of clause </w:t>
      </w:r>
      <w:r w:rsidRPr="005A14D5">
        <w:rPr>
          <w:rFonts w:ascii="Arial" w:hAnsi="Arial" w:cs="Arial"/>
          <w:sz w:val="24"/>
          <w:szCs w:val="24"/>
        </w:rPr>
        <w:t>2.3.</w:t>
      </w:r>
    </w:p>
    <w:p w14:paraId="1C8CC740" w14:textId="3020EF23" w:rsidR="001D5147" w:rsidRDefault="001D5147" w:rsidP="00296E80">
      <w:pPr>
        <w:rPr>
          <w:rFonts w:ascii="Arial" w:hAnsi="Arial" w:cs="Arial"/>
          <w:sz w:val="24"/>
          <w:szCs w:val="24"/>
        </w:rPr>
      </w:pPr>
      <w:r>
        <w:rPr>
          <w:rFonts w:ascii="Arial" w:hAnsi="Arial" w:cs="Arial"/>
          <w:b/>
          <w:bCs/>
          <w:i/>
          <w:iCs/>
          <w:sz w:val="24"/>
          <w:szCs w:val="24"/>
        </w:rPr>
        <w:t xml:space="preserve">Immediate relative </w:t>
      </w:r>
      <w:r>
        <w:rPr>
          <w:rFonts w:ascii="Arial" w:hAnsi="Arial" w:cs="Arial"/>
          <w:sz w:val="24"/>
          <w:szCs w:val="24"/>
        </w:rPr>
        <w:t>of the owner is defined as a son, daughter, son-in-law, daughter-in-law, mother, father, mother-in-law, father-in-law, brother, sister, brother-in-law or sister-in-law.</w:t>
      </w:r>
    </w:p>
    <w:p w14:paraId="321BD538" w14:textId="38946CBA" w:rsidR="001D5147" w:rsidRPr="00264F34" w:rsidRDefault="001D5147" w:rsidP="002B23A0">
      <w:pPr>
        <w:rPr>
          <w:rFonts w:ascii="Arial" w:hAnsi="Arial" w:cs="Arial"/>
          <w:sz w:val="24"/>
          <w:szCs w:val="24"/>
        </w:rPr>
      </w:pPr>
      <w:r>
        <w:rPr>
          <w:rFonts w:ascii="Arial" w:hAnsi="Arial" w:cs="Arial"/>
          <w:b/>
          <w:bCs/>
          <w:i/>
          <w:iCs/>
          <w:sz w:val="24"/>
          <w:szCs w:val="24"/>
        </w:rPr>
        <w:t xml:space="preserve">Interested person </w:t>
      </w:r>
      <w:r>
        <w:rPr>
          <w:rFonts w:ascii="Arial" w:hAnsi="Arial" w:cs="Arial"/>
          <w:sz w:val="24"/>
          <w:szCs w:val="24"/>
        </w:rPr>
        <w:t>for an owner means a person who Is not an immediate relative of the owner but who has a close family or personal relationship with the owner and who has a reasonable expectation arising from that relationship that the owner would provide accommodation for the person.</w:t>
      </w:r>
    </w:p>
    <w:p w14:paraId="1C64A1A7" w14:textId="77777777" w:rsidR="00EE0C95" w:rsidRDefault="00F43AF2" w:rsidP="00296E80">
      <w:pPr>
        <w:rPr>
          <w:rFonts w:ascii="Arial" w:hAnsi="Arial" w:cs="Arial"/>
          <w:b/>
          <w:bCs/>
          <w:i/>
          <w:iCs/>
          <w:sz w:val="24"/>
          <w:szCs w:val="24"/>
        </w:rPr>
      </w:pPr>
      <w:r>
        <w:rPr>
          <w:rFonts w:ascii="Arial" w:hAnsi="Arial" w:cs="Arial"/>
          <w:b/>
          <w:bCs/>
          <w:i/>
          <w:iCs/>
          <w:sz w:val="24"/>
          <w:szCs w:val="24"/>
        </w:rPr>
        <w:t>Schedule 2</w:t>
      </w:r>
      <w:r w:rsidR="00EE0C95">
        <w:rPr>
          <w:rFonts w:ascii="Arial" w:hAnsi="Arial" w:cs="Arial"/>
          <w:b/>
          <w:bCs/>
          <w:i/>
          <w:iCs/>
          <w:sz w:val="24"/>
          <w:szCs w:val="24"/>
        </w:rPr>
        <w:t>,</w:t>
      </w:r>
      <w:r w:rsidR="002B23A0" w:rsidRPr="00DA1AEA">
        <w:rPr>
          <w:rFonts w:ascii="Arial" w:hAnsi="Arial" w:cs="Arial"/>
          <w:b/>
          <w:bCs/>
          <w:i/>
          <w:iCs/>
          <w:sz w:val="24"/>
          <w:szCs w:val="24"/>
        </w:rPr>
        <w:t xml:space="preserve"> 2.4</w:t>
      </w:r>
      <w:r w:rsidR="00DA1AEA">
        <w:rPr>
          <w:rFonts w:ascii="Arial" w:hAnsi="Arial" w:cs="Arial"/>
          <w:b/>
          <w:bCs/>
          <w:i/>
          <w:iCs/>
          <w:sz w:val="24"/>
          <w:szCs w:val="24"/>
        </w:rPr>
        <w:tab/>
      </w:r>
      <w:r w:rsidR="00EE0C95">
        <w:rPr>
          <w:rFonts w:ascii="Arial" w:hAnsi="Arial" w:cs="Arial"/>
          <w:b/>
          <w:bCs/>
          <w:i/>
          <w:iCs/>
          <w:sz w:val="24"/>
          <w:szCs w:val="24"/>
        </w:rPr>
        <w:t>Public housing termination clauses</w:t>
      </w:r>
    </w:p>
    <w:p w14:paraId="28F947EC" w14:textId="77777777" w:rsidR="00767976" w:rsidRDefault="00767976" w:rsidP="00767976">
      <w:pPr>
        <w:rPr>
          <w:rFonts w:ascii="Arial" w:hAnsi="Arial" w:cs="Arial"/>
          <w:sz w:val="24"/>
          <w:szCs w:val="24"/>
        </w:rPr>
      </w:pPr>
      <w:r>
        <w:rPr>
          <w:rFonts w:ascii="Arial" w:hAnsi="Arial" w:cs="Arial"/>
          <w:sz w:val="24"/>
          <w:szCs w:val="24"/>
        </w:rPr>
        <w:t>Clause 2.4 inserts several new public</w:t>
      </w:r>
      <w:r w:rsidRPr="00264F34">
        <w:rPr>
          <w:rFonts w:ascii="Arial" w:hAnsi="Arial" w:cs="Arial"/>
          <w:sz w:val="24"/>
          <w:szCs w:val="24"/>
        </w:rPr>
        <w:t xml:space="preserve"> housing termination clauses</w:t>
      </w:r>
      <w:r>
        <w:rPr>
          <w:rFonts w:ascii="Arial" w:hAnsi="Arial" w:cs="Arial"/>
          <w:sz w:val="24"/>
          <w:szCs w:val="24"/>
        </w:rPr>
        <w:t xml:space="preserve">. Public housing tenancies are managed to provide support to vulnerable members of our community. To ensure these tenancies can continue to be available to those who are most in need, there may be circumstances when the tenancy agreement needs to be terminated by the Housing Commissioner. </w:t>
      </w:r>
    </w:p>
    <w:p w14:paraId="7E48EB58" w14:textId="77777777" w:rsidR="00767976" w:rsidRDefault="00767976" w:rsidP="00767976">
      <w:pPr>
        <w:rPr>
          <w:rFonts w:ascii="Arial" w:hAnsi="Arial" w:cs="Arial"/>
          <w:sz w:val="24"/>
          <w:szCs w:val="24"/>
        </w:rPr>
      </w:pPr>
      <w:r>
        <w:rPr>
          <w:rFonts w:ascii="Arial" w:hAnsi="Arial" w:cs="Arial"/>
          <w:sz w:val="24"/>
          <w:szCs w:val="24"/>
        </w:rPr>
        <w:t xml:space="preserve">The new termination clauses inserted at new clause 2.4 are: </w:t>
      </w:r>
    </w:p>
    <w:p w14:paraId="4E797B2A" w14:textId="1D60F6E1" w:rsidR="00767976" w:rsidRDefault="0023601B" w:rsidP="00767976">
      <w:pPr>
        <w:pStyle w:val="ListParagraph"/>
        <w:numPr>
          <w:ilvl w:val="0"/>
          <w:numId w:val="29"/>
        </w:numPr>
        <w:rPr>
          <w:rFonts w:ascii="Arial" w:hAnsi="Arial" w:cs="Arial"/>
          <w:sz w:val="24"/>
          <w:szCs w:val="24"/>
        </w:rPr>
      </w:pPr>
      <w:r>
        <w:rPr>
          <w:rFonts w:ascii="Arial" w:hAnsi="Arial" w:cs="Arial"/>
          <w:sz w:val="24"/>
          <w:szCs w:val="24"/>
        </w:rPr>
        <w:t xml:space="preserve">104 - </w:t>
      </w:r>
      <w:r w:rsidR="00767976" w:rsidRPr="000A66E5">
        <w:rPr>
          <w:rFonts w:ascii="Arial" w:hAnsi="Arial" w:cs="Arial"/>
          <w:sz w:val="24"/>
          <w:szCs w:val="24"/>
        </w:rPr>
        <w:t xml:space="preserve">termination if </w:t>
      </w:r>
      <w:r>
        <w:rPr>
          <w:rFonts w:ascii="Arial" w:hAnsi="Arial" w:cs="Arial"/>
          <w:sz w:val="24"/>
          <w:szCs w:val="24"/>
        </w:rPr>
        <w:t>housing assistance is cancelled or withdrawn</w:t>
      </w:r>
      <w:r w:rsidR="00767976">
        <w:rPr>
          <w:rFonts w:ascii="Arial" w:hAnsi="Arial" w:cs="Arial"/>
          <w:sz w:val="24"/>
          <w:szCs w:val="24"/>
        </w:rPr>
        <w:t>;</w:t>
      </w:r>
      <w:r w:rsidR="00767976" w:rsidRPr="000A66E5">
        <w:rPr>
          <w:rFonts w:ascii="Arial" w:hAnsi="Arial" w:cs="Arial"/>
          <w:sz w:val="24"/>
          <w:szCs w:val="24"/>
        </w:rPr>
        <w:t xml:space="preserve"> </w:t>
      </w:r>
    </w:p>
    <w:p w14:paraId="2576DF30" w14:textId="19470D31" w:rsidR="00767976" w:rsidRPr="000A66E5" w:rsidRDefault="0023601B" w:rsidP="00767976">
      <w:pPr>
        <w:pStyle w:val="ListParagraph"/>
        <w:numPr>
          <w:ilvl w:val="0"/>
          <w:numId w:val="29"/>
        </w:numPr>
        <w:rPr>
          <w:rFonts w:ascii="Arial" w:hAnsi="Arial" w:cs="Arial"/>
          <w:sz w:val="24"/>
          <w:szCs w:val="24"/>
        </w:rPr>
      </w:pPr>
      <w:r>
        <w:rPr>
          <w:rFonts w:ascii="Arial" w:hAnsi="Arial" w:cs="Arial"/>
          <w:sz w:val="24"/>
          <w:szCs w:val="24"/>
        </w:rPr>
        <w:t xml:space="preserve">105 - </w:t>
      </w:r>
      <w:r w:rsidR="00767976" w:rsidRPr="000A66E5">
        <w:rPr>
          <w:rFonts w:ascii="Arial" w:hAnsi="Arial" w:cs="Arial"/>
          <w:sz w:val="24"/>
          <w:szCs w:val="24"/>
        </w:rPr>
        <w:t>termination if tenant refuses transfer to alternate premises</w:t>
      </w:r>
      <w:r w:rsidR="00767976">
        <w:rPr>
          <w:rFonts w:ascii="Arial" w:hAnsi="Arial" w:cs="Arial"/>
          <w:sz w:val="24"/>
          <w:szCs w:val="24"/>
        </w:rPr>
        <w:t>;</w:t>
      </w:r>
      <w:r w:rsidR="00767976" w:rsidRPr="000A66E5">
        <w:rPr>
          <w:rFonts w:ascii="Arial" w:hAnsi="Arial" w:cs="Arial"/>
          <w:sz w:val="24"/>
          <w:szCs w:val="24"/>
        </w:rPr>
        <w:t xml:space="preserve"> and </w:t>
      </w:r>
    </w:p>
    <w:p w14:paraId="5C5D019D" w14:textId="1DD807E3" w:rsidR="00767976" w:rsidRPr="000A66E5" w:rsidRDefault="0023601B" w:rsidP="00767976">
      <w:pPr>
        <w:pStyle w:val="ListParagraph"/>
        <w:numPr>
          <w:ilvl w:val="0"/>
          <w:numId w:val="29"/>
        </w:numPr>
        <w:spacing w:after="200"/>
        <w:ind w:left="714" w:hanging="357"/>
        <w:rPr>
          <w:rFonts w:ascii="Arial" w:hAnsi="Arial" w:cs="Arial"/>
          <w:sz w:val="24"/>
          <w:szCs w:val="24"/>
        </w:rPr>
      </w:pPr>
      <w:r>
        <w:rPr>
          <w:rFonts w:ascii="Arial" w:hAnsi="Arial" w:cs="Arial"/>
          <w:sz w:val="24"/>
          <w:szCs w:val="24"/>
        </w:rPr>
        <w:lastRenderedPageBreak/>
        <w:t xml:space="preserve">106 - </w:t>
      </w:r>
      <w:r w:rsidR="00767976" w:rsidRPr="000A66E5">
        <w:rPr>
          <w:rFonts w:ascii="Arial" w:hAnsi="Arial" w:cs="Arial"/>
          <w:sz w:val="24"/>
          <w:szCs w:val="24"/>
        </w:rPr>
        <w:t xml:space="preserve">termination if tenant is party to 2 tenancies. </w:t>
      </w:r>
    </w:p>
    <w:p w14:paraId="7713C151" w14:textId="77777777" w:rsidR="00767976" w:rsidRPr="000A66E5" w:rsidRDefault="00767976" w:rsidP="00767976">
      <w:pPr>
        <w:rPr>
          <w:rFonts w:ascii="Arial" w:hAnsi="Arial" w:cs="Arial"/>
          <w:sz w:val="24"/>
          <w:szCs w:val="24"/>
        </w:rPr>
      </w:pPr>
      <w:r>
        <w:rPr>
          <w:rFonts w:ascii="Arial" w:hAnsi="Arial" w:cs="Arial"/>
          <w:sz w:val="24"/>
          <w:szCs w:val="24"/>
        </w:rPr>
        <w:t xml:space="preserve">These are discussed further below and in the human rights section above. </w:t>
      </w:r>
    </w:p>
    <w:p w14:paraId="137FF350" w14:textId="1530F070" w:rsidR="00EE0C95" w:rsidRDefault="00767976" w:rsidP="00296E80">
      <w:pPr>
        <w:rPr>
          <w:rFonts w:ascii="Arial" w:hAnsi="Arial" w:cs="Arial"/>
          <w:b/>
          <w:bCs/>
          <w:sz w:val="24"/>
          <w:szCs w:val="24"/>
        </w:rPr>
      </w:pPr>
      <w:r>
        <w:rPr>
          <w:rFonts w:ascii="Arial" w:hAnsi="Arial" w:cs="Arial"/>
          <w:b/>
          <w:bCs/>
          <w:sz w:val="24"/>
          <w:szCs w:val="24"/>
        </w:rPr>
        <w:t>104</w:t>
      </w:r>
      <w:r>
        <w:rPr>
          <w:rFonts w:ascii="Arial" w:hAnsi="Arial" w:cs="Arial"/>
          <w:b/>
          <w:bCs/>
          <w:sz w:val="24"/>
          <w:szCs w:val="24"/>
        </w:rPr>
        <w:tab/>
        <w:t xml:space="preserve">Termination if </w:t>
      </w:r>
      <w:r w:rsidR="006D2698">
        <w:rPr>
          <w:rFonts w:ascii="Arial" w:hAnsi="Arial" w:cs="Arial"/>
          <w:b/>
          <w:bCs/>
          <w:sz w:val="24"/>
          <w:szCs w:val="24"/>
        </w:rPr>
        <w:t>housing assistance cancelled or withdrawn</w:t>
      </w:r>
    </w:p>
    <w:p w14:paraId="0902299B" w14:textId="77777777" w:rsidR="00296E80" w:rsidRPr="00AD38AE" w:rsidRDefault="00296E80" w:rsidP="00767976">
      <w:pPr>
        <w:rPr>
          <w:rFonts w:ascii="Arial" w:hAnsi="Arial" w:cs="Arial"/>
          <w:i/>
          <w:sz w:val="24"/>
          <w:szCs w:val="24"/>
        </w:rPr>
      </w:pPr>
      <w:r>
        <w:rPr>
          <w:rFonts w:ascii="Arial" w:hAnsi="Arial" w:cs="Arial"/>
          <w:i/>
          <w:sz w:val="24"/>
          <w:szCs w:val="24"/>
        </w:rPr>
        <w:t>Background</w:t>
      </w:r>
    </w:p>
    <w:p w14:paraId="3302C273" w14:textId="56B26E3D" w:rsidR="00296E80" w:rsidRPr="00264F34" w:rsidRDefault="00296E80" w:rsidP="00296E80">
      <w:pPr>
        <w:rPr>
          <w:rFonts w:ascii="Arial" w:hAnsi="Arial" w:cs="Arial"/>
          <w:i/>
          <w:sz w:val="24"/>
          <w:szCs w:val="24"/>
        </w:rPr>
      </w:pPr>
      <w:r w:rsidRPr="00264F34">
        <w:rPr>
          <w:rFonts w:ascii="Arial" w:hAnsi="Arial" w:cs="Arial"/>
          <w:iCs/>
          <w:sz w:val="24"/>
          <w:szCs w:val="24"/>
        </w:rPr>
        <w:t>The objects of the HAA include facilitating the provision of housing assistance for those most in need and maximis</w:t>
      </w:r>
      <w:r>
        <w:rPr>
          <w:rFonts w:ascii="Arial" w:hAnsi="Arial" w:cs="Arial"/>
          <w:iCs/>
          <w:sz w:val="24"/>
          <w:szCs w:val="24"/>
        </w:rPr>
        <w:t>ing</w:t>
      </w:r>
      <w:r w:rsidRPr="00264F34">
        <w:rPr>
          <w:rFonts w:ascii="Arial" w:hAnsi="Arial" w:cs="Arial"/>
          <w:iCs/>
          <w:sz w:val="24"/>
          <w:szCs w:val="24"/>
        </w:rPr>
        <w:t xml:space="preserve"> the opportunities for everyone in the ACT to have access to housing that is affordable, secure and appropriate to their needs. To this end, </w:t>
      </w:r>
      <w:r>
        <w:rPr>
          <w:rFonts w:ascii="Arial" w:hAnsi="Arial" w:cs="Arial"/>
          <w:iCs/>
          <w:sz w:val="24"/>
          <w:szCs w:val="24"/>
        </w:rPr>
        <w:t xml:space="preserve">section 19 of </w:t>
      </w:r>
      <w:r w:rsidRPr="00264F34">
        <w:rPr>
          <w:rFonts w:ascii="Arial" w:hAnsi="Arial" w:cs="Arial"/>
          <w:iCs/>
          <w:sz w:val="24"/>
          <w:szCs w:val="24"/>
        </w:rPr>
        <w:t xml:space="preserve">the HAA empowers the Minister to approve housing assistance programs, including the </w:t>
      </w:r>
      <w:hyperlink r:id="rId22" w:history="1">
        <w:r w:rsidRPr="00264F34">
          <w:rPr>
            <w:rStyle w:val="Hyperlink"/>
            <w:rFonts w:ascii="Arial" w:eastAsiaTheme="majorEastAsia" w:hAnsi="Arial" w:cs="Arial"/>
            <w:i/>
            <w:sz w:val="24"/>
            <w:szCs w:val="24"/>
          </w:rPr>
          <w:t>Housing Assistance</w:t>
        </w:r>
        <w:r w:rsidRPr="00264F34">
          <w:rPr>
            <w:rStyle w:val="Hyperlink"/>
            <w:rFonts w:ascii="Arial" w:eastAsiaTheme="majorEastAsia" w:hAnsi="Arial" w:cs="Arial"/>
            <w:iCs/>
            <w:sz w:val="24"/>
            <w:szCs w:val="24"/>
          </w:rPr>
          <w:t xml:space="preserve"> </w:t>
        </w:r>
        <w:r w:rsidRPr="00264F34">
          <w:rPr>
            <w:rStyle w:val="Hyperlink"/>
            <w:rFonts w:ascii="Arial" w:eastAsiaTheme="majorEastAsia" w:hAnsi="Arial" w:cs="Arial"/>
            <w:i/>
            <w:sz w:val="24"/>
            <w:szCs w:val="24"/>
          </w:rPr>
          <w:t>Public Rental Housing Assistance Program (2013 (No 1)</w:t>
        </w:r>
      </w:hyperlink>
      <w:r w:rsidRPr="00264F34">
        <w:rPr>
          <w:rFonts w:ascii="Arial" w:hAnsi="Arial" w:cs="Arial"/>
          <w:iCs/>
          <w:sz w:val="24"/>
          <w:szCs w:val="24"/>
        </w:rPr>
        <w:t xml:space="preserve"> (‘</w:t>
      </w:r>
      <w:r w:rsidRPr="00264F34">
        <w:rPr>
          <w:rFonts w:ascii="Arial" w:hAnsi="Arial" w:cs="Arial"/>
          <w:b/>
          <w:bCs/>
          <w:iCs/>
          <w:sz w:val="24"/>
          <w:szCs w:val="24"/>
        </w:rPr>
        <w:t>the Program’</w:t>
      </w:r>
      <w:r w:rsidRPr="00264F34">
        <w:rPr>
          <w:rFonts w:ascii="Arial" w:hAnsi="Arial" w:cs="Arial"/>
          <w:iCs/>
          <w:sz w:val="24"/>
          <w:szCs w:val="24"/>
        </w:rPr>
        <w:t xml:space="preserve">) which set out the kinds of assistance that can be provided, eligibility criteria for the assistance and how decisions of the </w:t>
      </w:r>
      <w:r>
        <w:rPr>
          <w:rFonts w:ascii="Arial" w:hAnsi="Arial" w:cs="Arial"/>
          <w:iCs/>
          <w:sz w:val="24"/>
          <w:szCs w:val="24"/>
        </w:rPr>
        <w:t xml:space="preserve">Housing </w:t>
      </w:r>
      <w:r w:rsidRPr="00264F34">
        <w:rPr>
          <w:rFonts w:ascii="Arial" w:hAnsi="Arial" w:cs="Arial"/>
          <w:iCs/>
          <w:sz w:val="24"/>
          <w:szCs w:val="24"/>
        </w:rPr>
        <w:t xml:space="preserve">Commissioner can be reviewed. </w:t>
      </w:r>
    </w:p>
    <w:p w14:paraId="0BEA96E3" w14:textId="2C646231" w:rsidR="00296E80" w:rsidRDefault="00296E80" w:rsidP="00296E80">
      <w:pPr>
        <w:rPr>
          <w:rFonts w:ascii="Arial" w:hAnsi="Arial" w:cs="Arial"/>
          <w:iCs/>
          <w:sz w:val="24"/>
          <w:szCs w:val="24"/>
        </w:rPr>
      </w:pPr>
      <w:r w:rsidRPr="00264F34">
        <w:rPr>
          <w:rFonts w:ascii="Arial" w:hAnsi="Arial" w:cs="Arial"/>
          <w:iCs/>
          <w:sz w:val="24"/>
          <w:szCs w:val="24"/>
        </w:rPr>
        <w:t xml:space="preserve">The purpose of </w:t>
      </w:r>
      <w:r>
        <w:rPr>
          <w:rFonts w:ascii="Arial" w:hAnsi="Arial" w:cs="Arial"/>
          <w:iCs/>
          <w:sz w:val="24"/>
          <w:szCs w:val="24"/>
        </w:rPr>
        <w:t xml:space="preserve">this </w:t>
      </w:r>
      <w:r w:rsidRPr="00264F34">
        <w:rPr>
          <w:rFonts w:ascii="Arial" w:hAnsi="Arial" w:cs="Arial"/>
          <w:iCs/>
          <w:sz w:val="24"/>
          <w:szCs w:val="24"/>
        </w:rPr>
        <w:t xml:space="preserve">new termination provision is to support the operation of the Program </w:t>
      </w:r>
      <w:r>
        <w:rPr>
          <w:rFonts w:ascii="Arial" w:hAnsi="Arial" w:cs="Arial"/>
          <w:iCs/>
          <w:sz w:val="24"/>
          <w:szCs w:val="24"/>
        </w:rPr>
        <w:t>and enable access to housing for the most disadvantaged in the community</w:t>
      </w:r>
      <w:r w:rsidRPr="00264F34">
        <w:rPr>
          <w:rFonts w:ascii="Arial" w:hAnsi="Arial" w:cs="Arial"/>
          <w:iCs/>
          <w:sz w:val="24"/>
          <w:szCs w:val="24"/>
        </w:rPr>
        <w:t xml:space="preserve">. </w:t>
      </w:r>
      <w:r>
        <w:rPr>
          <w:rFonts w:ascii="Arial" w:hAnsi="Arial" w:cs="Arial"/>
          <w:iCs/>
          <w:sz w:val="24"/>
          <w:szCs w:val="24"/>
        </w:rPr>
        <w:t>T</w:t>
      </w:r>
      <w:r w:rsidRPr="00264F34">
        <w:rPr>
          <w:rFonts w:ascii="Arial" w:hAnsi="Arial" w:cs="Arial"/>
          <w:iCs/>
          <w:sz w:val="24"/>
          <w:szCs w:val="24"/>
        </w:rPr>
        <w:t>he termination provision support</w:t>
      </w:r>
      <w:r>
        <w:rPr>
          <w:rFonts w:ascii="Arial" w:hAnsi="Arial" w:cs="Arial"/>
          <w:iCs/>
          <w:sz w:val="24"/>
          <w:szCs w:val="24"/>
        </w:rPr>
        <w:t>s</w:t>
      </w:r>
      <w:r w:rsidRPr="00264F34">
        <w:rPr>
          <w:rFonts w:ascii="Arial" w:hAnsi="Arial" w:cs="Arial"/>
          <w:iCs/>
          <w:sz w:val="24"/>
          <w:szCs w:val="24"/>
        </w:rPr>
        <w:t xml:space="preserve"> the effective targeting of </w:t>
      </w:r>
      <w:r w:rsidR="00767976">
        <w:rPr>
          <w:rFonts w:ascii="Arial" w:hAnsi="Arial" w:cs="Arial"/>
          <w:iCs/>
          <w:sz w:val="24"/>
          <w:szCs w:val="24"/>
        </w:rPr>
        <w:t>public</w:t>
      </w:r>
      <w:r w:rsidR="00767976" w:rsidRPr="00264F34">
        <w:rPr>
          <w:rFonts w:ascii="Arial" w:hAnsi="Arial" w:cs="Arial"/>
          <w:iCs/>
          <w:sz w:val="24"/>
          <w:szCs w:val="24"/>
        </w:rPr>
        <w:t xml:space="preserve"> </w:t>
      </w:r>
      <w:r w:rsidRPr="00264F34">
        <w:rPr>
          <w:rFonts w:ascii="Arial" w:hAnsi="Arial" w:cs="Arial"/>
          <w:iCs/>
          <w:sz w:val="24"/>
          <w:szCs w:val="24"/>
        </w:rPr>
        <w:t xml:space="preserve">housing by ensuring it can be made available to eligible individuals by withdrawing </w:t>
      </w:r>
      <w:r w:rsidR="006D2698">
        <w:rPr>
          <w:rFonts w:ascii="Arial" w:hAnsi="Arial" w:cs="Arial"/>
          <w:iCs/>
          <w:sz w:val="24"/>
          <w:szCs w:val="24"/>
        </w:rPr>
        <w:t xml:space="preserve">or cancelling </w:t>
      </w:r>
      <w:r w:rsidRPr="00264F34">
        <w:rPr>
          <w:rFonts w:ascii="Arial" w:hAnsi="Arial" w:cs="Arial"/>
          <w:iCs/>
          <w:sz w:val="24"/>
          <w:szCs w:val="24"/>
        </w:rPr>
        <w:t xml:space="preserve">assistance from those who are no longer eligible.  </w:t>
      </w:r>
    </w:p>
    <w:p w14:paraId="76830C2E" w14:textId="4DE6B3A1" w:rsidR="00011047" w:rsidRDefault="00C64171" w:rsidP="00296E80">
      <w:pPr>
        <w:rPr>
          <w:rFonts w:ascii="Arial" w:hAnsi="Arial" w:cs="Arial"/>
          <w:iCs/>
          <w:sz w:val="24"/>
          <w:szCs w:val="24"/>
        </w:rPr>
      </w:pPr>
      <w:r>
        <w:rPr>
          <w:rFonts w:ascii="Arial" w:hAnsi="Arial" w:cs="Arial"/>
          <w:iCs/>
          <w:sz w:val="24"/>
          <w:szCs w:val="24"/>
        </w:rPr>
        <w:t xml:space="preserve">Section 25 of the HAA allows the Housing Commissioner to require information from the tenant where the Housing Commissioner reasonably needs the information to review </w:t>
      </w:r>
      <w:r w:rsidR="00011047">
        <w:rPr>
          <w:rFonts w:ascii="Arial" w:hAnsi="Arial" w:cs="Arial"/>
          <w:iCs/>
          <w:sz w:val="24"/>
          <w:szCs w:val="24"/>
        </w:rPr>
        <w:t xml:space="preserve">the housing assistance provided to the tenant. It also empowers the Housing Commissioner to cancel or suspend a person’s housing assistance if the requested information is not provided within the reasonable timeframe provided by the Housing Commissioner.  It is noted a decision to cancel or suspend housing is an appealable decision. </w:t>
      </w:r>
    </w:p>
    <w:p w14:paraId="5DCFA0F1" w14:textId="398AE523" w:rsidR="00011047" w:rsidRPr="00264F34" w:rsidRDefault="00011047" w:rsidP="00287D32">
      <w:pPr>
        <w:rPr>
          <w:rFonts w:ascii="Arial" w:hAnsi="Arial" w:cs="Arial"/>
          <w:iCs/>
          <w:sz w:val="24"/>
          <w:szCs w:val="24"/>
        </w:rPr>
      </w:pPr>
      <w:r>
        <w:rPr>
          <w:rFonts w:ascii="Arial" w:hAnsi="Arial" w:cs="Arial"/>
          <w:iCs/>
          <w:sz w:val="24"/>
          <w:szCs w:val="24"/>
        </w:rPr>
        <w:t xml:space="preserve">However, cancellation of housing assistance (where the assistance is in the form of rental accommodation) may be meaningless if the Housing Commissioner cannot also terminate the tenancy connected to that housing assistance. As such, this provision allows the Housing Commissioner to issue a 26 notice to vacate if the Housing Commissioner has cancelled a tenant’s housing assistance in accordance with section 25 of the HAA. However, the Housing commissioner issue the NTV until the tenant is no longer able to seek review of the decision to cancel their housing </w:t>
      </w:r>
    </w:p>
    <w:p w14:paraId="41AB4587" w14:textId="131B4A7A" w:rsidR="00296E80" w:rsidRDefault="000B3FB6" w:rsidP="00296E80">
      <w:pPr>
        <w:rPr>
          <w:rFonts w:ascii="Arial" w:hAnsi="Arial" w:cs="Arial"/>
          <w:sz w:val="24"/>
          <w:szCs w:val="24"/>
        </w:rPr>
      </w:pPr>
      <w:r>
        <w:rPr>
          <w:rFonts w:ascii="Arial" w:hAnsi="Arial" w:cs="Arial"/>
          <w:sz w:val="24"/>
          <w:szCs w:val="24"/>
        </w:rPr>
        <w:t>Section 29B of t</w:t>
      </w:r>
      <w:r w:rsidR="00296E80">
        <w:rPr>
          <w:rFonts w:ascii="Arial" w:hAnsi="Arial" w:cs="Arial"/>
          <w:sz w:val="24"/>
          <w:szCs w:val="24"/>
        </w:rPr>
        <w:t>he Program currently allows the Housing Commissioner to periodically review the housing assistance being provided to a tenant. This provision also allows the Housing Commissioner to take action to withdraw the assistance being provided and to terminate the tenancy (subject to the requirements of the RTA) upon finding that the household income of the tenant (and their domestic partner if applicable</w:t>
      </w:r>
      <w:r w:rsidR="00F34335">
        <w:rPr>
          <w:rFonts w:ascii="Arial" w:hAnsi="Arial" w:cs="Arial"/>
          <w:sz w:val="24"/>
          <w:szCs w:val="24"/>
        </w:rPr>
        <w:t>)</w:t>
      </w:r>
      <w:r w:rsidR="00296E80">
        <w:rPr>
          <w:rFonts w:ascii="Arial" w:hAnsi="Arial" w:cs="Arial"/>
          <w:sz w:val="24"/>
          <w:szCs w:val="24"/>
        </w:rPr>
        <w:t xml:space="preserve"> is sufficient for them to access and sustain alternative tenure. </w:t>
      </w:r>
      <w:r w:rsidR="00011047">
        <w:rPr>
          <w:rFonts w:ascii="Arial" w:hAnsi="Arial" w:cs="Arial"/>
          <w:sz w:val="24"/>
          <w:szCs w:val="24"/>
        </w:rPr>
        <w:t xml:space="preserve">Under the current Program this decision is an appealable decision. </w:t>
      </w:r>
    </w:p>
    <w:p w14:paraId="5919DD5A" w14:textId="2217B5B0" w:rsidR="00296E80" w:rsidRDefault="00296E80" w:rsidP="00296E80">
      <w:pPr>
        <w:rPr>
          <w:rFonts w:ascii="Arial" w:hAnsi="Arial" w:cs="Arial"/>
          <w:sz w:val="24"/>
          <w:szCs w:val="24"/>
        </w:rPr>
      </w:pPr>
      <w:r>
        <w:rPr>
          <w:rFonts w:ascii="Arial" w:hAnsi="Arial" w:cs="Arial"/>
          <w:sz w:val="24"/>
          <w:szCs w:val="24"/>
        </w:rPr>
        <w:lastRenderedPageBreak/>
        <w:t xml:space="preserve">Currently the Housing Commissioner uses the ‘without cause’ termination provision to terminate at tenancy in this circumstance. This </w:t>
      </w:r>
      <w:r w:rsidR="00767976">
        <w:rPr>
          <w:rFonts w:ascii="Arial" w:hAnsi="Arial" w:cs="Arial"/>
          <w:sz w:val="24"/>
          <w:szCs w:val="24"/>
        </w:rPr>
        <w:t xml:space="preserve">new termination </w:t>
      </w:r>
      <w:r>
        <w:rPr>
          <w:rFonts w:ascii="Arial" w:hAnsi="Arial" w:cs="Arial"/>
          <w:sz w:val="24"/>
          <w:szCs w:val="24"/>
        </w:rPr>
        <w:t xml:space="preserve">clause is intended to provide the Housing Commissioner with the </w:t>
      </w:r>
      <w:r w:rsidR="006D2698">
        <w:rPr>
          <w:rFonts w:ascii="Arial" w:hAnsi="Arial" w:cs="Arial"/>
          <w:sz w:val="24"/>
          <w:szCs w:val="24"/>
        </w:rPr>
        <w:t xml:space="preserve">continued </w:t>
      </w:r>
      <w:r>
        <w:rPr>
          <w:rFonts w:ascii="Arial" w:hAnsi="Arial" w:cs="Arial"/>
          <w:sz w:val="24"/>
          <w:szCs w:val="24"/>
        </w:rPr>
        <w:t>ability to terminate a tenancy in circumstances where a review of the tenant’s entitlement to housing assistance has led to a decision to withdraw housing assistance from them. It is noted that the termination provision is drafted to refer to approved housing assistance programs generally</w:t>
      </w:r>
      <w:r w:rsidR="00C85331">
        <w:rPr>
          <w:rFonts w:ascii="Arial" w:hAnsi="Arial" w:cs="Arial"/>
          <w:sz w:val="24"/>
          <w:szCs w:val="24"/>
        </w:rPr>
        <w:t>,</w:t>
      </w:r>
      <w:r>
        <w:rPr>
          <w:rFonts w:ascii="Arial" w:hAnsi="Arial" w:cs="Arial"/>
          <w:sz w:val="24"/>
          <w:szCs w:val="24"/>
        </w:rPr>
        <w:t xml:space="preserve"> rather than the existing Program. This is to capture any future versions of the Program should the Housing Commissioner decide to amend the Program. </w:t>
      </w:r>
      <w:r w:rsidR="00C8241C">
        <w:rPr>
          <w:rFonts w:ascii="Arial" w:hAnsi="Arial" w:cs="Arial"/>
          <w:sz w:val="24"/>
          <w:szCs w:val="24"/>
        </w:rPr>
        <w:t xml:space="preserve">This does mean that it would be open to the Housing Commissioner to decide to amend the existing Program to expand the circumstances in which the Housing Commissioner can review a tenant’s eligibility for ongoing housing assistance. To ensure there are appropriate safeguards </w:t>
      </w:r>
      <w:r w:rsidR="001A08E1">
        <w:rPr>
          <w:rFonts w:ascii="Arial" w:hAnsi="Arial" w:cs="Arial"/>
          <w:sz w:val="24"/>
          <w:szCs w:val="24"/>
        </w:rPr>
        <w:t>and oversight to any amendments that may lead to the termination of tenancies</w:t>
      </w:r>
      <w:r w:rsidR="00C8241C">
        <w:rPr>
          <w:rFonts w:ascii="Arial" w:hAnsi="Arial" w:cs="Arial"/>
          <w:sz w:val="24"/>
          <w:szCs w:val="24"/>
        </w:rPr>
        <w:t>, this Bill incorporates amendments to the HAA t</w:t>
      </w:r>
      <w:r w:rsidR="001A08E1">
        <w:rPr>
          <w:rFonts w:ascii="Arial" w:hAnsi="Arial" w:cs="Arial"/>
          <w:sz w:val="24"/>
          <w:szCs w:val="24"/>
        </w:rPr>
        <w:t>hat</w:t>
      </w:r>
      <w:r w:rsidR="00C8241C">
        <w:rPr>
          <w:rFonts w:ascii="Arial" w:hAnsi="Arial" w:cs="Arial"/>
          <w:sz w:val="24"/>
          <w:szCs w:val="24"/>
        </w:rPr>
        <w:t xml:space="preserve"> increase the level of scrutiny</w:t>
      </w:r>
      <w:r w:rsidR="001A08E1">
        <w:rPr>
          <w:rFonts w:ascii="Arial" w:hAnsi="Arial" w:cs="Arial"/>
          <w:sz w:val="24"/>
          <w:szCs w:val="24"/>
        </w:rPr>
        <w:t xml:space="preserve">. This Bill requires </w:t>
      </w:r>
      <w:r w:rsidR="00C8241C">
        <w:rPr>
          <w:rFonts w:ascii="Arial" w:hAnsi="Arial" w:cs="Arial"/>
          <w:sz w:val="24"/>
          <w:szCs w:val="24"/>
        </w:rPr>
        <w:t xml:space="preserve">the creation of legislative instruments related to decisions of the Housing Commissioner that could lead to tenancy termination (see the HAA amendments at Schedule 1 of this Bill for further detail). </w:t>
      </w:r>
    </w:p>
    <w:p w14:paraId="504DBB7B" w14:textId="77777777" w:rsidR="00296E80" w:rsidRPr="00AD38AE" w:rsidRDefault="00296E80" w:rsidP="00296E80">
      <w:pPr>
        <w:rPr>
          <w:rFonts w:ascii="Arial" w:hAnsi="Arial" w:cs="Arial"/>
          <w:i/>
          <w:iCs/>
          <w:sz w:val="24"/>
          <w:szCs w:val="24"/>
        </w:rPr>
      </w:pPr>
      <w:r w:rsidRPr="00AD38AE">
        <w:rPr>
          <w:rFonts w:ascii="Arial" w:hAnsi="Arial" w:cs="Arial"/>
          <w:i/>
          <w:iCs/>
          <w:sz w:val="24"/>
          <w:szCs w:val="24"/>
        </w:rPr>
        <w:t>Operation of the tenancy termination provision</w:t>
      </w:r>
    </w:p>
    <w:p w14:paraId="4405E896" w14:textId="59908A65" w:rsidR="006D2698" w:rsidRDefault="00296E80" w:rsidP="00296E80">
      <w:pPr>
        <w:rPr>
          <w:rFonts w:ascii="Arial" w:hAnsi="Arial" w:cs="Arial"/>
          <w:sz w:val="24"/>
          <w:szCs w:val="24"/>
        </w:rPr>
      </w:pPr>
      <w:r>
        <w:rPr>
          <w:rFonts w:ascii="Arial" w:hAnsi="Arial" w:cs="Arial"/>
          <w:sz w:val="24"/>
          <w:szCs w:val="24"/>
        </w:rPr>
        <w:t xml:space="preserve">This provision allows the Housing Commissioner to terminate a tenancy by giving the tenant 26 weeks’ </w:t>
      </w:r>
      <w:r w:rsidR="006D2698">
        <w:rPr>
          <w:rFonts w:ascii="Arial" w:hAnsi="Arial" w:cs="Arial"/>
          <w:sz w:val="24"/>
          <w:szCs w:val="24"/>
        </w:rPr>
        <w:t>NTV</w:t>
      </w:r>
      <w:r>
        <w:rPr>
          <w:rFonts w:ascii="Arial" w:hAnsi="Arial" w:cs="Arial"/>
          <w:sz w:val="24"/>
          <w:szCs w:val="24"/>
        </w:rPr>
        <w:t xml:space="preserve"> the premises on the ground</w:t>
      </w:r>
      <w:r w:rsidR="006D2698">
        <w:rPr>
          <w:rFonts w:ascii="Arial" w:hAnsi="Arial" w:cs="Arial"/>
          <w:sz w:val="24"/>
          <w:szCs w:val="24"/>
        </w:rPr>
        <w:t xml:space="preserve"> </w:t>
      </w:r>
      <w:r>
        <w:rPr>
          <w:rFonts w:ascii="Arial" w:hAnsi="Arial" w:cs="Arial"/>
          <w:sz w:val="24"/>
          <w:szCs w:val="24"/>
        </w:rPr>
        <w:t>the Housing Commissioner has decided the tenant is no longer eligible to receive housing assistance under a housing assistance program</w:t>
      </w:r>
      <w:r w:rsidR="006D2698">
        <w:rPr>
          <w:rFonts w:ascii="Arial" w:hAnsi="Arial" w:cs="Arial"/>
          <w:sz w:val="24"/>
          <w:szCs w:val="24"/>
        </w:rPr>
        <w:t>.</w:t>
      </w:r>
      <w:r>
        <w:rPr>
          <w:rFonts w:ascii="Arial" w:hAnsi="Arial" w:cs="Arial"/>
          <w:sz w:val="24"/>
          <w:szCs w:val="24"/>
        </w:rPr>
        <w:t xml:space="preserve"> </w:t>
      </w:r>
    </w:p>
    <w:p w14:paraId="20E64D5B" w14:textId="71D97210" w:rsidR="006D2698" w:rsidRDefault="006D2698" w:rsidP="00296E80">
      <w:pPr>
        <w:rPr>
          <w:rFonts w:ascii="Arial" w:hAnsi="Arial" w:cs="Arial"/>
          <w:sz w:val="24"/>
          <w:szCs w:val="24"/>
        </w:rPr>
      </w:pPr>
      <w:r>
        <w:rPr>
          <w:rFonts w:ascii="Arial" w:hAnsi="Arial" w:cs="Arial"/>
          <w:sz w:val="24"/>
          <w:szCs w:val="24"/>
        </w:rPr>
        <w:t>This provision also allows the Housing Commissioner to issue a NTV where the tenant has failed to comply with a request for information made in accordance with subsections 25 (2) (a) and 25 (3) the HAA (Housing assistance recipients – requirement for information). These subsections allow the Housing Commissioner to request information that they reasonably need to review the tenant’s housing assistance.</w:t>
      </w:r>
    </w:p>
    <w:p w14:paraId="3DF9D1D0" w14:textId="3563C540" w:rsidR="006D2698" w:rsidRDefault="006D2698" w:rsidP="00296E80">
      <w:pPr>
        <w:rPr>
          <w:rFonts w:ascii="Arial" w:hAnsi="Arial" w:cs="Arial"/>
          <w:sz w:val="24"/>
          <w:szCs w:val="24"/>
        </w:rPr>
      </w:pPr>
      <w:r>
        <w:rPr>
          <w:rFonts w:ascii="Arial" w:hAnsi="Arial" w:cs="Arial"/>
          <w:sz w:val="24"/>
          <w:szCs w:val="24"/>
        </w:rPr>
        <w:t>Where the Housing Commissioner has issued an NTV under this section on the basis that a tenant has failed to comply with a request for information, that NTV is taken to be withdrawn if the tenant subsequently provides the requested information before the expiry of the NTV.</w:t>
      </w:r>
    </w:p>
    <w:p w14:paraId="649C5555" w14:textId="50300DB8" w:rsidR="006D2698" w:rsidRDefault="00296E80" w:rsidP="00296E80">
      <w:pPr>
        <w:rPr>
          <w:rFonts w:ascii="Arial" w:hAnsi="Arial" w:cs="Arial"/>
          <w:sz w:val="24"/>
          <w:szCs w:val="24"/>
        </w:rPr>
      </w:pPr>
      <w:r>
        <w:rPr>
          <w:rFonts w:ascii="Arial" w:hAnsi="Arial" w:cs="Arial"/>
          <w:sz w:val="24"/>
          <w:szCs w:val="24"/>
        </w:rPr>
        <w:t xml:space="preserve">In circumstances where the Housing Commissioner’s decision is a reviewable decision under the housing assistance program, the Housing Commissioner must wait until </w:t>
      </w:r>
      <w:r w:rsidR="006D2698">
        <w:rPr>
          <w:rFonts w:ascii="Arial" w:hAnsi="Arial" w:cs="Arial"/>
          <w:sz w:val="24"/>
          <w:szCs w:val="24"/>
        </w:rPr>
        <w:t xml:space="preserve">the tenant is </w:t>
      </w:r>
      <w:r w:rsidR="006D2698" w:rsidRPr="00480D5F">
        <w:rPr>
          <w:rFonts w:ascii="Arial" w:hAnsi="Arial" w:cs="Arial"/>
          <w:b/>
          <w:bCs/>
          <w:i/>
          <w:iCs/>
          <w:sz w:val="24"/>
          <w:szCs w:val="24"/>
        </w:rPr>
        <w:t>no longer able to ask for a review</w:t>
      </w:r>
      <w:r w:rsidR="006D2698">
        <w:rPr>
          <w:rFonts w:ascii="Arial" w:hAnsi="Arial" w:cs="Arial"/>
          <w:sz w:val="24"/>
          <w:szCs w:val="24"/>
        </w:rPr>
        <w:t xml:space="preserve"> of the decision before issuing an NTV under this section.</w:t>
      </w:r>
    </w:p>
    <w:p w14:paraId="511E4C34" w14:textId="5E8B3B7C" w:rsidR="00296E80" w:rsidRDefault="006D2698" w:rsidP="00296E80">
      <w:pPr>
        <w:rPr>
          <w:rFonts w:ascii="Arial" w:hAnsi="Arial" w:cs="Arial"/>
          <w:sz w:val="24"/>
          <w:szCs w:val="24"/>
        </w:rPr>
      </w:pPr>
      <w:r>
        <w:rPr>
          <w:rFonts w:ascii="Arial" w:hAnsi="Arial" w:cs="Arial"/>
          <w:sz w:val="24"/>
          <w:szCs w:val="24"/>
        </w:rPr>
        <w:t xml:space="preserve">For the purposes of this clause, a tenant is </w:t>
      </w:r>
      <w:r>
        <w:rPr>
          <w:rFonts w:ascii="Arial" w:hAnsi="Arial" w:cs="Arial"/>
          <w:b/>
          <w:bCs/>
          <w:i/>
          <w:iCs/>
          <w:sz w:val="24"/>
          <w:szCs w:val="24"/>
        </w:rPr>
        <w:t xml:space="preserve">no longer able to ask for a review </w:t>
      </w:r>
      <w:r>
        <w:rPr>
          <w:rFonts w:ascii="Arial" w:hAnsi="Arial" w:cs="Arial"/>
          <w:sz w:val="24"/>
          <w:szCs w:val="24"/>
        </w:rPr>
        <w:t xml:space="preserve">of the Housing Commissioner’s decision if – (a) the period in which the tenant may make an application for review of the decision has ended, and the tenant has not </w:t>
      </w:r>
      <w:r>
        <w:rPr>
          <w:rFonts w:ascii="Arial" w:hAnsi="Arial" w:cs="Arial"/>
          <w:sz w:val="24"/>
          <w:szCs w:val="24"/>
        </w:rPr>
        <w:lastRenderedPageBreak/>
        <w:t>made an application; or (b) if the tenant applies for review of the decision – the Housing Commissioner’s decision is confirmed.</w:t>
      </w:r>
    </w:p>
    <w:p w14:paraId="2A093973" w14:textId="77777777" w:rsidR="00287D32" w:rsidRDefault="00287D32" w:rsidP="00287D32">
      <w:pPr>
        <w:rPr>
          <w:rFonts w:ascii="Arial" w:hAnsi="Arial" w:cs="Arial"/>
          <w:sz w:val="24"/>
          <w:szCs w:val="24"/>
        </w:rPr>
      </w:pPr>
      <w:r>
        <w:rPr>
          <w:rFonts w:ascii="Arial" w:hAnsi="Arial" w:cs="Arial"/>
          <w:sz w:val="24"/>
          <w:szCs w:val="24"/>
        </w:rPr>
        <w:t xml:space="preserve">As noted above, in circumstances where a tenant was issued with a NTV on the basis of a cancellation of housing assistance (due to a failure to provide information) but subsequently provides the information the original NTV on the grounds of cancellation of assistance is automatically withdrawn. However, in circumstances where the tenant is then assessed as ineligible, the Housing Commissioner can issue a new NTV on the grounds the tenant’s housing assistance is being withdrawn.  To avoid a situation where the tenant can deliberately delay providing information in order to stay in the property for a longer period of time, the provision allows the Commissioner to provide a new NTV for less than 26 weeks where the tenant has already been provided with a NTV on the grounds of cancellation.  In that circumstance the NTV can provide a vacate date which is the </w:t>
      </w:r>
      <w:r w:rsidRPr="009741F9">
        <w:rPr>
          <w:rFonts w:ascii="Arial" w:hAnsi="Arial" w:cs="Arial"/>
          <w:i/>
          <w:iCs/>
          <w:sz w:val="24"/>
          <w:szCs w:val="24"/>
        </w:rPr>
        <w:t>later</w:t>
      </w:r>
      <w:r>
        <w:rPr>
          <w:rFonts w:ascii="Arial" w:hAnsi="Arial" w:cs="Arial"/>
          <w:sz w:val="24"/>
          <w:szCs w:val="24"/>
        </w:rPr>
        <w:t xml:space="preserve"> of:  the vacate date in the original NTV (issued on the grounds of cancellation) OR 12 week after the new NTV is issued. However, here again, the Housing Commissioner will not be able to issue the NTV on the grounds housing assistance has been withdrawn until after the tenant is no longer able to seek review if the decision. </w:t>
      </w:r>
    </w:p>
    <w:p w14:paraId="32FD3560" w14:textId="023D577E" w:rsidR="00287D32" w:rsidRDefault="00287D32" w:rsidP="00296E80">
      <w:pPr>
        <w:rPr>
          <w:rFonts w:ascii="Arial" w:hAnsi="Arial" w:cs="Arial"/>
          <w:sz w:val="24"/>
          <w:szCs w:val="24"/>
        </w:rPr>
      </w:pPr>
      <w:r>
        <w:rPr>
          <w:rFonts w:ascii="Arial" w:hAnsi="Arial" w:cs="Arial"/>
          <w:sz w:val="24"/>
          <w:szCs w:val="24"/>
        </w:rPr>
        <w:t xml:space="preserve">The policy intent of this section is to balance the competing priorities of providing a reasonable time frame (of at least 12 weeks) for the tenant to vacate the property, whilst not allowing an ineligible tenant to remain in the premises for an extended period of time when they were delayed in responding to the Housing Commissioner’s request for information. </w:t>
      </w:r>
    </w:p>
    <w:p w14:paraId="4844B659" w14:textId="7C6EDE41" w:rsidR="003E3F21" w:rsidRPr="00480D5F" w:rsidRDefault="003E3F21" w:rsidP="00296E80">
      <w:pPr>
        <w:rPr>
          <w:rFonts w:ascii="Arial" w:hAnsi="Arial" w:cs="Arial"/>
          <w:sz w:val="24"/>
          <w:szCs w:val="24"/>
        </w:rPr>
      </w:pPr>
      <w:r>
        <w:rPr>
          <w:rFonts w:ascii="Arial" w:hAnsi="Arial" w:cs="Arial"/>
          <w:sz w:val="24"/>
          <w:szCs w:val="24"/>
        </w:rPr>
        <w:t xml:space="preserve">An example has been included to support understanding of this provision. </w:t>
      </w:r>
    </w:p>
    <w:p w14:paraId="125E3DA9" w14:textId="33D8E519" w:rsidR="00296E80" w:rsidRDefault="00296E80" w:rsidP="00296E80">
      <w:pPr>
        <w:rPr>
          <w:rFonts w:ascii="Arial" w:hAnsi="Arial" w:cs="Arial"/>
          <w:sz w:val="24"/>
          <w:szCs w:val="24"/>
        </w:rPr>
      </w:pPr>
      <w:r>
        <w:rPr>
          <w:rFonts w:ascii="Arial" w:hAnsi="Arial" w:cs="Arial"/>
          <w:sz w:val="24"/>
          <w:szCs w:val="24"/>
        </w:rPr>
        <w:t>The provision allows a tenant to end the tenancy at any time during the 2 weeks before the date stated in the notice</w:t>
      </w:r>
      <w:r w:rsidR="001A08E1">
        <w:rPr>
          <w:rFonts w:ascii="Arial" w:hAnsi="Arial" w:cs="Arial"/>
          <w:sz w:val="24"/>
          <w:szCs w:val="24"/>
        </w:rPr>
        <w:t>,</w:t>
      </w:r>
      <w:r>
        <w:rPr>
          <w:rFonts w:ascii="Arial" w:hAnsi="Arial" w:cs="Arial"/>
          <w:sz w:val="24"/>
          <w:szCs w:val="24"/>
        </w:rPr>
        <w:t xml:space="preserve"> </w:t>
      </w:r>
      <w:r w:rsidR="001A08E1">
        <w:rPr>
          <w:rFonts w:ascii="Arial" w:hAnsi="Arial" w:cs="Arial"/>
          <w:sz w:val="24"/>
          <w:szCs w:val="24"/>
        </w:rPr>
        <w:t>provided</w:t>
      </w:r>
      <w:r>
        <w:rPr>
          <w:rFonts w:ascii="Arial" w:hAnsi="Arial" w:cs="Arial"/>
          <w:sz w:val="24"/>
          <w:szCs w:val="24"/>
        </w:rPr>
        <w:t xml:space="preserve"> they give the Housing Commissioner 4</w:t>
      </w:r>
      <w:r w:rsidR="00AD0D7A">
        <w:rPr>
          <w:rFonts w:ascii="Arial" w:hAnsi="Arial" w:cs="Arial"/>
          <w:sz w:val="24"/>
          <w:szCs w:val="24"/>
        </w:rPr>
        <w:t> </w:t>
      </w:r>
      <w:r>
        <w:rPr>
          <w:rFonts w:ascii="Arial" w:hAnsi="Arial" w:cs="Arial"/>
          <w:sz w:val="24"/>
          <w:szCs w:val="24"/>
        </w:rPr>
        <w:t xml:space="preserve">days’ notice of their intention to vacate. </w:t>
      </w:r>
    </w:p>
    <w:p w14:paraId="3680F417" w14:textId="4121C707" w:rsidR="0070557E" w:rsidRDefault="00043372" w:rsidP="0070557E">
      <w:pPr>
        <w:rPr>
          <w:rFonts w:ascii="Arial" w:hAnsi="Arial" w:cs="Arial"/>
          <w:sz w:val="24"/>
          <w:szCs w:val="24"/>
        </w:rPr>
      </w:pPr>
      <w:r>
        <w:rPr>
          <w:rFonts w:ascii="Arial" w:hAnsi="Arial" w:cs="Arial"/>
          <w:sz w:val="24"/>
          <w:szCs w:val="24"/>
        </w:rPr>
        <w:t>Where</w:t>
      </w:r>
      <w:r w:rsidR="0070557E">
        <w:rPr>
          <w:rFonts w:ascii="Arial" w:hAnsi="Arial" w:cs="Arial"/>
          <w:sz w:val="24"/>
          <w:szCs w:val="24"/>
        </w:rPr>
        <w:t xml:space="preserve"> a tenant is issued a NTV under this section, they may either: (a) vacate the premises at any time before the expiry of the notice – provided they give at least 2 weeks notice of their intention to vacate; or, (b) at any time during the 2 weeks before the expiry of that notice- provided they give at least 4 days notice of their intention to vacate.</w:t>
      </w:r>
    </w:p>
    <w:p w14:paraId="47DD26BE" w14:textId="616FDAA5" w:rsidR="00043372" w:rsidRDefault="00043372" w:rsidP="0070557E">
      <w:pPr>
        <w:rPr>
          <w:rFonts w:ascii="Arial" w:hAnsi="Arial" w:cs="Arial"/>
          <w:sz w:val="24"/>
          <w:szCs w:val="24"/>
        </w:rPr>
      </w:pPr>
      <w:r>
        <w:rPr>
          <w:rFonts w:ascii="Arial" w:hAnsi="Arial" w:cs="Arial"/>
          <w:sz w:val="24"/>
          <w:szCs w:val="24"/>
        </w:rPr>
        <w:t>The tenancy terminates on the day the tenant vacates the premises.</w:t>
      </w:r>
    </w:p>
    <w:p w14:paraId="20DD792F" w14:textId="0654562B" w:rsidR="00296E80" w:rsidRDefault="00296E80" w:rsidP="00296E80">
      <w:pPr>
        <w:rPr>
          <w:rFonts w:ascii="Arial" w:hAnsi="Arial" w:cs="Arial"/>
          <w:sz w:val="24"/>
          <w:szCs w:val="24"/>
        </w:rPr>
      </w:pPr>
      <w:r>
        <w:rPr>
          <w:rFonts w:ascii="Arial" w:hAnsi="Arial" w:cs="Arial"/>
          <w:sz w:val="24"/>
          <w:szCs w:val="24"/>
        </w:rPr>
        <w:t>If the tenant does not move out in accordance with the NTV</w:t>
      </w:r>
      <w:r w:rsidR="001A08E1">
        <w:rPr>
          <w:rFonts w:ascii="Arial" w:hAnsi="Arial" w:cs="Arial"/>
          <w:sz w:val="24"/>
          <w:szCs w:val="24"/>
        </w:rPr>
        <w:t>,</w:t>
      </w:r>
      <w:r>
        <w:rPr>
          <w:rFonts w:ascii="Arial" w:hAnsi="Arial" w:cs="Arial"/>
          <w:sz w:val="24"/>
          <w:szCs w:val="24"/>
        </w:rPr>
        <w:t xml:space="preserve"> then the Housing Commissioner would need to follow the existing tenancy termination pathway at section 47 of the RTA and apply to ACAT for a TPO on the basis the tenant has not vacated the premises in accordance with a termination notice issued under the Act. </w:t>
      </w:r>
      <w:r w:rsidR="0023601B">
        <w:rPr>
          <w:rFonts w:ascii="Arial" w:hAnsi="Arial" w:cs="Arial"/>
          <w:sz w:val="24"/>
          <w:szCs w:val="24"/>
        </w:rPr>
        <w:t xml:space="preserve">As noted above </w:t>
      </w:r>
      <w:r w:rsidR="00735081">
        <w:rPr>
          <w:rFonts w:ascii="Arial" w:hAnsi="Arial" w:cs="Arial"/>
          <w:sz w:val="24"/>
          <w:szCs w:val="24"/>
        </w:rPr>
        <w:t xml:space="preserve">at </w:t>
      </w:r>
      <w:r w:rsidR="00735081" w:rsidRPr="005A14D5">
        <w:rPr>
          <w:rFonts w:ascii="Arial" w:hAnsi="Arial" w:cs="Arial"/>
          <w:sz w:val="24"/>
          <w:szCs w:val="24"/>
        </w:rPr>
        <w:t>clause 21</w:t>
      </w:r>
      <w:r w:rsidR="00735081">
        <w:rPr>
          <w:rFonts w:ascii="Arial" w:hAnsi="Arial" w:cs="Arial"/>
          <w:sz w:val="24"/>
          <w:szCs w:val="24"/>
        </w:rPr>
        <w:t xml:space="preserve"> </w:t>
      </w:r>
      <w:r w:rsidR="0023601B">
        <w:rPr>
          <w:rFonts w:ascii="Arial" w:hAnsi="Arial" w:cs="Arial"/>
          <w:sz w:val="24"/>
          <w:szCs w:val="24"/>
        </w:rPr>
        <w:t xml:space="preserve">section 47 now also requires ACAT to consider if the TPO being sought is reasonable and proportionate in the circumstances. </w:t>
      </w:r>
    </w:p>
    <w:p w14:paraId="6B7EBEF0" w14:textId="489281F8" w:rsidR="00296E80" w:rsidRDefault="00296C06" w:rsidP="00802A7D">
      <w:pPr>
        <w:rPr>
          <w:rFonts w:ascii="Arial" w:hAnsi="Arial" w:cs="Arial"/>
          <w:b/>
          <w:bCs/>
          <w:i/>
          <w:iCs/>
          <w:sz w:val="24"/>
          <w:szCs w:val="24"/>
        </w:rPr>
      </w:pPr>
      <w:r>
        <w:rPr>
          <w:rFonts w:ascii="Arial" w:hAnsi="Arial" w:cs="Arial"/>
          <w:sz w:val="24"/>
          <w:szCs w:val="24"/>
        </w:rPr>
        <w:lastRenderedPageBreak/>
        <w:t>T</w:t>
      </w:r>
      <w:r w:rsidR="00296E80">
        <w:rPr>
          <w:rFonts w:ascii="Arial" w:hAnsi="Arial" w:cs="Arial"/>
          <w:sz w:val="24"/>
          <w:szCs w:val="24"/>
        </w:rPr>
        <w:t xml:space="preserve">his Bill also amends existing section 47 of the RTA to clarify that when hearing a TPO application on this ground, ACAT may not undertake merits review of the administrative law decision by the Housing Commissioner to withdraw housing assistance from the tenant upon finding the tenant is no longer eligible for assistance. See clause </w:t>
      </w:r>
      <w:r w:rsidR="00735081" w:rsidRPr="005A14D5">
        <w:rPr>
          <w:rFonts w:ascii="Arial" w:hAnsi="Arial" w:cs="Arial"/>
          <w:sz w:val="24"/>
          <w:szCs w:val="24"/>
        </w:rPr>
        <w:t>21</w:t>
      </w:r>
      <w:r w:rsidR="00296E80">
        <w:rPr>
          <w:rFonts w:ascii="Arial" w:hAnsi="Arial" w:cs="Arial"/>
          <w:sz w:val="24"/>
          <w:szCs w:val="24"/>
        </w:rPr>
        <w:t xml:space="preserve">, above, for more detail on this amendment. ACAT will still be able to exercise its general discretion to consider the circumstances of the case when deciding whether to grant a TPO. </w:t>
      </w:r>
    </w:p>
    <w:p w14:paraId="29F6BBB9" w14:textId="65E33B71" w:rsidR="002B23A0" w:rsidRPr="00622718" w:rsidRDefault="001A08E1" w:rsidP="00802A7D">
      <w:pPr>
        <w:rPr>
          <w:rFonts w:ascii="Arial" w:hAnsi="Arial" w:cs="Arial"/>
          <w:i/>
          <w:iCs/>
          <w:sz w:val="24"/>
          <w:szCs w:val="24"/>
          <w:u w:val="single"/>
        </w:rPr>
      </w:pPr>
      <w:r>
        <w:rPr>
          <w:rFonts w:ascii="Arial" w:hAnsi="Arial" w:cs="Arial"/>
          <w:b/>
          <w:bCs/>
          <w:i/>
          <w:iCs/>
          <w:sz w:val="24"/>
          <w:szCs w:val="24"/>
          <w:u w:val="single"/>
        </w:rPr>
        <w:t>10</w:t>
      </w:r>
      <w:r w:rsidR="006D2698">
        <w:rPr>
          <w:rFonts w:ascii="Arial" w:hAnsi="Arial" w:cs="Arial"/>
          <w:b/>
          <w:bCs/>
          <w:i/>
          <w:iCs/>
          <w:sz w:val="24"/>
          <w:szCs w:val="24"/>
          <w:u w:val="single"/>
        </w:rPr>
        <w:t>5</w:t>
      </w:r>
      <w:r>
        <w:rPr>
          <w:rFonts w:ascii="Arial" w:hAnsi="Arial" w:cs="Arial"/>
          <w:b/>
          <w:bCs/>
          <w:i/>
          <w:iCs/>
          <w:sz w:val="24"/>
          <w:szCs w:val="24"/>
          <w:u w:val="single"/>
        </w:rPr>
        <w:tab/>
      </w:r>
      <w:r w:rsidR="002B23A0" w:rsidRPr="00480D5F">
        <w:rPr>
          <w:rFonts w:ascii="Arial" w:hAnsi="Arial" w:cs="Arial"/>
          <w:b/>
          <w:bCs/>
          <w:i/>
          <w:iCs/>
          <w:sz w:val="24"/>
          <w:szCs w:val="24"/>
        </w:rPr>
        <w:t>Termination if tenant refuses transfer to alternate premises</w:t>
      </w:r>
      <w:r w:rsidR="002B23A0" w:rsidRPr="00622718">
        <w:rPr>
          <w:rFonts w:ascii="Arial" w:hAnsi="Arial" w:cs="Arial"/>
          <w:i/>
          <w:iCs/>
          <w:sz w:val="24"/>
          <w:szCs w:val="24"/>
          <w:u w:val="single"/>
        </w:rPr>
        <w:t xml:space="preserve"> </w:t>
      </w:r>
    </w:p>
    <w:p w14:paraId="2282ED84" w14:textId="2CD1A354" w:rsidR="00067735" w:rsidRPr="000A66E5" w:rsidRDefault="00067735" w:rsidP="002B23A0">
      <w:pPr>
        <w:rPr>
          <w:rFonts w:ascii="Arial" w:hAnsi="Arial" w:cs="Arial"/>
          <w:i/>
          <w:iCs/>
          <w:sz w:val="24"/>
          <w:szCs w:val="24"/>
        </w:rPr>
      </w:pPr>
      <w:r w:rsidRPr="000A66E5">
        <w:rPr>
          <w:rFonts w:ascii="Arial" w:hAnsi="Arial" w:cs="Arial"/>
          <w:i/>
          <w:iCs/>
          <w:sz w:val="24"/>
          <w:szCs w:val="24"/>
        </w:rPr>
        <w:t>Background</w:t>
      </w:r>
    </w:p>
    <w:p w14:paraId="386210D6" w14:textId="4C0F22A0" w:rsidR="00067735" w:rsidRPr="00067735" w:rsidRDefault="00067735" w:rsidP="002B23A0">
      <w:pPr>
        <w:rPr>
          <w:rFonts w:ascii="Arial" w:hAnsi="Arial" w:cs="Arial"/>
          <w:iCs/>
          <w:sz w:val="24"/>
          <w:szCs w:val="24"/>
        </w:rPr>
      </w:pPr>
      <w:r w:rsidRPr="00264F34">
        <w:rPr>
          <w:rFonts w:ascii="Arial" w:hAnsi="Arial" w:cs="Arial"/>
          <w:iCs/>
          <w:sz w:val="24"/>
          <w:szCs w:val="24"/>
        </w:rPr>
        <w:t xml:space="preserve">The purpose of </w:t>
      </w:r>
      <w:r>
        <w:rPr>
          <w:rFonts w:ascii="Arial" w:hAnsi="Arial" w:cs="Arial"/>
          <w:iCs/>
          <w:sz w:val="24"/>
          <w:szCs w:val="24"/>
        </w:rPr>
        <w:t xml:space="preserve">this </w:t>
      </w:r>
      <w:r w:rsidRPr="00264F34">
        <w:rPr>
          <w:rFonts w:ascii="Arial" w:hAnsi="Arial" w:cs="Arial"/>
          <w:iCs/>
          <w:sz w:val="24"/>
          <w:szCs w:val="24"/>
        </w:rPr>
        <w:t>new termination provision</w:t>
      </w:r>
      <w:r w:rsidR="006D2698">
        <w:rPr>
          <w:rFonts w:ascii="Arial" w:hAnsi="Arial" w:cs="Arial"/>
          <w:iCs/>
          <w:sz w:val="24"/>
          <w:szCs w:val="24"/>
        </w:rPr>
        <w:t xml:space="preserve"> </w:t>
      </w:r>
      <w:r w:rsidRPr="00264F34">
        <w:rPr>
          <w:rFonts w:ascii="Arial" w:hAnsi="Arial" w:cs="Arial"/>
          <w:iCs/>
          <w:sz w:val="24"/>
          <w:szCs w:val="24"/>
        </w:rPr>
        <w:t xml:space="preserve">is to support the operation of the Program </w:t>
      </w:r>
      <w:r>
        <w:rPr>
          <w:rFonts w:ascii="Arial" w:hAnsi="Arial" w:cs="Arial"/>
          <w:iCs/>
          <w:sz w:val="24"/>
          <w:szCs w:val="24"/>
        </w:rPr>
        <w:t xml:space="preserve">by </w:t>
      </w:r>
      <w:r w:rsidR="00C8241C">
        <w:rPr>
          <w:rFonts w:ascii="Arial" w:hAnsi="Arial" w:cs="Arial"/>
          <w:iCs/>
          <w:sz w:val="24"/>
          <w:szCs w:val="24"/>
        </w:rPr>
        <w:t>supporting</w:t>
      </w:r>
      <w:r>
        <w:rPr>
          <w:rFonts w:ascii="Arial" w:hAnsi="Arial" w:cs="Arial"/>
          <w:iCs/>
          <w:sz w:val="24"/>
          <w:szCs w:val="24"/>
        </w:rPr>
        <w:t xml:space="preserve"> the Housing Commissioner to </w:t>
      </w:r>
      <w:r w:rsidR="00C8241C">
        <w:rPr>
          <w:rFonts w:ascii="Arial" w:hAnsi="Arial" w:cs="Arial"/>
          <w:iCs/>
          <w:sz w:val="24"/>
          <w:szCs w:val="24"/>
        </w:rPr>
        <w:t>require a transfer</w:t>
      </w:r>
      <w:r w:rsidRPr="00264F34">
        <w:rPr>
          <w:rFonts w:ascii="Arial" w:hAnsi="Arial" w:cs="Arial"/>
          <w:iCs/>
          <w:sz w:val="24"/>
          <w:szCs w:val="24"/>
        </w:rPr>
        <w:t xml:space="preserve">. </w:t>
      </w:r>
      <w:r>
        <w:rPr>
          <w:rFonts w:ascii="Arial" w:hAnsi="Arial" w:cs="Arial"/>
          <w:iCs/>
          <w:sz w:val="24"/>
          <w:szCs w:val="24"/>
        </w:rPr>
        <w:t>T</w:t>
      </w:r>
      <w:r w:rsidRPr="00264F34">
        <w:rPr>
          <w:rFonts w:ascii="Arial" w:hAnsi="Arial" w:cs="Arial"/>
          <w:iCs/>
          <w:sz w:val="24"/>
          <w:szCs w:val="24"/>
        </w:rPr>
        <w:t>h</w:t>
      </w:r>
      <w:r>
        <w:rPr>
          <w:rFonts w:ascii="Arial" w:hAnsi="Arial" w:cs="Arial"/>
          <w:iCs/>
          <w:sz w:val="24"/>
          <w:szCs w:val="24"/>
        </w:rPr>
        <w:t>is</w:t>
      </w:r>
      <w:r w:rsidRPr="00264F34">
        <w:rPr>
          <w:rFonts w:ascii="Arial" w:hAnsi="Arial" w:cs="Arial"/>
          <w:iCs/>
          <w:sz w:val="24"/>
          <w:szCs w:val="24"/>
        </w:rPr>
        <w:t xml:space="preserve"> termination provision support</w:t>
      </w:r>
      <w:r>
        <w:rPr>
          <w:rFonts w:ascii="Arial" w:hAnsi="Arial" w:cs="Arial"/>
          <w:iCs/>
          <w:sz w:val="24"/>
          <w:szCs w:val="24"/>
        </w:rPr>
        <w:t>s</w:t>
      </w:r>
      <w:r w:rsidRPr="00264F34">
        <w:rPr>
          <w:rFonts w:ascii="Arial" w:hAnsi="Arial" w:cs="Arial"/>
          <w:iCs/>
          <w:sz w:val="24"/>
          <w:szCs w:val="24"/>
        </w:rPr>
        <w:t xml:space="preserve"> the effective targeting of </w:t>
      </w:r>
      <w:r w:rsidR="001047F1">
        <w:rPr>
          <w:rFonts w:ascii="Arial" w:hAnsi="Arial" w:cs="Arial"/>
          <w:iCs/>
          <w:sz w:val="24"/>
          <w:szCs w:val="24"/>
        </w:rPr>
        <w:t>public</w:t>
      </w:r>
      <w:r w:rsidR="001047F1" w:rsidRPr="00264F34">
        <w:rPr>
          <w:rFonts w:ascii="Arial" w:hAnsi="Arial" w:cs="Arial"/>
          <w:iCs/>
          <w:sz w:val="24"/>
          <w:szCs w:val="24"/>
        </w:rPr>
        <w:t xml:space="preserve"> </w:t>
      </w:r>
      <w:r w:rsidRPr="00264F34">
        <w:rPr>
          <w:rFonts w:ascii="Arial" w:hAnsi="Arial" w:cs="Arial"/>
          <w:iCs/>
          <w:sz w:val="24"/>
          <w:szCs w:val="24"/>
        </w:rPr>
        <w:t xml:space="preserve">housing by ensuring </w:t>
      </w:r>
      <w:r>
        <w:rPr>
          <w:rFonts w:ascii="Arial" w:hAnsi="Arial" w:cs="Arial"/>
          <w:iCs/>
          <w:sz w:val="24"/>
          <w:szCs w:val="24"/>
        </w:rPr>
        <w:t>the Housing Commissioner can allocate limited housing stock effectively and can also regain possession of a property where the Housing Commissioner wants to sell or renovate the property</w:t>
      </w:r>
      <w:r w:rsidRPr="00264F34">
        <w:rPr>
          <w:rFonts w:ascii="Arial" w:hAnsi="Arial" w:cs="Arial"/>
          <w:iCs/>
          <w:sz w:val="24"/>
          <w:szCs w:val="24"/>
        </w:rPr>
        <w:t>.</w:t>
      </w:r>
      <w:r>
        <w:rPr>
          <w:rFonts w:ascii="Arial" w:hAnsi="Arial" w:cs="Arial"/>
          <w:iCs/>
          <w:sz w:val="24"/>
          <w:szCs w:val="24"/>
        </w:rPr>
        <w:t xml:space="preserve">  </w:t>
      </w:r>
    </w:p>
    <w:p w14:paraId="798C77DA" w14:textId="0E2883E4" w:rsidR="002B23A0" w:rsidRPr="00D23FC1" w:rsidRDefault="002B23A0" w:rsidP="002B23A0">
      <w:pPr>
        <w:rPr>
          <w:rFonts w:ascii="Arial" w:hAnsi="Arial" w:cs="Arial"/>
          <w:sz w:val="24"/>
          <w:szCs w:val="24"/>
        </w:rPr>
      </w:pPr>
      <w:r>
        <w:rPr>
          <w:rFonts w:ascii="Arial" w:hAnsi="Arial" w:cs="Arial"/>
          <w:sz w:val="24"/>
          <w:szCs w:val="24"/>
        </w:rPr>
        <w:t xml:space="preserve">Under </w:t>
      </w:r>
      <w:r w:rsidR="000B3FB6">
        <w:rPr>
          <w:rFonts w:ascii="Arial" w:hAnsi="Arial" w:cs="Arial"/>
          <w:sz w:val="24"/>
          <w:szCs w:val="24"/>
        </w:rPr>
        <w:t>section 28 of the Program</w:t>
      </w:r>
      <w:r w:rsidR="00296C06">
        <w:rPr>
          <w:rFonts w:ascii="Arial" w:hAnsi="Arial" w:cs="Arial"/>
          <w:sz w:val="24"/>
          <w:szCs w:val="24"/>
        </w:rPr>
        <w:t>,</w:t>
      </w:r>
      <w:r w:rsidR="000B3FB6">
        <w:rPr>
          <w:rFonts w:ascii="Arial" w:hAnsi="Arial" w:cs="Arial"/>
          <w:sz w:val="24"/>
          <w:szCs w:val="24"/>
        </w:rPr>
        <w:t xml:space="preserve"> </w:t>
      </w:r>
      <w:r w:rsidRPr="00D23FC1">
        <w:rPr>
          <w:rFonts w:ascii="Arial" w:hAnsi="Arial" w:cs="Arial"/>
          <w:sz w:val="24"/>
          <w:szCs w:val="24"/>
        </w:rPr>
        <w:t xml:space="preserve">the </w:t>
      </w:r>
      <w:r w:rsidR="000B3FB6">
        <w:rPr>
          <w:rFonts w:ascii="Arial" w:hAnsi="Arial" w:cs="Arial"/>
          <w:sz w:val="24"/>
          <w:szCs w:val="24"/>
        </w:rPr>
        <w:t>Housing Commissioner</w:t>
      </w:r>
      <w:r w:rsidRPr="00D23FC1">
        <w:rPr>
          <w:rFonts w:ascii="Arial" w:hAnsi="Arial" w:cs="Arial"/>
          <w:sz w:val="24"/>
          <w:szCs w:val="24"/>
        </w:rPr>
        <w:t xml:space="preserve"> </w:t>
      </w:r>
      <w:r>
        <w:rPr>
          <w:rFonts w:ascii="Arial" w:hAnsi="Arial" w:cs="Arial"/>
          <w:sz w:val="24"/>
          <w:szCs w:val="24"/>
        </w:rPr>
        <w:t xml:space="preserve">has </w:t>
      </w:r>
      <w:r w:rsidRPr="00D23FC1">
        <w:rPr>
          <w:rFonts w:ascii="Arial" w:hAnsi="Arial" w:cs="Arial"/>
          <w:sz w:val="24"/>
          <w:szCs w:val="24"/>
        </w:rPr>
        <w:t xml:space="preserve">the power to require a tenant to transfer to another public housing dwelling for </w:t>
      </w:r>
      <w:r w:rsidR="00067735">
        <w:rPr>
          <w:rFonts w:ascii="Arial" w:hAnsi="Arial" w:cs="Arial"/>
          <w:sz w:val="24"/>
          <w:szCs w:val="24"/>
        </w:rPr>
        <w:t>of the following</w:t>
      </w:r>
      <w:r w:rsidRPr="00D23FC1">
        <w:rPr>
          <w:rFonts w:ascii="Arial" w:hAnsi="Arial" w:cs="Arial"/>
          <w:sz w:val="24"/>
          <w:szCs w:val="24"/>
        </w:rPr>
        <w:t xml:space="preserve"> reasons</w:t>
      </w:r>
      <w:r w:rsidR="00067735">
        <w:rPr>
          <w:rFonts w:ascii="Arial" w:hAnsi="Arial" w:cs="Arial"/>
          <w:sz w:val="24"/>
          <w:szCs w:val="24"/>
        </w:rPr>
        <w:t>:</w:t>
      </w:r>
      <w:r w:rsidRPr="00D23FC1">
        <w:rPr>
          <w:rFonts w:ascii="Arial" w:hAnsi="Arial" w:cs="Arial"/>
          <w:sz w:val="24"/>
          <w:szCs w:val="24"/>
        </w:rPr>
        <w:t xml:space="preserve">  </w:t>
      </w:r>
    </w:p>
    <w:p w14:paraId="1CDEE99F" w14:textId="77777777" w:rsidR="002B23A0" w:rsidRPr="00D23FC1" w:rsidRDefault="002B23A0" w:rsidP="002B23A0">
      <w:pPr>
        <w:pStyle w:val="ListParagraph"/>
        <w:numPr>
          <w:ilvl w:val="0"/>
          <w:numId w:val="4"/>
        </w:numPr>
        <w:spacing w:after="160" w:line="259" w:lineRule="auto"/>
        <w:contextualSpacing/>
        <w:rPr>
          <w:rFonts w:ascii="Arial" w:hAnsi="Arial" w:cs="Arial"/>
          <w:sz w:val="24"/>
          <w:szCs w:val="24"/>
        </w:rPr>
      </w:pPr>
      <w:r w:rsidRPr="00D23FC1">
        <w:rPr>
          <w:rFonts w:ascii="Arial" w:hAnsi="Arial" w:cs="Arial"/>
          <w:sz w:val="24"/>
          <w:szCs w:val="24"/>
        </w:rPr>
        <w:t>Where the physical condition of the property is likely to cause harm to a member of the household or the public</w:t>
      </w:r>
      <w:r>
        <w:rPr>
          <w:rFonts w:ascii="Arial" w:hAnsi="Arial" w:cs="Arial"/>
          <w:sz w:val="24"/>
          <w:szCs w:val="24"/>
        </w:rPr>
        <w:t>,</w:t>
      </w:r>
    </w:p>
    <w:p w14:paraId="2EB54351" w14:textId="77777777" w:rsidR="002B23A0" w:rsidRPr="00D23FC1" w:rsidRDefault="002B23A0" w:rsidP="002B23A0">
      <w:pPr>
        <w:pStyle w:val="ListParagraph"/>
        <w:numPr>
          <w:ilvl w:val="0"/>
          <w:numId w:val="4"/>
        </w:numPr>
        <w:spacing w:after="160" w:line="259" w:lineRule="auto"/>
        <w:contextualSpacing/>
        <w:rPr>
          <w:rFonts w:ascii="Arial" w:hAnsi="Arial" w:cs="Arial"/>
          <w:sz w:val="24"/>
          <w:szCs w:val="24"/>
        </w:rPr>
      </w:pPr>
      <w:r w:rsidRPr="00D23FC1">
        <w:rPr>
          <w:rFonts w:ascii="Arial" w:hAnsi="Arial" w:cs="Arial"/>
          <w:sz w:val="24"/>
          <w:szCs w:val="24"/>
        </w:rPr>
        <w:t>In the interests of community harmony</w:t>
      </w:r>
      <w:r>
        <w:rPr>
          <w:rFonts w:ascii="Arial" w:hAnsi="Arial" w:cs="Arial"/>
          <w:sz w:val="24"/>
          <w:szCs w:val="24"/>
        </w:rPr>
        <w:t>, or</w:t>
      </w:r>
    </w:p>
    <w:p w14:paraId="65B6AB31" w14:textId="07E42C5B" w:rsidR="00735081" w:rsidRDefault="002B23A0" w:rsidP="00735081">
      <w:pPr>
        <w:pStyle w:val="ListParagraph"/>
        <w:numPr>
          <w:ilvl w:val="0"/>
          <w:numId w:val="4"/>
        </w:numPr>
        <w:spacing w:after="160" w:line="259" w:lineRule="auto"/>
        <w:contextualSpacing/>
        <w:rPr>
          <w:rFonts w:ascii="Arial" w:hAnsi="Arial" w:cs="Arial"/>
          <w:sz w:val="24"/>
          <w:szCs w:val="24"/>
        </w:rPr>
      </w:pPr>
      <w:r w:rsidRPr="00D23FC1">
        <w:rPr>
          <w:rFonts w:ascii="Arial" w:hAnsi="Arial" w:cs="Arial"/>
          <w:sz w:val="24"/>
          <w:szCs w:val="24"/>
        </w:rPr>
        <w:t xml:space="preserve">Where the property is required for repair renovation, disposal or redevelopment. </w:t>
      </w:r>
    </w:p>
    <w:p w14:paraId="02CDD2A8" w14:textId="77777777" w:rsidR="00735081" w:rsidRPr="00480D5F" w:rsidRDefault="00735081" w:rsidP="00480D5F">
      <w:pPr>
        <w:spacing w:after="160" w:line="259" w:lineRule="auto"/>
        <w:contextualSpacing/>
        <w:rPr>
          <w:rFonts w:ascii="Arial" w:hAnsi="Arial" w:cs="Arial"/>
          <w:sz w:val="24"/>
          <w:szCs w:val="24"/>
        </w:rPr>
      </w:pPr>
    </w:p>
    <w:p w14:paraId="7A102FA6" w14:textId="4358893C" w:rsidR="00067735" w:rsidRDefault="00F96420" w:rsidP="002B23A0">
      <w:pPr>
        <w:rPr>
          <w:rFonts w:ascii="Arial" w:hAnsi="Arial" w:cs="Arial"/>
          <w:sz w:val="24"/>
          <w:szCs w:val="24"/>
        </w:rPr>
      </w:pPr>
      <w:r>
        <w:rPr>
          <w:rFonts w:ascii="Arial" w:hAnsi="Arial" w:cs="Arial"/>
          <w:sz w:val="24"/>
          <w:szCs w:val="24"/>
        </w:rPr>
        <w:t>W</w:t>
      </w:r>
      <w:r w:rsidR="00C8241C">
        <w:rPr>
          <w:rFonts w:ascii="Arial" w:hAnsi="Arial" w:cs="Arial"/>
          <w:sz w:val="24"/>
          <w:szCs w:val="24"/>
        </w:rPr>
        <w:t xml:space="preserve">hilst the HAA gives the Housing Commissioner the power to require a transfer, from a tenancy perspective, this involves ending the person’s tenancy in relation to one premises and offering them a tenancy at an alternative premises. While tenancy legislation can support a lessor to end a tenancy, it cannot compel a person to enter into a new tenancy agreement. </w:t>
      </w:r>
    </w:p>
    <w:p w14:paraId="7303231B" w14:textId="764E0092" w:rsidR="00067735" w:rsidRDefault="00C8241C" w:rsidP="002B23A0">
      <w:pPr>
        <w:rPr>
          <w:rFonts w:ascii="Arial" w:hAnsi="Arial" w:cs="Arial"/>
          <w:sz w:val="24"/>
          <w:szCs w:val="24"/>
        </w:rPr>
      </w:pPr>
      <w:r>
        <w:rPr>
          <w:rFonts w:ascii="Arial" w:hAnsi="Arial" w:cs="Arial"/>
          <w:sz w:val="24"/>
          <w:szCs w:val="24"/>
        </w:rPr>
        <w:t>As such, t</w:t>
      </w:r>
      <w:r>
        <w:rPr>
          <w:rFonts w:ascii="Arial" w:hAnsi="Arial" w:cs="Arial"/>
          <w:iCs/>
          <w:sz w:val="24"/>
          <w:szCs w:val="24"/>
        </w:rPr>
        <w:t xml:space="preserve">his provision is designed to support the Housing Commissioner to require a transfer by allowing the Housing Commissioner to terminate the tenancy of a tenant who has refused an offer of an alternate premises. In this sense, the tenancy termination provision will only operate in circumstances where the effective operation of the Program (the requirement to transfer) is impeded. </w:t>
      </w:r>
      <w:r w:rsidR="00AA1CD6">
        <w:rPr>
          <w:rFonts w:ascii="Arial" w:hAnsi="Arial" w:cs="Arial"/>
          <w:iCs/>
          <w:sz w:val="24"/>
          <w:szCs w:val="24"/>
        </w:rPr>
        <w:t xml:space="preserve">However, it is noted that the operation of this tenancy termination provision does </w:t>
      </w:r>
      <w:r w:rsidR="00AA1CD6" w:rsidRPr="00264F34">
        <w:rPr>
          <w:rFonts w:ascii="Arial" w:hAnsi="Arial" w:cs="Arial"/>
          <w:iCs/>
          <w:sz w:val="24"/>
          <w:szCs w:val="24"/>
          <w:lang w:eastAsia="en-AU"/>
        </w:rPr>
        <w:t>not prevent the Housing Commissioner from exercising their discretion under the Program to make subsequent additional offers of alternat</w:t>
      </w:r>
      <w:r w:rsidR="00AA1CD6">
        <w:rPr>
          <w:rFonts w:ascii="Arial" w:hAnsi="Arial" w:cs="Arial"/>
          <w:iCs/>
          <w:sz w:val="24"/>
          <w:szCs w:val="24"/>
          <w:lang w:eastAsia="en-AU"/>
        </w:rPr>
        <w:t>e</w:t>
      </w:r>
      <w:r w:rsidR="00AA1CD6" w:rsidRPr="00264F34">
        <w:rPr>
          <w:rFonts w:ascii="Arial" w:hAnsi="Arial" w:cs="Arial"/>
          <w:iCs/>
          <w:sz w:val="24"/>
          <w:szCs w:val="24"/>
          <w:lang w:eastAsia="en-AU"/>
        </w:rPr>
        <w:t xml:space="preserve"> accommodation to the tenant during the </w:t>
      </w:r>
      <w:r w:rsidR="00AA1CD6">
        <w:rPr>
          <w:rFonts w:ascii="Arial" w:hAnsi="Arial" w:cs="Arial"/>
          <w:iCs/>
          <w:sz w:val="24"/>
          <w:szCs w:val="24"/>
          <w:lang w:eastAsia="en-AU"/>
        </w:rPr>
        <w:t>NTV</w:t>
      </w:r>
      <w:r w:rsidR="00AA1CD6" w:rsidRPr="00264F34">
        <w:rPr>
          <w:rFonts w:ascii="Arial" w:hAnsi="Arial" w:cs="Arial"/>
          <w:iCs/>
          <w:sz w:val="24"/>
          <w:szCs w:val="24"/>
          <w:lang w:eastAsia="en-AU"/>
        </w:rPr>
        <w:t xml:space="preserve"> period</w:t>
      </w:r>
      <w:r w:rsidR="00AA1CD6">
        <w:rPr>
          <w:rFonts w:ascii="Arial" w:hAnsi="Arial" w:cs="Arial"/>
          <w:iCs/>
          <w:sz w:val="24"/>
          <w:szCs w:val="24"/>
          <w:lang w:eastAsia="en-AU"/>
        </w:rPr>
        <w:t>,</w:t>
      </w:r>
      <w:r w:rsidR="00AA1CD6" w:rsidRPr="00264F34">
        <w:rPr>
          <w:rFonts w:ascii="Arial" w:hAnsi="Arial" w:cs="Arial"/>
          <w:iCs/>
          <w:sz w:val="24"/>
          <w:szCs w:val="24"/>
          <w:lang w:eastAsia="en-AU"/>
        </w:rPr>
        <w:t xml:space="preserve"> should the Housing Commissioner choose to do so. This will allow the Housing Commissioner to continue to offer housing assistance to the tenant (in the form of an alternat</w:t>
      </w:r>
      <w:r w:rsidR="00AA1CD6">
        <w:rPr>
          <w:rFonts w:ascii="Arial" w:hAnsi="Arial" w:cs="Arial"/>
          <w:iCs/>
          <w:sz w:val="24"/>
          <w:szCs w:val="24"/>
          <w:lang w:eastAsia="en-AU"/>
        </w:rPr>
        <w:t>e</w:t>
      </w:r>
      <w:r w:rsidR="00AA1CD6" w:rsidRPr="00264F34">
        <w:rPr>
          <w:rFonts w:ascii="Arial" w:hAnsi="Arial" w:cs="Arial"/>
          <w:iCs/>
          <w:sz w:val="24"/>
          <w:szCs w:val="24"/>
          <w:lang w:eastAsia="en-AU"/>
        </w:rPr>
        <w:t xml:space="preserve"> premises) where it is appropriate to do so.</w:t>
      </w:r>
      <w:r w:rsidR="00AA1CD6">
        <w:rPr>
          <w:rFonts w:ascii="Arial" w:hAnsi="Arial" w:cs="Arial"/>
          <w:iCs/>
          <w:sz w:val="24"/>
          <w:szCs w:val="24"/>
          <w:lang w:eastAsia="en-AU"/>
        </w:rPr>
        <w:t xml:space="preserve"> </w:t>
      </w:r>
    </w:p>
    <w:p w14:paraId="6951EA64" w14:textId="4118AB57" w:rsidR="00067735" w:rsidRDefault="00067735" w:rsidP="00067735">
      <w:pPr>
        <w:rPr>
          <w:rFonts w:ascii="Arial" w:hAnsi="Arial" w:cs="Arial"/>
          <w:sz w:val="24"/>
          <w:szCs w:val="24"/>
        </w:rPr>
      </w:pPr>
      <w:r>
        <w:rPr>
          <w:rFonts w:ascii="Arial" w:hAnsi="Arial" w:cs="Arial"/>
          <w:sz w:val="24"/>
          <w:szCs w:val="24"/>
        </w:rPr>
        <w:lastRenderedPageBreak/>
        <w:t xml:space="preserve">It is noted that this termination provision is drafted to refer to approved housing assistance programs generally rather than the existing Program. This is to capture any future versions of the Program should the Housing Commissioner decide to amend the Program. This </w:t>
      </w:r>
      <w:r w:rsidR="00F96420">
        <w:rPr>
          <w:rFonts w:ascii="Arial" w:hAnsi="Arial" w:cs="Arial"/>
          <w:sz w:val="24"/>
          <w:szCs w:val="24"/>
        </w:rPr>
        <w:t>means</w:t>
      </w:r>
      <w:r>
        <w:rPr>
          <w:rFonts w:ascii="Arial" w:hAnsi="Arial" w:cs="Arial"/>
          <w:sz w:val="24"/>
          <w:szCs w:val="24"/>
        </w:rPr>
        <w:t xml:space="preserve"> that it would be open to the Housing Commissioner to decide to amend the existing program to expand the circumstances in which the Housing Commissioner can require a transfer. To ensure there are appropriate safeguards connected to </w:t>
      </w:r>
      <w:r w:rsidR="00C8241C">
        <w:rPr>
          <w:rFonts w:ascii="Arial" w:hAnsi="Arial" w:cs="Arial"/>
          <w:sz w:val="24"/>
          <w:szCs w:val="24"/>
        </w:rPr>
        <w:t xml:space="preserve">any </w:t>
      </w:r>
      <w:r w:rsidR="00F96420">
        <w:rPr>
          <w:rFonts w:ascii="Arial" w:hAnsi="Arial" w:cs="Arial"/>
          <w:sz w:val="24"/>
          <w:szCs w:val="24"/>
        </w:rPr>
        <w:t>changes to</w:t>
      </w:r>
      <w:r w:rsidR="00C8241C">
        <w:rPr>
          <w:rFonts w:ascii="Arial" w:hAnsi="Arial" w:cs="Arial"/>
          <w:sz w:val="24"/>
          <w:szCs w:val="24"/>
        </w:rPr>
        <w:t xml:space="preserve"> tenancy termination circumstance</w:t>
      </w:r>
      <w:r w:rsidR="00F96420">
        <w:rPr>
          <w:rFonts w:ascii="Arial" w:hAnsi="Arial" w:cs="Arial"/>
          <w:sz w:val="24"/>
          <w:szCs w:val="24"/>
        </w:rPr>
        <w:t>s</w:t>
      </w:r>
      <w:r w:rsidR="00C8241C">
        <w:rPr>
          <w:rFonts w:ascii="Arial" w:hAnsi="Arial" w:cs="Arial"/>
          <w:sz w:val="24"/>
          <w:szCs w:val="24"/>
        </w:rPr>
        <w:t xml:space="preserve"> </w:t>
      </w:r>
      <w:r w:rsidR="00F96420">
        <w:rPr>
          <w:rFonts w:ascii="Arial" w:hAnsi="Arial" w:cs="Arial"/>
          <w:sz w:val="24"/>
          <w:szCs w:val="24"/>
        </w:rPr>
        <w:t>made through</w:t>
      </w:r>
      <w:r>
        <w:rPr>
          <w:rFonts w:ascii="Arial" w:hAnsi="Arial" w:cs="Arial"/>
          <w:sz w:val="24"/>
          <w:szCs w:val="24"/>
        </w:rPr>
        <w:t xml:space="preserve"> amendments to a housing assistance program, this Bill incorporates amendments to the HAA to increase the level of scrutiny </w:t>
      </w:r>
      <w:r w:rsidR="00F96420">
        <w:rPr>
          <w:rFonts w:ascii="Arial" w:hAnsi="Arial" w:cs="Arial"/>
          <w:sz w:val="24"/>
          <w:szCs w:val="24"/>
        </w:rPr>
        <w:t>on</w:t>
      </w:r>
      <w:r>
        <w:rPr>
          <w:rFonts w:ascii="Arial" w:hAnsi="Arial" w:cs="Arial"/>
          <w:sz w:val="24"/>
          <w:szCs w:val="24"/>
        </w:rPr>
        <w:t xml:space="preserve"> the creation of legislative instruments related to decisions of the Housing Commissioner that could lead to tenancy termination (see the HAA amendments at Schedule 1 of this Bill for further detail). </w:t>
      </w:r>
    </w:p>
    <w:p w14:paraId="6A720A16" w14:textId="576C9BC9" w:rsidR="00735081" w:rsidRDefault="00735081" w:rsidP="00067735">
      <w:pPr>
        <w:rPr>
          <w:rFonts w:ascii="Arial" w:hAnsi="Arial" w:cs="Arial"/>
          <w:sz w:val="24"/>
          <w:szCs w:val="24"/>
        </w:rPr>
      </w:pPr>
      <w:r>
        <w:rPr>
          <w:rFonts w:ascii="Arial" w:hAnsi="Arial" w:cs="Arial"/>
          <w:sz w:val="24"/>
          <w:szCs w:val="24"/>
        </w:rPr>
        <w:t xml:space="preserve">It is also noted that where the Commissioner wants to end a tenancy on the basis that the Commissioner genuinely intends to sell or renovate the property the Commissioner may still rely on the existing termination grounds at clause 96 of the SRTTs.  The insertion of this provision is not intended to prevent the Commissioner from utilising other termination grounds available to all lessors. </w:t>
      </w:r>
    </w:p>
    <w:p w14:paraId="2F2F6BA2" w14:textId="32D11A5D" w:rsidR="00067735" w:rsidRPr="000A66E5" w:rsidRDefault="00AA1CD6" w:rsidP="002B23A0">
      <w:pPr>
        <w:rPr>
          <w:rFonts w:ascii="Arial" w:hAnsi="Arial" w:cs="Arial"/>
          <w:i/>
          <w:iCs/>
          <w:sz w:val="24"/>
          <w:szCs w:val="24"/>
        </w:rPr>
      </w:pPr>
      <w:r w:rsidRPr="000A66E5">
        <w:rPr>
          <w:rFonts w:ascii="Arial" w:hAnsi="Arial" w:cs="Arial"/>
          <w:i/>
          <w:iCs/>
          <w:sz w:val="24"/>
          <w:szCs w:val="24"/>
        </w:rPr>
        <w:t>Operation of the provision</w:t>
      </w:r>
    </w:p>
    <w:p w14:paraId="408803E9" w14:textId="7BB031A2" w:rsidR="006671E2" w:rsidRDefault="00067735" w:rsidP="00AA1CD6">
      <w:pPr>
        <w:rPr>
          <w:rFonts w:ascii="Arial" w:hAnsi="Arial" w:cs="Arial"/>
          <w:sz w:val="24"/>
          <w:szCs w:val="24"/>
        </w:rPr>
      </w:pPr>
      <w:r>
        <w:rPr>
          <w:rFonts w:ascii="Arial" w:hAnsi="Arial" w:cs="Arial"/>
          <w:sz w:val="24"/>
          <w:szCs w:val="24"/>
        </w:rPr>
        <w:t xml:space="preserve">Where the Housing Commissioner wants to recover possession of a property and the tenant remains eligible for ongoing housing assistance, the Commissioner may </w:t>
      </w:r>
      <w:r w:rsidR="00AA1CD6">
        <w:rPr>
          <w:rFonts w:ascii="Arial" w:hAnsi="Arial" w:cs="Arial"/>
          <w:sz w:val="24"/>
          <w:szCs w:val="24"/>
        </w:rPr>
        <w:t xml:space="preserve">make a decision under a housing assistance program to </w:t>
      </w:r>
      <w:r>
        <w:rPr>
          <w:rFonts w:ascii="Arial" w:hAnsi="Arial" w:cs="Arial"/>
          <w:sz w:val="24"/>
          <w:szCs w:val="24"/>
        </w:rPr>
        <w:t>require that tenant to relocate to another property.</w:t>
      </w:r>
      <w:r w:rsidR="00AA1CD6">
        <w:rPr>
          <w:rFonts w:ascii="Arial" w:hAnsi="Arial" w:cs="Arial"/>
          <w:sz w:val="24"/>
          <w:szCs w:val="24"/>
        </w:rPr>
        <w:t xml:space="preserve"> Where the Commissioner makes a</w:t>
      </w:r>
      <w:r w:rsidR="00250B2A">
        <w:rPr>
          <w:rFonts w:ascii="Arial" w:hAnsi="Arial" w:cs="Arial"/>
          <w:sz w:val="24"/>
          <w:szCs w:val="24"/>
        </w:rPr>
        <w:t xml:space="preserve"> written</w:t>
      </w:r>
      <w:r w:rsidR="00AA1CD6">
        <w:rPr>
          <w:rFonts w:ascii="Arial" w:hAnsi="Arial" w:cs="Arial"/>
          <w:sz w:val="24"/>
          <w:szCs w:val="24"/>
        </w:rPr>
        <w:t xml:space="preserve"> offer of a tenancy agreement at an alternate property which the tenant actively rejects or simply fails to accept, the Housing Commissioner will be able to issue a 26-week NTV to the tenant. </w:t>
      </w:r>
    </w:p>
    <w:p w14:paraId="36DB7F3F" w14:textId="10F3AEAD" w:rsidR="00C64171" w:rsidRDefault="00C64171" w:rsidP="00C64171">
      <w:pPr>
        <w:spacing w:after="160" w:line="259" w:lineRule="auto"/>
        <w:contextualSpacing/>
        <w:rPr>
          <w:rFonts w:ascii="Arial" w:hAnsi="Arial" w:cs="Arial"/>
          <w:sz w:val="24"/>
          <w:szCs w:val="24"/>
        </w:rPr>
      </w:pPr>
      <w:r>
        <w:rPr>
          <w:rFonts w:ascii="Arial" w:hAnsi="Arial" w:cs="Arial"/>
          <w:sz w:val="24"/>
          <w:szCs w:val="24"/>
        </w:rPr>
        <w:t xml:space="preserve">It is noted that currently under the Program a decision to transfer in the interests of community harmony is an appealable decision but the other circumstances in which the Housing Commissioner may require a transfer are not. </w:t>
      </w:r>
    </w:p>
    <w:p w14:paraId="0B7D2ED0" w14:textId="77777777" w:rsidR="00C64171" w:rsidRPr="00C64171" w:rsidRDefault="00C64171" w:rsidP="00480D5F">
      <w:pPr>
        <w:spacing w:after="160" w:line="259" w:lineRule="auto"/>
        <w:contextualSpacing/>
        <w:rPr>
          <w:rFonts w:ascii="Arial" w:hAnsi="Arial" w:cs="Arial"/>
          <w:sz w:val="24"/>
          <w:szCs w:val="24"/>
        </w:rPr>
      </w:pPr>
    </w:p>
    <w:p w14:paraId="15540608" w14:textId="23A2C7E6" w:rsidR="00AA1CD6" w:rsidRDefault="006671E2" w:rsidP="00AA1CD6">
      <w:pPr>
        <w:rPr>
          <w:rFonts w:ascii="Arial" w:hAnsi="Arial" w:cs="Arial"/>
          <w:sz w:val="24"/>
          <w:szCs w:val="24"/>
        </w:rPr>
      </w:pPr>
      <w:r>
        <w:rPr>
          <w:rFonts w:ascii="Arial" w:hAnsi="Arial" w:cs="Arial"/>
          <w:sz w:val="24"/>
          <w:szCs w:val="24"/>
        </w:rPr>
        <w:t>W</w:t>
      </w:r>
      <w:r w:rsidR="00AA1CD6">
        <w:rPr>
          <w:rFonts w:ascii="Arial" w:hAnsi="Arial" w:cs="Arial"/>
          <w:sz w:val="24"/>
          <w:szCs w:val="24"/>
        </w:rPr>
        <w:t>here the Housing Commissioner’s decision is a reviewable decision, the Housing Commissioner must wait until either the appeal period for the tenant seeking a review of decision has passed or, if the tenant seeks review of decision – until any review has been finalised, before the Housing Commissioner can issue the NTV.</w:t>
      </w:r>
      <w:r w:rsidR="00944D73">
        <w:rPr>
          <w:rFonts w:ascii="Arial" w:hAnsi="Arial" w:cs="Arial"/>
          <w:sz w:val="24"/>
          <w:szCs w:val="24"/>
        </w:rPr>
        <w:t xml:space="preserve"> </w:t>
      </w:r>
    </w:p>
    <w:p w14:paraId="000715B9" w14:textId="4F0F1605" w:rsidR="0070557E" w:rsidRDefault="00B41D5E" w:rsidP="0070557E">
      <w:pPr>
        <w:rPr>
          <w:rFonts w:ascii="Arial" w:hAnsi="Arial" w:cs="Arial"/>
          <w:sz w:val="24"/>
          <w:szCs w:val="24"/>
        </w:rPr>
      </w:pPr>
      <w:r>
        <w:rPr>
          <w:rFonts w:ascii="Arial" w:hAnsi="Arial" w:cs="Arial"/>
          <w:sz w:val="24"/>
          <w:szCs w:val="24"/>
        </w:rPr>
        <w:t>The provision allows a tenant to end the tenancy</w:t>
      </w:r>
      <w:r w:rsidR="00250B2A">
        <w:rPr>
          <w:rFonts w:ascii="Arial" w:hAnsi="Arial" w:cs="Arial"/>
          <w:sz w:val="24"/>
          <w:szCs w:val="24"/>
        </w:rPr>
        <w:t xml:space="preserve"> provided the tenant gives the Housing Commissioner at least 2 weeks notice of their intention to vacate, or</w:t>
      </w:r>
      <w:r>
        <w:rPr>
          <w:rFonts w:ascii="Arial" w:hAnsi="Arial" w:cs="Arial"/>
          <w:sz w:val="24"/>
          <w:szCs w:val="24"/>
        </w:rPr>
        <w:t xml:space="preserve"> </w:t>
      </w:r>
      <w:r w:rsidR="00250B2A">
        <w:rPr>
          <w:rFonts w:ascii="Arial" w:hAnsi="Arial" w:cs="Arial"/>
          <w:sz w:val="24"/>
          <w:szCs w:val="24"/>
        </w:rPr>
        <w:t>if the tenant wishes to end the tenancy</w:t>
      </w:r>
      <w:r>
        <w:rPr>
          <w:rFonts w:ascii="Arial" w:hAnsi="Arial" w:cs="Arial"/>
          <w:sz w:val="24"/>
          <w:szCs w:val="24"/>
        </w:rPr>
        <w:t xml:space="preserve"> during the 2 weeks before the date stated in the </w:t>
      </w:r>
      <w:r w:rsidR="00250B2A">
        <w:rPr>
          <w:rFonts w:ascii="Arial" w:hAnsi="Arial" w:cs="Arial"/>
          <w:sz w:val="24"/>
          <w:szCs w:val="24"/>
        </w:rPr>
        <w:t>notice, provided</w:t>
      </w:r>
      <w:r>
        <w:rPr>
          <w:rFonts w:ascii="Arial" w:hAnsi="Arial" w:cs="Arial"/>
          <w:sz w:val="24"/>
          <w:szCs w:val="24"/>
        </w:rPr>
        <w:t xml:space="preserve"> they give the Housing Commissioner 4</w:t>
      </w:r>
      <w:r w:rsidR="006671E2">
        <w:rPr>
          <w:rFonts w:ascii="Arial" w:hAnsi="Arial" w:cs="Arial"/>
          <w:sz w:val="24"/>
          <w:szCs w:val="24"/>
        </w:rPr>
        <w:t> </w:t>
      </w:r>
      <w:r>
        <w:rPr>
          <w:rFonts w:ascii="Arial" w:hAnsi="Arial" w:cs="Arial"/>
          <w:sz w:val="24"/>
          <w:szCs w:val="24"/>
        </w:rPr>
        <w:t xml:space="preserve">days’ notice of their intention to vacate. </w:t>
      </w:r>
      <w:r w:rsidR="0070557E">
        <w:rPr>
          <w:rFonts w:ascii="Arial" w:hAnsi="Arial" w:cs="Arial"/>
          <w:sz w:val="24"/>
          <w:szCs w:val="24"/>
        </w:rPr>
        <w:t>This provision further clarifies that the tenancy terminates on the day the tenant vacates the premises.</w:t>
      </w:r>
    </w:p>
    <w:p w14:paraId="58F8769E" w14:textId="77777777" w:rsidR="00B41D5E" w:rsidRDefault="00B41D5E" w:rsidP="00B41D5E">
      <w:pPr>
        <w:rPr>
          <w:rFonts w:ascii="Arial" w:hAnsi="Arial" w:cs="Arial"/>
          <w:sz w:val="24"/>
          <w:szCs w:val="24"/>
        </w:rPr>
      </w:pPr>
      <w:r>
        <w:rPr>
          <w:rFonts w:ascii="Arial" w:hAnsi="Arial" w:cs="Arial"/>
          <w:sz w:val="24"/>
          <w:szCs w:val="24"/>
        </w:rPr>
        <w:t xml:space="preserve">If the tenant does not move out in accordance with the NTV then the Housing Commissioner would need to follow the existing tenancy termination pathway at </w:t>
      </w:r>
      <w:r>
        <w:rPr>
          <w:rFonts w:ascii="Arial" w:hAnsi="Arial" w:cs="Arial"/>
          <w:sz w:val="24"/>
          <w:szCs w:val="24"/>
        </w:rPr>
        <w:lastRenderedPageBreak/>
        <w:t xml:space="preserve">section 47 of the RTA and apply to ACAT for a TPO on the basis the tenant has not vacated the premises in accordance with a termination notice issued under the Act. </w:t>
      </w:r>
    </w:p>
    <w:p w14:paraId="4EEB6E9A" w14:textId="7F9CB339" w:rsidR="00B41D5E" w:rsidRDefault="006671E2" w:rsidP="00B41D5E">
      <w:pPr>
        <w:rPr>
          <w:rFonts w:ascii="Arial" w:hAnsi="Arial" w:cs="Arial"/>
          <w:sz w:val="24"/>
          <w:szCs w:val="24"/>
        </w:rPr>
      </w:pPr>
      <w:r>
        <w:rPr>
          <w:rFonts w:ascii="Arial" w:hAnsi="Arial" w:cs="Arial"/>
          <w:sz w:val="24"/>
          <w:szCs w:val="24"/>
        </w:rPr>
        <w:t>The</w:t>
      </w:r>
      <w:r w:rsidR="00B41D5E">
        <w:rPr>
          <w:rFonts w:ascii="Arial" w:hAnsi="Arial" w:cs="Arial"/>
          <w:sz w:val="24"/>
          <w:szCs w:val="24"/>
        </w:rPr>
        <w:t xml:space="preserve"> Bill also amends existing section 47 of the RTA to </w:t>
      </w:r>
      <w:r w:rsidR="00790249">
        <w:rPr>
          <w:rFonts w:ascii="Arial" w:hAnsi="Arial" w:cs="Arial"/>
          <w:sz w:val="24"/>
          <w:szCs w:val="24"/>
        </w:rPr>
        <w:t xml:space="preserve">require that ACAT consider whether a TPO sought on this ground is reasonable and proportionate in the circumstances.  Amended section 47 also </w:t>
      </w:r>
      <w:r w:rsidR="00B41D5E">
        <w:rPr>
          <w:rFonts w:ascii="Arial" w:hAnsi="Arial" w:cs="Arial"/>
          <w:sz w:val="24"/>
          <w:szCs w:val="24"/>
        </w:rPr>
        <w:t>clarif</w:t>
      </w:r>
      <w:r w:rsidR="00790249">
        <w:rPr>
          <w:rFonts w:ascii="Arial" w:hAnsi="Arial" w:cs="Arial"/>
          <w:sz w:val="24"/>
          <w:szCs w:val="24"/>
        </w:rPr>
        <w:t>ies</w:t>
      </w:r>
      <w:r w:rsidR="00B41D5E">
        <w:rPr>
          <w:rFonts w:ascii="Arial" w:hAnsi="Arial" w:cs="Arial"/>
          <w:sz w:val="24"/>
          <w:szCs w:val="24"/>
        </w:rPr>
        <w:t xml:space="preserve"> that when hearing a TPO application on this ground, ACAT may not undertake merits review of the administrative law decision by the Housing Commissioner to withdraw housing assistance from the tenant upon finding the tenant is no longer eligible for assistance. See clause </w:t>
      </w:r>
      <w:r w:rsidR="00790249" w:rsidRPr="005A14D5">
        <w:rPr>
          <w:rFonts w:ascii="Arial" w:hAnsi="Arial" w:cs="Arial"/>
          <w:sz w:val="24"/>
          <w:szCs w:val="24"/>
        </w:rPr>
        <w:t>21</w:t>
      </w:r>
      <w:r w:rsidR="00B41D5E">
        <w:rPr>
          <w:rFonts w:ascii="Arial" w:hAnsi="Arial" w:cs="Arial"/>
          <w:sz w:val="24"/>
          <w:szCs w:val="24"/>
        </w:rPr>
        <w:t xml:space="preserve">, above, for more detail on this amendment. ACAT will still be able to exercise its general discretion to consider the circumstances of the case when deciding whether to grant a TPO. </w:t>
      </w:r>
    </w:p>
    <w:p w14:paraId="145E3F52" w14:textId="39947F67" w:rsidR="002B23A0" w:rsidRPr="00622718" w:rsidRDefault="003B0E68" w:rsidP="00802A7D">
      <w:pPr>
        <w:rPr>
          <w:rFonts w:ascii="Arial" w:hAnsi="Arial" w:cs="Arial"/>
          <w:i/>
          <w:iCs/>
          <w:sz w:val="24"/>
          <w:szCs w:val="24"/>
          <w:u w:val="single"/>
        </w:rPr>
      </w:pPr>
      <w:r>
        <w:rPr>
          <w:rFonts w:ascii="Arial" w:hAnsi="Arial" w:cs="Arial"/>
          <w:b/>
          <w:bCs/>
          <w:i/>
          <w:iCs/>
          <w:sz w:val="24"/>
          <w:szCs w:val="24"/>
        </w:rPr>
        <w:t>10</w:t>
      </w:r>
      <w:r w:rsidR="006D2698">
        <w:rPr>
          <w:rFonts w:ascii="Arial" w:hAnsi="Arial" w:cs="Arial"/>
          <w:b/>
          <w:bCs/>
          <w:i/>
          <w:iCs/>
          <w:sz w:val="24"/>
          <w:szCs w:val="24"/>
        </w:rPr>
        <w:t>6</w:t>
      </w:r>
      <w:r>
        <w:rPr>
          <w:rFonts w:ascii="Arial" w:hAnsi="Arial" w:cs="Arial"/>
          <w:b/>
          <w:bCs/>
          <w:i/>
          <w:iCs/>
          <w:sz w:val="24"/>
          <w:szCs w:val="24"/>
        </w:rPr>
        <w:t xml:space="preserve"> Termination if tenant is party to 2 tenancies</w:t>
      </w:r>
      <w:r w:rsidR="002B23A0" w:rsidRPr="00622718">
        <w:rPr>
          <w:rFonts w:ascii="Arial" w:hAnsi="Arial" w:cs="Arial"/>
          <w:i/>
          <w:iCs/>
          <w:sz w:val="24"/>
          <w:szCs w:val="24"/>
          <w:u w:val="single"/>
        </w:rPr>
        <w:t xml:space="preserve"> </w:t>
      </w:r>
    </w:p>
    <w:p w14:paraId="0CA662B6" w14:textId="26C2CC61" w:rsidR="006671E2" w:rsidRDefault="002B23A0" w:rsidP="002B23A0">
      <w:pPr>
        <w:rPr>
          <w:rFonts w:ascii="Arial" w:hAnsi="Arial" w:cs="Arial"/>
          <w:sz w:val="24"/>
          <w:szCs w:val="24"/>
        </w:rPr>
      </w:pPr>
      <w:r w:rsidRPr="000A66E5">
        <w:rPr>
          <w:rFonts w:ascii="Arial" w:hAnsi="Arial" w:cs="Arial"/>
          <w:sz w:val="24"/>
          <w:szCs w:val="24"/>
        </w:rPr>
        <w:t>There are circumstance</w:t>
      </w:r>
      <w:r w:rsidR="006671E2">
        <w:rPr>
          <w:rFonts w:ascii="Arial" w:hAnsi="Arial" w:cs="Arial"/>
          <w:sz w:val="24"/>
          <w:szCs w:val="24"/>
        </w:rPr>
        <w:t>s</w:t>
      </w:r>
      <w:r w:rsidRPr="000A66E5">
        <w:rPr>
          <w:rFonts w:ascii="Arial" w:hAnsi="Arial" w:cs="Arial"/>
          <w:sz w:val="24"/>
          <w:szCs w:val="24"/>
        </w:rPr>
        <w:t xml:space="preserve"> where existing tenants </w:t>
      </w:r>
      <w:r w:rsidR="00B41D5E">
        <w:rPr>
          <w:rFonts w:ascii="Arial" w:hAnsi="Arial" w:cs="Arial"/>
          <w:sz w:val="24"/>
          <w:szCs w:val="24"/>
        </w:rPr>
        <w:t xml:space="preserve">voluntarily </w:t>
      </w:r>
      <w:r w:rsidRPr="000A66E5">
        <w:rPr>
          <w:rFonts w:ascii="Arial" w:hAnsi="Arial" w:cs="Arial"/>
          <w:sz w:val="24"/>
          <w:szCs w:val="24"/>
        </w:rPr>
        <w:t>agree to move to an alternate property. These may include where a tenant has applied for a voluntary transfer, if the tenant</w:t>
      </w:r>
      <w:r w:rsidR="00944D73">
        <w:rPr>
          <w:rFonts w:ascii="Arial" w:hAnsi="Arial" w:cs="Arial"/>
          <w:sz w:val="24"/>
          <w:szCs w:val="24"/>
        </w:rPr>
        <w:t>’</w:t>
      </w:r>
      <w:r w:rsidRPr="000A66E5">
        <w:rPr>
          <w:rFonts w:ascii="Arial" w:hAnsi="Arial" w:cs="Arial"/>
          <w:sz w:val="24"/>
          <w:szCs w:val="24"/>
        </w:rPr>
        <w:t xml:space="preserve">s circumstances change (e.g. they require a disability modified property or their housing composition has changed), or if the </w:t>
      </w:r>
      <w:r w:rsidR="000B3FB6">
        <w:rPr>
          <w:rFonts w:ascii="Arial" w:hAnsi="Arial" w:cs="Arial"/>
          <w:sz w:val="24"/>
          <w:szCs w:val="24"/>
        </w:rPr>
        <w:t>Housing Commissioner</w:t>
      </w:r>
      <w:r w:rsidRPr="000A66E5">
        <w:rPr>
          <w:rFonts w:ascii="Arial" w:hAnsi="Arial" w:cs="Arial"/>
          <w:sz w:val="24"/>
          <w:szCs w:val="24"/>
        </w:rPr>
        <w:t xml:space="preserve"> has allocated an individual a transit property and they will not return to their original tenancy. When the transfer occurs, there may be a period of time where the tenant holds two tenancies with the </w:t>
      </w:r>
      <w:r w:rsidR="000B3FB6">
        <w:rPr>
          <w:rFonts w:ascii="Arial" w:hAnsi="Arial" w:cs="Arial"/>
          <w:sz w:val="24"/>
          <w:szCs w:val="24"/>
        </w:rPr>
        <w:t>Housing Commissioner</w:t>
      </w:r>
      <w:r w:rsidRPr="000A66E5">
        <w:rPr>
          <w:rFonts w:ascii="Arial" w:hAnsi="Arial" w:cs="Arial"/>
          <w:sz w:val="24"/>
          <w:szCs w:val="24"/>
        </w:rPr>
        <w:t xml:space="preserve">. </w:t>
      </w:r>
    </w:p>
    <w:p w14:paraId="7EAFF504" w14:textId="45873483" w:rsidR="002B23A0" w:rsidRDefault="00622718" w:rsidP="002B23A0">
      <w:pPr>
        <w:rPr>
          <w:rFonts w:ascii="Arial" w:hAnsi="Arial" w:cs="Arial"/>
          <w:sz w:val="24"/>
          <w:szCs w:val="24"/>
        </w:rPr>
      </w:pPr>
      <w:r w:rsidRPr="000A66E5">
        <w:rPr>
          <w:rFonts w:ascii="Arial" w:hAnsi="Arial" w:cs="Arial"/>
          <w:sz w:val="24"/>
          <w:szCs w:val="24"/>
        </w:rPr>
        <w:t>T</w:t>
      </w:r>
      <w:r w:rsidR="002B23A0" w:rsidRPr="000A66E5">
        <w:rPr>
          <w:rFonts w:ascii="Arial" w:hAnsi="Arial" w:cs="Arial"/>
          <w:sz w:val="24"/>
          <w:szCs w:val="24"/>
        </w:rPr>
        <w:t xml:space="preserve">his termination provision will enable to </w:t>
      </w:r>
      <w:r w:rsidR="000B3FB6">
        <w:rPr>
          <w:rFonts w:ascii="Arial" w:hAnsi="Arial" w:cs="Arial"/>
          <w:sz w:val="24"/>
          <w:szCs w:val="24"/>
        </w:rPr>
        <w:t>Housing Commissioner</w:t>
      </w:r>
      <w:r w:rsidR="002B23A0" w:rsidRPr="000A66E5">
        <w:rPr>
          <w:rFonts w:ascii="Arial" w:hAnsi="Arial" w:cs="Arial"/>
          <w:sz w:val="24"/>
          <w:szCs w:val="24"/>
        </w:rPr>
        <w:t xml:space="preserve"> to terminate the original tenancy with 1 </w:t>
      </w:r>
      <w:r w:rsidRPr="000A66E5">
        <w:rPr>
          <w:rFonts w:ascii="Arial" w:hAnsi="Arial" w:cs="Arial"/>
          <w:sz w:val="24"/>
          <w:szCs w:val="24"/>
        </w:rPr>
        <w:t>wee</w:t>
      </w:r>
      <w:r w:rsidR="00250B2A">
        <w:rPr>
          <w:rFonts w:ascii="Arial" w:hAnsi="Arial" w:cs="Arial"/>
          <w:sz w:val="24"/>
          <w:szCs w:val="24"/>
        </w:rPr>
        <w:t>k</w:t>
      </w:r>
      <w:r w:rsidRPr="000A66E5">
        <w:rPr>
          <w:rFonts w:ascii="Arial" w:hAnsi="Arial" w:cs="Arial"/>
          <w:sz w:val="24"/>
          <w:szCs w:val="24"/>
        </w:rPr>
        <w:t xml:space="preserve"> notice</w:t>
      </w:r>
      <w:r w:rsidR="002B23A0" w:rsidRPr="000A66E5">
        <w:rPr>
          <w:rFonts w:ascii="Arial" w:hAnsi="Arial" w:cs="Arial"/>
          <w:sz w:val="24"/>
          <w:szCs w:val="24"/>
        </w:rPr>
        <w:t xml:space="preserve"> </w:t>
      </w:r>
      <w:r w:rsidRPr="000A66E5">
        <w:rPr>
          <w:rFonts w:ascii="Arial" w:hAnsi="Arial" w:cs="Arial"/>
          <w:sz w:val="24"/>
          <w:szCs w:val="24"/>
        </w:rPr>
        <w:t>(</w:t>
      </w:r>
      <w:r w:rsidR="002B23A0" w:rsidRPr="000A66E5">
        <w:rPr>
          <w:rFonts w:ascii="Arial" w:hAnsi="Arial" w:cs="Arial"/>
          <w:sz w:val="24"/>
          <w:szCs w:val="24"/>
        </w:rPr>
        <w:t xml:space="preserve">or any longer period as the </w:t>
      </w:r>
      <w:r w:rsidR="000B3FB6">
        <w:rPr>
          <w:rFonts w:ascii="Arial" w:hAnsi="Arial" w:cs="Arial"/>
          <w:sz w:val="24"/>
          <w:szCs w:val="24"/>
        </w:rPr>
        <w:t>Housing Commissioner</w:t>
      </w:r>
      <w:r w:rsidR="002B23A0" w:rsidRPr="000A66E5">
        <w:rPr>
          <w:rFonts w:ascii="Arial" w:hAnsi="Arial" w:cs="Arial"/>
          <w:sz w:val="24"/>
          <w:szCs w:val="24"/>
        </w:rPr>
        <w:t xml:space="preserve"> may decide</w:t>
      </w:r>
      <w:r w:rsidRPr="000A66E5">
        <w:rPr>
          <w:rFonts w:ascii="Arial" w:hAnsi="Arial" w:cs="Arial"/>
          <w:sz w:val="24"/>
          <w:szCs w:val="24"/>
        </w:rPr>
        <w:t>)</w:t>
      </w:r>
      <w:r w:rsidR="002B23A0" w:rsidRPr="000A66E5">
        <w:rPr>
          <w:rFonts w:ascii="Arial" w:hAnsi="Arial" w:cs="Arial"/>
          <w:sz w:val="24"/>
          <w:szCs w:val="24"/>
        </w:rPr>
        <w:t xml:space="preserve"> </w:t>
      </w:r>
      <w:r w:rsidR="002B23A0" w:rsidRPr="000A66E5">
        <w:rPr>
          <w:rFonts w:ascii="Arial" w:hAnsi="Arial" w:cs="Arial"/>
          <w:i/>
          <w:iCs/>
          <w:sz w:val="24"/>
          <w:szCs w:val="24"/>
        </w:rPr>
        <w:t>after</w:t>
      </w:r>
      <w:r w:rsidR="002B23A0" w:rsidRPr="000A66E5">
        <w:rPr>
          <w:rFonts w:ascii="Arial" w:hAnsi="Arial" w:cs="Arial"/>
          <w:sz w:val="24"/>
          <w:szCs w:val="24"/>
        </w:rPr>
        <w:t xml:space="preserve"> the </w:t>
      </w:r>
      <w:r w:rsidR="00455DCB" w:rsidRPr="000A66E5">
        <w:rPr>
          <w:rFonts w:ascii="Arial" w:hAnsi="Arial" w:cs="Arial"/>
          <w:sz w:val="24"/>
          <w:szCs w:val="24"/>
        </w:rPr>
        <w:t>tenan</w:t>
      </w:r>
      <w:r w:rsidR="00455DCB">
        <w:rPr>
          <w:rFonts w:ascii="Arial" w:hAnsi="Arial" w:cs="Arial"/>
          <w:sz w:val="24"/>
          <w:szCs w:val="24"/>
        </w:rPr>
        <w:t>cy</w:t>
      </w:r>
      <w:r w:rsidR="00455DCB" w:rsidRPr="000A66E5">
        <w:rPr>
          <w:rFonts w:ascii="Arial" w:hAnsi="Arial" w:cs="Arial"/>
          <w:sz w:val="24"/>
          <w:szCs w:val="24"/>
        </w:rPr>
        <w:t xml:space="preserve"> </w:t>
      </w:r>
      <w:r w:rsidR="002B23A0" w:rsidRPr="000A66E5">
        <w:rPr>
          <w:rFonts w:ascii="Arial" w:hAnsi="Arial" w:cs="Arial"/>
          <w:sz w:val="24"/>
          <w:szCs w:val="24"/>
        </w:rPr>
        <w:t xml:space="preserve">has commenced </w:t>
      </w:r>
      <w:r w:rsidR="00455DCB">
        <w:rPr>
          <w:rFonts w:ascii="Arial" w:hAnsi="Arial" w:cs="Arial"/>
          <w:sz w:val="24"/>
          <w:szCs w:val="24"/>
        </w:rPr>
        <w:t>in accordance with the tenancy agreement</w:t>
      </w:r>
      <w:r w:rsidR="002B23A0" w:rsidRPr="000A66E5">
        <w:rPr>
          <w:rFonts w:ascii="Arial" w:hAnsi="Arial" w:cs="Arial"/>
          <w:sz w:val="24"/>
          <w:szCs w:val="24"/>
        </w:rPr>
        <w:t xml:space="preserve">. This will ensure the </w:t>
      </w:r>
      <w:r w:rsidR="000B3FB6">
        <w:rPr>
          <w:rFonts w:ascii="Arial" w:hAnsi="Arial" w:cs="Arial"/>
          <w:sz w:val="24"/>
          <w:szCs w:val="24"/>
        </w:rPr>
        <w:t>Housing Commissioner</w:t>
      </w:r>
      <w:r w:rsidR="002B23A0" w:rsidRPr="000A66E5">
        <w:rPr>
          <w:rFonts w:ascii="Arial" w:hAnsi="Arial" w:cs="Arial"/>
          <w:sz w:val="24"/>
          <w:szCs w:val="24"/>
        </w:rPr>
        <w:t xml:space="preserve"> can take possession back of the original premises </w:t>
      </w:r>
      <w:r w:rsidR="00D041E0" w:rsidRPr="000A66E5">
        <w:rPr>
          <w:rFonts w:ascii="Arial" w:hAnsi="Arial" w:cs="Arial"/>
          <w:sz w:val="24"/>
          <w:szCs w:val="24"/>
        </w:rPr>
        <w:t>to</w:t>
      </w:r>
      <w:r w:rsidR="002B23A0" w:rsidRPr="000A66E5">
        <w:rPr>
          <w:rFonts w:ascii="Arial" w:hAnsi="Arial" w:cs="Arial"/>
          <w:sz w:val="24"/>
          <w:szCs w:val="24"/>
        </w:rPr>
        <w:t xml:space="preserve"> manage it appropriately</w:t>
      </w:r>
      <w:r w:rsidR="00D041E0" w:rsidRPr="000A66E5">
        <w:rPr>
          <w:rFonts w:ascii="Arial" w:hAnsi="Arial" w:cs="Arial"/>
          <w:sz w:val="24"/>
          <w:szCs w:val="24"/>
        </w:rPr>
        <w:t xml:space="preserve"> and make it available for use</w:t>
      </w:r>
      <w:r w:rsidR="002B23A0" w:rsidRPr="000A66E5">
        <w:rPr>
          <w:rFonts w:ascii="Arial" w:hAnsi="Arial" w:cs="Arial"/>
          <w:sz w:val="24"/>
          <w:szCs w:val="24"/>
        </w:rPr>
        <w:t xml:space="preserve">. </w:t>
      </w:r>
    </w:p>
    <w:p w14:paraId="614FD01D" w14:textId="1966E167" w:rsidR="00300D20" w:rsidRDefault="00F43AF2" w:rsidP="002B23A0">
      <w:pPr>
        <w:rPr>
          <w:rFonts w:ascii="Arial" w:hAnsi="Arial" w:cs="Arial"/>
          <w:b/>
          <w:bCs/>
          <w:i/>
          <w:iCs/>
          <w:sz w:val="24"/>
          <w:szCs w:val="24"/>
        </w:rPr>
      </w:pPr>
      <w:r w:rsidRPr="00DA1AEA">
        <w:rPr>
          <w:rFonts w:ascii="Arial" w:hAnsi="Arial" w:cs="Arial"/>
          <w:b/>
          <w:bCs/>
          <w:i/>
          <w:iCs/>
          <w:sz w:val="24"/>
          <w:szCs w:val="24"/>
        </w:rPr>
        <w:t>Schedule 2,</w:t>
      </w:r>
      <w:r w:rsidR="00004B62" w:rsidRPr="00DA1AEA">
        <w:rPr>
          <w:rFonts w:ascii="Arial" w:hAnsi="Arial" w:cs="Arial"/>
          <w:b/>
          <w:bCs/>
          <w:i/>
          <w:iCs/>
          <w:sz w:val="24"/>
          <w:szCs w:val="24"/>
        </w:rPr>
        <w:t xml:space="preserve"> </w:t>
      </w:r>
      <w:r w:rsidR="002B23A0" w:rsidRPr="00DA1AEA">
        <w:rPr>
          <w:rFonts w:ascii="Arial" w:hAnsi="Arial" w:cs="Arial"/>
          <w:b/>
          <w:bCs/>
          <w:i/>
          <w:iCs/>
          <w:sz w:val="24"/>
          <w:szCs w:val="24"/>
        </w:rPr>
        <w:t>2.5</w:t>
      </w:r>
      <w:r w:rsidR="00DA1AEA">
        <w:rPr>
          <w:rFonts w:ascii="Arial" w:hAnsi="Arial" w:cs="Arial"/>
          <w:b/>
          <w:bCs/>
          <w:i/>
          <w:iCs/>
          <w:sz w:val="24"/>
          <w:szCs w:val="24"/>
        </w:rPr>
        <w:tab/>
      </w:r>
      <w:r w:rsidR="00300D20">
        <w:rPr>
          <w:rFonts w:ascii="Arial" w:hAnsi="Arial" w:cs="Arial"/>
          <w:b/>
          <w:bCs/>
          <w:i/>
          <w:iCs/>
          <w:sz w:val="24"/>
          <w:szCs w:val="24"/>
        </w:rPr>
        <w:t>Temporary housing assistance termination clause</w:t>
      </w:r>
    </w:p>
    <w:p w14:paraId="08B41A16" w14:textId="6E6770C9" w:rsidR="003B0E68" w:rsidRDefault="00300D20" w:rsidP="00802A7D">
      <w:pPr>
        <w:rPr>
          <w:rFonts w:ascii="Arial" w:hAnsi="Arial" w:cs="Arial"/>
          <w:b/>
          <w:bCs/>
          <w:i/>
          <w:iCs/>
          <w:sz w:val="24"/>
          <w:szCs w:val="24"/>
        </w:rPr>
      </w:pPr>
      <w:r>
        <w:rPr>
          <w:rFonts w:ascii="Arial" w:hAnsi="Arial" w:cs="Arial"/>
          <w:b/>
          <w:bCs/>
          <w:i/>
          <w:iCs/>
          <w:sz w:val="24"/>
          <w:szCs w:val="24"/>
        </w:rPr>
        <w:t>10</w:t>
      </w:r>
      <w:r w:rsidR="00BB3933">
        <w:rPr>
          <w:rFonts w:ascii="Arial" w:hAnsi="Arial" w:cs="Arial"/>
          <w:b/>
          <w:bCs/>
          <w:i/>
          <w:iCs/>
          <w:sz w:val="24"/>
          <w:szCs w:val="24"/>
        </w:rPr>
        <w:t>7</w:t>
      </w:r>
      <w:r>
        <w:rPr>
          <w:rFonts w:ascii="Arial" w:hAnsi="Arial" w:cs="Arial"/>
          <w:b/>
          <w:bCs/>
          <w:i/>
          <w:iCs/>
          <w:sz w:val="24"/>
          <w:szCs w:val="24"/>
        </w:rPr>
        <w:tab/>
        <w:t>Termination if housing commissioner decides tenant not eligible for ongoing housing assistance</w:t>
      </w:r>
    </w:p>
    <w:p w14:paraId="6EFE09A9" w14:textId="77777777" w:rsidR="003B0E68" w:rsidRPr="00F20978" w:rsidRDefault="003B0E68" w:rsidP="003B0E68">
      <w:pPr>
        <w:rPr>
          <w:rFonts w:ascii="Arial" w:hAnsi="Arial" w:cs="Arial"/>
          <w:i/>
          <w:iCs/>
          <w:sz w:val="24"/>
          <w:szCs w:val="24"/>
        </w:rPr>
      </w:pPr>
      <w:r>
        <w:rPr>
          <w:rFonts w:ascii="Arial" w:hAnsi="Arial" w:cs="Arial"/>
          <w:i/>
          <w:iCs/>
          <w:sz w:val="24"/>
          <w:szCs w:val="24"/>
        </w:rPr>
        <w:t>Background</w:t>
      </w:r>
    </w:p>
    <w:p w14:paraId="22C5862B" w14:textId="77777777" w:rsidR="003B0E68" w:rsidRDefault="003B0E68" w:rsidP="003B0E68">
      <w:pPr>
        <w:rPr>
          <w:rFonts w:ascii="Arial" w:hAnsi="Arial" w:cs="Arial"/>
          <w:sz w:val="24"/>
          <w:szCs w:val="24"/>
        </w:rPr>
      </w:pPr>
      <w:r w:rsidRPr="00F20978">
        <w:rPr>
          <w:rFonts w:ascii="Arial" w:hAnsi="Arial" w:cs="Arial"/>
          <w:sz w:val="24"/>
          <w:szCs w:val="24"/>
        </w:rPr>
        <w:t xml:space="preserve">This clause inserts a new termination clause which gives the </w:t>
      </w:r>
      <w:r>
        <w:rPr>
          <w:rFonts w:ascii="Arial" w:hAnsi="Arial" w:cs="Arial"/>
          <w:sz w:val="24"/>
          <w:szCs w:val="24"/>
        </w:rPr>
        <w:t>Housing Commissioner</w:t>
      </w:r>
      <w:r w:rsidRPr="00F20978">
        <w:rPr>
          <w:rFonts w:ascii="Arial" w:hAnsi="Arial" w:cs="Arial"/>
          <w:sz w:val="24"/>
          <w:szCs w:val="24"/>
        </w:rPr>
        <w:t xml:space="preserve"> the power to end a tenancy after a temporary period of housing assistance has ended. </w:t>
      </w:r>
      <w:r>
        <w:rPr>
          <w:rFonts w:ascii="Arial" w:hAnsi="Arial" w:cs="Arial"/>
          <w:sz w:val="24"/>
          <w:szCs w:val="24"/>
        </w:rPr>
        <w:t xml:space="preserve">It is noted that the concept of a ‘temporary period of housing assistance’ is not one that is currently contemplated under the HAA or the Program.  </w:t>
      </w:r>
    </w:p>
    <w:p w14:paraId="0EB8D725" w14:textId="77777777" w:rsidR="003B0E68" w:rsidRDefault="003B0E68" w:rsidP="003B0E68">
      <w:pPr>
        <w:rPr>
          <w:rFonts w:ascii="Arial" w:hAnsi="Arial" w:cs="Arial"/>
          <w:iCs/>
          <w:sz w:val="24"/>
          <w:szCs w:val="24"/>
        </w:rPr>
      </w:pPr>
      <w:r>
        <w:rPr>
          <w:rFonts w:ascii="Arial" w:hAnsi="Arial" w:cs="Arial"/>
          <w:sz w:val="24"/>
          <w:szCs w:val="24"/>
        </w:rPr>
        <w:t>T</w:t>
      </w:r>
      <w:r w:rsidRPr="00264F34">
        <w:rPr>
          <w:rFonts w:ascii="Arial" w:hAnsi="Arial" w:cs="Arial"/>
          <w:iCs/>
          <w:sz w:val="24"/>
          <w:szCs w:val="24"/>
        </w:rPr>
        <w:t xml:space="preserve">he Program </w:t>
      </w:r>
      <w:r>
        <w:rPr>
          <w:rFonts w:ascii="Arial" w:hAnsi="Arial" w:cs="Arial"/>
          <w:iCs/>
          <w:sz w:val="24"/>
          <w:szCs w:val="24"/>
        </w:rPr>
        <w:t xml:space="preserve">does however </w:t>
      </w:r>
      <w:r w:rsidRPr="00264F34">
        <w:rPr>
          <w:rFonts w:ascii="Arial" w:hAnsi="Arial" w:cs="Arial"/>
          <w:iCs/>
          <w:sz w:val="24"/>
          <w:szCs w:val="24"/>
        </w:rPr>
        <w:t xml:space="preserve">allow the </w:t>
      </w:r>
      <w:r>
        <w:rPr>
          <w:rFonts w:ascii="Arial" w:hAnsi="Arial" w:cs="Arial"/>
          <w:iCs/>
          <w:sz w:val="24"/>
          <w:szCs w:val="24"/>
        </w:rPr>
        <w:t>Housing Commissioner</w:t>
      </w:r>
      <w:r w:rsidRPr="00264F34">
        <w:rPr>
          <w:rFonts w:ascii="Arial" w:hAnsi="Arial" w:cs="Arial"/>
          <w:iCs/>
          <w:sz w:val="24"/>
          <w:szCs w:val="24"/>
        </w:rPr>
        <w:t xml:space="preserve"> to offer (on a discretionary basis) a person who has been residing in a public housing property, housing assistance outside of the normal allocation process following a tenancy breakdown situation. A tenancy breakdown occurs when a tenant dies or no longer occupies the property (for example because they need to move into aged care or </w:t>
      </w:r>
      <w:r w:rsidRPr="00264F34">
        <w:rPr>
          <w:rFonts w:ascii="Arial" w:hAnsi="Arial" w:cs="Arial"/>
          <w:iCs/>
          <w:sz w:val="24"/>
          <w:szCs w:val="24"/>
        </w:rPr>
        <w:lastRenderedPageBreak/>
        <w:t xml:space="preserve">where they leave due to a relationship breakdown). Instead of requiring any remaining residents to immediately vacate the premises following the death or departure of the tenant, the Program supports the </w:t>
      </w:r>
      <w:r>
        <w:rPr>
          <w:rFonts w:ascii="Arial" w:hAnsi="Arial" w:cs="Arial"/>
          <w:iCs/>
          <w:sz w:val="24"/>
          <w:szCs w:val="24"/>
        </w:rPr>
        <w:t>Housing Commissioner</w:t>
      </w:r>
      <w:r w:rsidRPr="00264F34">
        <w:rPr>
          <w:rFonts w:ascii="Arial" w:hAnsi="Arial" w:cs="Arial"/>
          <w:iCs/>
          <w:sz w:val="24"/>
          <w:szCs w:val="24"/>
        </w:rPr>
        <w:t xml:space="preserve"> to act with compassion by allowing remaining residents to stay in the premises for a bit longer, thereby giving them a period to adjust to their changed circumstances.  </w:t>
      </w:r>
    </w:p>
    <w:p w14:paraId="642270C5" w14:textId="4491D5D9" w:rsidR="003B0E68" w:rsidRDefault="003B0E68" w:rsidP="003B0E68">
      <w:pPr>
        <w:rPr>
          <w:rFonts w:ascii="Arial" w:hAnsi="Arial" w:cs="Arial"/>
          <w:iCs/>
          <w:sz w:val="24"/>
          <w:szCs w:val="24"/>
        </w:rPr>
      </w:pPr>
      <w:r>
        <w:rPr>
          <w:rFonts w:ascii="Arial" w:hAnsi="Arial" w:cs="Arial"/>
          <w:iCs/>
          <w:sz w:val="24"/>
          <w:szCs w:val="24"/>
        </w:rPr>
        <w:t>At present when this situation arises, the Housing Commissioner may offer a person being provided housing assistance following a tenancy breakdown a fixed term tenancy and then utilise the current without cause tenancy termination provision to end the tenancy at the end of the fixed term. As this will no longer be an option with the removal of the without cause termination provision</w:t>
      </w:r>
      <w:r w:rsidR="00300D20">
        <w:rPr>
          <w:rFonts w:ascii="Arial" w:hAnsi="Arial" w:cs="Arial"/>
          <w:iCs/>
          <w:sz w:val="24"/>
          <w:szCs w:val="24"/>
        </w:rPr>
        <w:t>,</w:t>
      </w:r>
      <w:r>
        <w:rPr>
          <w:rFonts w:ascii="Arial" w:hAnsi="Arial" w:cs="Arial"/>
          <w:iCs/>
          <w:sz w:val="24"/>
          <w:szCs w:val="24"/>
        </w:rPr>
        <w:t xml:space="preserve"> a replacement termination provision was required. Accordingly, this termination provision creates the concept of a temporary period of housing assistance which will allow the Housing Commissioner to terminate a tenancy on the grounds that the temporary period of housing assistance is ended. </w:t>
      </w:r>
    </w:p>
    <w:p w14:paraId="184D169A" w14:textId="30A28BF3" w:rsidR="003B0E68" w:rsidRDefault="003B0E68" w:rsidP="003B0E68">
      <w:pPr>
        <w:rPr>
          <w:rFonts w:ascii="Arial" w:hAnsi="Arial" w:cs="Arial"/>
          <w:iCs/>
          <w:sz w:val="24"/>
          <w:szCs w:val="24"/>
        </w:rPr>
      </w:pPr>
      <w:r>
        <w:rPr>
          <w:rFonts w:ascii="Arial" w:hAnsi="Arial" w:cs="Arial"/>
          <w:iCs/>
          <w:sz w:val="24"/>
          <w:szCs w:val="24"/>
        </w:rPr>
        <w:t xml:space="preserve">It is noted that this Bill introduces a new definition for temporary housing assistance which will sit within the HAA and be cross referenced in the RTA (see clause </w:t>
      </w:r>
      <w:r w:rsidRPr="005A14D5">
        <w:rPr>
          <w:rFonts w:ascii="Arial" w:hAnsi="Arial" w:cs="Arial"/>
          <w:iCs/>
          <w:sz w:val="24"/>
          <w:szCs w:val="24"/>
        </w:rPr>
        <w:t>5</w:t>
      </w:r>
      <w:r w:rsidR="00E359A9" w:rsidRPr="00E359A9">
        <w:rPr>
          <w:rFonts w:ascii="Arial" w:hAnsi="Arial" w:cs="Arial"/>
          <w:iCs/>
          <w:sz w:val="24"/>
          <w:szCs w:val="24"/>
        </w:rPr>
        <w:t>8</w:t>
      </w:r>
      <w:r>
        <w:rPr>
          <w:rFonts w:ascii="Arial" w:hAnsi="Arial" w:cs="Arial"/>
          <w:iCs/>
          <w:sz w:val="24"/>
          <w:szCs w:val="24"/>
        </w:rPr>
        <w:t xml:space="preserve"> which inserts the new definition in the Dictionary of the RTA and Schedule 1 clause </w:t>
      </w:r>
      <w:r w:rsidRPr="005A14D5">
        <w:rPr>
          <w:rFonts w:ascii="Arial" w:hAnsi="Arial" w:cs="Arial"/>
          <w:iCs/>
          <w:sz w:val="24"/>
          <w:szCs w:val="24"/>
        </w:rPr>
        <w:t>1.</w:t>
      </w:r>
      <w:r w:rsidR="00E359A9" w:rsidRPr="005A14D5">
        <w:rPr>
          <w:rFonts w:ascii="Arial" w:hAnsi="Arial" w:cs="Arial"/>
          <w:iCs/>
          <w:sz w:val="24"/>
          <w:szCs w:val="24"/>
        </w:rPr>
        <w:t>5</w:t>
      </w:r>
      <w:r>
        <w:rPr>
          <w:rFonts w:ascii="Arial" w:hAnsi="Arial" w:cs="Arial"/>
          <w:iCs/>
          <w:sz w:val="24"/>
          <w:szCs w:val="24"/>
        </w:rPr>
        <w:t xml:space="preserve"> which inserts the new definition in the Dictionary of the HAA).  </w:t>
      </w:r>
    </w:p>
    <w:p w14:paraId="6068CE09" w14:textId="77777777" w:rsidR="003B0E68" w:rsidRDefault="003B0E68" w:rsidP="003B0E68">
      <w:pPr>
        <w:rPr>
          <w:rFonts w:ascii="Arial" w:hAnsi="Arial" w:cs="Arial"/>
          <w:sz w:val="24"/>
          <w:szCs w:val="24"/>
        </w:rPr>
      </w:pPr>
      <w:r>
        <w:rPr>
          <w:rFonts w:ascii="Arial" w:hAnsi="Arial" w:cs="Arial"/>
          <w:sz w:val="24"/>
          <w:szCs w:val="24"/>
        </w:rPr>
        <w:t xml:space="preserve">As with the above termination provisions that apply to the Housing Commissioner, this termination provision is drafted to refer to approved housing assistance programs generally rather than the existing Program. This is to capture any future versions of the Program should the Housing Commissioner decide to amend it. An amendment to the current Program may be required to introduce the concept of temporary housing assistance following a tenancy termination breakdown. To ensure there are appropriate safeguards connected to changes to tenancy termination circumstances made through amendments to a housing assistance program, this Bill incorporates amendments to the HAA to increase the level of scrutiny on the creation of legislative instruments that are related to decisions of the Housing Commissioner that could lead to tenancy termination (see the HAA amendments at Schedule 1 of this Bill for further detail). </w:t>
      </w:r>
    </w:p>
    <w:p w14:paraId="2FB52309" w14:textId="77777777" w:rsidR="003B0E68" w:rsidRPr="00F20978" w:rsidRDefault="003B0E68" w:rsidP="003B0E68">
      <w:pPr>
        <w:rPr>
          <w:rFonts w:ascii="Arial" w:hAnsi="Arial" w:cs="Arial"/>
          <w:i/>
          <w:iCs/>
          <w:sz w:val="24"/>
          <w:szCs w:val="24"/>
        </w:rPr>
      </w:pPr>
      <w:r w:rsidRPr="00F20978">
        <w:rPr>
          <w:rFonts w:ascii="Arial" w:hAnsi="Arial" w:cs="Arial"/>
          <w:i/>
          <w:iCs/>
          <w:sz w:val="24"/>
          <w:szCs w:val="24"/>
        </w:rPr>
        <w:t>Operation of the provision</w:t>
      </w:r>
    </w:p>
    <w:p w14:paraId="530DDC19" w14:textId="66DFBF11" w:rsidR="003B0E68" w:rsidRDefault="003B0E68" w:rsidP="003B0E68">
      <w:pPr>
        <w:rPr>
          <w:rFonts w:ascii="Arial" w:hAnsi="Arial" w:cs="Arial"/>
          <w:sz w:val="24"/>
          <w:szCs w:val="24"/>
        </w:rPr>
      </w:pPr>
      <w:r w:rsidRPr="00AD38AE">
        <w:rPr>
          <w:rFonts w:ascii="Arial" w:hAnsi="Arial" w:cs="Arial"/>
          <w:sz w:val="24"/>
          <w:szCs w:val="24"/>
        </w:rPr>
        <w:t xml:space="preserve">For this provision to be utilised, the ability to terminate the tenancy is connected to the term of the temporary assistance provided by the </w:t>
      </w:r>
      <w:r>
        <w:rPr>
          <w:rFonts w:ascii="Arial" w:hAnsi="Arial" w:cs="Arial"/>
          <w:sz w:val="24"/>
          <w:szCs w:val="24"/>
        </w:rPr>
        <w:t>Housing Commissioner</w:t>
      </w:r>
      <w:r w:rsidRPr="00AD38AE">
        <w:rPr>
          <w:rFonts w:ascii="Arial" w:hAnsi="Arial" w:cs="Arial"/>
          <w:sz w:val="24"/>
          <w:szCs w:val="24"/>
        </w:rPr>
        <w:t xml:space="preserve">. </w:t>
      </w:r>
      <w:r>
        <w:rPr>
          <w:rFonts w:ascii="Arial" w:hAnsi="Arial" w:cs="Arial"/>
          <w:sz w:val="24"/>
          <w:szCs w:val="24"/>
        </w:rPr>
        <w:t xml:space="preserve">It is noted that this tenancy provision will not be incorporated in all </w:t>
      </w:r>
      <w:r w:rsidR="001047F1">
        <w:rPr>
          <w:rFonts w:ascii="Arial" w:hAnsi="Arial" w:cs="Arial"/>
          <w:sz w:val="24"/>
          <w:szCs w:val="24"/>
        </w:rPr>
        <w:t>public</w:t>
      </w:r>
      <w:r>
        <w:rPr>
          <w:rFonts w:ascii="Arial" w:hAnsi="Arial" w:cs="Arial"/>
          <w:sz w:val="24"/>
          <w:szCs w:val="24"/>
        </w:rPr>
        <w:t xml:space="preserve"> housing tenancies with the Housing Commissioner – only those where it is explicitly stated that the tenant is receiving a temporary period of housing assistance (see </w:t>
      </w:r>
      <w:r w:rsidRPr="005A14D5">
        <w:rPr>
          <w:rFonts w:ascii="Arial" w:hAnsi="Arial" w:cs="Arial"/>
          <w:sz w:val="24"/>
          <w:szCs w:val="24"/>
        </w:rPr>
        <w:t xml:space="preserve">clause </w:t>
      </w:r>
      <w:r w:rsidR="00E359A9">
        <w:rPr>
          <w:rFonts w:ascii="Arial" w:hAnsi="Arial" w:cs="Arial"/>
          <w:sz w:val="24"/>
          <w:szCs w:val="24"/>
        </w:rPr>
        <w:t>5</w:t>
      </w:r>
      <w:r>
        <w:rPr>
          <w:rFonts w:ascii="Arial" w:hAnsi="Arial" w:cs="Arial"/>
          <w:sz w:val="24"/>
          <w:szCs w:val="24"/>
        </w:rPr>
        <w:t xml:space="preserve">, amended section 8 which indicates the provision is only taken to be contained in a tenancy agreement when the tenant is receiving a temporary period of housing assistance). This narrows the operation of the provision and ensures it can only be utilised in limited circumstances.  </w:t>
      </w:r>
    </w:p>
    <w:p w14:paraId="55C17E07" w14:textId="606C613A" w:rsidR="003B0E68" w:rsidRDefault="003B0E68" w:rsidP="003B0E68">
      <w:pPr>
        <w:rPr>
          <w:rFonts w:ascii="Arial" w:hAnsi="Arial" w:cs="Arial"/>
          <w:sz w:val="24"/>
          <w:szCs w:val="24"/>
        </w:rPr>
      </w:pPr>
      <w:r w:rsidRPr="00AD38AE">
        <w:rPr>
          <w:rFonts w:ascii="Arial" w:hAnsi="Arial" w:cs="Arial"/>
          <w:sz w:val="24"/>
          <w:szCs w:val="24"/>
        </w:rPr>
        <w:lastRenderedPageBreak/>
        <w:t xml:space="preserve">The policy intention of this provision is to cover circumstances where the </w:t>
      </w:r>
      <w:r>
        <w:rPr>
          <w:rFonts w:ascii="Arial" w:hAnsi="Arial" w:cs="Arial"/>
          <w:sz w:val="24"/>
          <w:szCs w:val="24"/>
        </w:rPr>
        <w:t>Housing Commissioner</w:t>
      </w:r>
      <w:r w:rsidRPr="00AD38AE">
        <w:rPr>
          <w:rFonts w:ascii="Arial" w:hAnsi="Arial" w:cs="Arial"/>
          <w:sz w:val="24"/>
          <w:szCs w:val="24"/>
        </w:rPr>
        <w:t xml:space="preserve"> has used their discretion to offer temporary or short-term housing assistance due to a tenancy breakdown (such as when a tenant dies or is no longer able to occupy the dwelling). The </w:t>
      </w:r>
      <w:r>
        <w:rPr>
          <w:rFonts w:ascii="Arial" w:hAnsi="Arial" w:cs="Arial"/>
          <w:sz w:val="24"/>
          <w:szCs w:val="24"/>
        </w:rPr>
        <w:t>Housing Commissioner</w:t>
      </w:r>
      <w:r w:rsidRPr="00AD38AE">
        <w:rPr>
          <w:rFonts w:ascii="Arial" w:hAnsi="Arial" w:cs="Arial"/>
          <w:sz w:val="24"/>
          <w:szCs w:val="24"/>
        </w:rPr>
        <w:t xml:space="preserve"> may use this provision if before the end of the temporary period of housing assistance they have decided the tenant is </w:t>
      </w:r>
      <w:r>
        <w:rPr>
          <w:rFonts w:ascii="Arial" w:hAnsi="Arial" w:cs="Arial"/>
          <w:sz w:val="24"/>
          <w:szCs w:val="24"/>
        </w:rPr>
        <w:t xml:space="preserve">no longer </w:t>
      </w:r>
      <w:r w:rsidRPr="00AD38AE">
        <w:rPr>
          <w:rFonts w:ascii="Arial" w:hAnsi="Arial" w:cs="Arial"/>
          <w:sz w:val="24"/>
          <w:szCs w:val="24"/>
        </w:rPr>
        <w:t xml:space="preserve">eligible for ongoing assistance. </w:t>
      </w:r>
    </w:p>
    <w:p w14:paraId="38DAD193" w14:textId="0BABE0A7" w:rsidR="00300D20" w:rsidRDefault="00300D20" w:rsidP="003B0E68">
      <w:pPr>
        <w:rPr>
          <w:rFonts w:ascii="Arial" w:hAnsi="Arial" w:cs="Arial"/>
          <w:sz w:val="24"/>
          <w:szCs w:val="24"/>
        </w:rPr>
      </w:pPr>
      <w:r>
        <w:rPr>
          <w:rFonts w:ascii="Arial" w:hAnsi="Arial" w:cs="Arial"/>
          <w:sz w:val="24"/>
          <w:szCs w:val="24"/>
        </w:rPr>
        <w:t>If the Housing Commissioner decides that the tenant is not eligible for ongoing housing assistance before the tenant’s temporary housing assistance ends, the Housing Commissioner must provide at least 26 weeks notice to vacate the premises. If the Housing Commissioner makes that decision after the tenant’s temporary housing assistance ends, they must provide at least 1 week notice to vacate the premises.</w:t>
      </w:r>
    </w:p>
    <w:p w14:paraId="24376329" w14:textId="0202A552" w:rsidR="0070557E" w:rsidRDefault="0070557E" w:rsidP="0070557E">
      <w:pPr>
        <w:rPr>
          <w:rFonts w:ascii="Arial" w:hAnsi="Arial" w:cs="Arial"/>
          <w:sz w:val="24"/>
          <w:szCs w:val="24"/>
        </w:rPr>
      </w:pPr>
      <w:r>
        <w:rPr>
          <w:rFonts w:ascii="Arial" w:hAnsi="Arial" w:cs="Arial"/>
          <w:sz w:val="24"/>
          <w:szCs w:val="24"/>
        </w:rPr>
        <w:t>If a tenant is issued a NTV under this section, they may either: (a) vacate the premises at any time before the expiry of the notice – provided they give at least 2 weeks notice of their intention to vacate; or, (b) at any time during the 2 weeks before the expiry of that notice- provided they give at least 4 days notice of their intention to vacate.</w:t>
      </w:r>
    </w:p>
    <w:p w14:paraId="30AE183B" w14:textId="466F3BF6" w:rsidR="003B0E68" w:rsidRDefault="003B0E68" w:rsidP="003B0E68">
      <w:pPr>
        <w:rPr>
          <w:rFonts w:ascii="Arial" w:hAnsi="Arial" w:cs="Arial"/>
          <w:sz w:val="24"/>
          <w:szCs w:val="24"/>
        </w:rPr>
      </w:pPr>
      <w:r>
        <w:rPr>
          <w:rFonts w:ascii="Arial" w:hAnsi="Arial" w:cs="Arial"/>
          <w:sz w:val="24"/>
          <w:szCs w:val="24"/>
        </w:rPr>
        <w:t xml:space="preserve">The tenancy will end on the day the tenant vacates the premises. </w:t>
      </w:r>
    </w:p>
    <w:p w14:paraId="21E461A2" w14:textId="77777777" w:rsidR="003B0E68" w:rsidRDefault="003B0E68" w:rsidP="003B0E68">
      <w:pPr>
        <w:rPr>
          <w:rFonts w:ascii="Arial" w:hAnsi="Arial" w:cs="Arial"/>
          <w:sz w:val="24"/>
          <w:szCs w:val="24"/>
        </w:rPr>
      </w:pPr>
      <w:r>
        <w:rPr>
          <w:rFonts w:ascii="Arial" w:hAnsi="Arial" w:cs="Arial"/>
          <w:sz w:val="24"/>
          <w:szCs w:val="24"/>
        </w:rPr>
        <w:t xml:space="preserve">If the tenant does not move out in accordance with the NTV, then the Housing Commissioner would need to follow the existing tenancy termination pathway at section 47 of the RTA and apply to ACAT for a TPO on the basis the tenant has not vacated the premises in accordance with a termination notice issued under the Act. </w:t>
      </w:r>
    </w:p>
    <w:p w14:paraId="0D0FB1FE" w14:textId="6D53EF8E" w:rsidR="003B0E68" w:rsidRPr="00F20978" w:rsidRDefault="003B0E68" w:rsidP="003B0E68">
      <w:pPr>
        <w:rPr>
          <w:rFonts w:ascii="Arial" w:hAnsi="Arial" w:cs="Arial"/>
          <w:sz w:val="24"/>
          <w:szCs w:val="24"/>
        </w:rPr>
      </w:pPr>
      <w:r>
        <w:rPr>
          <w:rFonts w:ascii="Arial" w:hAnsi="Arial" w:cs="Arial"/>
          <w:sz w:val="24"/>
          <w:szCs w:val="24"/>
        </w:rPr>
        <w:t xml:space="preserve">See the human rights section above for more discussion of this termination provision. </w:t>
      </w:r>
    </w:p>
    <w:p w14:paraId="3AD58BCD" w14:textId="4B815D3B" w:rsidR="00300D20" w:rsidRDefault="00300D20" w:rsidP="002B23A0">
      <w:pPr>
        <w:rPr>
          <w:rFonts w:ascii="Arial" w:hAnsi="Arial" w:cs="Arial"/>
          <w:b/>
          <w:bCs/>
          <w:i/>
          <w:iCs/>
          <w:sz w:val="24"/>
          <w:szCs w:val="24"/>
        </w:rPr>
      </w:pPr>
      <w:r>
        <w:rPr>
          <w:rFonts w:ascii="Arial" w:hAnsi="Arial" w:cs="Arial"/>
          <w:b/>
          <w:bCs/>
          <w:i/>
          <w:iCs/>
          <w:sz w:val="24"/>
          <w:szCs w:val="24"/>
        </w:rPr>
        <w:t>2.6</w:t>
      </w:r>
      <w:r>
        <w:rPr>
          <w:rFonts w:ascii="Arial" w:hAnsi="Arial" w:cs="Arial"/>
          <w:b/>
          <w:bCs/>
          <w:i/>
          <w:iCs/>
          <w:sz w:val="24"/>
          <w:szCs w:val="24"/>
        </w:rPr>
        <w:tab/>
        <w:t>Subsidised accommodation clauses</w:t>
      </w:r>
    </w:p>
    <w:p w14:paraId="49A4DAA9" w14:textId="2685F9FC" w:rsidR="00B41D5E" w:rsidRDefault="00004B62" w:rsidP="002B23A0">
      <w:pPr>
        <w:rPr>
          <w:rFonts w:ascii="Arial" w:hAnsi="Arial" w:cs="Arial"/>
          <w:sz w:val="24"/>
          <w:szCs w:val="24"/>
        </w:rPr>
      </w:pPr>
      <w:r>
        <w:rPr>
          <w:rFonts w:ascii="Arial" w:hAnsi="Arial" w:cs="Arial"/>
          <w:sz w:val="24"/>
          <w:szCs w:val="24"/>
        </w:rPr>
        <w:t xml:space="preserve">New Sch 2, </w:t>
      </w:r>
      <w:r w:rsidR="00B41D5E" w:rsidRPr="005A14D5">
        <w:rPr>
          <w:rFonts w:ascii="Arial" w:hAnsi="Arial" w:cs="Arial"/>
          <w:sz w:val="24"/>
          <w:szCs w:val="24"/>
        </w:rPr>
        <w:t>2.</w:t>
      </w:r>
      <w:r w:rsidR="006E6CD9" w:rsidRPr="005A14D5">
        <w:rPr>
          <w:rFonts w:ascii="Arial" w:hAnsi="Arial" w:cs="Arial"/>
          <w:sz w:val="24"/>
          <w:szCs w:val="24"/>
        </w:rPr>
        <w:t>6</w:t>
      </w:r>
      <w:r w:rsidR="00B41D5E">
        <w:rPr>
          <w:rFonts w:ascii="Arial" w:hAnsi="Arial" w:cs="Arial"/>
          <w:sz w:val="24"/>
          <w:szCs w:val="24"/>
        </w:rPr>
        <w:t xml:space="preserve"> </w:t>
      </w:r>
      <w:r w:rsidR="002B23A0" w:rsidRPr="000A66E5">
        <w:rPr>
          <w:rFonts w:ascii="Arial" w:hAnsi="Arial" w:cs="Arial"/>
          <w:sz w:val="24"/>
          <w:szCs w:val="24"/>
        </w:rPr>
        <w:t xml:space="preserve">inserts new </w:t>
      </w:r>
      <w:r w:rsidR="00B41D5E">
        <w:rPr>
          <w:rFonts w:ascii="Arial" w:hAnsi="Arial" w:cs="Arial"/>
          <w:sz w:val="24"/>
          <w:szCs w:val="24"/>
        </w:rPr>
        <w:t xml:space="preserve">tenancy terms that apply to tenants in </w:t>
      </w:r>
      <w:r w:rsidR="00F7433E">
        <w:rPr>
          <w:rFonts w:ascii="Arial" w:hAnsi="Arial" w:cs="Arial"/>
          <w:sz w:val="24"/>
          <w:szCs w:val="24"/>
        </w:rPr>
        <w:t>subsidised</w:t>
      </w:r>
      <w:r w:rsidR="00F7433E" w:rsidRPr="000A66E5">
        <w:rPr>
          <w:rFonts w:ascii="Arial" w:hAnsi="Arial" w:cs="Arial"/>
          <w:sz w:val="24"/>
          <w:szCs w:val="24"/>
        </w:rPr>
        <w:t xml:space="preserve"> </w:t>
      </w:r>
      <w:r w:rsidR="002B23A0" w:rsidRPr="000A66E5">
        <w:rPr>
          <w:rFonts w:ascii="Arial" w:hAnsi="Arial" w:cs="Arial"/>
          <w:sz w:val="24"/>
          <w:szCs w:val="24"/>
        </w:rPr>
        <w:t>accommodation</w:t>
      </w:r>
      <w:r w:rsidR="00394569" w:rsidRPr="000A66E5">
        <w:rPr>
          <w:rFonts w:ascii="Arial" w:hAnsi="Arial" w:cs="Arial"/>
          <w:sz w:val="24"/>
          <w:szCs w:val="24"/>
        </w:rPr>
        <w:t xml:space="preserve">. </w:t>
      </w:r>
    </w:p>
    <w:p w14:paraId="4EAD41DC" w14:textId="439B9520" w:rsidR="00B41D5E" w:rsidRDefault="00B41D5E" w:rsidP="002B23A0">
      <w:pPr>
        <w:rPr>
          <w:rFonts w:ascii="Arial" w:hAnsi="Arial" w:cs="Arial"/>
          <w:sz w:val="24"/>
          <w:szCs w:val="24"/>
        </w:rPr>
      </w:pPr>
      <w:r>
        <w:rPr>
          <w:rFonts w:ascii="Arial" w:hAnsi="Arial" w:cs="Arial"/>
          <w:sz w:val="24"/>
          <w:szCs w:val="24"/>
        </w:rPr>
        <w:t>These new tenancy terms are:</w:t>
      </w:r>
    </w:p>
    <w:p w14:paraId="1957BD10" w14:textId="1BBBA8FF" w:rsidR="00455DCB" w:rsidRDefault="00455DCB" w:rsidP="00B41D5E">
      <w:pPr>
        <w:pStyle w:val="ListParagraph"/>
        <w:numPr>
          <w:ilvl w:val="0"/>
          <w:numId w:val="30"/>
        </w:numPr>
        <w:rPr>
          <w:rFonts w:ascii="Arial" w:hAnsi="Arial" w:cs="Arial"/>
          <w:sz w:val="24"/>
          <w:szCs w:val="24"/>
        </w:rPr>
      </w:pPr>
      <w:r>
        <w:rPr>
          <w:rFonts w:ascii="Arial" w:hAnsi="Arial" w:cs="Arial"/>
          <w:sz w:val="24"/>
          <w:szCs w:val="24"/>
        </w:rPr>
        <w:t xml:space="preserve">108 What are subsidised accommodation eligibility requirements? </w:t>
      </w:r>
    </w:p>
    <w:p w14:paraId="5CE81064" w14:textId="665BC556" w:rsidR="00455DCB" w:rsidRDefault="00455DCB" w:rsidP="00B41D5E">
      <w:pPr>
        <w:pStyle w:val="ListParagraph"/>
        <w:numPr>
          <w:ilvl w:val="0"/>
          <w:numId w:val="30"/>
        </w:numPr>
        <w:rPr>
          <w:rFonts w:ascii="Arial" w:hAnsi="Arial" w:cs="Arial"/>
          <w:sz w:val="24"/>
          <w:szCs w:val="24"/>
        </w:rPr>
      </w:pPr>
      <w:r>
        <w:rPr>
          <w:rFonts w:ascii="Arial" w:hAnsi="Arial" w:cs="Arial"/>
          <w:sz w:val="24"/>
          <w:szCs w:val="24"/>
        </w:rPr>
        <w:t>109 Lessor’s obligations in relation to eligibility requirements</w:t>
      </w:r>
    </w:p>
    <w:p w14:paraId="42B4B468" w14:textId="49A7B303" w:rsidR="00B41D5E" w:rsidRDefault="00455DCB" w:rsidP="00B41D5E">
      <w:pPr>
        <w:pStyle w:val="ListParagraph"/>
        <w:numPr>
          <w:ilvl w:val="0"/>
          <w:numId w:val="30"/>
        </w:numPr>
        <w:rPr>
          <w:rFonts w:ascii="Arial" w:hAnsi="Arial" w:cs="Arial"/>
          <w:sz w:val="24"/>
          <w:szCs w:val="24"/>
        </w:rPr>
      </w:pPr>
      <w:r>
        <w:rPr>
          <w:rFonts w:ascii="Arial" w:hAnsi="Arial" w:cs="Arial"/>
          <w:sz w:val="24"/>
          <w:szCs w:val="24"/>
        </w:rPr>
        <w:t xml:space="preserve">110 </w:t>
      </w:r>
      <w:r w:rsidR="00B41D5E">
        <w:rPr>
          <w:rFonts w:ascii="Arial" w:hAnsi="Arial" w:cs="Arial"/>
          <w:sz w:val="24"/>
          <w:szCs w:val="24"/>
        </w:rPr>
        <w:t xml:space="preserve">Tenant </w:t>
      </w:r>
      <w:r w:rsidR="006E6CD9">
        <w:rPr>
          <w:rFonts w:ascii="Arial" w:hAnsi="Arial" w:cs="Arial"/>
          <w:sz w:val="24"/>
          <w:szCs w:val="24"/>
        </w:rPr>
        <w:t>must provide information relating to eligibility requirements</w:t>
      </w:r>
    </w:p>
    <w:p w14:paraId="0B627247" w14:textId="17E62AF9" w:rsidR="006E6CD9" w:rsidRDefault="00455DCB" w:rsidP="00B41D5E">
      <w:pPr>
        <w:pStyle w:val="ListParagraph"/>
        <w:numPr>
          <w:ilvl w:val="0"/>
          <w:numId w:val="30"/>
        </w:numPr>
        <w:rPr>
          <w:rFonts w:ascii="Arial" w:hAnsi="Arial" w:cs="Arial"/>
          <w:sz w:val="24"/>
          <w:szCs w:val="24"/>
        </w:rPr>
      </w:pPr>
      <w:r>
        <w:rPr>
          <w:rFonts w:ascii="Arial" w:hAnsi="Arial" w:cs="Arial"/>
          <w:sz w:val="24"/>
          <w:szCs w:val="24"/>
        </w:rPr>
        <w:t xml:space="preserve">111 </w:t>
      </w:r>
      <w:r w:rsidR="006E6CD9">
        <w:rPr>
          <w:rFonts w:ascii="Arial" w:hAnsi="Arial" w:cs="Arial"/>
          <w:sz w:val="24"/>
          <w:szCs w:val="24"/>
        </w:rPr>
        <w:t>Termination if tenant fails to provide information relating to eligibility requirements</w:t>
      </w:r>
    </w:p>
    <w:p w14:paraId="3FB9936D" w14:textId="72779554" w:rsidR="00B41D5E" w:rsidRDefault="00455DCB" w:rsidP="00B41D5E">
      <w:pPr>
        <w:pStyle w:val="ListParagraph"/>
        <w:numPr>
          <w:ilvl w:val="0"/>
          <w:numId w:val="30"/>
        </w:numPr>
        <w:rPr>
          <w:rFonts w:ascii="Arial" w:hAnsi="Arial" w:cs="Arial"/>
          <w:sz w:val="24"/>
          <w:szCs w:val="24"/>
        </w:rPr>
      </w:pPr>
      <w:r>
        <w:rPr>
          <w:rFonts w:ascii="Arial" w:hAnsi="Arial" w:cs="Arial"/>
          <w:sz w:val="24"/>
          <w:szCs w:val="24"/>
        </w:rPr>
        <w:t xml:space="preserve">112 </w:t>
      </w:r>
      <w:r w:rsidR="00B41D5E">
        <w:rPr>
          <w:rFonts w:ascii="Arial" w:hAnsi="Arial" w:cs="Arial"/>
          <w:sz w:val="24"/>
          <w:szCs w:val="24"/>
        </w:rPr>
        <w:t>Termination if tenant no longer eligible to live in premises</w:t>
      </w:r>
    </w:p>
    <w:p w14:paraId="7AFC7114" w14:textId="71C29CD6" w:rsidR="00B41D5E" w:rsidRDefault="00B41D5E" w:rsidP="000A66E5">
      <w:pPr>
        <w:spacing w:after="0"/>
        <w:rPr>
          <w:rFonts w:ascii="Arial" w:hAnsi="Arial" w:cs="Arial"/>
          <w:sz w:val="24"/>
          <w:szCs w:val="24"/>
        </w:rPr>
      </w:pPr>
    </w:p>
    <w:p w14:paraId="5207B76D" w14:textId="48949125" w:rsidR="009A1CFA" w:rsidRDefault="009A1CFA" w:rsidP="00B41D5E">
      <w:pPr>
        <w:rPr>
          <w:rFonts w:ascii="Arial" w:hAnsi="Arial" w:cs="Arial"/>
          <w:sz w:val="24"/>
          <w:szCs w:val="24"/>
        </w:rPr>
      </w:pPr>
      <w:r>
        <w:rPr>
          <w:rFonts w:ascii="Arial" w:hAnsi="Arial" w:cs="Arial"/>
          <w:sz w:val="24"/>
          <w:szCs w:val="24"/>
        </w:rPr>
        <w:t xml:space="preserve">These are discussed further below and in the human rights section above. </w:t>
      </w:r>
    </w:p>
    <w:p w14:paraId="146C1C2E" w14:textId="767BE693" w:rsidR="006E6CD9" w:rsidRDefault="006E6CD9" w:rsidP="00143AD1">
      <w:pPr>
        <w:keepNext/>
        <w:rPr>
          <w:rFonts w:ascii="Arial" w:hAnsi="Arial" w:cs="Arial"/>
          <w:b/>
          <w:bCs/>
          <w:i/>
          <w:iCs/>
          <w:sz w:val="24"/>
          <w:szCs w:val="24"/>
        </w:rPr>
      </w:pPr>
      <w:r w:rsidRPr="005A14D5">
        <w:rPr>
          <w:rFonts w:ascii="Arial" w:hAnsi="Arial" w:cs="Arial"/>
          <w:b/>
          <w:bCs/>
          <w:i/>
          <w:iCs/>
          <w:sz w:val="24"/>
          <w:szCs w:val="24"/>
        </w:rPr>
        <w:lastRenderedPageBreak/>
        <w:t>10</w:t>
      </w:r>
      <w:r w:rsidR="00BB3933" w:rsidRPr="005A14D5">
        <w:rPr>
          <w:rFonts w:ascii="Arial" w:hAnsi="Arial" w:cs="Arial"/>
          <w:b/>
          <w:bCs/>
          <w:i/>
          <w:iCs/>
          <w:sz w:val="24"/>
          <w:szCs w:val="24"/>
        </w:rPr>
        <w:t>8</w:t>
      </w:r>
      <w:r w:rsidRPr="005A14D5">
        <w:rPr>
          <w:rFonts w:ascii="Arial" w:hAnsi="Arial" w:cs="Arial"/>
          <w:b/>
          <w:bCs/>
          <w:i/>
          <w:iCs/>
          <w:sz w:val="24"/>
          <w:szCs w:val="24"/>
        </w:rPr>
        <w:tab/>
        <w:t>What are subsidised accommodation eligibility requirements?</w:t>
      </w:r>
    </w:p>
    <w:p w14:paraId="52B4EEC5" w14:textId="418B6204" w:rsidR="00A82EF6" w:rsidRPr="0071076A" w:rsidRDefault="00A82EF6" w:rsidP="006E6CD9">
      <w:pPr>
        <w:rPr>
          <w:rFonts w:ascii="Arial" w:hAnsi="Arial" w:cs="Arial"/>
          <w:sz w:val="24"/>
          <w:szCs w:val="24"/>
        </w:rPr>
      </w:pPr>
      <w:r>
        <w:rPr>
          <w:rFonts w:ascii="Arial" w:hAnsi="Arial" w:cs="Arial"/>
          <w:sz w:val="24"/>
          <w:szCs w:val="24"/>
        </w:rPr>
        <w:t>New clause 10</w:t>
      </w:r>
      <w:r w:rsidR="00455DCB">
        <w:rPr>
          <w:rFonts w:ascii="Arial" w:hAnsi="Arial" w:cs="Arial"/>
          <w:sz w:val="24"/>
          <w:szCs w:val="24"/>
        </w:rPr>
        <w:t>8</w:t>
      </w:r>
      <w:r>
        <w:rPr>
          <w:rFonts w:ascii="Arial" w:hAnsi="Arial" w:cs="Arial"/>
          <w:sz w:val="24"/>
          <w:szCs w:val="24"/>
        </w:rPr>
        <w:t xml:space="preserve"> introduces </w:t>
      </w:r>
      <w:r w:rsidRPr="0071076A">
        <w:rPr>
          <w:rFonts w:ascii="Arial" w:hAnsi="Arial" w:cs="Arial"/>
          <w:b/>
          <w:bCs/>
          <w:i/>
          <w:iCs/>
          <w:sz w:val="24"/>
          <w:szCs w:val="24"/>
        </w:rPr>
        <w:t xml:space="preserve">subsidised accommodation eligibility requirements </w:t>
      </w:r>
      <w:r w:rsidRPr="0071076A">
        <w:rPr>
          <w:rFonts w:ascii="Arial" w:hAnsi="Arial" w:cs="Arial"/>
          <w:sz w:val="24"/>
          <w:szCs w:val="24"/>
        </w:rPr>
        <w:t>as a defined term.</w:t>
      </w:r>
    </w:p>
    <w:p w14:paraId="6CC4292F" w14:textId="51D91E6D" w:rsidR="00A82EF6" w:rsidRPr="0071076A" w:rsidRDefault="00A82EF6" w:rsidP="00480D5F">
      <w:pPr>
        <w:rPr>
          <w:rFonts w:ascii="Arial" w:hAnsi="Arial" w:cs="Arial"/>
          <w:sz w:val="24"/>
          <w:szCs w:val="24"/>
        </w:rPr>
      </w:pPr>
      <w:r w:rsidRPr="0071076A">
        <w:rPr>
          <w:rFonts w:ascii="Arial" w:hAnsi="Arial" w:cs="Arial"/>
          <w:sz w:val="24"/>
          <w:szCs w:val="24"/>
        </w:rPr>
        <w:t xml:space="preserve">In relation to a premises under a residential tenancy agreement, </w:t>
      </w:r>
      <w:r w:rsidRPr="0071076A">
        <w:rPr>
          <w:rFonts w:ascii="Arial" w:hAnsi="Arial" w:cs="Arial"/>
          <w:b/>
          <w:bCs/>
          <w:i/>
          <w:iCs/>
          <w:sz w:val="24"/>
          <w:szCs w:val="24"/>
        </w:rPr>
        <w:t xml:space="preserve">subsidised accommodation eligibility requirements </w:t>
      </w:r>
      <w:r w:rsidRPr="0071076A">
        <w:rPr>
          <w:rFonts w:ascii="Arial" w:hAnsi="Arial" w:cs="Arial"/>
          <w:sz w:val="24"/>
          <w:szCs w:val="24"/>
        </w:rPr>
        <w:t xml:space="preserve">means any rule or requirement relating to government funding or assistance for residential housing against which – (a) the tenant’s eligibility to live in the premises will be assessable during the tenancy; or (b) the lessor’s </w:t>
      </w:r>
      <w:r w:rsidR="00455DCB" w:rsidRPr="0071076A">
        <w:rPr>
          <w:rFonts w:ascii="Arial" w:hAnsi="Arial" w:cs="Arial"/>
          <w:sz w:val="24"/>
          <w:szCs w:val="24"/>
        </w:rPr>
        <w:t xml:space="preserve">or owner’s </w:t>
      </w:r>
      <w:r w:rsidRPr="0071076A">
        <w:rPr>
          <w:rFonts w:ascii="Arial" w:hAnsi="Arial" w:cs="Arial"/>
          <w:sz w:val="24"/>
          <w:szCs w:val="24"/>
        </w:rPr>
        <w:t>eligibility to receive the government funding or assistance in relation to the premises will be assessable during the tenancy.</w:t>
      </w:r>
    </w:p>
    <w:p w14:paraId="7F77DD2A" w14:textId="324B028D" w:rsidR="006E6CD9" w:rsidRDefault="006E6CD9" w:rsidP="006E6CD9">
      <w:pPr>
        <w:rPr>
          <w:rFonts w:ascii="Arial" w:hAnsi="Arial" w:cs="Arial"/>
          <w:b/>
          <w:bCs/>
          <w:i/>
          <w:iCs/>
          <w:sz w:val="24"/>
          <w:szCs w:val="24"/>
        </w:rPr>
      </w:pPr>
      <w:r>
        <w:rPr>
          <w:rFonts w:ascii="Arial" w:hAnsi="Arial" w:cs="Arial"/>
          <w:b/>
          <w:bCs/>
          <w:i/>
          <w:iCs/>
          <w:sz w:val="24"/>
          <w:szCs w:val="24"/>
        </w:rPr>
        <w:t>1</w:t>
      </w:r>
      <w:r w:rsidR="00BB3933">
        <w:rPr>
          <w:rFonts w:ascii="Arial" w:hAnsi="Arial" w:cs="Arial"/>
          <w:b/>
          <w:bCs/>
          <w:i/>
          <w:iCs/>
          <w:sz w:val="24"/>
          <w:szCs w:val="24"/>
        </w:rPr>
        <w:t>09</w:t>
      </w:r>
      <w:r>
        <w:rPr>
          <w:rFonts w:ascii="Arial" w:hAnsi="Arial" w:cs="Arial"/>
          <w:b/>
          <w:bCs/>
          <w:i/>
          <w:iCs/>
          <w:sz w:val="24"/>
          <w:szCs w:val="24"/>
        </w:rPr>
        <w:tab/>
        <w:t>Lessor’s obligations in relation to eligibility requirements</w:t>
      </w:r>
    </w:p>
    <w:p w14:paraId="55D8F609" w14:textId="0C7823D2" w:rsidR="00A82EF6" w:rsidRDefault="00802A7D">
      <w:pPr>
        <w:rPr>
          <w:rFonts w:ascii="Arial" w:hAnsi="Arial" w:cs="Arial"/>
          <w:sz w:val="24"/>
          <w:szCs w:val="24"/>
        </w:rPr>
      </w:pPr>
      <w:r>
        <w:rPr>
          <w:rFonts w:ascii="Arial" w:hAnsi="Arial" w:cs="Arial"/>
          <w:sz w:val="24"/>
          <w:szCs w:val="24"/>
        </w:rPr>
        <w:t xml:space="preserve">This clause makes introduces a standard term for subsidised housing agreements that requires a lessor to provide a tenant with information about any change made to the eligibility criteria for their subsidised accommodation, within two weeks of that change being made. </w:t>
      </w:r>
    </w:p>
    <w:p w14:paraId="7802F50B" w14:textId="30B1EE8E" w:rsidR="00BB3933" w:rsidRPr="00480D5F" w:rsidRDefault="00BB3933" w:rsidP="00480D5F">
      <w:pPr>
        <w:rPr>
          <w:rFonts w:ascii="Arial" w:hAnsi="Arial" w:cs="Arial"/>
          <w:sz w:val="24"/>
          <w:szCs w:val="24"/>
        </w:rPr>
      </w:pPr>
      <w:r>
        <w:rPr>
          <w:rFonts w:ascii="Arial" w:hAnsi="Arial" w:cs="Arial"/>
          <w:sz w:val="24"/>
          <w:szCs w:val="24"/>
        </w:rPr>
        <w:t>The policy intention of this provision is to ensure that a tenant is aware of the eligibility criteria against which they may be assessed during their tenancy, and any changes made to that</w:t>
      </w:r>
      <w:r w:rsidR="00E359A9">
        <w:rPr>
          <w:rFonts w:ascii="Arial" w:hAnsi="Arial" w:cs="Arial"/>
          <w:sz w:val="24"/>
          <w:szCs w:val="24"/>
        </w:rPr>
        <w:t xml:space="preserve"> </w:t>
      </w:r>
      <w:r>
        <w:rPr>
          <w:rFonts w:ascii="Arial" w:hAnsi="Arial" w:cs="Arial"/>
          <w:sz w:val="24"/>
          <w:szCs w:val="24"/>
        </w:rPr>
        <w:t>criteria during the course of their tenancy. This allows a tenant to remain informed about eligibility criteria that may lead to the termination of their tenancy.</w:t>
      </w:r>
      <w:r w:rsidR="00360790">
        <w:rPr>
          <w:rFonts w:ascii="Arial" w:hAnsi="Arial" w:cs="Arial"/>
          <w:sz w:val="24"/>
          <w:szCs w:val="24"/>
        </w:rPr>
        <w:t xml:space="preserve"> This means that if the tenant disagrees with the lessor’s assessment that they are ineligible for ongoing assistance, or the lessor issues a NTV under new clause </w:t>
      </w:r>
      <w:r w:rsidR="00360790" w:rsidRPr="005A14D5">
        <w:rPr>
          <w:rFonts w:ascii="Arial" w:hAnsi="Arial" w:cs="Arial"/>
          <w:sz w:val="24"/>
          <w:szCs w:val="24"/>
        </w:rPr>
        <w:t>112</w:t>
      </w:r>
      <w:r w:rsidR="00360790">
        <w:rPr>
          <w:rFonts w:ascii="Arial" w:hAnsi="Arial" w:cs="Arial"/>
          <w:sz w:val="24"/>
          <w:szCs w:val="24"/>
        </w:rPr>
        <w:t xml:space="preserve"> below, the tenant could bring a tenancy dispute to ACAT.</w:t>
      </w:r>
    </w:p>
    <w:p w14:paraId="7022AEF4" w14:textId="1B3C0AD2" w:rsidR="00B41D5E" w:rsidRPr="000A66E5" w:rsidRDefault="006E6CD9" w:rsidP="006E6CD9">
      <w:pPr>
        <w:rPr>
          <w:rFonts w:ascii="Arial" w:hAnsi="Arial" w:cs="Arial"/>
          <w:sz w:val="24"/>
          <w:szCs w:val="24"/>
          <w:u w:val="single"/>
        </w:rPr>
      </w:pPr>
      <w:r>
        <w:rPr>
          <w:rFonts w:ascii="Arial" w:hAnsi="Arial" w:cs="Arial"/>
          <w:b/>
          <w:bCs/>
          <w:i/>
          <w:iCs/>
          <w:sz w:val="24"/>
          <w:szCs w:val="24"/>
          <w:u w:val="single"/>
        </w:rPr>
        <w:t>11</w:t>
      </w:r>
      <w:r w:rsidR="00BB3933">
        <w:rPr>
          <w:rFonts w:ascii="Arial" w:hAnsi="Arial" w:cs="Arial"/>
          <w:b/>
          <w:bCs/>
          <w:i/>
          <w:iCs/>
          <w:sz w:val="24"/>
          <w:szCs w:val="24"/>
          <w:u w:val="single"/>
        </w:rPr>
        <w:t>0</w:t>
      </w:r>
      <w:r>
        <w:rPr>
          <w:rFonts w:ascii="Arial" w:hAnsi="Arial" w:cs="Arial"/>
          <w:b/>
          <w:bCs/>
          <w:i/>
          <w:iCs/>
          <w:sz w:val="24"/>
          <w:szCs w:val="24"/>
          <w:u w:val="single"/>
        </w:rPr>
        <w:tab/>
        <w:t>Tenant must provide information relating to eligibility requirements</w:t>
      </w:r>
    </w:p>
    <w:p w14:paraId="2CE062BD" w14:textId="28A5A294" w:rsidR="00B41D5E" w:rsidRDefault="00944D73" w:rsidP="00B41D5E">
      <w:pPr>
        <w:rPr>
          <w:rFonts w:ascii="Arial" w:hAnsi="Arial" w:cs="Arial"/>
          <w:i/>
          <w:iCs/>
          <w:sz w:val="24"/>
          <w:szCs w:val="24"/>
        </w:rPr>
      </w:pPr>
      <w:r>
        <w:rPr>
          <w:rFonts w:ascii="Arial" w:hAnsi="Arial" w:cs="Arial"/>
          <w:i/>
          <w:iCs/>
          <w:sz w:val="24"/>
          <w:szCs w:val="24"/>
        </w:rPr>
        <w:t>Background</w:t>
      </w:r>
    </w:p>
    <w:p w14:paraId="383DA39F" w14:textId="01D892C1" w:rsidR="00944D73" w:rsidRDefault="00944D73" w:rsidP="00944D73">
      <w:pPr>
        <w:rPr>
          <w:rFonts w:ascii="Arial" w:hAnsi="Arial" w:cs="Arial"/>
          <w:sz w:val="24"/>
          <w:szCs w:val="24"/>
        </w:rPr>
      </w:pPr>
      <w:r w:rsidRPr="00AD38AE">
        <w:rPr>
          <w:rFonts w:ascii="Arial" w:hAnsi="Arial" w:cs="Arial"/>
          <w:sz w:val="24"/>
          <w:szCs w:val="24"/>
        </w:rPr>
        <w:t xml:space="preserve">Some tenancies are provided and managed under </w:t>
      </w:r>
      <w:r w:rsidR="00F7433E">
        <w:rPr>
          <w:rFonts w:ascii="Arial" w:hAnsi="Arial" w:cs="Arial"/>
          <w:sz w:val="24"/>
          <w:szCs w:val="24"/>
        </w:rPr>
        <w:t>subsidised</w:t>
      </w:r>
      <w:r w:rsidR="00F7433E" w:rsidRPr="00AD38AE">
        <w:rPr>
          <w:rFonts w:ascii="Arial" w:hAnsi="Arial" w:cs="Arial"/>
          <w:sz w:val="24"/>
          <w:szCs w:val="24"/>
        </w:rPr>
        <w:t xml:space="preserve"> </w:t>
      </w:r>
      <w:r w:rsidRPr="00AD38AE">
        <w:rPr>
          <w:rFonts w:ascii="Arial" w:hAnsi="Arial" w:cs="Arial"/>
          <w:sz w:val="24"/>
          <w:szCs w:val="24"/>
        </w:rPr>
        <w:t xml:space="preserve">accommodation programs for the provision of </w:t>
      </w:r>
      <w:r w:rsidR="00D2677B">
        <w:rPr>
          <w:rFonts w:ascii="Arial" w:hAnsi="Arial" w:cs="Arial"/>
          <w:sz w:val="24"/>
          <w:szCs w:val="24"/>
        </w:rPr>
        <w:t xml:space="preserve">subsidised </w:t>
      </w:r>
      <w:r w:rsidRPr="00AD38AE">
        <w:rPr>
          <w:rFonts w:ascii="Arial" w:hAnsi="Arial" w:cs="Arial"/>
          <w:sz w:val="24"/>
          <w:szCs w:val="24"/>
        </w:rPr>
        <w:t xml:space="preserve">housing and other supports for vulnerable community members. These programs may include social housing, affordable housing, supported </w:t>
      </w:r>
      <w:r w:rsidR="001047F1" w:rsidRPr="00AD38AE">
        <w:rPr>
          <w:rFonts w:ascii="Arial" w:hAnsi="Arial" w:cs="Arial"/>
          <w:sz w:val="24"/>
          <w:szCs w:val="24"/>
        </w:rPr>
        <w:t xml:space="preserve"> </w:t>
      </w:r>
      <w:r w:rsidRPr="00AD38AE">
        <w:rPr>
          <w:rFonts w:ascii="Arial" w:hAnsi="Arial" w:cs="Arial"/>
          <w:sz w:val="24"/>
          <w:szCs w:val="24"/>
        </w:rPr>
        <w:t xml:space="preserve">accommodation, specialist disability accommodation, or community housing. Where housing is provided for a particular purpose, the tenant will need to meet eligibility criteria to access the </w:t>
      </w:r>
      <w:r w:rsidR="00F7433E">
        <w:rPr>
          <w:rFonts w:ascii="Arial" w:hAnsi="Arial" w:cs="Arial"/>
          <w:sz w:val="24"/>
          <w:szCs w:val="24"/>
        </w:rPr>
        <w:t>subsidised</w:t>
      </w:r>
      <w:r w:rsidR="00F7433E" w:rsidRPr="00AD38AE">
        <w:rPr>
          <w:rFonts w:ascii="Arial" w:hAnsi="Arial" w:cs="Arial"/>
          <w:sz w:val="24"/>
          <w:szCs w:val="24"/>
        </w:rPr>
        <w:t xml:space="preserve"> </w:t>
      </w:r>
      <w:r w:rsidRPr="00AD38AE">
        <w:rPr>
          <w:rFonts w:ascii="Arial" w:hAnsi="Arial" w:cs="Arial"/>
          <w:sz w:val="24"/>
          <w:szCs w:val="24"/>
        </w:rPr>
        <w:t xml:space="preserve">accommodation. To ensure the programs continue to target those most in need, tenants may need to demonstrate an on-going eligibility to </w:t>
      </w:r>
      <w:r>
        <w:rPr>
          <w:rFonts w:ascii="Arial" w:hAnsi="Arial" w:cs="Arial"/>
          <w:sz w:val="24"/>
          <w:szCs w:val="24"/>
        </w:rPr>
        <w:t>continue living in</w:t>
      </w:r>
      <w:r w:rsidRPr="00AD38AE">
        <w:rPr>
          <w:rFonts w:ascii="Arial" w:hAnsi="Arial" w:cs="Arial"/>
          <w:sz w:val="24"/>
          <w:szCs w:val="24"/>
        </w:rPr>
        <w:t xml:space="preserve"> the </w:t>
      </w:r>
      <w:r w:rsidR="00F7433E">
        <w:rPr>
          <w:rFonts w:ascii="Arial" w:hAnsi="Arial" w:cs="Arial"/>
          <w:sz w:val="24"/>
          <w:szCs w:val="24"/>
        </w:rPr>
        <w:t xml:space="preserve">subsidised </w:t>
      </w:r>
      <w:r w:rsidRPr="00AD38AE">
        <w:rPr>
          <w:rFonts w:ascii="Arial" w:hAnsi="Arial" w:cs="Arial"/>
          <w:sz w:val="24"/>
          <w:szCs w:val="24"/>
        </w:rPr>
        <w:t xml:space="preserve">accommodation. </w:t>
      </w:r>
      <w:r>
        <w:rPr>
          <w:rFonts w:ascii="Arial" w:hAnsi="Arial" w:cs="Arial"/>
          <w:sz w:val="24"/>
          <w:szCs w:val="24"/>
        </w:rPr>
        <w:t>T</w:t>
      </w:r>
      <w:r w:rsidRPr="00AD38AE">
        <w:rPr>
          <w:rFonts w:ascii="Arial" w:hAnsi="Arial" w:cs="Arial"/>
          <w:sz w:val="24"/>
          <w:szCs w:val="24"/>
        </w:rPr>
        <w:t xml:space="preserve">o maintain the effective operation of these programs, </w:t>
      </w:r>
      <w:r w:rsidR="00F7433E">
        <w:rPr>
          <w:rFonts w:ascii="Arial" w:hAnsi="Arial" w:cs="Arial"/>
          <w:sz w:val="24"/>
          <w:szCs w:val="24"/>
        </w:rPr>
        <w:t xml:space="preserve">subsidised </w:t>
      </w:r>
      <w:r>
        <w:rPr>
          <w:rFonts w:ascii="Arial" w:hAnsi="Arial" w:cs="Arial"/>
          <w:sz w:val="24"/>
          <w:szCs w:val="24"/>
        </w:rPr>
        <w:t>accommodation providers need the ability to</w:t>
      </w:r>
      <w:r w:rsidRPr="00AD38AE">
        <w:rPr>
          <w:rFonts w:ascii="Arial" w:hAnsi="Arial" w:cs="Arial"/>
          <w:sz w:val="24"/>
          <w:szCs w:val="24"/>
        </w:rPr>
        <w:t xml:space="preserve"> terminate tenancies where the tenant is no longer eligible for accommodation assistance. </w:t>
      </w:r>
    </w:p>
    <w:p w14:paraId="07778029" w14:textId="6DC77F79" w:rsidR="004C45DA" w:rsidRDefault="00944D73" w:rsidP="00944D73">
      <w:pPr>
        <w:rPr>
          <w:rFonts w:ascii="Arial" w:hAnsi="Arial" w:cs="Arial"/>
          <w:sz w:val="24"/>
          <w:szCs w:val="24"/>
        </w:rPr>
      </w:pPr>
      <w:r>
        <w:rPr>
          <w:rFonts w:ascii="Arial" w:hAnsi="Arial" w:cs="Arial"/>
          <w:sz w:val="24"/>
          <w:szCs w:val="24"/>
        </w:rPr>
        <w:t xml:space="preserve">The Housing Commissioner has a legislated ability to require a tenant to provide them with the information reasonably necessary to review that person’s ability for ongoing housing assistance (see section 25 of the HAA). However, </w:t>
      </w:r>
      <w:r w:rsidR="00F7433E">
        <w:rPr>
          <w:rFonts w:ascii="Arial" w:hAnsi="Arial" w:cs="Arial"/>
          <w:sz w:val="24"/>
          <w:szCs w:val="24"/>
        </w:rPr>
        <w:t xml:space="preserve">subsidised </w:t>
      </w:r>
      <w:r>
        <w:rPr>
          <w:rFonts w:ascii="Arial" w:hAnsi="Arial" w:cs="Arial"/>
          <w:sz w:val="24"/>
          <w:szCs w:val="24"/>
        </w:rPr>
        <w:t xml:space="preserve">accommodation providers may not always have </w:t>
      </w:r>
      <w:r w:rsidR="004C45DA">
        <w:rPr>
          <w:rFonts w:ascii="Arial" w:hAnsi="Arial" w:cs="Arial"/>
          <w:sz w:val="24"/>
          <w:szCs w:val="24"/>
        </w:rPr>
        <w:t xml:space="preserve">a legislated ability to require the </w:t>
      </w:r>
      <w:r w:rsidR="004C45DA">
        <w:rPr>
          <w:rFonts w:ascii="Arial" w:hAnsi="Arial" w:cs="Arial"/>
          <w:sz w:val="24"/>
          <w:szCs w:val="24"/>
        </w:rPr>
        <w:lastRenderedPageBreak/>
        <w:t xml:space="preserve">tenant to provide them with information. Despite this, the conditions of Government funding for the </w:t>
      </w:r>
      <w:r w:rsidR="00F7433E">
        <w:rPr>
          <w:rFonts w:ascii="Arial" w:hAnsi="Arial" w:cs="Arial"/>
          <w:sz w:val="24"/>
          <w:szCs w:val="24"/>
        </w:rPr>
        <w:t xml:space="preserve">subsidised </w:t>
      </w:r>
      <w:r w:rsidR="004C45DA">
        <w:rPr>
          <w:rFonts w:ascii="Arial" w:hAnsi="Arial" w:cs="Arial"/>
          <w:sz w:val="24"/>
          <w:szCs w:val="24"/>
        </w:rPr>
        <w:t xml:space="preserve">accommodation provider may require them to demonstrate that their tenant meets the eligibility criteria for the program. </w:t>
      </w:r>
      <w:r w:rsidR="00D2677B">
        <w:rPr>
          <w:rFonts w:ascii="Arial" w:hAnsi="Arial" w:cs="Arial"/>
          <w:sz w:val="24"/>
          <w:szCs w:val="24"/>
        </w:rPr>
        <w:t xml:space="preserve">As </w:t>
      </w:r>
      <w:r w:rsidR="00C8122E">
        <w:rPr>
          <w:rFonts w:ascii="Arial" w:hAnsi="Arial" w:cs="Arial"/>
          <w:sz w:val="24"/>
          <w:szCs w:val="24"/>
        </w:rPr>
        <w:t>such a contractual obligation to provide information has been included.</w:t>
      </w:r>
    </w:p>
    <w:p w14:paraId="52A8FAF6" w14:textId="1972362D" w:rsidR="003D20C7" w:rsidRPr="000A66E5" w:rsidRDefault="003D20C7" w:rsidP="00944D73">
      <w:pPr>
        <w:rPr>
          <w:rFonts w:ascii="Arial" w:hAnsi="Arial" w:cs="Arial"/>
          <w:i/>
          <w:iCs/>
          <w:sz w:val="24"/>
          <w:szCs w:val="24"/>
        </w:rPr>
      </w:pPr>
      <w:r w:rsidRPr="000A66E5">
        <w:rPr>
          <w:rFonts w:ascii="Arial" w:hAnsi="Arial" w:cs="Arial"/>
          <w:i/>
          <w:iCs/>
          <w:sz w:val="24"/>
          <w:szCs w:val="24"/>
        </w:rPr>
        <w:t>Operation of the provision</w:t>
      </w:r>
    </w:p>
    <w:p w14:paraId="631C8A1A" w14:textId="62E35EBD" w:rsidR="004C45DA" w:rsidRDefault="003D20C7" w:rsidP="004C45DA">
      <w:pPr>
        <w:rPr>
          <w:rFonts w:ascii="Arial" w:hAnsi="Arial" w:cs="Arial"/>
          <w:sz w:val="24"/>
          <w:szCs w:val="24"/>
        </w:rPr>
      </w:pPr>
      <w:r>
        <w:rPr>
          <w:rFonts w:ascii="Arial" w:hAnsi="Arial" w:cs="Arial"/>
          <w:sz w:val="24"/>
          <w:szCs w:val="24"/>
        </w:rPr>
        <w:t>T</w:t>
      </w:r>
      <w:r w:rsidR="004C45DA" w:rsidRPr="00AD38AE">
        <w:rPr>
          <w:rFonts w:ascii="Arial" w:hAnsi="Arial" w:cs="Arial"/>
          <w:sz w:val="24"/>
          <w:szCs w:val="24"/>
        </w:rPr>
        <w:t>h</w:t>
      </w:r>
      <w:r w:rsidR="004C45DA">
        <w:rPr>
          <w:rFonts w:ascii="Arial" w:hAnsi="Arial" w:cs="Arial"/>
          <w:sz w:val="24"/>
          <w:szCs w:val="24"/>
        </w:rPr>
        <w:t>is</w:t>
      </w:r>
      <w:r w:rsidR="004C45DA" w:rsidRPr="00AD38AE">
        <w:rPr>
          <w:rFonts w:ascii="Arial" w:hAnsi="Arial" w:cs="Arial"/>
          <w:sz w:val="24"/>
          <w:szCs w:val="24"/>
        </w:rPr>
        <w:t xml:space="preserve"> clause </w:t>
      </w:r>
      <w:r w:rsidR="004C45DA">
        <w:rPr>
          <w:rFonts w:ascii="Arial" w:hAnsi="Arial" w:cs="Arial"/>
          <w:sz w:val="24"/>
          <w:szCs w:val="24"/>
        </w:rPr>
        <w:t xml:space="preserve">makes it a term of a </w:t>
      </w:r>
      <w:r w:rsidR="00F7433E">
        <w:rPr>
          <w:rFonts w:ascii="Arial" w:hAnsi="Arial" w:cs="Arial"/>
          <w:sz w:val="24"/>
          <w:szCs w:val="24"/>
        </w:rPr>
        <w:t xml:space="preserve">subsidised </w:t>
      </w:r>
      <w:r w:rsidR="004C45DA">
        <w:rPr>
          <w:rFonts w:ascii="Arial" w:hAnsi="Arial" w:cs="Arial"/>
          <w:sz w:val="24"/>
          <w:szCs w:val="24"/>
        </w:rPr>
        <w:t>accommodation</w:t>
      </w:r>
      <w:r w:rsidR="004C45DA" w:rsidRPr="00AD38AE">
        <w:rPr>
          <w:rFonts w:ascii="Arial" w:hAnsi="Arial" w:cs="Arial"/>
          <w:sz w:val="24"/>
          <w:szCs w:val="24"/>
        </w:rPr>
        <w:t xml:space="preserve"> tenan</w:t>
      </w:r>
      <w:r w:rsidR="004C45DA">
        <w:rPr>
          <w:rFonts w:ascii="Arial" w:hAnsi="Arial" w:cs="Arial"/>
          <w:sz w:val="24"/>
          <w:szCs w:val="24"/>
        </w:rPr>
        <w:t xml:space="preserve">cy agreement that the tenant </w:t>
      </w:r>
      <w:r w:rsidR="006E6CD9">
        <w:rPr>
          <w:rFonts w:ascii="Arial" w:hAnsi="Arial" w:cs="Arial"/>
          <w:sz w:val="24"/>
          <w:szCs w:val="24"/>
        </w:rPr>
        <w:t xml:space="preserve">must </w:t>
      </w:r>
      <w:r w:rsidR="004C45DA" w:rsidRPr="00AD38AE">
        <w:rPr>
          <w:rFonts w:ascii="Arial" w:hAnsi="Arial" w:cs="Arial"/>
          <w:sz w:val="24"/>
          <w:szCs w:val="24"/>
        </w:rPr>
        <w:t xml:space="preserve">provide information </w:t>
      </w:r>
      <w:r w:rsidR="004C45DA">
        <w:rPr>
          <w:rFonts w:ascii="Arial" w:hAnsi="Arial" w:cs="Arial"/>
          <w:sz w:val="24"/>
          <w:szCs w:val="24"/>
        </w:rPr>
        <w:t xml:space="preserve">reasonably necessary </w:t>
      </w:r>
      <w:r w:rsidR="004C45DA" w:rsidRPr="00AD38AE">
        <w:rPr>
          <w:rFonts w:ascii="Arial" w:hAnsi="Arial" w:cs="Arial"/>
          <w:sz w:val="24"/>
          <w:szCs w:val="24"/>
        </w:rPr>
        <w:t>to assess the lessor’s eligibility for government funding or assistance for the premises or the tenant’s eligibility to live in the premise</w:t>
      </w:r>
      <w:r w:rsidR="004C45DA">
        <w:rPr>
          <w:rFonts w:ascii="Arial" w:hAnsi="Arial" w:cs="Arial"/>
          <w:sz w:val="24"/>
          <w:szCs w:val="24"/>
        </w:rPr>
        <w:t xml:space="preserve">s within the timeframe requested by the lessor.  However, the provision also stipulates that the lessor must provide the tenant with a reasonable period in which to provide the information. </w:t>
      </w:r>
    </w:p>
    <w:p w14:paraId="4FD71F76" w14:textId="28F0A728" w:rsidR="003D20C7" w:rsidRDefault="004C45DA" w:rsidP="004C45DA">
      <w:pPr>
        <w:rPr>
          <w:rFonts w:ascii="Arial" w:hAnsi="Arial" w:cs="Arial"/>
          <w:sz w:val="24"/>
          <w:szCs w:val="24"/>
        </w:rPr>
      </w:pPr>
      <w:r>
        <w:rPr>
          <w:rFonts w:ascii="Arial" w:hAnsi="Arial" w:cs="Arial"/>
          <w:sz w:val="24"/>
          <w:szCs w:val="24"/>
        </w:rPr>
        <w:t xml:space="preserve">This provision is designed to support a lessor’s ability to review the tenant’s ongoing eligibility to receive </w:t>
      </w:r>
      <w:r w:rsidR="00F7433E">
        <w:rPr>
          <w:rFonts w:ascii="Arial" w:hAnsi="Arial" w:cs="Arial"/>
          <w:sz w:val="24"/>
          <w:szCs w:val="24"/>
        </w:rPr>
        <w:t xml:space="preserve">subsidised </w:t>
      </w:r>
      <w:r>
        <w:rPr>
          <w:rFonts w:ascii="Arial" w:hAnsi="Arial" w:cs="Arial"/>
          <w:sz w:val="24"/>
          <w:szCs w:val="24"/>
        </w:rPr>
        <w:t xml:space="preserve">accommodation. </w:t>
      </w:r>
      <w:r w:rsidR="003D20C7">
        <w:rPr>
          <w:rFonts w:ascii="Arial" w:hAnsi="Arial" w:cs="Arial"/>
          <w:sz w:val="24"/>
          <w:szCs w:val="24"/>
        </w:rPr>
        <w:t xml:space="preserve">It is noted that some </w:t>
      </w:r>
      <w:r w:rsidR="00F7433E">
        <w:rPr>
          <w:rFonts w:ascii="Arial" w:hAnsi="Arial" w:cs="Arial"/>
          <w:sz w:val="24"/>
          <w:szCs w:val="24"/>
        </w:rPr>
        <w:t xml:space="preserve">subsidised </w:t>
      </w:r>
      <w:r w:rsidR="003D20C7">
        <w:rPr>
          <w:rFonts w:ascii="Arial" w:hAnsi="Arial" w:cs="Arial"/>
          <w:sz w:val="24"/>
          <w:szCs w:val="24"/>
        </w:rPr>
        <w:t>accommodation programs base the lessor’s eligibility for funding assistance on the lessor demonstrating they have an eligible tenant in the property</w:t>
      </w:r>
      <w:r w:rsidR="004D56B7">
        <w:rPr>
          <w:rFonts w:ascii="Arial" w:hAnsi="Arial" w:cs="Arial"/>
          <w:sz w:val="24"/>
          <w:szCs w:val="24"/>
        </w:rPr>
        <w:t>,</w:t>
      </w:r>
      <w:r w:rsidR="003D20C7">
        <w:rPr>
          <w:rFonts w:ascii="Arial" w:hAnsi="Arial" w:cs="Arial"/>
          <w:sz w:val="24"/>
          <w:szCs w:val="24"/>
        </w:rPr>
        <w:t xml:space="preserve"> whereas other programs are designed simply by reference to the tenant’s eligibility directly. For this </w:t>
      </w:r>
      <w:r w:rsidR="004D56B7">
        <w:rPr>
          <w:rFonts w:ascii="Arial" w:hAnsi="Arial" w:cs="Arial"/>
          <w:sz w:val="24"/>
          <w:szCs w:val="24"/>
        </w:rPr>
        <w:t>reason,</w:t>
      </w:r>
      <w:r w:rsidR="003D20C7">
        <w:rPr>
          <w:rFonts w:ascii="Arial" w:hAnsi="Arial" w:cs="Arial"/>
          <w:sz w:val="24"/>
          <w:szCs w:val="24"/>
        </w:rPr>
        <w:t xml:space="preserve"> the requirement to provide information is phrased both in relation to the lessor’s eligibility and the tenant’s eligibility i</w:t>
      </w:r>
      <w:r w:rsidR="004D56B7">
        <w:rPr>
          <w:rFonts w:ascii="Arial" w:hAnsi="Arial" w:cs="Arial"/>
          <w:sz w:val="24"/>
          <w:szCs w:val="24"/>
        </w:rPr>
        <w:t>n</w:t>
      </w:r>
      <w:r w:rsidR="003D20C7">
        <w:rPr>
          <w:rFonts w:ascii="Arial" w:hAnsi="Arial" w:cs="Arial"/>
          <w:sz w:val="24"/>
          <w:szCs w:val="24"/>
        </w:rPr>
        <w:t xml:space="preserve"> that the lessor’s ability to participate in the </w:t>
      </w:r>
      <w:r w:rsidR="00F7433E">
        <w:rPr>
          <w:rFonts w:ascii="Arial" w:hAnsi="Arial" w:cs="Arial"/>
          <w:sz w:val="24"/>
          <w:szCs w:val="24"/>
        </w:rPr>
        <w:t xml:space="preserve">subsidised </w:t>
      </w:r>
      <w:r w:rsidR="003D20C7">
        <w:rPr>
          <w:rFonts w:ascii="Arial" w:hAnsi="Arial" w:cs="Arial"/>
          <w:sz w:val="24"/>
          <w:szCs w:val="24"/>
        </w:rPr>
        <w:t>accommodation program may be contingent upon the tenant’s eligibility.</w:t>
      </w:r>
    </w:p>
    <w:p w14:paraId="50DB23D9" w14:textId="212BB38C" w:rsidR="006E6CD9" w:rsidRDefault="006E6CD9" w:rsidP="004C45DA">
      <w:pPr>
        <w:rPr>
          <w:rFonts w:ascii="Arial" w:hAnsi="Arial" w:cs="Arial"/>
          <w:sz w:val="24"/>
          <w:szCs w:val="24"/>
        </w:rPr>
      </w:pPr>
      <w:r>
        <w:rPr>
          <w:rFonts w:ascii="Arial" w:hAnsi="Arial" w:cs="Arial"/>
          <w:sz w:val="24"/>
          <w:szCs w:val="24"/>
        </w:rPr>
        <w:t>However, this provision clarifies that a tenant’s failure to provide such information is not taken to be a breach of the tenancy agreement.</w:t>
      </w:r>
    </w:p>
    <w:p w14:paraId="7D845459" w14:textId="3891E3A6" w:rsidR="004C45DA" w:rsidRDefault="004C45DA" w:rsidP="004C45DA">
      <w:pPr>
        <w:rPr>
          <w:rFonts w:ascii="Arial" w:hAnsi="Arial" w:cs="Arial"/>
          <w:sz w:val="24"/>
          <w:szCs w:val="24"/>
        </w:rPr>
      </w:pPr>
      <w:r>
        <w:rPr>
          <w:rFonts w:ascii="Arial" w:hAnsi="Arial" w:cs="Arial"/>
          <w:sz w:val="24"/>
          <w:szCs w:val="24"/>
        </w:rPr>
        <w:t xml:space="preserve">The privacy implications of this provision are discussed in more detail in the right to privacy section of the human rights analysis provided at the start of this explanatory statement. </w:t>
      </w:r>
    </w:p>
    <w:p w14:paraId="319B48A0" w14:textId="5DDFF21E" w:rsidR="00C8122E" w:rsidRDefault="006E6CD9" w:rsidP="00944D73">
      <w:pPr>
        <w:rPr>
          <w:rFonts w:ascii="Arial" w:hAnsi="Arial" w:cs="Arial"/>
          <w:sz w:val="24"/>
          <w:szCs w:val="24"/>
        </w:rPr>
      </w:pPr>
      <w:r>
        <w:rPr>
          <w:rFonts w:ascii="Arial" w:hAnsi="Arial" w:cs="Arial"/>
          <w:b/>
          <w:bCs/>
          <w:i/>
          <w:iCs/>
          <w:sz w:val="24"/>
          <w:szCs w:val="24"/>
          <w:u w:val="single"/>
        </w:rPr>
        <w:t>11</w:t>
      </w:r>
      <w:r w:rsidR="0071076A">
        <w:rPr>
          <w:rFonts w:ascii="Arial" w:hAnsi="Arial" w:cs="Arial"/>
          <w:b/>
          <w:bCs/>
          <w:i/>
          <w:iCs/>
          <w:sz w:val="24"/>
          <w:szCs w:val="24"/>
          <w:u w:val="single"/>
        </w:rPr>
        <w:t>1</w:t>
      </w:r>
      <w:r>
        <w:rPr>
          <w:rFonts w:ascii="Arial" w:hAnsi="Arial" w:cs="Arial"/>
          <w:b/>
          <w:bCs/>
          <w:i/>
          <w:iCs/>
          <w:sz w:val="24"/>
          <w:szCs w:val="24"/>
          <w:u w:val="single"/>
        </w:rPr>
        <w:tab/>
        <w:t xml:space="preserve">Termination if tenant fails to provide information relating to eligibility requirements </w:t>
      </w:r>
    </w:p>
    <w:p w14:paraId="571C50D3" w14:textId="57BB62F5" w:rsidR="005E6C3B" w:rsidRPr="000A66E5" w:rsidRDefault="003D20C7" w:rsidP="00C11B25">
      <w:pPr>
        <w:rPr>
          <w:rFonts w:ascii="Arial" w:hAnsi="Arial" w:cs="Arial"/>
          <w:sz w:val="24"/>
          <w:szCs w:val="24"/>
        </w:rPr>
      </w:pPr>
      <w:r w:rsidRPr="000A66E5">
        <w:rPr>
          <w:rFonts w:ascii="Arial" w:hAnsi="Arial" w:cs="Arial"/>
          <w:sz w:val="24"/>
          <w:szCs w:val="24"/>
        </w:rPr>
        <w:t xml:space="preserve">The </w:t>
      </w:r>
      <w:r>
        <w:rPr>
          <w:rFonts w:ascii="Arial" w:hAnsi="Arial" w:cs="Arial"/>
          <w:sz w:val="24"/>
          <w:szCs w:val="24"/>
        </w:rPr>
        <w:t xml:space="preserve">purpose of this termination provision is to allow </w:t>
      </w:r>
      <w:r w:rsidR="00F7433E">
        <w:rPr>
          <w:rFonts w:ascii="Arial" w:hAnsi="Arial" w:cs="Arial"/>
          <w:sz w:val="24"/>
          <w:szCs w:val="24"/>
        </w:rPr>
        <w:t xml:space="preserve">subsidised </w:t>
      </w:r>
      <w:r>
        <w:rPr>
          <w:rFonts w:ascii="Arial" w:hAnsi="Arial" w:cs="Arial"/>
          <w:sz w:val="24"/>
          <w:szCs w:val="24"/>
        </w:rPr>
        <w:t xml:space="preserve">accommodation providers to end a tenancy for a tenant who is unable to establish their ongoing eligibility for </w:t>
      </w:r>
      <w:r w:rsidR="00F7433E">
        <w:rPr>
          <w:rFonts w:ascii="Arial" w:hAnsi="Arial" w:cs="Arial"/>
          <w:sz w:val="24"/>
          <w:szCs w:val="24"/>
        </w:rPr>
        <w:t xml:space="preserve">subsidised </w:t>
      </w:r>
      <w:r>
        <w:rPr>
          <w:rFonts w:ascii="Arial" w:hAnsi="Arial" w:cs="Arial"/>
          <w:sz w:val="24"/>
          <w:szCs w:val="24"/>
        </w:rPr>
        <w:t xml:space="preserve">accommodation. The provision </w:t>
      </w:r>
      <w:r w:rsidR="005348D5">
        <w:rPr>
          <w:rFonts w:ascii="Arial" w:hAnsi="Arial" w:cs="Arial"/>
          <w:sz w:val="24"/>
          <w:szCs w:val="24"/>
        </w:rPr>
        <w:t xml:space="preserve">allows the lessor to give the tenant a 26 week notice to vacate where the </w:t>
      </w:r>
      <w:r w:rsidR="00B51335">
        <w:rPr>
          <w:rFonts w:ascii="Arial" w:hAnsi="Arial" w:cs="Arial"/>
          <w:sz w:val="24"/>
          <w:szCs w:val="24"/>
        </w:rPr>
        <w:t>tenant d</w:t>
      </w:r>
      <w:r>
        <w:rPr>
          <w:rFonts w:ascii="Arial" w:hAnsi="Arial" w:cs="Arial"/>
          <w:sz w:val="24"/>
          <w:szCs w:val="24"/>
        </w:rPr>
        <w:t>oes not give the information required to establish their ongoing eligibility to their lessor after the lessor has requested the information</w:t>
      </w:r>
      <w:r w:rsidR="005A14D5">
        <w:rPr>
          <w:rFonts w:ascii="Arial" w:hAnsi="Arial" w:cs="Arial"/>
          <w:sz w:val="24"/>
          <w:szCs w:val="24"/>
        </w:rPr>
        <w:t>.</w:t>
      </w:r>
    </w:p>
    <w:p w14:paraId="1C06A1C7" w14:textId="31DF665C" w:rsidR="005348D5" w:rsidRDefault="00944D73" w:rsidP="00944D73">
      <w:pPr>
        <w:rPr>
          <w:rFonts w:ascii="Arial" w:hAnsi="Arial" w:cs="Arial"/>
          <w:sz w:val="24"/>
          <w:szCs w:val="24"/>
        </w:rPr>
      </w:pPr>
      <w:r w:rsidRPr="00AD38AE">
        <w:rPr>
          <w:rFonts w:ascii="Arial" w:hAnsi="Arial" w:cs="Arial"/>
          <w:sz w:val="24"/>
          <w:szCs w:val="24"/>
        </w:rPr>
        <w:t xml:space="preserve">As part of this new provision, for the </w:t>
      </w:r>
      <w:r w:rsidR="00B51335">
        <w:rPr>
          <w:rFonts w:ascii="Arial" w:hAnsi="Arial" w:cs="Arial"/>
          <w:sz w:val="24"/>
          <w:szCs w:val="24"/>
        </w:rPr>
        <w:t>NTV</w:t>
      </w:r>
      <w:r w:rsidRPr="00AD38AE">
        <w:rPr>
          <w:rFonts w:ascii="Arial" w:hAnsi="Arial" w:cs="Arial"/>
          <w:sz w:val="24"/>
          <w:szCs w:val="24"/>
        </w:rPr>
        <w:t xml:space="preserve"> to be </w:t>
      </w:r>
      <w:r w:rsidR="00B51335">
        <w:rPr>
          <w:rFonts w:ascii="Arial" w:hAnsi="Arial" w:cs="Arial"/>
          <w:sz w:val="24"/>
          <w:szCs w:val="24"/>
        </w:rPr>
        <w:t>valid</w:t>
      </w:r>
      <w:r w:rsidRPr="00AD38AE">
        <w:rPr>
          <w:rFonts w:ascii="Arial" w:hAnsi="Arial" w:cs="Arial"/>
          <w:sz w:val="24"/>
          <w:szCs w:val="24"/>
        </w:rPr>
        <w:t xml:space="preserve"> it must </w:t>
      </w:r>
      <w:r w:rsidR="005348D5">
        <w:rPr>
          <w:rFonts w:ascii="Arial" w:hAnsi="Arial" w:cs="Arial"/>
          <w:sz w:val="24"/>
          <w:szCs w:val="24"/>
        </w:rPr>
        <w:t>include a statement that the tenant did not give the lessor the information requested by the lessor</w:t>
      </w:r>
      <w:r w:rsidRPr="00AD38AE">
        <w:rPr>
          <w:rFonts w:ascii="Arial" w:hAnsi="Arial" w:cs="Arial"/>
          <w:sz w:val="24"/>
          <w:szCs w:val="24"/>
        </w:rPr>
        <w:t xml:space="preserve"> </w:t>
      </w:r>
      <w:r w:rsidR="00B51335">
        <w:rPr>
          <w:rFonts w:ascii="Arial" w:hAnsi="Arial" w:cs="Arial"/>
          <w:sz w:val="24"/>
          <w:szCs w:val="24"/>
        </w:rPr>
        <w:t xml:space="preserve">the name and contact details of a legal or advocacy service that may be </w:t>
      </w:r>
      <w:r w:rsidR="00364FCF">
        <w:rPr>
          <w:rFonts w:ascii="Arial" w:hAnsi="Arial" w:cs="Arial"/>
          <w:sz w:val="24"/>
          <w:szCs w:val="24"/>
        </w:rPr>
        <w:t>ab</w:t>
      </w:r>
      <w:r w:rsidR="00B51335">
        <w:rPr>
          <w:rFonts w:ascii="Arial" w:hAnsi="Arial" w:cs="Arial"/>
          <w:sz w:val="24"/>
          <w:szCs w:val="24"/>
        </w:rPr>
        <w:t>le to provide the tenant with advi</w:t>
      </w:r>
      <w:r w:rsidR="00364FCF">
        <w:rPr>
          <w:rFonts w:ascii="Arial" w:hAnsi="Arial" w:cs="Arial"/>
          <w:sz w:val="24"/>
          <w:szCs w:val="24"/>
        </w:rPr>
        <w:t>c</w:t>
      </w:r>
      <w:r w:rsidR="00B51335">
        <w:rPr>
          <w:rFonts w:ascii="Arial" w:hAnsi="Arial" w:cs="Arial"/>
          <w:sz w:val="24"/>
          <w:szCs w:val="24"/>
        </w:rPr>
        <w:t>e about the tenant’s legal rights with respect to their tenancy</w:t>
      </w:r>
      <w:r w:rsidR="005348D5">
        <w:rPr>
          <w:rFonts w:ascii="Arial" w:hAnsi="Arial" w:cs="Arial"/>
          <w:sz w:val="24"/>
          <w:szCs w:val="24"/>
        </w:rPr>
        <w:t xml:space="preserve"> and a statement that the notice will be withdrawn if the tenant give the lessor the requested information before the end of the period stated in the notice.</w:t>
      </w:r>
    </w:p>
    <w:p w14:paraId="3439541A" w14:textId="77777777" w:rsidR="005348D5" w:rsidRDefault="005348D5" w:rsidP="00944D73">
      <w:pPr>
        <w:rPr>
          <w:rFonts w:ascii="Arial" w:hAnsi="Arial" w:cs="Arial"/>
          <w:sz w:val="24"/>
          <w:szCs w:val="24"/>
        </w:rPr>
      </w:pPr>
      <w:r>
        <w:rPr>
          <w:rFonts w:ascii="Arial" w:hAnsi="Arial" w:cs="Arial"/>
          <w:sz w:val="24"/>
          <w:szCs w:val="24"/>
        </w:rPr>
        <w:lastRenderedPageBreak/>
        <w:t xml:space="preserve">If the tenant gives the requested information before the end of the NTV period the notice is taken to be withdrawn.  This is so as to avoid a situation where a tenant may face tenancy termination on the basis of a failure to provide information when the tenant has, in fact supplied the required information. </w:t>
      </w:r>
    </w:p>
    <w:p w14:paraId="2872555B" w14:textId="62669BC1" w:rsidR="005348D5" w:rsidRDefault="005348D5" w:rsidP="005348D5">
      <w:pPr>
        <w:rPr>
          <w:rFonts w:ascii="Arial" w:hAnsi="Arial" w:cs="Arial"/>
          <w:sz w:val="24"/>
          <w:szCs w:val="24"/>
        </w:rPr>
      </w:pPr>
      <w:r>
        <w:rPr>
          <w:rFonts w:ascii="Arial" w:hAnsi="Arial" w:cs="Arial"/>
          <w:sz w:val="24"/>
          <w:szCs w:val="24"/>
        </w:rPr>
        <w:t xml:space="preserve">However, if the tenant is then found ineligible for ongoing assistance, the lessor may then issue a new NTV on the grounds the tenant is ineligible. To avoid a situation where the tenant can deliberately delay providing information in order to stay in the property for a longer period of time, the provision allows the lessor to provide a new NTV for less than 26 weeks where the tenant has already been provided with a NTV on the grounds of a failure to provide information.  In that circumstance the NTV can provide a vacate date which is the </w:t>
      </w:r>
      <w:r w:rsidRPr="009741F9">
        <w:rPr>
          <w:rFonts w:ascii="Arial" w:hAnsi="Arial" w:cs="Arial"/>
          <w:i/>
          <w:iCs/>
          <w:sz w:val="24"/>
          <w:szCs w:val="24"/>
        </w:rPr>
        <w:t>later</w:t>
      </w:r>
      <w:r>
        <w:rPr>
          <w:rFonts w:ascii="Arial" w:hAnsi="Arial" w:cs="Arial"/>
          <w:sz w:val="24"/>
          <w:szCs w:val="24"/>
        </w:rPr>
        <w:t xml:space="preserve"> of:  the vacate date in the original NTV (issued on the grounds of cancellation) OR 12 week after the new NTV is issued. </w:t>
      </w:r>
    </w:p>
    <w:p w14:paraId="308D31DC" w14:textId="77CED10E" w:rsidR="00944D73" w:rsidRPr="00AD38AE" w:rsidRDefault="005348D5" w:rsidP="00944D73">
      <w:pPr>
        <w:rPr>
          <w:rFonts w:ascii="Arial" w:hAnsi="Arial" w:cs="Arial"/>
          <w:sz w:val="24"/>
          <w:szCs w:val="24"/>
        </w:rPr>
      </w:pPr>
      <w:r>
        <w:rPr>
          <w:rFonts w:ascii="Arial" w:hAnsi="Arial" w:cs="Arial"/>
          <w:sz w:val="24"/>
          <w:szCs w:val="24"/>
        </w:rPr>
        <w:t xml:space="preserve">The policy intent of this section is to balance the competing priorities of providing a reasonable time frame (of at least 12 weeks) for the tenant to vacate the property, whilst not allowing an ineligible tenant to remain in the premises for an extended period of time when they were delayed in responding to the lessor’s request for information. </w:t>
      </w:r>
    </w:p>
    <w:p w14:paraId="6A3FFA29" w14:textId="15722E22" w:rsidR="00643D9D" w:rsidRDefault="00364FCF" w:rsidP="002B23A0">
      <w:pPr>
        <w:rPr>
          <w:rFonts w:ascii="Arial" w:hAnsi="Arial" w:cs="Arial"/>
          <w:sz w:val="24"/>
          <w:szCs w:val="24"/>
        </w:rPr>
      </w:pPr>
      <w:r>
        <w:rPr>
          <w:rFonts w:ascii="Arial" w:hAnsi="Arial" w:cs="Arial"/>
          <w:sz w:val="24"/>
          <w:szCs w:val="24"/>
        </w:rPr>
        <w:t xml:space="preserve">It is noted that </w:t>
      </w:r>
      <w:r w:rsidR="00F7433E">
        <w:rPr>
          <w:rFonts w:ascii="Arial" w:hAnsi="Arial" w:cs="Arial"/>
          <w:sz w:val="24"/>
          <w:szCs w:val="24"/>
        </w:rPr>
        <w:t xml:space="preserve">subsidised </w:t>
      </w:r>
      <w:r>
        <w:rPr>
          <w:rFonts w:ascii="Arial" w:hAnsi="Arial" w:cs="Arial"/>
          <w:sz w:val="24"/>
          <w:szCs w:val="24"/>
        </w:rPr>
        <w:t xml:space="preserve">accommodation tenants may be considered more vulnerable than tenants in the private accommodation market (due to their need for accommodation support). The requirement to include contact details for an advice or advocacy service as part of the NTV is designed to give these more vulnerable tenants the maximum opportunity to receive advice and assistance in relation to understanding and asserting their tenancy rights and complying with their tenancy obligations. </w:t>
      </w:r>
    </w:p>
    <w:p w14:paraId="308876A3" w14:textId="4E04DB09" w:rsidR="0070557E" w:rsidRDefault="0070557E" w:rsidP="0070557E">
      <w:pPr>
        <w:rPr>
          <w:rFonts w:ascii="Arial" w:hAnsi="Arial" w:cs="Arial"/>
          <w:sz w:val="24"/>
          <w:szCs w:val="24"/>
        </w:rPr>
      </w:pPr>
      <w:r>
        <w:rPr>
          <w:rFonts w:ascii="Arial" w:hAnsi="Arial" w:cs="Arial"/>
          <w:sz w:val="24"/>
          <w:szCs w:val="24"/>
        </w:rPr>
        <w:t>Where a tenant is issued a NTV under this section, they may either: (a) vacate the premises at any time before the expiry of the notice – provided they give at least 2 weeks notice of their intention to vacate; or, (b) at any time during the 2 weeks before the expiry of that notice- provided they give at least 4 days notice of their intention to vacate.</w:t>
      </w:r>
    </w:p>
    <w:p w14:paraId="16537105" w14:textId="22C6A4E6" w:rsidR="00E11EEE" w:rsidRDefault="00E11EEE" w:rsidP="002B23A0">
      <w:pPr>
        <w:rPr>
          <w:rFonts w:ascii="Arial" w:hAnsi="Arial" w:cs="Arial"/>
          <w:sz w:val="24"/>
          <w:szCs w:val="24"/>
        </w:rPr>
      </w:pPr>
      <w:r>
        <w:rPr>
          <w:rFonts w:ascii="Arial" w:hAnsi="Arial" w:cs="Arial"/>
          <w:sz w:val="24"/>
          <w:szCs w:val="24"/>
        </w:rPr>
        <w:t>This provision further clarifies that the tenancy ends on the day the tenant vacates the property.</w:t>
      </w:r>
    </w:p>
    <w:p w14:paraId="39B0D582" w14:textId="4E87B40B" w:rsidR="00E11EEE" w:rsidRPr="005A14D5" w:rsidRDefault="00E11EEE" w:rsidP="002B23A0">
      <w:pPr>
        <w:rPr>
          <w:rFonts w:ascii="Arial" w:hAnsi="Arial" w:cs="Arial"/>
          <w:b/>
          <w:bCs/>
          <w:i/>
          <w:iCs/>
          <w:sz w:val="24"/>
          <w:szCs w:val="24"/>
          <w:u w:val="single"/>
        </w:rPr>
      </w:pPr>
      <w:r w:rsidRPr="005A14D5">
        <w:rPr>
          <w:rFonts w:ascii="Arial" w:hAnsi="Arial" w:cs="Arial"/>
          <w:b/>
          <w:bCs/>
          <w:i/>
          <w:iCs/>
          <w:sz w:val="24"/>
          <w:szCs w:val="24"/>
          <w:u w:val="single"/>
        </w:rPr>
        <w:t>11</w:t>
      </w:r>
      <w:r w:rsidR="00360790" w:rsidRPr="005A14D5">
        <w:rPr>
          <w:rFonts w:ascii="Arial" w:hAnsi="Arial" w:cs="Arial"/>
          <w:b/>
          <w:bCs/>
          <w:i/>
          <w:iCs/>
          <w:sz w:val="24"/>
          <w:szCs w:val="24"/>
          <w:u w:val="single"/>
        </w:rPr>
        <w:t>2</w:t>
      </w:r>
      <w:r w:rsidRPr="005A14D5">
        <w:rPr>
          <w:rFonts w:ascii="Arial" w:hAnsi="Arial" w:cs="Arial"/>
          <w:b/>
          <w:bCs/>
          <w:i/>
          <w:iCs/>
          <w:sz w:val="24"/>
          <w:szCs w:val="24"/>
          <w:u w:val="single"/>
        </w:rPr>
        <w:t xml:space="preserve"> Termination if tenant no longer eligible to live in premises</w:t>
      </w:r>
    </w:p>
    <w:p w14:paraId="6191CA2F" w14:textId="348041E2" w:rsidR="00C11B25" w:rsidRDefault="00C8122E" w:rsidP="002B23A0">
      <w:pPr>
        <w:rPr>
          <w:rFonts w:ascii="Arial" w:hAnsi="Arial" w:cs="Arial"/>
          <w:sz w:val="24"/>
          <w:szCs w:val="24"/>
        </w:rPr>
      </w:pPr>
      <w:r>
        <w:rPr>
          <w:rFonts w:ascii="Arial" w:hAnsi="Arial" w:cs="Arial"/>
          <w:sz w:val="24"/>
          <w:szCs w:val="24"/>
        </w:rPr>
        <w:t>T</w:t>
      </w:r>
      <w:r w:rsidR="00C11B25" w:rsidRPr="000A66E5">
        <w:rPr>
          <w:rFonts w:ascii="Arial" w:hAnsi="Arial" w:cs="Arial"/>
          <w:sz w:val="24"/>
          <w:szCs w:val="24"/>
        </w:rPr>
        <w:t xml:space="preserve">he </w:t>
      </w:r>
      <w:r w:rsidR="00C11B25">
        <w:rPr>
          <w:rFonts w:ascii="Arial" w:hAnsi="Arial" w:cs="Arial"/>
          <w:sz w:val="24"/>
          <w:szCs w:val="24"/>
        </w:rPr>
        <w:t>purpose of this termination provision is to allow subsidised accommodation providers to end a tenancy where the tenant is no longer eligible to live in the premises or will stop being eligible to live in the premises. The provision will apply where:</w:t>
      </w:r>
    </w:p>
    <w:p w14:paraId="0FDD21CB" w14:textId="4710CA1C" w:rsidR="00C11B25" w:rsidRDefault="00C11B25" w:rsidP="00C11B25">
      <w:pPr>
        <w:pStyle w:val="ListParagraph"/>
        <w:numPr>
          <w:ilvl w:val="0"/>
          <w:numId w:val="31"/>
        </w:numPr>
        <w:rPr>
          <w:rFonts w:ascii="Arial" w:hAnsi="Arial" w:cs="Arial"/>
          <w:sz w:val="24"/>
          <w:szCs w:val="24"/>
        </w:rPr>
      </w:pPr>
      <w:r>
        <w:rPr>
          <w:rFonts w:ascii="Arial" w:hAnsi="Arial" w:cs="Arial"/>
          <w:sz w:val="24"/>
          <w:szCs w:val="24"/>
        </w:rPr>
        <w:t>the tenant stops, or will stop, being eligible to live in the premises; or</w:t>
      </w:r>
    </w:p>
    <w:p w14:paraId="6A267FD7" w14:textId="398A5E8C" w:rsidR="00C11B25" w:rsidRDefault="00C11B25" w:rsidP="00C11B25">
      <w:pPr>
        <w:pStyle w:val="ListParagraph"/>
        <w:numPr>
          <w:ilvl w:val="0"/>
          <w:numId w:val="31"/>
        </w:numPr>
        <w:rPr>
          <w:rFonts w:ascii="Arial" w:hAnsi="Arial" w:cs="Arial"/>
          <w:sz w:val="24"/>
          <w:szCs w:val="24"/>
        </w:rPr>
      </w:pPr>
      <w:r>
        <w:rPr>
          <w:rFonts w:ascii="Arial" w:hAnsi="Arial" w:cs="Arial"/>
          <w:sz w:val="24"/>
          <w:szCs w:val="24"/>
        </w:rPr>
        <w:t xml:space="preserve">the lessor </w:t>
      </w:r>
      <w:r w:rsidR="00C8122E">
        <w:rPr>
          <w:rFonts w:ascii="Arial" w:hAnsi="Arial" w:cs="Arial"/>
          <w:sz w:val="24"/>
          <w:szCs w:val="24"/>
        </w:rPr>
        <w:t xml:space="preserve">or owner </w:t>
      </w:r>
      <w:r>
        <w:rPr>
          <w:rFonts w:ascii="Arial" w:hAnsi="Arial" w:cs="Arial"/>
          <w:sz w:val="24"/>
          <w:szCs w:val="24"/>
        </w:rPr>
        <w:t>stops, or will stop, being eligible to receive government funding or assistance to provide the premises to the tenant.</w:t>
      </w:r>
    </w:p>
    <w:p w14:paraId="5C277C95" w14:textId="2D88385D" w:rsidR="00C11B25" w:rsidRDefault="00C11B25" w:rsidP="00C11B25">
      <w:pPr>
        <w:rPr>
          <w:rFonts w:ascii="Arial" w:hAnsi="Arial" w:cs="Arial"/>
          <w:sz w:val="24"/>
          <w:szCs w:val="24"/>
        </w:rPr>
      </w:pPr>
      <w:r>
        <w:rPr>
          <w:rFonts w:ascii="Arial" w:hAnsi="Arial" w:cs="Arial"/>
          <w:sz w:val="24"/>
          <w:szCs w:val="24"/>
        </w:rPr>
        <w:lastRenderedPageBreak/>
        <w:br/>
        <w:t>The notice period for this termination may vary. It is expressed to be the later of:</w:t>
      </w:r>
    </w:p>
    <w:p w14:paraId="71E3449B" w14:textId="77777777" w:rsidR="00C11B25" w:rsidRDefault="00C11B25" w:rsidP="00C11B25">
      <w:pPr>
        <w:pStyle w:val="ListParagraph"/>
        <w:numPr>
          <w:ilvl w:val="0"/>
          <w:numId w:val="32"/>
        </w:numPr>
        <w:rPr>
          <w:rFonts w:ascii="Arial" w:hAnsi="Arial" w:cs="Arial"/>
          <w:sz w:val="24"/>
          <w:szCs w:val="24"/>
        </w:rPr>
      </w:pPr>
      <w:r>
        <w:rPr>
          <w:rFonts w:ascii="Arial" w:hAnsi="Arial" w:cs="Arial"/>
          <w:sz w:val="24"/>
          <w:szCs w:val="24"/>
        </w:rPr>
        <w:t xml:space="preserve">A 26 week period after the lessor gives the notice to vacate to the tenant; </w:t>
      </w:r>
    </w:p>
    <w:p w14:paraId="36CBDE67" w14:textId="77777777" w:rsidR="00C11B25" w:rsidRDefault="00C11B25" w:rsidP="00C11B25">
      <w:pPr>
        <w:pStyle w:val="ListParagraph"/>
        <w:numPr>
          <w:ilvl w:val="0"/>
          <w:numId w:val="32"/>
        </w:numPr>
        <w:rPr>
          <w:rFonts w:ascii="Arial" w:hAnsi="Arial" w:cs="Arial"/>
          <w:sz w:val="24"/>
          <w:szCs w:val="24"/>
        </w:rPr>
      </w:pPr>
      <w:r>
        <w:rPr>
          <w:rFonts w:ascii="Arial" w:hAnsi="Arial" w:cs="Arial"/>
          <w:sz w:val="24"/>
          <w:szCs w:val="24"/>
        </w:rPr>
        <w:t>The day the tenant stops being eligible to live in the premises; or</w:t>
      </w:r>
    </w:p>
    <w:p w14:paraId="646659E9" w14:textId="1B6B54C3" w:rsidR="00C11B25" w:rsidRPr="00480D5F" w:rsidRDefault="00C11B25" w:rsidP="00480D5F">
      <w:pPr>
        <w:pStyle w:val="ListParagraph"/>
        <w:numPr>
          <w:ilvl w:val="0"/>
          <w:numId w:val="32"/>
        </w:numPr>
        <w:rPr>
          <w:rFonts w:ascii="Arial" w:hAnsi="Arial" w:cs="Arial"/>
          <w:sz w:val="24"/>
          <w:szCs w:val="24"/>
        </w:rPr>
      </w:pPr>
      <w:r>
        <w:rPr>
          <w:rFonts w:ascii="Arial" w:hAnsi="Arial" w:cs="Arial"/>
          <w:sz w:val="24"/>
          <w:szCs w:val="24"/>
        </w:rPr>
        <w:t xml:space="preserve">The day the lessor stops being eligible for funding assistance for the premises. </w:t>
      </w:r>
    </w:p>
    <w:p w14:paraId="12F7C061" w14:textId="69E16578" w:rsidR="00C11B25" w:rsidRPr="000A66E5" w:rsidRDefault="00C11B25" w:rsidP="00C11B25">
      <w:pPr>
        <w:rPr>
          <w:rFonts w:ascii="Arial" w:hAnsi="Arial" w:cs="Arial"/>
          <w:sz w:val="24"/>
          <w:szCs w:val="24"/>
        </w:rPr>
      </w:pPr>
      <w:r>
        <w:rPr>
          <w:rFonts w:ascii="Arial" w:hAnsi="Arial" w:cs="Arial"/>
          <w:sz w:val="24"/>
          <w:szCs w:val="24"/>
        </w:rPr>
        <w:br/>
        <w:t xml:space="preserve">The </w:t>
      </w:r>
      <w:r w:rsidR="00360790">
        <w:rPr>
          <w:rFonts w:ascii="Arial" w:hAnsi="Arial" w:cs="Arial"/>
          <w:sz w:val="24"/>
          <w:szCs w:val="24"/>
        </w:rPr>
        <w:t>NTV</w:t>
      </w:r>
      <w:r>
        <w:rPr>
          <w:rFonts w:ascii="Arial" w:hAnsi="Arial" w:cs="Arial"/>
          <w:sz w:val="24"/>
          <w:szCs w:val="24"/>
        </w:rPr>
        <w:t xml:space="preserve"> is designed to account for circumstances where it is anticipated that a tenant will cease eligibility in the future. For example, </w:t>
      </w:r>
      <w:r w:rsidRPr="004D56B7">
        <w:rPr>
          <w:rFonts w:ascii="Arial" w:hAnsi="Arial" w:cs="Arial"/>
          <w:sz w:val="24"/>
          <w:szCs w:val="24"/>
        </w:rPr>
        <w:t xml:space="preserve">the </w:t>
      </w:r>
      <w:r w:rsidRPr="000A66E5">
        <w:rPr>
          <w:rFonts w:ascii="Arial" w:hAnsi="Arial" w:cs="Arial"/>
          <w:sz w:val="24"/>
          <w:szCs w:val="24"/>
        </w:rPr>
        <w:t xml:space="preserve">current </w:t>
      </w:r>
      <w:hyperlink r:id="rId23" w:history="1">
        <w:r w:rsidRPr="000A66E5">
          <w:rPr>
            <w:rStyle w:val="Hyperlink"/>
            <w:rFonts w:ascii="Arial" w:hAnsi="Arial" w:cs="Arial"/>
            <w:i/>
            <w:iCs/>
            <w:sz w:val="24"/>
            <w:szCs w:val="24"/>
          </w:rPr>
          <w:t>National Rental Affordability Scheme Regulations 2020</w:t>
        </w:r>
      </w:hyperlink>
      <w:r w:rsidRPr="000A66E5">
        <w:rPr>
          <w:rFonts w:ascii="Arial" w:hAnsi="Arial" w:cs="Arial"/>
          <w:i/>
          <w:iCs/>
          <w:sz w:val="24"/>
          <w:szCs w:val="24"/>
        </w:rPr>
        <w:t xml:space="preserve"> </w:t>
      </w:r>
      <w:r w:rsidRPr="000A66E5">
        <w:rPr>
          <w:rFonts w:ascii="Arial" w:hAnsi="Arial" w:cs="Arial"/>
          <w:sz w:val="24"/>
          <w:szCs w:val="24"/>
        </w:rPr>
        <w:t>(</w:t>
      </w:r>
      <w:r w:rsidRPr="000A66E5">
        <w:rPr>
          <w:rFonts w:ascii="Arial" w:hAnsi="Arial" w:cs="Arial"/>
          <w:b/>
          <w:bCs/>
          <w:sz w:val="24"/>
          <w:szCs w:val="24"/>
        </w:rPr>
        <w:t>NRAS regulations</w:t>
      </w:r>
      <w:r w:rsidRPr="000A66E5">
        <w:rPr>
          <w:rFonts w:ascii="Arial" w:hAnsi="Arial" w:cs="Arial"/>
          <w:sz w:val="24"/>
          <w:szCs w:val="24"/>
        </w:rPr>
        <w:t>) provides that</w:t>
      </w:r>
      <w:r>
        <w:rPr>
          <w:rFonts w:ascii="Arial" w:hAnsi="Arial" w:cs="Arial"/>
          <w:sz w:val="24"/>
          <w:szCs w:val="24"/>
        </w:rPr>
        <w:t xml:space="preserve"> a tenant will cease to be an eligible tenant if the combined gross household income exceeds the income limit for their household by 25% or more in two consecutive eligibility years (see section 41 (3) (b)). In the case of an NRAS accommodation provider, the provider may be able to anticipate that the tenant will become ineligible where their income will exceed the income limit. In this situation, the accommodation provider could anticipate the tenant becoming ineligible and issue the NTV on the basis the tenant has exceeded the income limit by 25% or more and will stop being eligible for subsidised accommodation at the end of the 2 year period. The tenant would then be required to vacate the property either at the end of the two-year period in which they have exceeded the income limit by 25% or more OR 26 weeks after they received the NTV – whichever is the later. </w:t>
      </w:r>
    </w:p>
    <w:p w14:paraId="007F4005" w14:textId="22B22DE0" w:rsidR="00C11B25" w:rsidRDefault="00C11B25" w:rsidP="00C11B25">
      <w:pPr>
        <w:rPr>
          <w:rFonts w:ascii="Arial" w:hAnsi="Arial" w:cs="Arial"/>
          <w:sz w:val="24"/>
          <w:szCs w:val="24"/>
        </w:rPr>
      </w:pPr>
      <w:r>
        <w:rPr>
          <w:rFonts w:ascii="Arial" w:hAnsi="Arial" w:cs="Arial"/>
          <w:sz w:val="24"/>
          <w:szCs w:val="24"/>
        </w:rPr>
        <w:t>F</w:t>
      </w:r>
      <w:r w:rsidRPr="00AD38AE">
        <w:rPr>
          <w:rFonts w:ascii="Arial" w:hAnsi="Arial" w:cs="Arial"/>
          <w:sz w:val="24"/>
          <w:szCs w:val="24"/>
        </w:rPr>
        <w:t xml:space="preserve">or the </w:t>
      </w:r>
      <w:r>
        <w:rPr>
          <w:rFonts w:ascii="Arial" w:hAnsi="Arial" w:cs="Arial"/>
          <w:sz w:val="24"/>
          <w:szCs w:val="24"/>
        </w:rPr>
        <w:t>NTV issued under this clause</w:t>
      </w:r>
      <w:r w:rsidRPr="00AD38AE">
        <w:rPr>
          <w:rFonts w:ascii="Arial" w:hAnsi="Arial" w:cs="Arial"/>
          <w:sz w:val="24"/>
          <w:szCs w:val="24"/>
        </w:rPr>
        <w:t xml:space="preserve"> to be </w:t>
      </w:r>
      <w:r>
        <w:rPr>
          <w:rFonts w:ascii="Arial" w:hAnsi="Arial" w:cs="Arial"/>
          <w:sz w:val="24"/>
          <w:szCs w:val="24"/>
        </w:rPr>
        <w:t>valid,</w:t>
      </w:r>
      <w:r w:rsidRPr="00AD38AE">
        <w:rPr>
          <w:rFonts w:ascii="Arial" w:hAnsi="Arial" w:cs="Arial"/>
          <w:sz w:val="24"/>
          <w:szCs w:val="24"/>
        </w:rPr>
        <w:t xml:space="preserve"> it must include particulars of why the notice to vacate has been issued. Such particulars include the reason the tenant has or will become ineligible</w:t>
      </w:r>
      <w:r>
        <w:rPr>
          <w:rFonts w:ascii="Arial" w:hAnsi="Arial" w:cs="Arial"/>
          <w:sz w:val="24"/>
          <w:szCs w:val="24"/>
        </w:rPr>
        <w:t xml:space="preserve"> or </w:t>
      </w:r>
      <w:r w:rsidRPr="00AD38AE">
        <w:rPr>
          <w:rFonts w:ascii="Arial" w:hAnsi="Arial" w:cs="Arial"/>
          <w:sz w:val="24"/>
          <w:szCs w:val="24"/>
        </w:rPr>
        <w:t>the reason the lessor has or will become ineligible for funding or assistance for the premises</w:t>
      </w:r>
      <w:r>
        <w:rPr>
          <w:rFonts w:ascii="Arial" w:hAnsi="Arial" w:cs="Arial"/>
          <w:sz w:val="24"/>
          <w:szCs w:val="24"/>
        </w:rPr>
        <w:t xml:space="preserve">. This means that if the tenant disagrees with the grounds for the tenancy termination (such as the reasons they have been assessed as ineligible), the tenant could bring a tenancy dispute to ACAT on the basis of the particulars contained in the NTV. </w:t>
      </w:r>
    </w:p>
    <w:p w14:paraId="2CC79E8A" w14:textId="691207F6" w:rsidR="00C11B25" w:rsidRPr="00AD38AE" w:rsidRDefault="00C11B25" w:rsidP="00C11B25">
      <w:pPr>
        <w:rPr>
          <w:rFonts w:ascii="Arial" w:hAnsi="Arial" w:cs="Arial"/>
          <w:sz w:val="24"/>
          <w:szCs w:val="24"/>
        </w:rPr>
      </w:pPr>
      <w:r>
        <w:rPr>
          <w:rFonts w:ascii="Arial" w:hAnsi="Arial" w:cs="Arial"/>
          <w:sz w:val="24"/>
          <w:szCs w:val="24"/>
        </w:rPr>
        <w:t>The NTV is also required to contain</w:t>
      </w:r>
      <w:r w:rsidRPr="00AD38AE">
        <w:rPr>
          <w:rFonts w:ascii="Arial" w:hAnsi="Arial" w:cs="Arial"/>
          <w:sz w:val="24"/>
          <w:szCs w:val="24"/>
        </w:rPr>
        <w:t xml:space="preserve"> </w:t>
      </w:r>
      <w:r>
        <w:rPr>
          <w:rFonts w:ascii="Arial" w:hAnsi="Arial" w:cs="Arial"/>
          <w:sz w:val="24"/>
          <w:szCs w:val="24"/>
        </w:rPr>
        <w:t xml:space="preserve">the name and contact details of a legal or advocacy service that may be able to provide the tenant with advice about the tenant’s legal rights with respect to their tenancy. </w:t>
      </w:r>
      <w:r w:rsidR="003E67F9">
        <w:rPr>
          <w:rFonts w:ascii="Arial" w:hAnsi="Arial" w:cs="Arial"/>
          <w:sz w:val="24"/>
          <w:szCs w:val="24"/>
        </w:rPr>
        <w:t>Tenancy law issues are likely to be both complex to understand and emotionally distressing for tenants. This requirement was included to recognise that tenants may not be aware of the services and resources available to assist them navigate a dispute.</w:t>
      </w:r>
    </w:p>
    <w:p w14:paraId="2A26E16F" w14:textId="7E85BE26" w:rsidR="00A82EF6" w:rsidRDefault="00C8122E" w:rsidP="00A82EF6">
      <w:pPr>
        <w:rPr>
          <w:rFonts w:ascii="Arial" w:hAnsi="Arial" w:cs="Arial"/>
          <w:sz w:val="24"/>
          <w:szCs w:val="24"/>
        </w:rPr>
      </w:pPr>
      <w:r>
        <w:rPr>
          <w:rFonts w:ascii="Arial" w:hAnsi="Arial" w:cs="Arial"/>
          <w:sz w:val="24"/>
          <w:szCs w:val="24"/>
        </w:rPr>
        <w:t>W</w:t>
      </w:r>
      <w:r w:rsidR="00A82EF6">
        <w:rPr>
          <w:rFonts w:ascii="Arial" w:hAnsi="Arial" w:cs="Arial"/>
          <w:sz w:val="24"/>
          <w:szCs w:val="24"/>
        </w:rPr>
        <w:t>here a tenant is issued a NTV under this section, they may</w:t>
      </w:r>
      <w:r w:rsidR="0070557E">
        <w:rPr>
          <w:rFonts w:ascii="Arial" w:hAnsi="Arial" w:cs="Arial"/>
          <w:sz w:val="24"/>
          <w:szCs w:val="24"/>
        </w:rPr>
        <w:t xml:space="preserve"> either: (a)</w:t>
      </w:r>
      <w:r w:rsidR="00A82EF6">
        <w:rPr>
          <w:rFonts w:ascii="Arial" w:hAnsi="Arial" w:cs="Arial"/>
          <w:sz w:val="24"/>
          <w:szCs w:val="24"/>
        </w:rPr>
        <w:t xml:space="preserve"> vacate the premises </w:t>
      </w:r>
      <w:r w:rsidR="0070557E">
        <w:rPr>
          <w:rFonts w:ascii="Arial" w:hAnsi="Arial" w:cs="Arial"/>
          <w:sz w:val="24"/>
          <w:szCs w:val="24"/>
        </w:rPr>
        <w:t xml:space="preserve">at any time before the expiry of the notice – provided they give at least 2 weeks notice of their intention to vacate; or, (b) at </w:t>
      </w:r>
      <w:r w:rsidR="00A82EF6">
        <w:rPr>
          <w:rFonts w:ascii="Arial" w:hAnsi="Arial" w:cs="Arial"/>
          <w:sz w:val="24"/>
          <w:szCs w:val="24"/>
        </w:rPr>
        <w:t>any time during the 2 weeks before the expiry of that notice</w:t>
      </w:r>
      <w:r w:rsidR="0070557E">
        <w:rPr>
          <w:rFonts w:ascii="Arial" w:hAnsi="Arial" w:cs="Arial"/>
          <w:sz w:val="24"/>
          <w:szCs w:val="24"/>
        </w:rPr>
        <w:t>- provided they give</w:t>
      </w:r>
      <w:r w:rsidR="00A82EF6">
        <w:rPr>
          <w:rFonts w:ascii="Arial" w:hAnsi="Arial" w:cs="Arial"/>
          <w:sz w:val="24"/>
          <w:szCs w:val="24"/>
        </w:rPr>
        <w:t xml:space="preserve"> at least 4 days notice of their intention to vacate.</w:t>
      </w:r>
    </w:p>
    <w:p w14:paraId="074C693B" w14:textId="6BE74A5A" w:rsidR="00C11B25" w:rsidRPr="00480D5F" w:rsidRDefault="00A82EF6" w:rsidP="00C11B25">
      <w:pPr>
        <w:rPr>
          <w:rFonts w:ascii="Arial" w:hAnsi="Arial" w:cs="Arial"/>
          <w:sz w:val="24"/>
          <w:szCs w:val="24"/>
        </w:rPr>
      </w:pPr>
      <w:r>
        <w:rPr>
          <w:rFonts w:ascii="Arial" w:hAnsi="Arial" w:cs="Arial"/>
          <w:sz w:val="24"/>
          <w:szCs w:val="24"/>
        </w:rPr>
        <w:t>This provision further clarifies that the tenancy ends on the day the tenant vacates the property.</w:t>
      </w:r>
    </w:p>
    <w:p w14:paraId="191654E6" w14:textId="6983732C" w:rsidR="00AC6D4F" w:rsidRPr="00264F34" w:rsidRDefault="00AC6D4F" w:rsidP="00DA1AEA">
      <w:pPr>
        <w:keepNext/>
        <w:keepLines/>
        <w:rPr>
          <w:rFonts w:ascii="Arial" w:hAnsi="Arial" w:cs="Arial"/>
          <w:sz w:val="24"/>
          <w:szCs w:val="24"/>
        </w:rPr>
      </w:pPr>
      <w:r w:rsidRPr="00264F34">
        <w:rPr>
          <w:rFonts w:ascii="Arial" w:eastAsiaTheme="majorEastAsia" w:hAnsi="Arial" w:cs="Arial"/>
          <w:b/>
          <w:sz w:val="24"/>
          <w:szCs w:val="24"/>
        </w:rPr>
        <w:lastRenderedPageBreak/>
        <w:t>Clause 4</w:t>
      </w:r>
      <w:r w:rsidR="003B0C2A">
        <w:rPr>
          <w:rFonts w:ascii="Arial" w:eastAsiaTheme="majorEastAsia" w:hAnsi="Arial" w:cs="Arial"/>
          <w:b/>
          <w:sz w:val="24"/>
          <w:szCs w:val="24"/>
        </w:rPr>
        <w:t>6</w:t>
      </w:r>
      <w:r w:rsidRPr="00264F34">
        <w:rPr>
          <w:rFonts w:ascii="Arial" w:eastAsiaTheme="majorEastAsia" w:hAnsi="Arial" w:cs="Arial"/>
          <w:b/>
          <w:sz w:val="24"/>
          <w:szCs w:val="24"/>
        </w:rPr>
        <w:tab/>
        <w:t>Dictionary, notes</w:t>
      </w:r>
      <w:r w:rsidR="00C406EE">
        <w:rPr>
          <w:rFonts w:ascii="Arial" w:eastAsiaTheme="majorEastAsia" w:hAnsi="Arial" w:cs="Arial"/>
          <w:b/>
          <w:sz w:val="24"/>
          <w:szCs w:val="24"/>
        </w:rPr>
        <w:t xml:space="preserve"> 1 and 2</w:t>
      </w:r>
    </w:p>
    <w:p w14:paraId="08C3CDE8" w14:textId="22BC990E" w:rsidR="00AC6D4F" w:rsidRDefault="00AC6D4F" w:rsidP="00AC6D4F">
      <w:pPr>
        <w:rPr>
          <w:rFonts w:ascii="Arial" w:hAnsi="Arial" w:cs="Arial"/>
          <w:sz w:val="24"/>
          <w:szCs w:val="24"/>
        </w:rPr>
      </w:pPr>
      <w:r w:rsidRPr="00264F34">
        <w:rPr>
          <w:rFonts w:ascii="Arial" w:hAnsi="Arial" w:cs="Arial"/>
          <w:sz w:val="24"/>
          <w:szCs w:val="24"/>
        </w:rPr>
        <w:t>This is a technical provision, that updates the notes in the Dictionary of the RTA in accordance with current drafting practice.</w:t>
      </w:r>
    </w:p>
    <w:p w14:paraId="4786F786" w14:textId="46E40074" w:rsidR="00247792" w:rsidRPr="003B0C2A" w:rsidRDefault="00247792" w:rsidP="00247792">
      <w:pPr>
        <w:rPr>
          <w:rFonts w:ascii="Arial" w:hAnsi="Arial" w:cs="Arial"/>
          <w:sz w:val="24"/>
          <w:szCs w:val="24"/>
        </w:rPr>
      </w:pPr>
      <w:r w:rsidRPr="0048099F">
        <w:rPr>
          <w:rFonts w:ascii="Arial" w:hAnsi="Arial" w:cs="Arial"/>
          <w:sz w:val="24"/>
          <w:szCs w:val="24"/>
        </w:rPr>
        <w:t xml:space="preserve">This clause </w:t>
      </w:r>
      <w:r>
        <w:rPr>
          <w:rFonts w:ascii="Arial" w:hAnsi="Arial" w:cs="Arial"/>
          <w:sz w:val="24"/>
          <w:szCs w:val="24"/>
        </w:rPr>
        <w:t xml:space="preserve">inserts a note into the RTA Dictionary, which advises the reader that the </w:t>
      </w:r>
      <w:r w:rsidRPr="00480D5F">
        <w:rPr>
          <w:rFonts w:ascii="Arial" w:hAnsi="Arial" w:cs="Arial"/>
          <w:sz w:val="24"/>
          <w:szCs w:val="24"/>
        </w:rPr>
        <w:t>Legislation Act</w:t>
      </w:r>
      <w:r w:rsidRPr="00264F34">
        <w:rPr>
          <w:rFonts w:ascii="Arial" w:hAnsi="Arial" w:cs="Arial"/>
          <w:i/>
          <w:iCs/>
          <w:sz w:val="24"/>
          <w:szCs w:val="24"/>
        </w:rPr>
        <w:t xml:space="preserve"> </w:t>
      </w:r>
      <w:r>
        <w:rPr>
          <w:rFonts w:ascii="Arial" w:hAnsi="Arial" w:cs="Arial"/>
          <w:sz w:val="24"/>
          <w:szCs w:val="24"/>
        </w:rPr>
        <w:t xml:space="preserve">contains definitions that are relevant to the interpretation of the RTA. The note lists the following terms as being defined in the </w:t>
      </w:r>
      <w:r w:rsidRPr="00480D5F">
        <w:rPr>
          <w:rFonts w:ascii="Arial" w:hAnsi="Arial" w:cs="Arial"/>
          <w:sz w:val="24"/>
          <w:szCs w:val="24"/>
        </w:rPr>
        <w:t>Legislation Act</w:t>
      </w:r>
      <w:r w:rsidRPr="00503B46">
        <w:rPr>
          <w:rFonts w:ascii="Arial" w:hAnsi="Arial" w:cs="Arial"/>
          <w:sz w:val="24"/>
          <w:szCs w:val="24"/>
        </w:rPr>
        <w:t>:</w:t>
      </w:r>
      <w:r>
        <w:rPr>
          <w:rFonts w:ascii="Arial" w:hAnsi="Arial" w:cs="Arial"/>
          <w:sz w:val="24"/>
          <w:szCs w:val="24"/>
        </w:rPr>
        <w:t xml:space="preserve"> </w:t>
      </w:r>
      <w:r w:rsidRPr="003B0C2A">
        <w:rPr>
          <w:rFonts w:ascii="Arial" w:hAnsi="Arial" w:cs="Arial"/>
          <w:i/>
          <w:iCs/>
          <w:sz w:val="24"/>
          <w:szCs w:val="24"/>
        </w:rPr>
        <w:t>ACAT</w:t>
      </w:r>
      <w:r w:rsidR="00503B46" w:rsidRPr="003B0C2A">
        <w:rPr>
          <w:rFonts w:ascii="Arial" w:hAnsi="Arial" w:cs="Arial"/>
          <w:i/>
          <w:iCs/>
          <w:sz w:val="24"/>
          <w:szCs w:val="24"/>
        </w:rPr>
        <w:t xml:space="preserve">; </w:t>
      </w:r>
      <w:r w:rsidR="00503B46" w:rsidRPr="00480D5F">
        <w:rPr>
          <w:rFonts w:ascii="Arial" w:hAnsi="Arial" w:cs="Arial"/>
          <w:i/>
          <w:iCs/>
          <w:sz w:val="24"/>
          <w:szCs w:val="24"/>
        </w:rPr>
        <w:t>administrative unit</w:t>
      </w:r>
      <w:r w:rsidR="00503B46" w:rsidRPr="003B0C2A">
        <w:rPr>
          <w:rFonts w:ascii="Arial" w:hAnsi="Arial" w:cs="Arial"/>
          <w:sz w:val="24"/>
          <w:szCs w:val="24"/>
        </w:rPr>
        <w:t xml:space="preserve">; </w:t>
      </w:r>
      <w:r w:rsidR="00503B46" w:rsidRPr="00480D5F">
        <w:rPr>
          <w:rFonts w:ascii="Arial" w:hAnsi="Arial" w:cs="Arial"/>
          <w:i/>
          <w:iCs/>
          <w:sz w:val="24"/>
          <w:szCs w:val="24"/>
        </w:rPr>
        <w:t>adult</w:t>
      </w:r>
      <w:r w:rsidR="00503B46" w:rsidRPr="003B0C2A">
        <w:rPr>
          <w:rFonts w:ascii="Arial" w:hAnsi="Arial" w:cs="Arial"/>
          <w:sz w:val="24"/>
          <w:szCs w:val="24"/>
        </w:rPr>
        <w:t xml:space="preserve">; </w:t>
      </w:r>
      <w:r w:rsidR="00503B46" w:rsidRPr="00480D5F">
        <w:rPr>
          <w:rFonts w:ascii="Arial" w:hAnsi="Arial" w:cs="Arial"/>
          <w:i/>
          <w:iCs/>
          <w:sz w:val="24"/>
          <w:szCs w:val="24"/>
        </w:rPr>
        <w:t>Australian Consumer Law (ACT)</w:t>
      </w:r>
      <w:r w:rsidR="00503B46" w:rsidRPr="003B0C2A">
        <w:rPr>
          <w:rFonts w:ascii="Arial" w:hAnsi="Arial" w:cs="Arial"/>
          <w:sz w:val="24"/>
          <w:szCs w:val="24"/>
        </w:rPr>
        <w:t xml:space="preserve">; </w:t>
      </w:r>
      <w:r w:rsidR="00503B46" w:rsidRPr="00480D5F">
        <w:rPr>
          <w:rFonts w:ascii="Arial" w:hAnsi="Arial" w:cs="Arial"/>
          <w:i/>
          <w:iCs/>
          <w:sz w:val="24"/>
          <w:szCs w:val="24"/>
        </w:rPr>
        <w:t>building code</w:t>
      </w:r>
      <w:r w:rsidR="00503B46" w:rsidRPr="003B0C2A">
        <w:rPr>
          <w:rFonts w:ascii="Arial" w:hAnsi="Arial" w:cs="Arial"/>
          <w:sz w:val="24"/>
          <w:szCs w:val="24"/>
        </w:rPr>
        <w:t xml:space="preserve">; </w:t>
      </w:r>
      <w:r w:rsidR="00503B46" w:rsidRPr="00480D5F">
        <w:rPr>
          <w:rFonts w:ascii="Arial" w:hAnsi="Arial" w:cs="Arial"/>
          <w:i/>
          <w:iCs/>
          <w:sz w:val="24"/>
          <w:szCs w:val="24"/>
        </w:rPr>
        <w:t>calendar month</w:t>
      </w:r>
      <w:r w:rsidR="00503B46" w:rsidRPr="003B0C2A">
        <w:rPr>
          <w:rFonts w:ascii="Arial" w:hAnsi="Arial" w:cs="Arial"/>
          <w:sz w:val="24"/>
          <w:szCs w:val="24"/>
        </w:rPr>
        <w:t xml:space="preserve">; </w:t>
      </w:r>
      <w:r w:rsidR="00503B46" w:rsidRPr="00480D5F">
        <w:rPr>
          <w:rFonts w:ascii="Arial" w:hAnsi="Arial" w:cs="Arial"/>
          <w:i/>
          <w:iCs/>
          <w:sz w:val="24"/>
          <w:szCs w:val="24"/>
        </w:rPr>
        <w:t>child</w:t>
      </w:r>
      <w:r w:rsidR="00503B46" w:rsidRPr="003B0C2A">
        <w:rPr>
          <w:rFonts w:ascii="Arial" w:hAnsi="Arial" w:cs="Arial"/>
          <w:sz w:val="24"/>
          <w:szCs w:val="24"/>
        </w:rPr>
        <w:t xml:space="preserve">; </w:t>
      </w:r>
      <w:r w:rsidR="00503B46" w:rsidRPr="00480D5F">
        <w:rPr>
          <w:rFonts w:ascii="Arial" w:hAnsi="Arial" w:cs="Arial"/>
          <w:i/>
          <w:iCs/>
          <w:sz w:val="24"/>
          <w:szCs w:val="24"/>
        </w:rPr>
        <w:t>commissioner for fair trading</w:t>
      </w:r>
      <w:r w:rsidR="00503B46" w:rsidRPr="003B0C2A">
        <w:rPr>
          <w:rFonts w:ascii="Arial" w:hAnsi="Arial" w:cs="Arial"/>
          <w:sz w:val="24"/>
          <w:szCs w:val="24"/>
        </w:rPr>
        <w:t xml:space="preserve">; </w:t>
      </w:r>
      <w:r w:rsidR="00503B46" w:rsidRPr="00480D5F">
        <w:rPr>
          <w:rFonts w:ascii="Arial" w:hAnsi="Arial" w:cs="Arial"/>
          <w:i/>
          <w:iCs/>
          <w:sz w:val="24"/>
          <w:szCs w:val="24"/>
        </w:rPr>
        <w:t>corporation</w:t>
      </w:r>
      <w:r w:rsidR="00503B46" w:rsidRPr="003B0C2A">
        <w:rPr>
          <w:rFonts w:ascii="Arial" w:hAnsi="Arial" w:cs="Arial"/>
          <w:sz w:val="24"/>
          <w:szCs w:val="24"/>
        </w:rPr>
        <w:t xml:space="preserve">; </w:t>
      </w:r>
      <w:r w:rsidR="00503B46" w:rsidRPr="00480D5F">
        <w:rPr>
          <w:rFonts w:ascii="Arial" w:hAnsi="Arial" w:cs="Arial"/>
          <w:i/>
          <w:iCs/>
          <w:sz w:val="24"/>
          <w:szCs w:val="24"/>
        </w:rPr>
        <w:t>Criminal Code</w:t>
      </w:r>
      <w:r w:rsidR="00503B46" w:rsidRPr="003B0C2A">
        <w:rPr>
          <w:rFonts w:ascii="Arial" w:hAnsi="Arial" w:cs="Arial"/>
          <w:sz w:val="24"/>
          <w:szCs w:val="24"/>
        </w:rPr>
        <w:t>;</w:t>
      </w:r>
      <w:r w:rsidR="00503B46" w:rsidRPr="00480D5F">
        <w:rPr>
          <w:rFonts w:ascii="Arial" w:hAnsi="Arial" w:cs="Arial"/>
          <w:i/>
          <w:iCs/>
          <w:sz w:val="24"/>
          <w:szCs w:val="24"/>
        </w:rPr>
        <w:t xml:space="preserve"> </w:t>
      </w:r>
      <w:r w:rsidRPr="003B0C2A">
        <w:rPr>
          <w:rFonts w:ascii="Arial" w:hAnsi="Arial" w:cs="Arial"/>
          <w:i/>
          <w:iCs/>
          <w:sz w:val="24"/>
          <w:szCs w:val="24"/>
        </w:rPr>
        <w:t xml:space="preserve">director-general, </w:t>
      </w:r>
      <w:r w:rsidR="00503B46" w:rsidRPr="00480D5F">
        <w:rPr>
          <w:rFonts w:ascii="Arial" w:hAnsi="Arial" w:cs="Arial"/>
          <w:i/>
          <w:iCs/>
          <w:sz w:val="24"/>
          <w:szCs w:val="24"/>
        </w:rPr>
        <w:t>disallowable instrument</w:t>
      </w:r>
      <w:r w:rsidR="00503B46" w:rsidRPr="003B0C2A">
        <w:rPr>
          <w:rFonts w:ascii="Arial" w:hAnsi="Arial" w:cs="Arial"/>
          <w:sz w:val="24"/>
          <w:szCs w:val="24"/>
        </w:rPr>
        <w:t xml:space="preserve">, </w:t>
      </w:r>
      <w:r w:rsidR="00503B46" w:rsidRPr="00480D5F">
        <w:rPr>
          <w:rFonts w:ascii="Arial" w:hAnsi="Arial" w:cs="Arial"/>
          <w:i/>
          <w:iCs/>
          <w:sz w:val="24"/>
          <w:szCs w:val="24"/>
        </w:rPr>
        <w:t>document</w:t>
      </w:r>
      <w:r w:rsidR="00503B46" w:rsidRPr="003B0C2A">
        <w:rPr>
          <w:rFonts w:ascii="Arial" w:hAnsi="Arial" w:cs="Arial"/>
          <w:sz w:val="24"/>
          <w:szCs w:val="24"/>
        </w:rPr>
        <w:t xml:space="preserve">, </w:t>
      </w:r>
      <w:r w:rsidR="00503B46" w:rsidRPr="00480D5F">
        <w:rPr>
          <w:rFonts w:ascii="Arial" w:hAnsi="Arial" w:cs="Arial"/>
          <w:i/>
          <w:iCs/>
          <w:sz w:val="24"/>
          <w:szCs w:val="24"/>
        </w:rPr>
        <w:t>domestic partner</w:t>
      </w:r>
      <w:r w:rsidR="00503B46" w:rsidRPr="003B0C2A">
        <w:rPr>
          <w:rFonts w:ascii="Arial" w:hAnsi="Arial" w:cs="Arial"/>
          <w:sz w:val="24"/>
          <w:szCs w:val="24"/>
        </w:rPr>
        <w:t xml:space="preserve">; </w:t>
      </w:r>
      <w:r w:rsidR="00503B46" w:rsidRPr="00480D5F">
        <w:rPr>
          <w:rFonts w:ascii="Arial" w:hAnsi="Arial" w:cs="Arial"/>
          <w:i/>
          <w:iCs/>
          <w:sz w:val="24"/>
          <w:szCs w:val="24"/>
        </w:rPr>
        <w:t>entity</w:t>
      </w:r>
      <w:r w:rsidR="00503B46" w:rsidRPr="003B0C2A">
        <w:rPr>
          <w:rFonts w:ascii="Arial" w:hAnsi="Arial" w:cs="Arial"/>
          <w:i/>
          <w:iCs/>
          <w:sz w:val="24"/>
          <w:szCs w:val="24"/>
        </w:rPr>
        <w:t xml:space="preserve">; </w:t>
      </w:r>
      <w:r w:rsidR="00503B46" w:rsidRPr="00480D5F">
        <w:rPr>
          <w:rFonts w:ascii="Arial" w:hAnsi="Arial" w:cs="Arial"/>
          <w:i/>
          <w:iCs/>
          <w:sz w:val="24"/>
          <w:szCs w:val="24"/>
        </w:rPr>
        <w:t>Executive</w:t>
      </w:r>
      <w:r w:rsidR="00503B46" w:rsidRPr="003B0C2A">
        <w:rPr>
          <w:rFonts w:ascii="Arial" w:hAnsi="Arial" w:cs="Arial"/>
          <w:sz w:val="24"/>
          <w:szCs w:val="24"/>
        </w:rPr>
        <w:t xml:space="preserve">; </w:t>
      </w:r>
      <w:r w:rsidR="00503B46" w:rsidRPr="00480D5F">
        <w:rPr>
          <w:rFonts w:ascii="Arial" w:hAnsi="Arial" w:cs="Arial"/>
          <w:i/>
          <w:iCs/>
          <w:sz w:val="24"/>
          <w:szCs w:val="24"/>
        </w:rPr>
        <w:t>expire</w:t>
      </w:r>
      <w:r w:rsidR="00503B46" w:rsidRPr="003B0C2A">
        <w:rPr>
          <w:rFonts w:ascii="Arial" w:hAnsi="Arial" w:cs="Arial"/>
          <w:sz w:val="24"/>
          <w:szCs w:val="24"/>
        </w:rPr>
        <w:t xml:space="preserve">; </w:t>
      </w:r>
      <w:r w:rsidR="00503B46" w:rsidRPr="00480D5F">
        <w:rPr>
          <w:rFonts w:ascii="Arial" w:hAnsi="Arial" w:cs="Arial"/>
          <w:i/>
          <w:iCs/>
          <w:sz w:val="24"/>
          <w:szCs w:val="24"/>
        </w:rPr>
        <w:t>fail</w:t>
      </w:r>
      <w:r w:rsidR="00503B46" w:rsidRPr="003B0C2A">
        <w:rPr>
          <w:rFonts w:ascii="Arial" w:hAnsi="Arial" w:cs="Arial"/>
          <w:sz w:val="24"/>
          <w:szCs w:val="24"/>
        </w:rPr>
        <w:t xml:space="preserve">; </w:t>
      </w:r>
      <w:r w:rsidR="00503B46" w:rsidRPr="00480D5F">
        <w:rPr>
          <w:rFonts w:ascii="Arial" w:hAnsi="Arial" w:cs="Arial"/>
          <w:i/>
          <w:iCs/>
          <w:sz w:val="24"/>
          <w:szCs w:val="24"/>
        </w:rPr>
        <w:t>health practitioner</w:t>
      </w:r>
      <w:r w:rsidR="00503B46" w:rsidRPr="003B0C2A">
        <w:rPr>
          <w:rFonts w:ascii="Arial" w:hAnsi="Arial" w:cs="Arial"/>
          <w:sz w:val="24"/>
          <w:szCs w:val="24"/>
        </w:rPr>
        <w:t xml:space="preserve">; </w:t>
      </w:r>
      <w:r w:rsidR="00503B46" w:rsidRPr="00480D5F">
        <w:rPr>
          <w:rFonts w:ascii="Arial" w:hAnsi="Arial" w:cs="Arial"/>
          <w:i/>
          <w:iCs/>
          <w:sz w:val="24"/>
          <w:szCs w:val="24"/>
        </w:rPr>
        <w:t>housing commissioner</w:t>
      </w:r>
      <w:r w:rsidR="00503B46" w:rsidRPr="003B0C2A">
        <w:rPr>
          <w:rFonts w:ascii="Arial" w:hAnsi="Arial" w:cs="Arial"/>
          <w:sz w:val="24"/>
          <w:szCs w:val="24"/>
        </w:rPr>
        <w:t xml:space="preserve">; </w:t>
      </w:r>
      <w:r w:rsidR="00503B46" w:rsidRPr="00480D5F">
        <w:rPr>
          <w:rFonts w:ascii="Arial" w:hAnsi="Arial" w:cs="Arial"/>
          <w:i/>
          <w:iCs/>
          <w:sz w:val="24"/>
          <w:szCs w:val="24"/>
        </w:rPr>
        <w:t>human rights commission</w:t>
      </w:r>
      <w:r w:rsidR="00503B46" w:rsidRPr="003B0C2A">
        <w:rPr>
          <w:rFonts w:ascii="Arial" w:hAnsi="Arial" w:cs="Arial"/>
          <w:sz w:val="24"/>
          <w:szCs w:val="24"/>
        </w:rPr>
        <w:t xml:space="preserve">; </w:t>
      </w:r>
      <w:r w:rsidR="00503B46" w:rsidRPr="00480D5F">
        <w:rPr>
          <w:rFonts w:ascii="Arial" w:hAnsi="Arial" w:cs="Arial"/>
          <w:i/>
          <w:iCs/>
          <w:sz w:val="24"/>
          <w:szCs w:val="24"/>
        </w:rPr>
        <w:t>individual</w:t>
      </w:r>
      <w:r w:rsidR="00503B46" w:rsidRPr="003B0C2A">
        <w:rPr>
          <w:rFonts w:ascii="Arial" w:hAnsi="Arial" w:cs="Arial"/>
          <w:sz w:val="24"/>
          <w:szCs w:val="24"/>
        </w:rPr>
        <w:t xml:space="preserve">; </w:t>
      </w:r>
      <w:r w:rsidR="00503B46" w:rsidRPr="00480D5F">
        <w:rPr>
          <w:rFonts w:ascii="Arial" w:hAnsi="Arial" w:cs="Arial"/>
          <w:i/>
          <w:iCs/>
          <w:sz w:val="24"/>
          <w:szCs w:val="24"/>
        </w:rPr>
        <w:t>in relation to</w:t>
      </w:r>
      <w:r w:rsidR="00503B46" w:rsidRPr="003B0C2A">
        <w:rPr>
          <w:rFonts w:ascii="Arial" w:hAnsi="Arial" w:cs="Arial"/>
          <w:sz w:val="24"/>
          <w:szCs w:val="24"/>
        </w:rPr>
        <w:t xml:space="preserve">; </w:t>
      </w:r>
      <w:r w:rsidR="00503B46" w:rsidRPr="00480D5F">
        <w:rPr>
          <w:rFonts w:ascii="Arial" w:hAnsi="Arial" w:cs="Arial"/>
          <w:i/>
          <w:iCs/>
          <w:sz w:val="24"/>
          <w:szCs w:val="24"/>
        </w:rPr>
        <w:t>instrument</w:t>
      </w:r>
      <w:r w:rsidR="00503B46" w:rsidRPr="003B0C2A">
        <w:rPr>
          <w:rFonts w:ascii="Arial" w:hAnsi="Arial" w:cs="Arial"/>
          <w:sz w:val="24"/>
          <w:szCs w:val="24"/>
        </w:rPr>
        <w:t xml:space="preserve">; </w:t>
      </w:r>
      <w:r w:rsidR="00503B46" w:rsidRPr="00480D5F">
        <w:rPr>
          <w:rFonts w:ascii="Arial" w:hAnsi="Arial" w:cs="Arial"/>
          <w:i/>
          <w:iCs/>
          <w:sz w:val="24"/>
          <w:szCs w:val="24"/>
        </w:rPr>
        <w:t>may</w:t>
      </w:r>
      <w:r w:rsidR="00503B46" w:rsidRPr="003B0C2A">
        <w:rPr>
          <w:rFonts w:ascii="Arial" w:hAnsi="Arial" w:cs="Arial"/>
          <w:sz w:val="24"/>
          <w:szCs w:val="24"/>
        </w:rPr>
        <w:t xml:space="preserve">; </w:t>
      </w:r>
      <w:r w:rsidR="00503B46" w:rsidRPr="00480D5F">
        <w:rPr>
          <w:rFonts w:ascii="Arial" w:hAnsi="Arial" w:cs="Arial"/>
          <w:i/>
          <w:iCs/>
          <w:sz w:val="24"/>
          <w:szCs w:val="24"/>
        </w:rPr>
        <w:t>Minister</w:t>
      </w:r>
      <w:r w:rsidR="00503B46" w:rsidRPr="003B0C2A">
        <w:rPr>
          <w:rFonts w:ascii="Arial" w:hAnsi="Arial" w:cs="Arial"/>
          <w:sz w:val="24"/>
          <w:szCs w:val="24"/>
        </w:rPr>
        <w:t xml:space="preserve">; </w:t>
      </w:r>
      <w:r w:rsidR="00503B46" w:rsidRPr="00480D5F">
        <w:rPr>
          <w:rFonts w:ascii="Arial" w:hAnsi="Arial" w:cs="Arial"/>
          <w:i/>
          <w:iCs/>
          <w:sz w:val="24"/>
          <w:szCs w:val="24"/>
        </w:rPr>
        <w:t>month</w:t>
      </w:r>
      <w:r w:rsidR="00503B46" w:rsidRPr="003B0C2A">
        <w:rPr>
          <w:rFonts w:ascii="Arial" w:hAnsi="Arial" w:cs="Arial"/>
          <w:sz w:val="24"/>
          <w:szCs w:val="24"/>
        </w:rPr>
        <w:t xml:space="preserve">; </w:t>
      </w:r>
      <w:r w:rsidR="00503B46" w:rsidRPr="00480D5F">
        <w:rPr>
          <w:rFonts w:ascii="Arial" w:hAnsi="Arial" w:cs="Arial"/>
          <w:i/>
          <w:iCs/>
          <w:sz w:val="24"/>
          <w:szCs w:val="24"/>
        </w:rPr>
        <w:t>must</w:t>
      </w:r>
      <w:r w:rsidR="00503B46" w:rsidRPr="003B0C2A">
        <w:rPr>
          <w:rFonts w:ascii="Arial" w:hAnsi="Arial" w:cs="Arial"/>
          <w:sz w:val="24"/>
          <w:szCs w:val="24"/>
        </w:rPr>
        <w:t xml:space="preserve">; </w:t>
      </w:r>
      <w:r w:rsidR="00503B46" w:rsidRPr="00480D5F">
        <w:rPr>
          <w:rFonts w:ascii="Arial" w:hAnsi="Arial" w:cs="Arial"/>
          <w:i/>
          <w:iCs/>
          <w:sz w:val="24"/>
          <w:szCs w:val="24"/>
        </w:rPr>
        <w:t>notifiable instrument</w:t>
      </w:r>
      <w:r w:rsidR="00503B46" w:rsidRPr="003B0C2A">
        <w:rPr>
          <w:rFonts w:ascii="Arial" w:hAnsi="Arial" w:cs="Arial"/>
          <w:sz w:val="24"/>
          <w:szCs w:val="24"/>
        </w:rPr>
        <w:t xml:space="preserve">; </w:t>
      </w:r>
      <w:r w:rsidR="00503B46" w:rsidRPr="00480D5F">
        <w:rPr>
          <w:rFonts w:ascii="Arial" w:hAnsi="Arial" w:cs="Arial"/>
          <w:i/>
          <w:iCs/>
          <w:sz w:val="24"/>
          <w:szCs w:val="24"/>
        </w:rPr>
        <w:t>penalty unit</w:t>
      </w:r>
      <w:r w:rsidR="00503B46" w:rsidRPr="003B0C2A">
        <w:rPr>
          <w:rFonts w:ascii="Arial" w:hAnsi="Arial" w:cs="Arial"/>
          <w:sz w:val="24"/>
          <w:szCs w:val="24"/>
        </w:rPr>
        <w:t xml:space="preserve">; </w:t>
      </w:r>
      <w:r w:rsidR="00503B46" w:rsidRPr="00480D5F">
        <w:rPr>
          <w:rFonts w:ascii="Arial" w:hAnsi="Arial" w:cs="Arial"/>
          <w:i/>
          <w:iCs/>
          <w:sz w:val="24"/>
          <w:szCs w:val="24"/>
        </w:rPr>
        <w:t>police officer</w:t>
      </w:r>
      <w:r w:rsidR="00503B46" w:rsidRPr="003B0C2A">
        <w:rPr>
          <w:rFonts w:ascii="Arial" w:hAnsi="Arial" w:cs="Arial"/>
          <w:sz w:val="24"/>
          <w:szCs w:val="24"/>
        </w:rPr>
        <w:t xml:space="preserve">; </w:t>
      </w:r>
      <w:r w:rsidR="00503B46" w:rsidRPr="00480D5F">
        <w:rPr>
          <w:rFonts w:ascii="Arial" w:hAnsi="Arial" w:cs="Arial"/>
          <w:i/>
          <w:iCs/>
          <w:sz w:val="24"/>
          <w:szCs w:val="24"/>
        </w:rPr>
        <w:t>prescribed</w:t>
      </w:r>
      <w:r w:rsidR="00503B46" w:rsidRPr="003B0C2A">
        <w:rPr>
          <w:rFonts w:ascii="Arial" w:hAnsi="Arial" w:cs="Arial"/>
          <w:sz w:val="24"/>
          <w:szCs w:val="24"/>
        </w:rPr>
        <w:t xml:space="preserve">; </w:t>
      </w:r>
      <w:r w:rsidR="00503B46" w:rsidRPr="00480D5F">
        <w:rPr>
          <w:rFonts w:ascii="Arial" w:hAnsi="Arial" w:cs="Arial"/>
          <w:i/>
          <w:iCs/>
          <w:sz w:val="24"/>
          <w:szCs w:val="24"/>
        </w:rPr>
        <w:t>public holiday</w:t>
      </w:r>
      <w:r w:rsidR="00503B46" w:rsidRPr="003B0C2A">
        <w:rPr>
          <w:rFonts w:ascii="Arial" w:hAnsi="Arial" w:cs="Arial"/>
          <w:sz w:val="24"/>
          <w:szCs w:val="24"/>
        </w:rPr>
        <w:t xml:space="preserve">; </w:t>
      </w:r>
      <w:r w:rsidR="00503B46" w:rsidRPr="00480D5F">
        <w:rPr>
          <w:rFonts w:ascii="Arial" w:hAnsi="Arial" w:cs="Arial"/>
          <w:i/>
          <w:iCs/>
          <w:sz w:val="24"/>
          <w:szCs w:val="24"/>
        </w:rPr>
        <w:t>sign</w:t>
      </w:r>
      <w:r w:rsidR="00503B46" w:rsidRPr="003B0C2A">
        <w:rPr>
          <w:rFonts w:ascii="Arial" w:hAnsi="Arial" w:cs="Arial"/>
          <w:sz w:val="24"/>
          <w:szCs w:val="24"/>
        </w:rPr>
        <w:t xml:space="preserve">; </w:t>
      </w:r>
      <w:r w:rsidR="00503B46" w:rsidRPr="00480D5F">
        <w:rPr>
          <w:rFonts w:ascii="Arial" w:hAnsi="Arial" w:cs="Arial"/>
          <w:i/>
          <w:iCs/>
          <w:sz w:val="24"/>
          <w:szCs w:val="24"/>
        </w:rPr>
        <w:t>statutory instrument</w:t>
      </w:r>
      <w:r w:rsidR="00503B46" w:rsidRPr="003B0C2A">
        <w:rPr>
          <w:rFonts w:ascii="Arial" w:hAnsi="Arial" w:cs="Arial"/>
          <w:sz w:val="24"/>
          <w:szCs w:val="24"/>
        </w:rPr>
        <w:t xml:space="preserve">; </w:t>
      </w:r>
      <w:r w:rsidR="00503B46" w:rsidRPr="00480D5F">
        <w:rPr>
          <w:rFonts w:ascii="Arial" w:hAnsi="Arial" w:cs="Arial"/>
          <w:i/>
          <w:iCs/>
          <w:sz w:val="24"/>
          <w:szCs w:val="24"/>
        </w:rPr>
        <w:t>territory law</w:t>
      </w:r>
      <w:r w:rsidR="00503B46" w:rsidRPr="003B0C2A">
        <w:rPr>
          <w:rFonts w:ascii="Arial" w:hAnsi="Arial" w:cs="Arial"/>
          <w:sz w:val="24"/>
          <w:szCs w:val="24"/>
        </w:rPr>
        <w:t xml:space="preserve">; </w:t>
      </w:r>
      <w:r w:rsidR="00503B46" w:rsidRPr="00480D5F">
        <w:rPr>
          <w:rFonts w:ascii="Arial" w:hAnsi="Arial" w:cs="Arial"/>
          <w:i/>
          <w:iCs/>
          <w:sz w:val="24"/>
          <w:szCs w:val="24"/>
        </w:rPr>
        <w:t>under</w:t>
      </w:r>
      <w:r w:rsidR="00503B46" w:rsidRPr="003B0C2A">
        <w:rPr>
          <w:rFonts w:ascii="Arial" w:hAnsi="Arial" w:cs="Arial"/>
          <w:sz w:val="24"/>
          <w:szCs w:val="24"/>
        </w:rPr>
        <w:t xml:space="preserve">; and, </w:t>
      </w:r>
      <w:r w:rsidR="00503B46" w:rsidRPr="00480D5F">
        <w:rPr>
          <w:rFonts w:ascii="Arial" w:hAnsi="Arial" w:cs="Arial"/>
          <w:i/>
          <w:iCs/>
          <w:sz w:val="24"/>
          <w:szCs w:val="24"/>
        </w:rPr>
        <w:t xml:space="preserve">working day.  </w:t>
      </w:r>
    </w:p>
    <w:p w14:paraId="5ABEE24B" w14:textId="7CF307B2" w:rsidR="00AC6D4F" w:rsidRPr="00264F34" w:rsidRDefault="00AC6D4F" w:rsidP="00DA1AEA">
      <w:pPr>
        <w:ind w:left="1440" w:hanging="1440"/>
        <w:rPr>
          <w:rFonts w:ascii="Arial" w:eastAsiaTheme="majorEastAsia" w:hAnsi="Arial" w:cs="Arial"/>
          <w:b/>
          <w:i/>
          <w:iCs/>
          <w:sz w:val="24"/>
          <w:szCs w:val="24"/>
        </w:rPr>
      </w:pPr>
      <w:r w:rsidRPr="00D81DA0">
        <w:rPr>
          <w:rFonts w:ascii="Arial" w:eastAsiaTheme="majorEastAsia" w:hAnsi="Arial" w:cs="Arial"/>
          <w:b/>
          <w:sz w:val="24"/>
          <w:szCs w:val="24"/>
        </w:rPr>
        <w:t>Clause 4</w:t>
      </w:r>
      <w:r w:rsidR="00896122">
        <w:rPr>
          <w:rFonts w:ascii="Arial" w:eastAsiaTheme="majorEastAsia" w:hAnsi="Arial" w:cs="Arial"/>
          <w:b/>
          <w:sz w:val="24"/>
          <w:szCs w:val="24"/>
        </w:rPr>
        <w:t>7</w:t>
      </w:r>
      <w:r w:rsidRPr="00D81DA0">
        <w:rPr>
          <w:rFonts w:ascii="Arial" w:eastAsiaTheme="majorEastAsia" w:hAnsi="Arial" w:cs="Arial"/>
          <w:b/>
          <w:sz w:val="24"/>
          <w:szCs w:val="24"/>
        </w:rPr>
        <w:tab/>
        <w:t xml:space="preserve">Dictionary, new definitions of </w:t>
      </w:r>
      <w:r w:rsidRPr="00D81DA0">
        <w:rPr>
          <w:rFonts w:ascii="Arial" w:eastAsiaTheme="majorEastAsia" w:hAnsi="Arial" w:cs="Arial"/>
          <w:b/>
          <w:i/>
          <w:iCs/>
          <w:sz w:val="24"/>
          <w:szCs w:val="24"/>
        </w:rPr>
        <w:t xml:space="preserve">defective termination notice </w:t>
      </w:r>
      <w:r w:rsidRPr="00D81DA0">
        <w:rPr>
          <w:rFonts w:ascii="Arial" w:eastAsiaTheme="majorEastAsia" w:hAnsi="Arial" w:cs="Arial"/>
          <w:b/>
          <w:sz w:val="24"/>
          <w:szCs w:val="24"/>
        </w:rPr>
        <w:t>and</w:t>
      </w:r>
      <w:r w:rsidRPr="00D81DA0">
        <w:rPr>
          <w:rFonts w:ascii="Arial" w:eastAsiaTheme="majorEastAsia" w:hAnsi="Arial" w:cs="Arial"/>
          <w:b/>
          <w:i/>
          <w:iCs/>
          <w:sz w:val="24"/>
          <w:szCs w:val="24"/>
        </w:rPr>
        <w:t xml:space="preserve"> family violence order</w:t>
      </w:r>
    </w:p>
    <w:p w14:paraId="67FC4D1B" w14:textId="77777777" w:rsidR="00AC6D4F" w:rsidRPr="00264F34" w:rsidRDefault="00AC6D4F" w:rsidP="00AC6D4F">
      <w:pPr>
        <w:rPr>
          <w:rFonts w:ascii="Arial" w:hAnsi="Arial" w:cs="Arial"/>
          <w:b/>
          <w:bCs/>
          <w:sz w:val="24"/>
          <w:szCs w:val="24"/>
        </w:rPr>
      </w:pPr>
      <w:r w:rsidRPr="00264F34">
        <w:rPr>
          <w:rFonts w:ascii="Arial" w:hAnsi="Arial" w:cs="Arial"/>
          <w:sz w:val="24"/>
          <w:szCs w:val="24"/>
        </w:rPr>
        <w:t>This clause inserts a new definition for the term</w:t>
      </w:r>
      <w:r>
        <w:rPr>
          <w:rFonts w:ascii="Arial" w:hAnsi="Arial" w:cs="Arial"/>
          <w:sz w:val="24"/>
          <w:szCs w:val="24"/>
        </w:rPr>
        <w:t>s</w:t>
      </w:r>
      <w:r w:rsidRPr="00264F34">
        <w:rPr>
          <w:rFonts w:ascii="Arial" w:hAnsi="Arial" w:cs="Arial"/>
          <w:sz w:val="24"/>
          <w:szCs w:val="24"/>
        </w:rPr>
        <w:t xml:space="preserve"> </w:t>
      </w:r>
      <w:r w:rsidRPr="00264F34">
        <w:rPr>
          <w:rFonts w:ascii="Arial" w:hAnsi="Arial" w:cs="Arial"/>
          <w:b/>
          <w:bCs/>
          <w:i/>
          <w:iCs/>
          <w:sz w:val="24"/>
          <w:szCs w:val="24"/>
        </w:rPr>
        <w:t>defective termination notice</w:t>
      </w:r>
      <w:r>
        <w:rPr>
          <w:rFonts w:ascii="Arial" w:hAnsi="Arial" w:cs="Arial"/>
          <w:b/>
          <w:bCs/>
          <w:i/>
          <w:iCs/>
          <w:sz w:val="24"/>
          <w:szCs w:val="24"/>
        </w:rPr>
        <w:t xml:space="preserve"> </w:t>
      </w:r>
      <w:r w:rsidRPr="00480D5F">
        <w:rPr>
          <w:rFonts w:ascii="Arial" w:hAnsi="Arial" w:cs="Arial"/>
          <w:sz w:val="24"/>
          <w:szCs w:val="24"/>
        </w:rPr>
        <w:t>and</w:t>
      </w:r>
      <w:r>
        <w:rPr>
          <w:rFonts w:ascii="Arial" w:hAnsi="Arial" w:cs="Arial"/>
          <w:b/>
          <w:bCs/>
          <w:i/>
          <w:iCs/>
          <w:sz w:val="24"/>
          <w:szCs w:val="24"/>
        </w:rPr>
        <w:t xml:space="preserve"> family violence order</w:t>
      </w:r>
      <w:r w:rsidRPr="00264F34">
        <w:rPr>
          <w:rFonts w:ascii="Arial" w:hAnsi="Arial" w:cs="Arial"/>
          <w:b/>
          <w:bCs/>
          <w:i/>
          <w:iCs/>
          <w:sz w:val="24"/>
          <w:szCs w:val="24"/>
        </w:rPr>
        <w:t xml:space="preserve">. </w:t>
      </w:r>
    </w:p>
    <w:p w14:paraId="5526FA4C" w14:textId="77777777" w:rsidR="00AC6D4F" w:rsidRPr="00264F34" w:rsidRDefault="00AC6D4F" w:rsidP="00AC6D4F">
      <w:pPr>
        <w:rPr>
          <w:rFonts w:ascii="Arial" w:hAnsi="Arial" w:cs="Arial"/>
          <w:sz w:val="24"/>
          <w:szCs w:val="24"/>
        </w:rPr>
      </w:pPr>
      <w:r w:rsidRPr="00264F34">
        <w:rPr>
          <w:rFonts w:ascii="Arial" w:hAnsi="Arial" w:cs="Arial"/>
          <w:sz w:val="24"/>
          <w:szCs w:val="24"/>
        </w:rPr>
        <w:t xml:space="preserve">A </w:t>
      </w:r>
      <w:r w:rsidRPr="00264F34">
        <w:rPr>
          <w:rFonts w:ascii="Arial" w:hAnsi="Arial" w:cs="Arial"/>
          <w:b/>
          <w:bCs/>
          <w:i/>
          <w:iCs/>
          <w:sz w:val="24"/>
          <w:szCs w:val="24"/>
        </w:rPr>
        <w:t xml:space="preserve">defective termination notice </w:t>
      </w:r>
      <w:r w:rsidRPr="00264F34">
        <w:rPr>
          <w:rFonts w:ascii="Arial" w:hAnsi="Arial" w:cs="Arial"/>
          <w:sz w:val="24"/>
          <w:szCs w:val="24"/>
        </w:rPr>
        <w:t xml:space="preserve">is defined as a notice that – </w:t>
      </w:r>
    </w:p>
    <w:p w14:paraId="535D0841" w14:textId="77777777" w:rsidR="00AC6D4F" w:rsidRPr="00D81DA0" w:rsidRDefault="00AC6D4F" w:rsidP="00AC6D4F">
      <w:pPr>
        <w:pStyle w:val="ListParagraph"/>
        <w:numPr>
          <w:ilvl w:val="0"/>
          <w:numId w:val="28"/>
        </w:numPr>
        <w:rPr>
          <w:rFonts w:ascii="Arial" w:eastAsiaTheme="majorEastAsia" w:hAnsi="Arial" w:cs="Arial"/>
          <w:sz w:val="24"/>
          <w:szCs w:val="24"/>
        </w:rPr>
      </w:pPr>
      <w:r w:rsidRPr="00D81DA0">
        <w:rPr>
          <w:rFonts w:ascii="Arial" w:eastAsiaTheme="majorEastAsia" w:hAnsi="Arial" w:cs="Arial"/>
          <w:sz w:val="24"/>
          <w:szCs w:val="24"/>
        </w:rPr>
        <w:t>if there is a form approved under section 133 (Approved forms – Minister) for a termination notice – is not in the approved form; or</w:t>
      </w:r>
    </w:p>
    <w:p w14:paraId="33128CDE" w14:textId="77777777" w:rsidR="00AC6D4F" w:rsidRPr="00D81DA0" w:rsidRDefault="00AC6D4F" w:rsidP="00AC6D4F">
      <w:pPr>
        <w:pStyle w:val="ListParagraph"/>
        <w:numPr>
          <w:ilvl w:val="0"/>
          <w:numId w:val="28"/>
        </w:numPr>
        <w:rPr>
          <w:rFonts w:ascii="Arial" w:eastAsiaTheme="majorEastAsia" w:hAnsi="Arial" w:cs="Arial"/>
          <w:sz w:val="24"/>
          <w:szCs w:val="24"/>
        </w:rPr>
      </w:pPr>
      <w:r w:rsidRPr="00D81DA0">
        <w:rPr>
          <w:rFonts w:ascii="Arial" w:eastAsiaTheme="majorEastAsia" w:hAnsi="Arial" w:cs="Arial"/>
          <w:sz w:val="24"/>
          <w:szCs w:val="24"/>
        </w:rPr>
        <w:t>if there is no form approved under section 133 (Approved forms – Minister) does not contain the information required by the standard residential tenancy terms; or</w:t>
      </w:r>
    </w:p>
    <w:p w14:paraId="69B2DFA9" w14:textId="127B35B2" w:rsidR="00AC6D4F" w:rsidRDefault="00AC6D4F" w:rsidP="00AC6D4F">
      <w:pPr>
        <w:pStyle w:val="ListParagraph"/>
        <w:numPr>
          <w:ilvl w:val="0"/>
          <w:numId w:val="28"/>
        </w:numPr>
        <w:rPr>
          <w:rFonts w:ascii="Arial" w:eastAsiaTheme="majorEastAsia" w:hAnsi="Arial" w:cs="Arial"/>
          <w:sz w:val="24"/>
          <w:szCs w:val="24"/>
        </w:rPr>
      </w:pPr>
      <w:r w:rsidRPr="004D78EF">
        <w:rPr>
          <w:rFonts w:ascii="Arial" w:eastAsiaTheme="majorEastAsia" w:hAnsi="Arial" w:cs="Arial"/>
          <w:sz w:val="24"/>
          <w:szCs w:val="24"/>
        </w:rPr>
        <w:t xml:space="preserve">is not given in accordance with </w:t>
      </w:r>
      <w:r w:rsidR="00247792">
        <w:rPr>
          <w:rFonts w:ascii="Arial" w:eastAsiaTheme="majorEastAsia" w:hAnsi="Arial" w:cs="Arial"/>
          <w:sz w:val="24"/>
          <w:szCs w:val="24"/>
        </w:rPr>
        <w:t>the RTA</w:t>
      </w:r>
      <w:r w:rsidRPr="004D78EF">
        <w:rPr>
          <w:rFonts w:ascii="Arial" w:eastAsiaTheme="majorEastAsia" w:hAnsi="Arial" w:cs="Arial"/>
          <w:sz w:val="24"/>
          <w:szCs w:val="24"/>
        </w:rPr>
        <w:t>.</w:t>
      </w:r>
    </w:p>
    <w:p w14:paraId="0E3B4D62" w14:textId="77777777" w:rsidR="00AC6D4F" w:rsidRDefault="00AC6D4F" w:rsidP="00DA1AEA">
      <w:pPr>
        <w:spacing w:after="0"/>
        <w:rPr>
          <w:rFonts w:ascii="Arial" w:eastAsiaTheme="majorEastAsia" w:hAnsi="Arial" w:cs="Arial"/>
          <w:sz w:val="24"/>
          <w:szCs w:val="24"/>
        </w:rPr>
      </w:pPr>
    </w:p>
    <w:p w14:paraId="14146D2A" w14:textId="1BC7B539" w:rsidR="00AC6D4F" w:rsidRPr="00DA32DF" w:rsidRDefault="00AC6D4F" w:rsidP="00AC6D4F">
      <w:pPr>
        <w:rPr>
          <w:rFonts w:ascii="Arial" w:hAnsi="Arial" w:cs="Arial"/>
          <w:b/>
          <w:bCs/>
          <w:sz w:val="24"/>
          <w:szCs w:val="24"/>
        </w:rPr>
      </w:pPr>
      <w:r>
        <w:rPr>
          <w:rFonts w:ascii="Arial" w:eastAsiaTheme="majorEastAsia" w:hAnsi="Arial" w:cs="Arial"/>
          <w:bCs/>
          <w:sz w:val="24"/>
          <w:szCs w:val="24"/>
        </w:rPr>
        <w:t xml:space="preserve">It is noted that </w:t>
      </w:r>
      <w:r w:rsidRPr="007608BF">
        <w:rPr>
          <w:rFonts w:ascii="Arial" w:hAnsi="Arial" w:cs="Arial"/>
          <w:sz w:val="24"/>
          <w:szCs w:val="24"/>
        </w:rPr>
        <w:t xml:space="preserve">a reference to an Act includes a reference to the </w:t>
      </w:r>
      <w:r w:rsidR="00247792">
        <w:rPr>
          <w:rFonts w:ascii="Arial" w:hAnsi="Arial" w:cs="Arial"/>
          <w:sz w:val="24"/>
          <w:szCs w:val="24"/>
        </w:rPr>
        <w:t>r</w:t>
      </w:r>
      <w:r w:rsidRPr="007608BF">
        <w:rPr>
          <w:rFonts w:ascii="Arial" w:hAnsi="Arial" w:cs="Arial"/>
          <w:sz w:val="24"/>
          <w:szCs w:val="24"/>
        </w:rPr>
        <w:t>egulation (see the Legislation Act, s 104)</w:t>
      </w:r>
      <w:r>
        <w:rPr>
          <w:rFonts w:ascii="Arial" w:hAnsi="Arial" w:cs="Arial"/>
          <w:sz w:val="24"/>
          <w:szCs w:val="24"/>
        </w:rPr>
        <w:t xml:space="preserve">. This means that the requirements for service of a termination notice set out in section 5 of the RTR are captured within the definition of a defective termination notice. </w:t>
      </w:r>
    </w:p>
    <w:p w14:paraId="6EAC9F73" w14:textId="77777777" w:rsidR="00AC6D4F" w:rsidRPr="0048099F" w:rsidRDefault="00AC6D4F" w:rsidP="00AC6D4F">
      <w:pPr>
        <w:rPr>
          <w:rFonts w:ascii="Arial" w:eastAsiaTheme="majorEastAsia" w:hAnsi="Arial" w:cs="Arial"/>
          <w:bCs/>
          <w:sz w:val="24"/>
          <w:szCs w:val="24"/>
        </w:rPr>
      </w:pPr>
      <w:r w:rsidRPr="00264F34">
        <w:rPr>
          <w:rFonts w:ascii="Arial" w:eastAsiaTheme="majorEastAsia" w:hAnsi="Arial" w:cs="Arial"/>
          <w:bCs/>
          <w:sz w:val="24"/>
          <w:szCs w:val="24"/>
        </w:rPr>
        <w:t xml:space="preserve">The definition of the term </w:t>
      </w:r>
      <w:r w:rsidRPr="00264F34">
        <w:rPr>
          <w:rFonts w:ascii="Arial" w:eastAsiaTheme="majorEastAsia" w:hAnsi="Arial" w:cs="Arial"/>
          <w:b/>
          <w:i/>
          <w:iCs/>
          <w:sz w:val="24"/>
          <w:szCs w:val="24"/>
        </w:rPr>
        <w:t xml:space="preserve">family violence order </w:t>
      </w:r>
      <w:r w:rsidRPr="00264F34">
        <w:rPr>
          <w:rFonts w:ascii="Arial" w:eastAsiaTheme="majorEastAsia" w:hAnsi="Arial" w:cs="Arial"/>
          <w:bCs/>
          <w:sz w:val="24"/>
          <w:szCs w:val="24"/>
        </w:rPr>
        <w:t xml:space="preserve">refers the reader to the </w:t>
      </w:r>
      <w:r w:rsidRPr="00264F34">
        <w:rPr>
          <w:rFonts w:ascii="Arial" w:eastAsiaTheme="majorEastAsia" w:hAnsi="Arial" w:cs="Arial"/>
          <w:bCs/>
          <w:i/>
          <w:iCs/>
          <w:sz w:val="24"/>
          <w:szCs w:val="24"/>
        </w:rPr>
        <w:t xml:space="preserve">Family Violence Act 2016, </w:t>
      </w:r>
      <w:r w:rsidRPr="00264F34">
        <w:rPr>
          <w:rFonts w:ascii="Arial" w:eastAsiaTheme="majorEastAsia" w:hAnsi="Arial" w:cs="Arial"/>
          <w:bCs/>
          <w:sz w:val="24"/>
          <w:szCs w:val="24"/>
        </w:rPr>
        <w:t>dictionary.</w:t>
      </w:r>
    </w:p>
    <w:p w14:paraId="66F6164B" w14:textId="4B8777A5" w:rsidR="00AC6D4F" w:rsidRDefault="00AC6D4F" w:rsidP="00AC6D4F">
      <w:pPr>
        <w:rPr>
          <w:rFonts w:ascii="Arial" w:eastAsiaTheme="majorEastAsia" w:hAnsi="Arial" w:cs="Arial"/>
          <w:b/>
          <w:i/>
          <w:iCs/>
          <w:sz w:val="24"/>
          <w:szCs w:val="24"/>
        </w:rPr>
      </w:pPr>
      <w:r w:rsidRPr="00264F34">
        <w:rPr>
          <w:rFonts w:ascii="Arial" w:eastAsiaTheme="majorEastAsia" w:hAnsi="Arial" w:cs="Arial"/>
          <w:b/>
          <w:sz w:val="24"/>
          <w:szCs w:val="24"/>
        </w:rPr>
        <w:t>Clause 4</w:t>
      </w:r>
      <w:r w:rsidR="00896122">
        <w:rPr>
          <w:rFonts w:ascii="Arial" w:eastAsiaTheme="majorEastAsia" w:hAnsi="Arial" w:cs="Arial"/>
          <w:b/>
          <w:sz w:val="24"/>
          <w:szCs w:val="24"/>
        </w:rPr>
        <w:t>8</w:t>
      </w:r>
      <w:r w:rsidRPr="00264F34">
        <w:rPr>
          <w:rFonts w:ascii="Arial" w:eastAsiaTheme="majorEastAsia" w:hAnsi="Arial" w:cs="Arial"/>
          <w:b/>
          <w:sz w:val="24"/>
          <w:szCs w:val="24"/>
        </w:rPr>
        <w:tab/>
      </w:r>
      <w:r>
        <w:rPr>
          <w:rFonts w:ascii="Arial" w:eastAsiaTheme="majorEastAsia" w:hAnsi="Arial" w:cs="Arial"/>
          <w:b/>
          <w:sz w:val="24"/>
          <w:szCs w:val="24"/>
        </w:rPr>
        <w:t xml:space="preserve">Definition of </w:t>
      </w:r>
      <w:r>
        <w:rPr>
          <w:rFonts w:ascii="Arial" w:eastAsiaTheme="majorEastAsia" w:hAnsi="Arial" w:cs="Arial"/>
          <w:b/>
          <w:i/>
          <w:iCs/>
          <w:sz w:val="24"/>
          <w:szCs w:val="24"/>
        </w:rPr>
        <w:t>FV Act</w:t>
      </w:r>
    </w:p>
    <w:p w14:paraId="09C2371B" w14:textId="35198F55" w:rsidR="00AC6D4F" w:rsidRDefault="00AC6D4F" w:rsidP="00AC6D4F">
      <w:pPr>
        <w:rPr>
          <w:rFonts w:ascii="Arial" w:eastAsiaTheme="majorEastAsia" w:hAnsi="Arial" w:cs="Arial"/>
          <w:bCs/>
          <w:i/>
          <w:iCs/>
          <w:sz w:val="24"/>
          <w:szCs w:val="24"/>
        </w:rPr>
      </w:pPr>
      <w:r w:rsidRPr="0055260C">
        <w:rPr>
          <w:rFonts w:ascii="Arial" w:eastAsiaTheme="majorEastAsia" w:hAnsi="Arial" w:cs="Arial"/>
          <w:bCs/>
          <w:sz w:val="24"/>
          <w:szCs w:val="24"/>
        </w:rPr>
        <w:t xml:space="preserve">This </w:t>
      </w:r>
      <w:r>
        <w:rPr>
          <w:rFonts w:ascii="Arial" w:eastAsiaTheme="majorEastAsia" w:hAnsi="Arial" w:cs="Arial"/>
          <w:bCs/>
          <w:sz w:val="24"/>
          <w:szCs w:val="24"/>
        </w:rPr>
        <w:t xml:space="preserve">clause is consequential to clause </w:t>
      </w:r>
      <w:r w:rsidRPr="005A14D5">
        <w:rPr>
          <w:rFonts w:ascii="Arial" w:eastAsiaTheme="majorEastAsia" w:hAnsi="Arial" w:cs="Arial"/>
          <w:bCs/>
          <w:sz w:val="24"/>
          <w:szCs w:val="24"/>
        </w:rPr>
        <w:t>3</w:t>
      </w:r>
      <w:r w:rsidR="003A2815" w:rsidRPr="005A14D5">
        <w:rPr>
          <w:rFonts w:ascii="Arial" w:eastAsiaTheme="majorEastAsia" w:hAnsi="Arial" w:cs="Arial"/>
          <w:bCs/>
          <w:sz w:val="24"/>
          <w:szCs w:val="24"/>
        </w:rPr>
        <w:t>4</w:t>
      </w:r>
      <w:r>
        <w:rPr>
          <w:rFonts w:ascii="Arial" w:eastAsiaTheme="majorEastAsia" w:hAnsi="Arial" w:cs="Arial"/>
          <w:bCs/>
          <w:sz w:val="24"/>
          <w:szCs w:val="24"/>
        </w:rPr>
        <w:t xml:space="preserve"> which replaces the definitions for division 6.5A of the </w:t>
      </w:r>
      <w:r w:rsidR="00247792">
        <w:rPr>
          <w:rFonts w:ascii="Arial" w:eastAsiaTheme="majorEastAsia" w:hAnsi="Arial" w:cs="Arial"/>
          <w:bCs/>
          <w:sz w:val="24"/>
          <w:szCs w:val="24"/>
        </w:rPr>
        <w:t>RTA</w:t>
      </w:r>
      <w:r>
        <w:rPr>
          <w:rFonts w:ascii="Arial" w:eastAsiaTheme="majorEastAsia" w:hAnsi="Arial" w:cs="Arial"/>
          <w:bCs/>
          <w:sz w:val="24"/>
          <w:szCs w:val="24"/>
        </w:rPr>
        <w:t xml:space="preserve">. The new definitions remove the term FV Act and instead refer to the </w:t>
      </w:r>
      <w:r>
        <w:rPr>
          <w:rFonts w:ascii="Arial" w:eastAsiaTheme="majorEastAsia" w:hAnsi="Arial" w:cs="Arial"/>
          <w:bCs/>
          <w:i/>
          <w:iCs/>
          <w:sz w:val="24"/>
          <w:szCs w:val="24"/>
        </w:rPr>
        <w:t xml:space="preserve">Family Violence Act 2016. </w:t>
      </w:r>
    </w:p>
    <w:p w14:paraId="7AC8C3F2" w14:textId="77777777" w:rsidR="00AC6D4F" w:rsidRPr="0055260C" w:rsidRDefault="00AC6D4F" w:rsidP="00AC6D4F">
      <w:pPr>
        <w:rPr>
          <w:rFonts w:ascii="Arial" w:eastAsiaTheme="majorEastAsia" w:hAnsi="Arial" w:cs="Arial"/>
          <w:bCs/>
          <w:sz w:val="24"/>
          <w:szCs w:val="24"/>
        </w:rPr>
      </w:pPr>
      <w:r>
        <w:rPr>
          <w:rFonts w:ascii="Arial" w:eastAsiaTheme="majorEastAsia" w:hAnsi="Arial" w:cs="Arial"/>
          <w:bCs/>
          <w:sz w:val="24"/>
          <w:szCs w:val="24"/>
        </w:rPr>
        <w:t xml:space="preserve">This clause omits the term FV Act from the Dictionary as the term no longer used in the RTA. </w:t>
      </w:r>
    </w:p>
    <w:p w14:paraId="03122383" w14:textId="39520DE2" w:rsidR="00AC6D4F" w:rsidRDefault="00AC6D4F" w:rsidP="00143AD1">
      <w:pPr>
        <w:keepNext/>
        <w:rPr>
          <w:rFonts w:ascii="Arial" w:eastAsiaTheme="majorEastAsia" w:hAnsi="Arial" w:cs="Arial"/>
          <w:b/>
          <w:i/>
          <w:iCs/>
          <w:sz w:val="24"/>
          <w:szCs w:val="24"/>
        </w:rPr>
      </w:pPr>
      <w:r w:rsidRPr="002838EC">
        <w:rPr>
          <w:rFonts w:ascii="Arial" w:eastAsiaTheme="majorEastAsia" w:hAnsi="Arial" w:cs="Arial"/>
          <w:b/>
          <w:sz w:val="24"/>
          <w:szCs w:val="24"/>
        </w:rPr>
        <w:lastRenderedPageBreak/>
        <w:t>Clause 4</w:t>
      </w:r>
      <w:r w:rsidR="00896122">
        <w:rPr>
          <w:rFonts w:ascii="Arial" w:eastAsiaTheme="majorEastAsia" w:hAnsi="Arial" w:cs="Arial"/>
          <w:b/>
          <w:sz w:val="24"/>
          <w:szCs w:val="24"/>
        </w:rPr>
        <w:t>9</w:t>
      </w:r>
      <w:r w:rsidRPr="002838EC">
        <w:rPr>
          <w:rFonts w:ascii="Arial" w:eastAsiaTheme="majorEastAsia" w:hAnsi="Arial" w:cs="Arial"/>
          <w:b/>
          <w:sz w:val="24"/>
          <w:szCs w:val="24"/>
        </w:rPr>
        <w:tab/>
        <w:t xml:space="preserve">Dictionary, new definition of </w:t>
      </w:r>
      <w:r w:rsidRPr="002838EC">
        <w:rPr>
          <w:rFonts w:ascii="Arial" w:eastAsiaTheme="majorEastAsia" w:hAnsi="Arial" w:cs="Arial"/>
          <w:b/>
          <w:i/>
          <w:iCs/>
          <w:sz w:val="24"/>
          <w:szCs w:val="24"/>
        </w:rPr>
        <w:t>housing assistance</w:t>
      </w:r>
      <w:r>
        <w:rPr>
          <w:rFonts w:ascii="Arial" w:eastAsiaTheme="majorEastAsia" w:hAnsi="Arial" w:cs="Arial"/>
          <w:b/>
          <w:i/>
          <w:iCs/>
          <w:sz w:val="24"/>
          <w:szCs w:val="24"/>
        </w:rPr>
        <w:t xml:space="preserve"> </w:t>
      </w:r>
    </w:p>
    <w:p w14:paraId="69E91129" w14:textId="77777777" w:rsidR="00AC6D4F" w:rsidRDefault="00AC6D4F" w:rsidP="00AC6D4F">
      <w:pPr>
        <w:rPr>
          <w:rFonts w:ascii="Arial" w:hAnsi="Arial" w:cs="Arial"/>
          <w:sz w:val="24"/>
          <w:szCs w:val="24"/>
        </w:rPr>
      </w:pPr>
      <w:r w:rsidRPr="002838EC">
        <w:rPr>
          <w:rFonts w:ascii="Arial" w:eastAsiaTheme="majorEastAsia" w:hAnsi="Arial" w:cs="Arial"/>
          <w:bCs/>
          <w:sz w:val="24"/>
          <w:szCs w:val="24"/>
        </w:rPr>
        <w:t xml:space="preserve">This </w:t>
      </w:r>
      <w:r>
        <w:rPr>
          <w:rFonts w:ascii="Arial" w:hAnsi="Arial" w:cs="Arial"/>
          <w:sz w:val="24"/>
          <w:szCs w:val="24"/>
        </w:rPr>
        <w:t>clause</w:t>
      </w:r>
      <w:r w:rsidRPr="00264F34">
        <w:rPr>
          <w:rFonts w:ascii="Arial" w:hAnsi="Arial" w:cs="Arial"/>
          <w:sz w:val="24"/>
          <w:szCs w:val="24"/>
        </w:rPr>
        <w:t xml:space="preserve"> inserts a new definition for </w:t>
      </w:r>
      <w:r w:rsidRPr="00264F34">
        <w:rPr>
          <w:rFonts w:ascii="Arial" w:hAnsi="Arial" w:cs="Arial"/>
          <w:b/>
          <w:bCs/>
          <w:i/>
          <w:iCs/>
          <w:sz w:val="24"/>
          <w:szCs w:val="24"/>
        </w:rPr>
        <w:t xml:space="preserve">housing </w:t>
      </w:r>
      <w:r>
        <w:rPr>
          <w:rFonts w:ascii="Arial" w:hAnsi="Arial" w:cs="Arial"/>
          <w:b/>
          <w:bCs/>
          <w:i/>
          <w:iCs/>
          <w:sz w:val="24"/>
          <w:szCs w:val="24"/>
        </w:rPr>
        <w:t xml:space="preserve">assistance </w:t>
      </w:r>
      <w:r w:rsidRPr="00264F34">
        <w:rPr>
          <w:rFonts w:ascii="Arial" w:hAnsi="Arial" w:cs="Arial"/>
          <w:sz w:val="24"/>
          <w:szCs w:val="24"/>
        </w:rPr>
        <w:t xml:space="preserve">into the Dictionary of the RTA. </w:t>
      </w:r>
    </w:p>
    <w:p w14:paraId="2D44310F" w14:textId="329ABC40" w:rsidR="00AC6D4F" w:rsidRPr="002838EC" w:rsidRDefault="00AC6D4F" w:rsidP="00AC6D4F">
      <w:pPr>
        <w:rPr>
          <w:rFonts w:ascii="Arial" w:hAnsi="Arial" w:cs="Arial"/>
          <w:i/>
          <w:iCs/>
          <w:sz w:val="24"/>
          <w:szCs w:val="24"/>
        </w:rPr>
      </w:pPr>
      <w:r>
        <w:rPr>
          <w:rFonts w:ascii="Arial" w:hAnsi="Arial" w:cs="Arial"/>
          <w:sz w:val="24"/>
          <w:szCs w:val="24"/>
        </w:rPr>
        <w:t xml:space="preserve">The new definition of </w:t>
      </w:r>
      <w:r>
        <w:rPr>
          <w:rFonts w:ascii="Arial" w:hAnsi="Arial" w:cs="Arial"/>
          <w:b/>
          <w:bCs/>
          <w:i/>
          <w:iCs/>
          <w:sz w:val="24"/>
          <w:szCs w:val="24"/>
        </w:rPr>
        <w:t>housing assistance</w:t>
      </w:r>
      <w:r w:rsidR="00247792">
        <w:rPr>
          <w:rFonts w:ascii="Arial" w:hAnsi="Arial" w:cs="Arial"/>
          <w:sz w:val="24"/>
          <w:szCs w:val="24"/>
        </w:rPr>
        <w:t>,</w:t>
      </w:r>
      <w:r>
        <w:rPr>
          <w:rFonts w:ascii="Arial" w:hAnsi="Arial" w:cs="Arial"/>
          <w:b/>
          <w:bCs/>
          <w:sz w:val="24"/>
          <w:szCs w:val="24"/>
        </w:rPr>
        <w:t xml:space="preserve"> </w:t>
      </w:r>
      <w:r>
        <w:rPr>
          <w:rFonts w:ascii="Arial" w:hAnsi="Arial" w:cs="Arial"/>
          <w:sz w:val="24"/>
          <w:szCs w:val="24"/>
        </w:rPr>
        <w:t>in relation to a tenant</w:t>
      </w:r>
      <w:r w:rsidR="00247792">
        <w:rPr>
          <w:rFonts w:ascii="Arial" w:hAnsi="Arial" w:cs="Arial"/>
          <w:sz w:val="24"/>
          <w:szCs w:val="24"/>
        </w:rPr>
        <w:t>,</w:t>
      </w:r>
      <w:r>
        <w:rPr>
          <w:rFonts w:ascii="Arial" w:hAnsi="Arial" w:cs="Arial"/>
          <w:sz w:val="24"/>
          <w:szCs w:val="24"/>
        </w:rPr>
        <w:t xml:space="preserve"> refers the reader to section 7 of the </w:t>
      </w:r>
      <w:r w:rsidR="00247792">
        <w:rPr>
          <w:rFonts w:ascii="Arial" w:hAnsi="Arial" w:cs="Arial"/>
          <w:sz w:val="24"/>
          <w:szCs w:val="24"/>
        </w:rPr>
        <w:t>HAA</w:t>
      </w:r>
      <w:r>
        <w:rPr>
          <w:rFonts w:ascii="Arial" w:hAnsi="Arial" w:cs="Arial"/>
          <w:i/>
          <w:iCs/>
          <w:sz w:val="24"/>
          <w:szCs w:val="24"/>
        </w:rPr>
        <w:t xml:space="preserve">. </w:t>
      </w:r>
    </w:p>
    <w:p w14:paraId="2C1ACACB" w14:textId="134562D7" w:rsidR="00AC6D4F" w:rsidRDefault="00AC6D4F" w:rsidP="00AC6D4F">
      <w:pPr>
        <w:rPr>
          <w:rFonts w:ascii="Arial" w:eastAsiaTheme="majorEastAsia" w:hAnsi="Arial" w:cs="Arial"/>
          <w:b/>
          <w:i/>
          <w:iCs/>
          <w:sz w:val="24"/>
          <w:szCs w:val="24"/>
        </w:rPr>
      </w:pPr>
      <w:r>
        <w:rPr>
          <w:rFonts w:ascii="Arial" w:eastAsiaTheme="majorEastAsia" w:hAnsi="Arial" w:cs="Arial"/>
          <w:b/>
          <w:sz w:val="24"/>
          <w:szCs w:val="24"/>
        </w:rPr>
        <w:t xml:space="preserve">Clause </w:t>
      </w:r>
      <w:r w:rsidR="00896122">
        <w:rPr>
          <w:rFonts w:ascii="Arial" w:eastAsiaTheme="majorEastAsia" w:hAnsi="Arial" w:cs="Arial"/>
          <w:b/>
          <w:sz w:val="24"/>
          <w:szCs w:val="24"/>
        </w:rPr>
        <w:t>50</w:t>
      </w:r>
      <w:r>
        <w:rPr>
          <w:rFonts w:ascii="Arial" w:eastAsiaTheme="majorEastAsia" w:hAnsi="Arial" w:cs="Arial"/>
          <w:b/>
          <w:sz w:val="24"/>
          <w:szCs w:val="24"/>
        </w:rPr>
        <w:tab/>
      </w:r>
      <w:r w:rsidRPr="00264F34">
        <w:rPr>
          <w:rFonts w:ascii="Arial" w:eastAsiaTheme="majorEastAsia" w:hAnsi="Arial" w:cs="Arial"/>
          <w:b/>
          <w:sz w:val="24"/>
          <w:szCs w:val="24"/>
        </w:rPr>
        <w:t xml:space="preserve">Dictionary, new definition of </w:t>
      </w:r>
      <w:r>
        <w:rPr>
          <w:rFonts w:ascii="Arial" w:eastAsiaTheme="majorEastAsia" w:hAnsi="Arial" w:cs="Arial"/>
          <w:b/>
          <w:i/>
          <w:iCs/>
          <w:sz w:val="24"/>
          <w:szCs w:val="24"/>
        </w:rPr>
        <w:t>minimum housing standards</w:t>
      </w:r>
    </w:p>
    <w:p w14:paraId="1AE28605" w14:textId="210A55B2" w:rsidR="00AC6D4F" w:rsidRPr="00264F34" w:rsidRDefault="00AC6D4F" w:rsidP="00AC6D4F">
      <w:pPr>
        <w:rPr>
          <w:rFonts w:ascii="Arial" w:hAnsi="Arial" w:cs="Arial"/>
          <w:sz w:val="24"/>
          <w:szCs w:val="24"/>
        </w:rPr>
      </w:pPr>
      <w:r w:rsidRPr="00264F34">
        <w:rPr>
          <w:rFonts w:ascii="Arial" w:hAnsi="Arial" w:cs="Arial"/>
          <w:sz w:val="24"/>
          <w:szCs w:val="24"/>
        </w:rPr>
        <w:t xml:space="preserve">This clause </w:t>
      </w:r>
      <w:r>
        <w:rPr>
          <w:rFonts w:ascii="Arial" w:hAnsi="Arial" w:cs="Arial"/>
          <w:sz w:val="24"/>
          <w:szCs w:val="24"/>
        </w:rPr>
        <w:t xml:space="preserve">is consequential to the changes at clause </w:t>
      </w:r>
      <w:r w:rsidRPr="005A14D5">
        <w:rPr>
          <w:rFonts w:ascii="Arial" w:hAnsi="Arial" w:cs="Arial"/>
          <w:sz w:val="24"/>
          <w:szCs w:val="24"/>
        </w:rPr>
        <w:t>1</w:t>
      </w:r>
      <w:r w:rsidR="00896122" w:rsidRPr="005A14D5">
        <w:rPr>
          <w:rFonts w:ascii="Arial" w:hAnsi="Arial" w:cs="Arial"/>
          <w:sz w:val="24"/>
          <w:szCs w:val="24"/>
        </w:rPr>
        <w:t>4</w:t>
      </w:r>
      <w:r>
        <w:rPr>
          <w:rFonts w:ascii="Arial" w:hAnsi="Arial" w:cs="Arial"/>
          <w:sz w:val="24"/>
          <w:szCs w:val="24"/>
        </w:rPr>
        <w:t xml:space="preserve"> which inserts new Division 2.5 in relation to minimum housing standards. Clause </w:t>
      </w:r>
      <w:r w:rsidRPr="005A14D5">
        <w:rPr>
          <w:rFonts w:ascii="Arial" w:hAnsi="Arial" w:cs="Arial"/>
          <w:sz w:val="24"/>
          <w:szCs w:val="24"/>
        </w:rPr>
        <w:t>1</w:t>
      </w:r>
      <w:r w:rsidR="00896122">
        <w:rPr>
          <w:rFonts w:ascii="Arial" w:hAnsi="Arial" w:cs="Arial"/>
          <w:sz w:val="24"/>
          <w:szCs w:val="24"/>
        </w:rPr>
        <w:t>4</w:t>
      </w:r>
      <w:r>
        <w:rPr>
          <w:rFonts w:ascii="Arial" w:hAnsi="Arial" w:cs="Arial"/>
          <w:sz w:val="24"/>
          <w:szCs w:val="24"/>
        </w:rPr>
        <w:t xml:space="preserve"> also inserts new section 19A which relocates the regulation making power previously at section 136 (2) (d) and amends the wording of the provision slight to make </w:t>
      </w:r>
      <w:r w:rsidRPr="00887EF9">
        <w:rPr>
          <w:rFonts w:ascii="Arial" w:hAnsi="Arial" w:cs="Arial"/>
          <w:b/>
          <w:bCs/>
          <w:i/>
          <w:iCs/>
          <w:sz w:val="24"/>
          <w:szCs w:val="24"/>
        </w:rPr>
        <w:t>minimum housing standards</w:t>
      </w:r>
      <w:r>
        <w:rPr>
          <w:rFonts w:ascii="Arial" w:hAnsi="Arial" w:cs="Arial"/>
          <w:sz w:val="24"/>
          <w:szCs w:val="24"/>
        </w:rPr>
        <w:t xml:space="preserve"> a defined term. </w:t>
      </w:r>
    </w:p>
    <w:p w14:paraId="7F3C3119" w14:textId="77777777" w:rsidR="00AC6D4F" w:rsidRPr="00264F34" w:rsidRDefault="00AC6D4F" w:rsidP="00AC6D4F">
      <w:pPr>
        <w:rPr>
          <w:rFonts w:ascii="Arial" w:hAnsi="Arial" w:cs="Arial"/>
          <w:sz w:val="24"/>
          <w:szCs w:val="24"/>
        </w:rPr>
      </w:pPr>
      <w:r>
        <w:rPr>
          <w:rFonts w:ascii="Arial" w:hAnsi="Arial" w:cs="Arial"/>
          <w:sz w:val="24"/>
          <w:szCs w:val="24"/>
        </w:rPr>
        <w:t>This clause</w:t>
      </w:r>
      <w:r w:rsidRPr="00264F34">
        <w:rPr>
          <w:rFonts w:ascii="Arial" w:hAnsi="Arial" w:cs="Arial"/>
          <w:sz w:val="24"/>
          <w:szCs w:val="24"/>
        </w:rPr>
        <w:t xml:space="preserve"> inserts a new definition for </w:t>
      </w:r>
      <w:r w:rsidRPr="00264F34">
        <w:rPr>
          <w:rFonts w:ascii="Arial" w:hAnsi="Arial" w:cs="Arial"/>
          <w:b/>
          <w:bCs/>
          <w:i/>
          <w:iCs/>
          <w:sz w:val="24"/>
          <w:szCs w:val="24"/>
        </w:rPr>
        <w:t>minimum housing standards</w:t>
      </w:r>
      <w:r w:rsidRPr="00264F34">
        <w:rPr>
          <w:rFonts w:ascii="Arial" w:hAnsi="Arial" w:cs="Arial"/>
          <w:i/>
          <w:iCs/>
          <w:sz w:val="24"/>
          <w:szCs w:val="24"/>
        </w:rPr>
        <w:t xml:space="preserve"> </w:t>
      </w:r>
      <w:r w:rsidRPr="00264F34">
        <w:rPr>
          <w:rFonts w:ascii="Arial" w:hAnsi="Arial" w:cs="Arial"/>
          <w:sz w:val="24"/>
          <w:szCs w:val="24"/>
        </w:rPr>
        <w:t xml:space="preserve">into the Dictionary of the RTA. </w:t>
      </w:r>
    </w:p>
    <w:p w14:paraId="433490A1" w14:textId="309C903D" w:rsidR="00AC6D4F" w:rsidRPr="002838EC" w:rsidRDefault="00AC6D4F" w:rsidP="00AC6D4F">
      <w:pPr>
        <w:rPr>
          <w:rFonts w:ascii="Arial" w:hAnsi="Arial" w:cs="Arial"/>
          <w:sz w:val="24"/>
          <w:szCs w:val="24"/>
        </w:rPr>
      </w:pPr>
      <w:r w:rsidRPr="00264F34">
        <w:rPr>
          <w:rFonts w:ascii="Arial" w:hAnsi="Arial" w:cs="Arial"/>
          <w:sz w:val="24"/>
          <w:szCs w:val="24"/>
        </w:rPr>
        <w:t xml:space="preserve">The </w:t>
      </w:r>
      <w:r>
        <w:rPr>
          <w:rFonts w:ascii="Arial" w:hAnsi="Arial" w:cs="Arial"/>
          <w:sz w:val="24"/>
          <w:szCs w:val="24"/>
        </w:rPr>
        <w:t xml:space="preserve">new </w:t>
      </w:r>
      <w:r w:rsidRPr="00264F34">
        <w:rPr>
          <w:rFonts w:ascii="Arial" w:hAnsi="Arial" w:cs="Arial"/>
          <w:sz w:val="24"/>
          <w:szCs w:val="24"/>
        </w:rPr>
        <w:t xml:space="preserve">definition of </w:t>
      </w:r>
      <w:r w:rsidRPr="00264F34">
        <w:rPr>
          <w:rFonts w:ascii="Arial" w:hAnsi="Arial" w:cs="Arial"/>
          <w:b/>
          <w:bCs/>
          <w:i/>
          <w:iCs/>
          <w:sz w:val="24"/>
          <w:szCs w:val="24"/>
        </w:rPr>
        <w:t xml:space="preserve">minimum housing standards </w:t>
      </w:r>
      <w:r w:rsidRPr="00CC0A54">
        <w:rPr>
          <w:rFonts w:ascii="Arial" w:hAnsi="Arial" w:cs="Arial"/>
          <w:sz w:val="24"/>
          <w:szCs w:val="24"/>
        </w:rPr>
        <w:t>inserted in the Dictionary</w:t>
      </w:r>
      <w:r>
        <w:rPr>
          <w:rFonts w:ascii="Arial" w:hAnsi="Arial" w:cs="Arial"/>
          <w:b/>
          <w:bCs/>
          <w:sz w:val="24"/>
          <w:szCs w:val="24"/>
        </w:rPr>
        <w:t xml:space="preserve"> </w:t>
      </w:r>
      <w:r w:rsidRPr="00264F34">
        <w:rPr>
          <w:rFonts w:ascii="Arial" w:hAnsi="Arial" w:cs="Arial"/>
          <w:sz w:val="24"/>
          <w:szCs w:val="24"/>
        </w:rPr>
        <w:t>refers</w:t>
      </w:r>
      <w:r w:rsidRPr="00264F34">
        <w:rPr>
          <w:rFonts w:ascii="Arial" w:hAnsi="Arial" w:cs="Arial"/>
          <w:b/>
          <w:bCs/>
          <w:sz w:val="24"/>
          <w:szCs w:val="24"/>
        </w:rPr>
        <w:t xml:space="preserve"> </w:t>
      </w:r>
      <w:r w:rsidRPr="00264F34">
        <w:rPr>
          <w:rFonts w:ascii="Arial" w:hAnsi="Arial" w:cs="Arial"/>
          <w:sz w:val="24"/>
          <w:szCs w:val="24"/>
        </w:rPr>
        <w:t xml:space="preserve">the reader to new section 19A </w:t>
      </w:r>
      <w:r w:rsidR="00247792">
        <w:rPr>
          <w:rFonts w:ascii="Arial" w:hAnsi="Arial" w:cs="Arial"/>
          <w:sz w:val="24"/>
          <w:szCs w:val="24"/>
        </w:rPr>
        <w:t xml:space="preserve">(1) </w:t>
      </w:r>
      <w:r w:rsidRPr="00264F34">
        <w:rPr>
          <w:rFonts w:ascii="Arial" w:hAnsi="Arial" w:cs="Arial"/>
          <w:sz w:val="24"/>
          <w:szCs w:val="24"/>
        </w:rPr>
        <w:t>of the RTA</w:t>
      </w:r>
      <w:r>
        <w:rPr>
          <w:rFonts w:ascii="Arial" w:hAnsi="Arial" w:cs="Arial"/>
          <w:sz w:val="24"/>
          <w:szCs w:val="24"/>
        </w:rPr>
        <w:t>, which provides the new definition: a</w:t>
      </w:r>
      <w:r w:rsidRPr="00264F34">
        <w:rPr>
          <w:rFonts w:ascii="Arial" w:hAnsi="Arial" w:cs="Arial"/>
          <w:sz w:val="24"/>
          <w:szCs w:val="24"/>
        </w:rPr>
        <w:t xml:space="preserve"> </w:t>
      </w:r>
      <w:r w:rsidRPr="00264F34">
        <w:rPr>
          <w:rFonts w:ascii="Arial" w:hAnsi="Arial" w:cs="Arial"/>
          <w:b/>
          <w:bCs/>
          <w:i/>
          <w:iCs/>
          <w:sz w:val="24"/>
          <w:szCs w:val="24"/>
        </w:rPr>
        <w:t>minimum housing standard</w:t>
      </w:r>
      <w:r w:rsidRPr="00264F34">
        <w:rPr>
          <w:rFonts w:ascii="Arial" w:hAnsi="Arial" w:cs="Arial"/>
          <w:sz w:val="24"/>
          <w:szCs w:val="24"/>
        </w:rPr>
        <w:t xml:space="preserve"> is a minimum standard prescribed by regulation for premises made available for occupation under a residential tenancy agreement</w:t>
      </w:r>
      <w:r w:rsidR="00247792">
        <w:rPr>
          <w:rFonts w:ascii="Arial" w:hAnsi="Arial" w:cs="Arial"/>
          <w:sz w:val="24"/>
          <w:szCs w:val="24"/>
        </w:rPr>
        <w:t>, including</w:t>
      </w:r>
      <w:r w:rsidRPr="00264F34">
        <w:rPr>
          <w:rFonts w:ascii="Arial" w:hAnsi="Arial" w:cs="Arial"/>
          <w:sz w:val="24"/>
          <w:szCs w:val="24"/>
        </w:rPr>
        <w:t xml:space="preserve"> in relation to</w:t>
      </w:r>
      <w:r w:rsidR="00247792">
        <w:rPr>
          <w:rFonts w:ascii="Arial" w:hAnsi="Arial" w:cs="Arial"/>
          <w:sz w:val="24"/>
          <w:szCs w:val="24"/>
        </w:rPr>
        <w:t xml:space="preserve"> the following matters:</w:t>
      </w:r>
      <w:r w:rsidRPr="00264F34">
        <w:rPr>
          <w:rFonts w:ascii="Arial" w:hAnsi="Arial" w:cs="Arial"/>
          <w:sz w:val="24"/>
          <w:szCs w:val="24"/>
        </w:rPr>
        <w:t xml:space="preserve"> physical accessibility, energy efficiency, safety and security, sanitation and amenity. </w:t>
      </w:r>
    </w:p>
    <w:p w14:paraId="529D56C4" w14:textId="05B74B57" w:rsidR="00AC6D4F" w:rsidRPr="00264F34" w:rsidRDefault="00AC6D4F" w:rsidP="00AC6D4F">
      <w:pPr>
        <w:rPr>
          <w:rFonts w:ascii="Arial" w:eastAsiaTheme="majorEastAsia" w:hAnsi="Arial" w:cs="Arial"/>
          <w:b/>
          <w:i/>
          <w:iCs/>
          <w:sz w:val="24"/>
          <w:szCs w:val="24"/>
        </w:rPr>
      </w:pPr>
      <w:r w:rsidRPr="00264F34">
        <w:rPr>
          <w:rFonts w:ascii="Arial" w:eastAsiaTheme="majorEastAsia" w:hAnsi="Arial" w:cs="Arial"/>
          <w:b/>
          <w:sz w:val="24"/>
          <w:szCs w:val="24"/>
        </w:rPr>
        <w:t xml:space="preserve">Clause </w:t>
      </w:r>
      <w:r w:rsidR="00670D80">
        <w:rPr>
          <w:rFonts w:ascii="Arial" w:eastAsiaTheme="majorEastAsia" w:hAnsi="Arial" w:cs="Arial"/>
          <w:b/>
          <w:sz w:val="24"/>
          <w:szCs w:val="24"/>
        </w:rPr>
        <w:t>51</w:t>
      </w:r>
      <w:r w:rsidRPr="00264F34">
        <w:rPr>
          <w:rFonts w:ascii="Arial" w:eastAsiaTheme="majorEastAsia" w:hAnsi="Arial" w:cs="Arial"/>
          <w:b/>
          <w:sz w:val="24"/>
          <w:szCs w:val="24"/>
        </w:rPr>
        <w:tab/>
        <w:t xml:space="preserve">Dictionary, new definition of </w:t>
      </w:r>
      <w:r>
        <w:rPr>
          <w:rFonts w:ascii="Arial" w:eastAsiaTheme="majorEastAsia" w:hAnsi="Arial" w:cs="Arial"/>
          <w:b/>
          <w:i/>
          <w:iCs/>
          <w:sz w:val="24"/>
          <w:szCs w:val="24"/>
        </w:rPr>
        <w:t>personal protection order</w:t>
      </w:r>
    </w:p>
    <w:p w14:paraId="791674B7" w14:textId="77777777" w:rsidR="00AC6D4F" w:rsidRPr="00264F34" w:rsidRDefault="00AC6D4F" w:rsidP="00AC6D4F">
      <w:pPr>
        <w:rPr>
          <w:rFonts w:ascii="Arial" w:hAnsi="Arial" w:cs="Arial"/>
          <w:b/>
          <w:bCs/>
          <w:i/>
          <w:iCs/>
          <w:sz w:val="24"/>
          <w:szCs w:val="24"/>
        </w:rPr>
      </w:pPr>
      <w:r w:rsidRPr="0048099F">
        <w:rPr>
          <w:rFonts w:ascii="Arial" w:hAnsi="Arial" w:cs="Arial"/>
          <w:sz w:val="24"/>
          <w:szCs w:val="24"/>
        </w:rPr>
        <w:t xml:space="preserve">This clause inserts a new definition for the term </w:t>
      </w:r>
      <w:r w:rsidRPr="0048099F">
        <w:rPr>
          <w:rFonts w:ascii="Arial" w:hAnsi="Arial" w:cs="Arial"/>
          <w:b/>
          <w:bCs/>
          <w:i/>
          <w:iCs/>
          <w:sz w:val="24"/>
          <w:szCs w:val="24"/>
        </w:rPr>
        <w:t>personal protection order.</w:t>
      </w:r>
    </w:p>
    <w:p w14:paraId="6D8896AD" w14:textId="77777777" w:rsidR="00AC6D4F" w:rsidRPr="0048099F" w:rsidRDefault="00AC6D4F" w:rsidP="00AC6D4F">
      <w:pPr>
        <w:rPr>
          <w:rFonts w:ascii="Arial" w:hAnsi="Arial" w:cs="Arial"/>
          <w:sz w:val="24"/>
          <w:szCs w:val="24"/>
        </w:rPr>
      </w:pPr>
      <w:r w:rsidRPr="00264F34">
        <w:rPr>
          <w:rFonts w:ascii="Arial" w:hAnsi="Arial" w:cs="Arial"/>
          <w:sz w:val="24"/>
          <w:szCs w:val="24"/>
        </w:rPr>
        <w:t xml:space="preserve">The reader is referred to the dictionary of the </w:t>
      </w:r>
      <w:r w:rsidRPr="00264F34">
        <w:rPr>
          <w:rFonts w:ascii="Arial" w:hAnsi="Arial" w:cs="Arial"/>
          <w:i/>
          <w:iCs/>
          <w:sz w:val="24"/>
          <w:szCs w:val="24"/>
        </w:rPr>
        <w:t xml:space="preserve">Personal Violence Act 2016 </w:t>
      </w:r>
      <w:r w:rsidRPr="00264F34">
        <w:rPr>
          <w:rFonts w:ascii="Arial" w:hAnsi="Arial" w:cs="Arial"/>
          <w:sz w:val="24"/>
          <w:szCs w:val="24"/>
        </w:rPr>
        <w:t xml:space="preserve">for the definition of a </w:t>
      </w:r>
      <w:r w:rsidRPr="00264F34">
        <w:rPr>
          <w:rFonts w:ascii="Arial" w:hAnsi="Arial" w:cs="Arial"/>
          <w:b/>
          <w:bCs/>
          <w:i/>
          <w:iCs/>
          <w:sz w:val="24"/>
          <w:szCs w:val="24"/>
        </w:rPr>
        <w:t xml:space="preserve">personal protection order. </w:t>
      </w:r>
    </w:p>
    <w:p w14:paraId="2C0950FA" w14:textId="79AC8585" w:rsidR="00AC6D4F" w:rsidRPr="00264F34" w:rsidRDefault="00AC6D4F" w:rsidP="00AC6D4F">
      <w:pPr>
        <w:rPr>
          <w:rFonts w:ascii="Arial" w:eastAsiaTheme="majorEastAsia" w:hAnsi="Arial" w:cs="Arial"/>
          <w:b/>
          <w:sz w:val="24"/>
          <w:szCs w:val="24"/>
        </w:rPr>
      </w:pPr>
      <w:r w:rsidRPr="00264F34">
        <w:rPr>
          <w:rFonts w:ascii="Arial" w:eastAsiaTheme="majorEastAsia" w:hAnsi="Arial" w:cs="Arial"/>
          <w:b/>
          <w:sz w:val="24"/>
          <w:szCs w:val="24"/>
        </w:rPr>
        <w:t xml:space="preserve">Clause </w:t>
      </w:r>
      <w:r w:rsidR="00C406EE">
        <w:rPr>
          <w:rFonts w:ascii="Arial" w:eastAsiaTheme="majorEastAsia" w:hAnsi="Arial" w:cs="Arial"/>
          <w:b/>
          <w:sz w:val="24"/>
          <w:szCs w:val="24"/>
        </w:rPr>
        <w:t>5</w:t>
      </w:r>
      <w:r w:rsidR="00670D80">
        <w:rPr>
          <w:rFonts w:ascii="Arial" w:eastAsiaTheme="majorEastAsia" w:hAnsi="Arial" w:cs="Arial"/>
          <w:b/>
          <w:sz w:val="24"/>
          <w:szCs w:val="24"/>
        </w:rPr>
        <w:t>2</w:t>
      </w:r>
      <w:r w:rsidRPr="00264F34">
        <w:rPr>
          <w:rFonts w:ascii="Arial" w:eastAsiaTheme="majorEastAsia" w:hAnsi="Arial" w:cs="Arial"/>
          <w:b/>
          <w:sz w:val="24"/>
          <w:szCs w:val="24"/>
        </w:rPr>
        <w:tab/>
        <w:t xml:space="preserve">Dictionary, definition of </w:t>
      </w:r>
      <w:r w:rsidRPr="0048099F">
        <w:rPr>
          <w:rFonts w:ascii="Arial" w:eastAsiaTheme="majorEastAsia" w:hAnsi="Arial" w:cs="Arial"/>
          <w:b/>
          <w:i/>
          <w:iCs/>
          <w:sz w:val="24"/>
          <w:szCs w:val="24"/>
        </w:rPr>
        <w:t>protected person</w:t>
      </w:r>
    </w:p>
    <w:p w14:paraId="7C745079" w14:textId="77777777" w:rsidR="00AC6D4F" w:rsidRPr="0048099F" w:rsidRDefault="00AC6D4F" w:rsidP="00AC6D4F">
      <w:pPr>
        <w:rPr>
          <w:rFonts w:ascii="Arial" w:eastAsiaTheme="majorEastAsia" w:hAnsi="Arial" w:cs="Arial"/>
          <w:bCs/>
          <w:sz w:val="24"/>
          <w:szCs w:val="24"/>
        </w:rPr>
      </w:pPr>
      <w:r w:rsidRPr="00264F34">
        <w:rPr>
          <w:rFonts w:ascii="Arial" w:eastAsiaTheme="majorEastAsia" w:hAnsi="Arial" w:cs="Arial"/>
          <w:bCs/>
          <w:sz w:val="24"/>
          <w:szCs w:val="24"/>
        </w:rPr>
        <w:t xml:space="preserve">This clause is a consequential amendment and omits a reference to section 85 (1) within the definition of </w:t>
      </w:r>
      <w:r w:rsidRPr="00264F34">
        <w:rPr>
          <w:rFonts w:ascii="Arial" w:eastAsiaTheme="majorEastAsia" w:hAnsi="Arial" w:cs="Arial"/>
          <w:b/>
          <w:i/>
          <w:iCs/>
          <w:sz w:val="24"/>
          <w:szCs w:val="24"/>
        </w:rPr>
        <w:t>protected person</w:t>
      </w:r>
      <w:r w:rsidRPr="00264F34">
        <w:rPr>
          <w:rFonts w:ascii="Arial" w:eastAsiaTheme="majorEastAsia" w:hAnsi="Arial" w:cs="Arial"/>
          <w:bCs/>
          <w:sz w:val="24"/>
          <w:szCs w:val="24"/>
        </w:rPr>
        <w:t xml:space="preserve"> and substitutes it with a reference to section 85.</w:t>
      </w:r>
    </w:p>
    <w:p w14:paraId="15402101" w14:textId="2D0D92DF" w:rsidR="00AC6D4F" w:rsidRPr="00264F34" w:rsidRDefault="00AC6D4F" w:rsidP="00AC6D4F">
      <w:pPr>
        <w:rPr>
          <w:rFonts w:ascii="Arial" w:eastAsiaTheme="majorEastAsia" w:hAnsi="Arial" w:cs="Arial"/>
          <w:b/>
          <w:i/>
          <w:iCs/>
          <w:sz w:val="24"/>
          <w:szCs w:val="24"/>
        </w:rPr>
      </w:pPr>
      <w:r w:rsidRPr="00264F34">
        <w:rPr>
          <w:rFonts w:ascii="Arial" w:eastAsiaTheme="majorEastAsia" w:hAnsi="Arial" w:cs="Arial"/>
          <w:b/>
          <w:sz w:val="24"/>
          <w:szCs w:val="24"/>
        </w:rPr>
        <w:t xml:space="preserve">Clause </w:t>
      </w:r>
      <w:r>
        <w:rPr>
          <w:rFonts w:ascii="Arial" w:eastAsiaTheme="majorEastAsia" w:hAnsi="Arial" w:cs="Arial"/>
          <w:b/>
          <w:sz w:val="24"/>
          <w:szCs w:val="24"/>
        </w:rPr>
        <w:t>5</w:t>
      </w:r>
      <w:r w:rsidR="00670D80">
        <w:rPr>
          <w:rFonts w:ascii="Arial" w:eastAsiaTheme="majorEastAsia" w:hAnsi="Arial" w:cs="Arial"/>
          <w:b/>
          <w:sz w:val="24"/>
          <w:szCs w:val="24"/>
        </w:rPr>
        <w:t>3</w:t>
      </w:r>
      <w:r w:rsidRPr="00264F34">
        <w:rPr>
          <w:rFonts w:ascii="Arial" w:eastAsiaTheme="majorEastAsia" w:hAnsi="Arial" w:cs="Arial"/>
          <w:b/>
          <w:sz w:val="24"/>
          <w:szCs w:val="24"/>
        </w:rPr>
        <w:tab/>
        <w:t xml:space="preserve">Dictionary, definition of </w:t>
      </w:r>
      <w:r w:rsidRPr="00264F34">
        <w:rPr>
          <w:rFonts w:ascii="Arial" w:eastAsiaTheme="majorEastAsia" w:hAnsi="Arial" w:cs="Arial"/>
          <w:b/>
          <w:i/>
          <w:iCs/>
          <w:sz w:val="24"/>
          <w:szCs w:val="24"/>
        </w:rPr>
        <w:t>protection order</w:t>
      </w:r>
    </w:p>
    <w:p w14:paraId="583EDE55" w14:textId="77777777" w:rsidR="00AC6D4F" w:rsidRPr="00264F34" w:rsidRDefault="00AC6D4F" w:rsidP="00AC6D4F">
      <w:pPr>
        <w:rPr>
          <w:rFonts w:ascii="Arial" w:eastAsiaTheme="majorEastAsia" w:hAnsi="Arial" w:cs="Arial"/>
          <w:b/>
          <w:i/>
          <w:iCs/>
          <w:sz w:val="24"/>
          <w:szCs w:val="24"/>
        </w:rPr>
      </w:pPr>
      <w:r w:rsidRPr="00264F34">
        <w:rPr>
          <w:rFonts w:ascii="Arial" w:eastAsiaTheme="majorEastAsia" w:hAnsi="Arial" w:cs="Arial"/>
          <w:bCs/>
          <w:sz w:val="24"/>
          <w:szCs w:val="24"/>
        </w:rPr>
        <w:t xml:space="preserve">This clause substitutes the definition of the term </w:t>
      </w:r>
      <w:r w:rsidRPr="00264F34">
        <w:rPr>
          <w:rFonts w:ascii="Arial" w:eastAsiaTheme="majorEastAsia" w:hAnsi="Arial" w:cs="Arial"/>
          <w:b/>
          <w:i/>
          <w:iCs/>
          <w:sz w:val="24"/>
          <w:szCs w:val="24"/>
        </w:rPr>
        <w:t>protection order.</w:t>
      </w:r>
    </w:p>
    <w:p w14:paraId="7EE43AD7" w14:textId="77777777" w:rsidR="00AC6D4F" w:rsidRPr="00264F34" w:rsidRDefault="00AC6D4F" w:rsidP="00AC6D4F">
      <w:pPr>
        <w:rPr>
          <w:rFonts w:ascii="Arial" w:eastAsiaTheme="majorEastAsia" w:hAnsi="Arial" w:cs="Arial"/>
          <w:bCs/>
          <w:sz w:val="24"/>
          <w:szCs w:val="24"/>
        </w:rPr>
      </w:pPr>
      <w:r w:rsidRPr="00264F34">
        <w:rPr>
          <w:rFonts w:ascii="Arial" w:eastAsiaTheme="majorEastAsia" w:hAnsi="Arial" w:cs="Arial"/>
          <w:bCs/>
          <w:sz w:val="24"/>
          <w:szCs w:val="24"/>
        </w:rPr>
        <w:t xml:space="preserve">The amended definition of the term </w:t>
      </w:r>
      <w:r w:rsidRPr="00264F34">
        <w:rPr>
          <w:rFonts w:ascii="Arial" w:eastAsiaTheme="majorEastAsia" w:hAnsi="Arial" w:cs="Arial"/>
          <w:bCs/>
          <w:i/>
          <w:iCs/>
          <w:sz w:val="24"/>
          <w:szCs w:val="24"/>
        </w:rPr>
        <w:t xml:space="preserve">protection order </w:t>
      </w:r>
      <w:r w:rsidRPr="00264F34">
        <w:rPr>
          <w:rFonts w:ascii="Arial" w:eastAsiaTheme="majorEastAsia" w:hAnsi="Arial" w:cs="Arial"/>
          <w:bCs/>
          <w:sz w:val="24"/>
          <w:szCs w:val="24"/>
        </w:rPr>
        <w:t xml:space="preserve">is – (a) protection order under the </w:t>
      </w:r>
      <w:r w:rsidRPr="00264F34">
        <w:rPr>
          <w:rFonts w:ascii="Arial" w:eastAsiaTheme="majorEastAsia" w:hAnsi="Arial" w:cs="Arial"/>
          <w:bCs/>
          <w:i/>
          <w:iCs/>
          <w:sz w:val="24"/>
          <w:szCs w:val="24"/>
        </w:rPr>
        <w:t xml:space="preserve">Family Violence Act 2016; </w:t>
      </w:r>
      <w:r w:rsidRPr="00264F34">
        <w:rPr>
          <w:rFonts w:ascii="Arial" w:eastAsiaTheme="majorEastAsia" w:hAnsi="Arial" w:cs="Arial"/>
          <w:bCs/>
          <w:sz w:val="24"/>
          <w:szCs w:val="24"/>
        </w:rPr>
        <w:t xml:space="preserve">or (b) a personal protection order under the </w:t>
      </w:r>
      <w:r w:rsidRPr="00264F34">
        <w:rPr>
          <w:rFonts w:ascii="Arial" w:eastAsiaTheme="majorEastAsia" w:hAnsi="Arial" w:cs="Arial"/>
          <w:bCs/>
          <w:i/>
          <w:iCs/>
          <w:sz w:val="24"/>
          <w:szCs w:val="24"/>
        </w:rPr>
        <w:t xml:space="preserve">Personal Violence Act 2016. </w:t>
      </w:r>
    </w:p>
    <w:p w14:paraId="14B253C0" w14:textId="77777777" w:rsidR="00AC6D4F" w:rsidRPr="0048099F" w:rsidRDefault="00AC6D4F" w:rsidP="00AC6D4F">
      <w:pPr>
        <w:rPr>
          <w:rFonts w:ascii="Arial" w:eastAsiaTheme="majorEastAsia" w:hAnsi="Arial" w:cs="Arial"/>
          <w:bCs/>
          <w:sz w:val="24"/>
          <w:szCs w:val="24"/>
        </w:rPr>
      </w:pPr>
      <w:r w:rsidRPr="00264F34">
        <w:rPr>
          <w:rFonts w:ascii="Arial" w:eastAsiaTheme="majorEastAsia" w:hAnsi="Arial" w:cs="Arial"/>
          <w:bCs/>
          <w:sz w:val="24"/>
          <w:szCs w:val="24"/>
        </w:rPr>
        <w:t xml:space="preserve">This clause also contains a note, which explains that the definition of </w:t>
      </w:r>
      <w:r w:rsidRPr="00264F34">
        <w:rPr>
          <w:rFonts w:ascii="Arial" w:eastAsiaTheme="majorEastAsia" w:hAnsi="Arial" w:cs="Arial"/>
          <w:b/>
          <w:i/>
          <w:iCs/>
          <w:sz w:val="24"/>
          <w:szCs w:val="24"/>
        </w:rPr>
        <w:t xml:space="preserve">protection order </w:t>
      </w:r>
      <w:r w:rsidRPr="00264F34">
        <w:rPr>
          <w:rFonts w:ascii="Arial" w:eastAsiaTheme="majorEastAsia" w:hAnsi="Arial" w:cs="Arial"/>
          <w:bCs/>
          <w:sz w:val="24"/>
          <w:szCs w:val="24"/>
        </w:rPr>
        <w:t xml:space="preserve">includes, among other things, an interim or final protection order (see the </w:t>
      </w:r>
      <w:r w:rsidRPr="00264F34">
        <w:rPr>
          <w:rFonts w:ascii="Arial" w:eastAsiaTheme="majorEastAsia" w:hAnsi="Arial" w:cs="Arial"/>
          <w:bCs/>
          <w:i/>
          <w:iCs/>
          <w:sz w:val="24"/>
          <w:szCs w:val="24"/>
        </w:rPr>
        <w:t xml:space="preserve">Family Violence Act 2016, </w:t>
      </w:r>
      <w:r w:rsidRPr="00264F34">
        <w:rPr>
          <w:rFonts w:ascii="Arial" w:eastAsiaTheme="majorEastAsia" w:hAnsi="Arial" w:cs="Arial"/>
          <w:bCs/>
          <w:sz w:val="24"/>
          <w:szCs w:val="24"/>
        </w:rPr>
        <w:t>dictionary).</w:t>
      </w:r>
    </w:p>
    <w:p w14:paraId="1843BA27" w14:textId="715D7ACF" w:rsidR="00AC6D4F" w:rsidRPr="00264F34" w:rsidRDefault="00AC6D4F" w:rsidP="00AC6D4F">
      <w:pPr>
        <w:rPr>
          <w:rFonts w:ascii="Arial" w:eastAsiaTheme="majorEastAsia" w:hAnsi="Arial" w:cs="Arial"/>
          <w:b/>
          <w:i/>
          <w:iCs/>
          <w:sz w:val="24"/>
          <w:szCs w:val="24"/>
        </w:rPr>
      </w:pPr>
      <w:r w:rsidRPr="00264F34">
        <w:rPr>
          <w:rFonts w:ascii="Arial" w:eastAsiaTheme="majorEastAsia" w:hAnsi="Arial" w:cs="Arial"/>
          <w:b/>
          <w:sz w:val="24"/>
          <w:szCs w:val="24"/>
        </w:rPr>
        <w:lastRenderedPageBreak/>
        <w:t xml:space="preserve">Clause </w:t>
      </w:r>
      <w:r>
        <w:rPr>
          <w:rFonts w:ascii="Arial" w:eastAsiaTheme="majorEastAsia" w:hAnsi="Arial" w:cs="Arial"/>
          <w:b/>
          <w:sz w:val="24"/>
          <w:szCs w:val="24"/>
        </w:rPr>
        <w:t>5</w:t>
      </w:r>
      <w:r w:rsidR="00670D80">
        <w:rPr>
          <w:rFonts w:ascii="Arial" w:eastAsiaTheme="majorEastAsia" w:hAnsi="Arial" w:cs="Arial"/>
          <w:b/>
          <w:sz w:val="24"/>
          <w:szCs w:val="24"/>
        </w:rPr>
        <w:t>4</w:t>
      </w:r>
      <w:r w:rsidRPr="00264F34">
        <w:rPr>
          <w:rFonts w:ascii="Arial" w:eastAsiaTheme="majorEastAsia" w:hAnsi="Arial" w:cs="Arial"/>
          <w:b/>
          <w:sz w:val="24"/>
          <w:szCs w:val="24"/>
        </w:rPr>
        <w:tab/>
        <w:t xml:space="preserve">Dictionary definition of </w:t>
      </w:r>
      <w:r w:rsidRPr="00264F34">
        <w:rPr>
          <w:rFonts w:ascii="Arial" w:eastAsiaTheme="majorEastAsia" w:hAnsi="Arial" w:cs="Arial"/>
          <w:b/>
          <w:i/>
          <w:iCs/>
          <w:sz w:val="24"/>
          <w:szCs w:val="24"/>
        </w:rPr>
        <w:t>publish</w:t>
      </w:r>
    </w:p>
    <w:p w14:paraId="794935FE" w14:textId="77777777" w:rsidR="00AC6D4F" w:rsidRPr="0048099F" w:rsidRDefault="00AC6D4F" w:rsidP="00AC6D4F">
      <w:pPr>
        <w:rPr>
          <w:rFonts w:ascii="Arial" w:hAnsi="Arial" w:cs="Arial"/>
          <w:b/>
          <w:bCs/>
          <w:i/>
          <w:iCs/>
          <w:sz w:val="24"/>
          <w:szCs w:val="24"/>
        </w:rPr>
      </w:pPr>
      <w:r w:rsidRPr="00264F34">
        <w:rPr>
          <w:rFonts w:ascii="Arial" w:hAnsi="Arial" w:cs="Arial"/>
          <w:sz w:val="24"/>
          <w:szCs w:val="24"/>
        </w:rPr>
        <w:t xml:space="preserve">This clause inserts a new definition of the term </w:t>
      </w:r>
      <w:r w:rsidRPr="00264F34">
        <w:rPr>
          <w:rFonts w:ascii="Arial" w:hAnsi="Arial" w:cs="Arial"/>
          <w:b/>
          <w:bCs/>
          <w:i/>
          <w:iCs/>
          <w:sz w:val="24"/>
          <w:szCs w:val="24"/>
        </w:rPr>
        <w:t>publish.</w:t>
      </w:r>
    </w:p>
    <w:p w14:paraId="08A94A96" w14:textId="77777777" w:rsidR="00AC6D4F" w:rsidRPr="0048099F" w:rsidRDefault="00AC6D4F" w:rsidP="00AC6D4F">
      <w:pPr>
        <w:rPr>
          <w:rFonts w:ascii="Arial" w:eastAsiaTheme="majorEastAsia" w:hAnsi="Arial" w:cs="Arial"/>
          <w:sz w:val="24"/>
          <w:szCs w:val="24"/>
        </w:rPr>
      </w:pPr>
      <w:r w:rsidRPr="00264F34">
        <w:rPr>
          <w:rFonts w:ascii="Arial" w:hAnsi="Arial" w:cs="Arial"/>
          <w:sz w:val="24"/>
          <w:szCs w:val="24"/>
        </w:rPr>
        <w:t xml:space="preserve">The definition of </w:t>
      </w:r>
      <w:r w:rsidRPr="00264F34">
        <w:rPr>
          <w:rFonts w:ascii="Arial" w:hAnsi="Arial" w:cs="Arial"/>
          <w:b/>
          <w:bCs/>
          <w:i/>
          <w:iCs/>
          <w:sz w:val="24"/>
          <w:szCs w:val="24"/>
        </w:rPr>
        <w:t xml:space="preserve">publish </w:t>
      </w:r>
      <w:r w:rsidRPr="0048099F">
        <w:rPr>
          <w:rFonts w:ascii="Arial" w:hAnsi="Arial" w:cs="Arial"/>
          <w:sz w:val="24"/>
          <w:szCs w:val="24"/>
        </w:rPr>
        <w:t xml:space="preserve">for the purposes of division 2.2, </w:t>
      </w:r>
      <w:r w:rsidRPr="00264F34">
        <w:rPr>
          <w:rFonts w:ascii="Arial" w:hAnsi="Arial" w:cs="Arial"/>
          <w:sz w:val="24"/>
          <w:szCs w:val="24"/>
        </w:rPr>
        <w:t>refers the reader to section 10A.</w:t>
      </w:r>
    </w:p>
    <w:p w14:paraId="619F12F7" w14:textId="2BE92738" w:rsidR="00AC6D4F" w:rsidRDefault="00AC6D4F" w:rsidP="00AC6D4F">
      <w:pPr>
        <w:rPr>
          <w:rFonts w:ascii="Arial" w:eastAsiaTheme="majorEastAsia" w:hAnsi="Arial" w:cs="Arial"/>
          <w:b/>
          <w:i/>
          <w:iCs/>
          <w:sz w:val="24"/>
          <w:szCs w:val="24"/>
        </w:rPr>
      </w:pPr>
      <w:r w:rsidRPr="00264F34">
        <w:rPr>
          <w:rFonts w:ascii="Arial" w:eastAsiaTheme="majorEastAsia" w:hAnsi="Arial" w:cs="Arial"/>
          <w:b/>
          <w:sz w:val="24"/>
          <w:szCs w:val="24"/>
        </w:rPr>
        <w:t>Clause 5</w:t>
      </w:r>
      <w:r w:rsidR="00670D80">
        <w:rPr>
          <w:rFonts w:ascii="Arial" w:eastAsiaTheme="majorEastAsia" w:hAnsi="Arial" w:cs="Arial"/>
          <w:b/>
          <w:sz w:val="24"/>
          <w:szCs w:val="24"/>
        </w:rPr>
        <w:t>5</w:t>
      </w:r>
      <w:r w:rsidRPr="00264F34">
        <w:rPr>
          <w:rFonts w:ascii="Arial" w:eastAsiaTheme="majorEastAsia" w:hAnsi="Arial" w:cs="Arial"/>
          <w:b/>
          <w:sz w:val="24"/>
          <w:szCs w:val="24"/>
        </w:rPr>
        <w:tab/>
        <w:t>Dictionary, definition of</w:t>
      </w:r>
      <w:r>
        <w:rPr>
          <w:rFonts w:ascii="Arial" w:eastAsiaTheme="majorEastAsia" w:hAnsi="Arial" w:cs="Arial"/>
          <w:b/>
          <w:sz w:val="24"/>
          <w:szCs w:val="24"/>
        </w:rPr>
        <w:t xml:space="preserve"> </w:t>
      </w:r>
      <w:r>
        <w:rPr>
          <w:rFonts w:ascii="Arial" w:eastAsiaTheme="majorEastAsia" w:hAnsi="Arial" w:cs="Arial"/>
          <w:b/>
          <w:i/>
          <w:iCs/>
          <w:sz w:val="24"/>
          <w:szCs w:val="24"/>
        </w:rPr>
        <w:t>PV Act</w:t>
      </w:r>
    </w:p>
    <w:p w14:paraId="2EA76998" w14:textId="01563E45" w:rsidR="00AC6D4F" w:rsidRDefault="00AC6D4F" w:rsidP="00AC6D4F">
      <w:pPr>
        <w:rPr>
          <w:rFonts w:ascii="Arial" w:eastAsiaTheme="majorEastAsia" w:hAnsi="Arial" w:cs="Arial"/>
          <w:bCs/>
          <w:i/>
          <w:iCs/>
          <w:sz w:val="24"/>
          <w:szCs w:val="24"/>
        </w:rPr>
      </w:pPr>
      <w:r w:rsidRPr="0055260C">
        <w:rPr>
          <w:rFonts w:ascii="Arial" w:eastAsiaTheme="majorEastAsia" w:hAnsi="Arial" w:cs="Arial"/>
          <w:bCs/>
          <w:sz w:val="24"/>
          <w:szCs w:val="24"/>
        </w:rPr>
        <w:t xml:space="preserve">This </w:t>
      </w:r>
      <w:r>
        <w:rPr>
          <w:rFonts w:ascii="Arial" w:eastAsiaTheme="majorEastAsia" w:hAnsi="Arial" w:cs="Arial"/>
          <w:bCs/>
          <w:sz w:val="24"/>
          <w:szCs w:val="24"/>
        </w:rPr>
        <w:t xml:space="preserve">clause is </w:t>
      </w:r>
      <w:r w:rsidR="003A2815">
        <w:rPr>
          <w:rFonts w:ascii="Arial" w:eastAsiaTheme="majorEastAsia" w:hAnsi="Arial" w:cs="Arial"/>
          <w:bCs/>
          <w:sz w:val="24"/>
          <w:szCs w:val="24"/>
        </w:rPr>
        <w:t xml:space="preserve">a </w:t>
      </w:r>
      <w:r>
        <w:rPr>
          <w:rFonts w:ascii="Arial" w:eastAsiaTheme="majorEastAsia" w:hAnsi="Arial" w:cs="Arial"/>
          <w:bCs/>
          <w:sz w:val="24"/>
          <w:szCs w:val="24"/>
        </w:rPr>
        <w:t>consequential</w:t>
      </w:r>
      <w:r w:rsidR="003A2815">
        <w:rPr>
          <w:rFonts w:ascii="Arial" w:eastAsiaTheme="majorEastAsia" w:hAnsi="Arial" w:cs="Arial"/>
          <w:bCs/>
          <w:sz w:val="24"/>
          <w:szCs w:val="24"/>
        </w:rPr>
        <w:t xml:space="preserve"> amendment</w:t>
      </w:r>
      <w:r>
        <w:rPr>
          <w:rFonts w:ascii="Arial" w:eastAsiaTheme="majorEastAsia" w:hAnsi="Arial" w:cs="Arial"/>
          <w:bCs/>
          <w:sz w:val="24"/>
          <w:szCs w:val="24"/>
        </w:rPr>
        <w:t xml:space="preserve"> to clause 3</w:t>
      </w:r>
      <w:r w:rsidR="003A2815">
        <w:rPr>
          <w:rFonts w:ascii="Arial" w:eastAsiaTheme="majorEastAsia" w:hAnsi="Arial" w:cs="Arial"/>
          <w:bCs/>
          <w:sz w:val="24"/>
          <w:szCs w:val="24"/>
        </w:rPr>
        <w:t>4</w:t>
      </w:r>
      <w:r>
        <w:rPr>
          <w:rFonts w:ascii="Arial" w:eastAsiaTheme="majorEastAsia" w:hAnsi="Arial" w:cs="Arial"/>
          <w:bCs/>
          <w:sz w:val="24"/>
          <w:szCs w:val="24"/>
        </w:rPr>
        <w:t xml:space="preserve"> which replaces the definitions for division 6.5A of the Act. The new definitions remove the term </w:t>
      </w:r>
      <w:r w:rsidRPr="002838EC">
        <w:rPr>
          <w:rFonts w:ascii="Arial" w:eastAsiaTheme="majorEastAsia" w:hAnsi="Arial" w:cs="Arial"/>
          <w:bCs/>
          <w:i/>
          <w:iCs/>
          <w:sz w:val="24"/>
          <w:szCs w:val="24"/>
        </w:rPr>
        <w:t>PV Act</w:t>
      </w:r>
      <w:r>
        <w:rPr>
          <w:rFonts w:ascii="Arial" w:eastAsiaTheme="majorEastAsia" w:hAnsi="Arial" w:cs="Arial"/>
          <w:bCs/>
          <w:sz w:val="24"/>
          <w:szCs w:val="24"/>
        </w:rPr>
        <w:t xml:space="preserve"> and instead refer to the </w:t>
      </w:r>
      <w:r w:rsidRPr="002838EC">
        <w:rPr>
          <w:rFonts w:ascii="Arial" w:eastAsiaTheme="majorEastAsia" w:hAnsi="Arial" w:cs="Arial"/>
          <w:bCs/>
          <w:i/>
          <w:iCs/>
          <w:sz w:val="24"/>
          <w:szCs w:val="24"/>
        </w:rPr>
        <w:t>Personal</w:t>
      </w:r>
      <w:r>
        <w:rPr>
          <w:rFonts w:ascii="Arial" w:eastAsiaTheme="majorEastAsia" w:hAnsi="Arial" w:cs="Arial"/>
          <w:bCs/>
          <w:i/>
          <w:iCs/>
          <w:sz w:val="24"/>
          <w:szCs w:val="24"/>
        </w:rPr>
        <w:t xml:space="preserve"> Violence Act 2016. </w:t>
      </w:r>
    </w:p>
    <w:p w14:paraId="678ABA38" w14:textId="77777777" w:rsidR="00AC6D4F" w:rsidRPr="0055260C" w:rsidRDefault="00AC6D4F" w:rsidP="00AC6D4F">
      <w:pPr>
        <w:rPr>
          <w:rFonts w:ascii="Arial" w:eastAsiaTheme="majorEastAsia" w:hAnsi="Arial" w:cs="Arial"/>
          <w:bCs/>
          <w:sz w:val="24"/>
          <w:szCs w:val="24"/>
        </w:rPr>
      </w:pPr>
      <w:r>
        <w:rPr>
          <w:rFonts w:ascii="Arial" w:eastAsiaTheme="majorEastAsia" w:hAnsi="Arial" w:cs="Arial"/>
          <w:bCs/>
          <w:sz w:val="24"/>
          <w:szCs w:val="24"/>
        </w:rPr>
        <w:t xml:space="preserve">This clause omits the term </w:t>
      </w:r>
      <w:r w:rsidRPr="002838EC">
        <w:rPr>
          <w:rFonts w:ascii="Arial" w:eastAsiaTheme="majorEastAsia" w:hAnsi="Arial" w:cs="Arial"/>
          <w:bCs/>
          <w:i/>
          <w:iCs/>
          <w:sz w:val="24"/>
          <w:szCs w:val="24"/>
        </w:rPr>
        <w:t>PV Act</w:t>
      </w:r>
      <w:r>
        <w:rPr>
          <w:rFonts w:ascii="Arial" w:eastAsiaTheme="majorEastAsia" w:hAnsi="Arial" w:cs="Arial"/>
          <w:bCs/>
          <w:sz w:val="24"/>
          <w:szCs w:val="24"/>
        </w:rPr>
        <w:t xml:space="preserve"> from the Dictionary as the term no longer used in the RTA. </w:t>
      </w:r>
    </w:p>
    <w:p w14:paraId="5016D38E" w14:textId="750BEF6C" w:rsidR="00AC6D4F" w:rsidRPr="00264F34" w:rsidRDefault="00AC6D4F" w:rsidP="00AC6D4F">
      <w:pPr>
        <w:rPr>
          <w:rFonts w:ascii="Arial" w:eastAsiaTheme="majorEastAsia" w:hAnsi="Arial" w:cs="Arial"/>
          <w:b/>
          <w:i/>
          <w:iCs/>
          <w:sz w:val="24"/>
          <w:szCs w:val="24"/>
        </w:rPr>
      </w:pPr>
      <w:r w:rsidRPr="00264F34">
        <w:rPr>
          <w:rFonts w:ascii="Arial" w:eastAsiaTheme="majorEastAsia" w:hAnsi="Arial" w:cs="Arial"/>
          <w:b/>
          <w:sz w:val="24"/>
          <w:szCs w:val="24"/>
        </w:rPr>
        <w:t>Clause 5</w:t>
      </w:r>
      <w:r w:rsidR="00670D80">
        <w:rPr>
          <w:rFonts w:ascii="Arial" w:eastAsiaTheme="majorEastAsia" w:hAnsi="Arial" w:cs="Arial"/>
          <w:b/>
          <w:sz w:val="24"/>
          <w:szCs w:val="24"/>
        </w:rPr>
        <w:t>6</w:t>
      </w:r>
      <w:r w:rsidRPr="00264F34">
        <w:rPr>
          <w:rFonts w:ascii="Arial" w:eastAsiaTheme="majorEastAsia" w:hAnsi="Arial" w:cs="Arial"/>
          <w:b/>
          <w:sz w:val="24"/>
          <w:szCs w:val="24"/>
        </w:rPr>
        <w:tab/>
        <w:t xml:space="preserve">Dictionary, definition of </w:t>
      </w:r>
      <w:r w:rsidRPr="00264F34">
        <w:rPr>
          <w:rFonts w:ascii="Arial" w:eastAsiaTheme="majorEastAsia" w:hAnsi="Arial" w:cs="Arial"/>
          <w:b/>
          <w:i/>
          <w:iCs/>
          <w:sz w:val="24"/>
          <w:szCs w:val="24"/>
        </w:rPr>
        <w:t>respondent</w:t>
      </w:r>
    </w:p>
    <w:p w14:paraId="16BEC6EE" w14:textId="649F82D4" w:rsidR="00AC6D4F" w:rsidRDefault="00AC6D4F" w:rsidP="00AC6D4F">
      <w:pPr>
        <w:rPr>
          <w:rFonts w:ascii="Arial" w:eastAsiaTheme="majorEastAsia" w:hAnsi="Arial" w:cs="Arial"/>
          <w:bCs/>
          <w:sz w:val="24"/>
          <w:szCs w:val="24"/>
        </w:rPr>
      </w:pPr>
      <w:r w:rsidRPr="00264F34">
        <w:rPr>
          <w:rFonts w:ascii="Arial" w:eastAsiaTheme="majorEastAsia" w:hAnsi="Arial" w:cs="Arial"/>
          <w:bCs/>
          <w:sz w:val="24"/>
          <w:szCs w:val="24"/>
        </w:rPr>
        <w:t xml:space="preserve">This clause is a consequential </w:t>
      </w:r>
      <w:r w:rsidR="003A2815">
        <w:rPr>
          <w:rFonts w:ascii="Arial" w:eastAsiaTheme="majorEastAsia" w:hAnsi="Arial" w:cs="Arial"/>
          <w:bCs/>
          <w:sz w:val="24"/>
          <w:szCs w:val="24"/>
        </w:rPr>
        <w:t xml:space="preserve">amendment </w:t>
      </w:r>
      <w:r>
        <w:rPr>
          <w:rFonts w:ascii="Arial" w:eastAsiaTheme="majorEastAsia" w:hAnsi="Arial" w:cs="Arial"/>
          <w:bCs/>
          <w:sz w:val="24"/>
          <w:szCs w:val="24"/>
        </w:rPr>
        <w:t xml:space="preserve">to clause </w:t>
      </w:r>
      <w:r w:rsidRPr="005A14D5">
        <w:rPr>
          <w:rFonts w:ascii="Arial" w:eastAsiaTheme="majorEastAsia" w:hAnsi="Arial" w:cs="Arial"/>
          <w:bCs/>
          <w:sz w:val="24"/>
          <w:szCs w:val="24"/>
        </w:rPr>
        <w:t>3</w:t>
      </w:r>
      <w:r w:rsidR="003A2815" w:rsidRPr="005A14D5">
        <w:rPr>
          <w:rFonts w:ascii="Arial" w:eastAsiaTheme="majorEastAsia" w:hAnsi="Arial" w:cs="Arial"/>
          <w:bCs/>
          <w:sz w:val="24"/>
          <w:szCs w:val="24"/>
        </w:rPr>
        <w:t>4</w:t>
      </w:r>
      <w:r>
        <w:rPr>
          <w:rFonts w:ascii="Arial" w:eastAsiaTheme="majorEastAsia" w:hAnsi="Arial" w:cs="Arial"/>
          <w:bCs/>
          <w:sz w:val="24"/>
          <w:szCs w:val="24"/>
        </w:rPr>
        <w:t xml:space="preserve"> which replaces the definitions for division 6.5A of the Act. This </w:t>
      </w:r>
      <w:r w:rsidRPr="00264F34">
        <w:rPr>
          <w:rFonts w:ascii="Arial" w:eastAsiaTheme="majorEastAsia" w:hAnsi="Arial" w:cs="Arial"/>
          <w:bCs/>
          <w:sz w:val="24"/>
          <w:szCs w:val="24"/>
        </w:rPr>
        <w:t xml:space="preserve">amendment omits a reference to section 85 (1) within the definition of </w:t>
      </w:r>
      <w:r w:rsidRPr="00264F34">
        <w:rPr>
          <w:rFonts w:ascii="Arial" w:eastAsiaTheme="majorEastAsia" w:hAnsi="Arial" w:cs="Arial"/>
          <w:b/>
          <w:i/>
          <w:iCs/>
          <w:sz w:val="24"/>
          <w:szCs w:val="24"/>
        </w:rPr>
        <w:t>respondent</w:t>
      </w:r>
      <w:r w:rsidRPr="00264F34">
        <w:rPr>
          <w:rFonts w:ascii="Arial" w:eastAsiaTheme="majorEastAsia" w:hAnsi="Arial" w:cs="Arial"/>
          <w:bCs/>
          <w:sz w:val="24"/>
          <w:szCs w:val="24"/>
        </w:rPr>
        <w:t xml:space="preserve"> and substitutes it with a reference to section 85.</w:t>
      </w:r>
    </w:p>
    <w:p w14:paraId="2FE251DB" w14:textId="3A05D9C8" w:rsidR="00AC6D4F" w:rsidRDefault="00AC6D4F" w:rsidP="00AC6D4F">
      <w:pPr>
        <w:rPr>
          <w:rFonts w:ascii="Arial" w:eastAsiaTheme="majorEastAsia" w:hAnsi="Arial" w:cs="Arial"/>
          <w:b/>
          <w:i/>
          <w:iCs/>
          <w:sz w:val="24"/>
          <w:szCs w:val="24"/>
        </w:rPr>
      </w:pPr>
      <w:r w:rsidRPr="002838EC">
        <w:rPr>
          <w:rFonts w:ascii="Arial" w:eastAsiaTheme="majorEastAsia" w:hAnsi="Arial" w:cs="Arial"/>
          <w:b/>
          <w:sz w:val="24"/>
          <w:szCs w:val="24"/>
        </w:rPr>
        <w:t>Clause 5</w:t>
      </w:r>
      <w:r w:rsidR="00670D80">
        <w:rPr>
          <w:rFonts w:ascii="Arial" w:eastAsiaTheme="majorEastAsia" w:hAnsi="Arial" w:cs="Arial"/>
          <w:b/>
          <w:sz w:val="24"/>
          <w:szCs w:val="24"/>
        </w:rPr>
        <w:t>7</w:t>
      </w:r>
      <w:r w:rsidRPr="002838EC">
        <w:rPr>
          <w:rFonts w:ascii="Arial" w:eastAsiaTheme="majorEastAsia" w:hAnsi="Arial" w:cs="Arial"/>
          <w:b/>
          <w:sz w:val="24"/>
          <w:szCs w:val="24"/>
        </w:rPr>
        <w:tab/>
        <w:t xml:space="preserve">Dictionary, definition of </w:t>
      </w:r>
      <w:r w:rsidRPr="002838EC">
        <w:rPr>
          <w:rFonts w:ascii="Arial" w:eastAsiaTheme="majorEastAsia" w:hAnsi="Arial" w:cs="Arial"/>
          <w:b/>
          <w:i/>
          <w:iCs/>
          <w:sz w:val="24"/>
          <w:szCs w:val="24"/>
        </w:rPr>
        <w:t>standard residential tenancy terms</w:t>
      </w:r>
    </w:p>
    <w:p w14:paraId="186B1DA5" w14:textId="77777777" w:rsidR="00AC6D4F" w:rsidRDefault="00AC6D4F" w:rsidP="00AC6D4F">
      <w:pPr>
        <w:rPr>
          <w:rFonts w:ascii="Arial" w:eastAsiaTheme="majorEastAsia" w:hAnsi="Arial" w:cs="Arial"/>
          <w:bCs/>
          <w:sz w:val="24"/>
          <w:szCs w:val="24"/>
        </w:rPr>
      </w:pPr>
      <w:r>
        <w:rPr>
          <w:rFonts w:ascii="Arial" w:eastAsiaTheme="majorEastAsia" w:hAnsi="Arial" w:cs="Arial"/>
          <w:bCs/>
          <w:sz w:val="24"/>
          <w:szCs w:val="24"/>
        </w:rPr>
        <w:t xml:space="preserve">Clause 51 substitutes the definition for the term </w:t>
      </w:r>
      <w:r>
        <w:rPr>
          <w:rFonts w:ascii="Arial" w:eastAsiaTheme="majorEastAsia" w:hAnsi="Arial" w:cs="Arial"/>
          <w:b/>
          <w:i/>
          <w:iCs/>
          <w:sz w:val="24"/>
          <w:szCs w:val="24"/>
        </w:rPr>
        <w:t>standard residential tenancy terms</w:t>
      </w:r>
      <w:r>
        <w:rPr>
          <w:rFonts w:ascii="Arial" w:eastAsiaTheme="majorEastAsia" w:hAnsi="Arial" w:cs="Arial"/>
          <w:bCs/>
          <w:sz w:val="24"/>
          <w:szCs w:val="24"/>
        </w:rPr>
        <w:t xml:space="preserve">, referred to throughout this Explanatory Statement as SRTTs. </w:t>
      </w:r>
    </w:p>
    <w:p w14:paraId="605D09AC" w14:textId="52DE7F40" w:rsidR="00AC6D4F" w:rsidRDefault="00AC6D4F" w:rsidP="00AC6D4F">
      <w:pPr>
        <w:rPr>
          <w:rFonts w:ascii="Arial" w:eastAsiaTheme="majorEastAsia" w:hAnsi="Arial" w:cs="Arial"/>
          <w:bCs/>
          <w:sz w:val="24"/>
          <w:szCs w:val="24"/>
        </w:rPr>
      </w:pPr>
      <w:r>
        <w:rPr>
          <w:rFonts w:ascii="Arial" w:eastAsiaTheme="majorEastAsia" w:hAnsi="Arial" w:cs="Arial"/>
          <w:bCs/>
          <w:sz w:val="24"/>
          <w:szCs w:val="24"/>
        </w:rPr>
        <w:t xml:space="preserve">This is a consequential amendment to clause </w:t>
      </w:r>
      <w:r w:rsidR="00E74DBD" w:rsidRPr="005A14D5">
        <w:rPr>
          <w:rFonts w:ascii="Arial" w:eastAsiaTheme="majorEastAsia" w:hAnsi="Arial" w:cs="Arial"/>
          <w:bCs/>
          <w:sz w:val="24"/>
          <w:szCs w:val="24"/>
        </w:rPr>
        <w:t>5</w:t>
      </w:r>
      <w:r>
        <w:rPr>
          <w:rFonts w:ascii="Arial" w:eastAsiaTheme="majorEastAsia" w:hAnsi="Arial" w:cs="Arial"/>
          <w:bCs/>
          <w:sz w:val="24"/>
          <w:szCs w:val="24"/>
        </w:rPr>
        <w:t xml:space="preserve"> above which amends section 8 of the RTA to clarify when particular tenancy terms will be incorporated into a tenancy agreement.</w:t>
      </w:r>
    </w:p>
    <w:p w14:paraId="6C48F74E" w14:textId="1D6130E5" w:rsidR="00AC6D4F" w:rsidRDefault="00AC6D4F" w:rsidP="00AC6D4F">
      <w:pPr>
        <w:rPr>
          <w:rFonts w:ascii="Arial" w:eastAsiaTheme="majorEastAsia" w:hAnsi="Arial" w:cs="Arial"/>
          <w:bCs/>
          <w:sz w:val="24"/>
          <w:szCs w:val="24"/>
        </w:rPr>
      </w:pPr>
      <w:r>
        <w:rPr>
          <w:rFonts w:ascii="Arial" w:eastAsiaTheme="majorEastAsia" w:hAnsi="Arial" w:cs="Arial"/>
          <w:bCs/>
          <w:sz w:val="24"/>
          <w:szCs w:val="24"/>
        </w:rPr>
        <w:t xml:space="preserve">The new definition provides that </w:t>
      </w:r>
      <w:r w:rsidR="003E67F9">
        <w:rPr>
          <w:rFonts w:ascii="Arial" w:eastAsiaTheme="majorEastAsia" w:hAnsi="Arial" w:cs="Arial"/>
          <w:b/>
          <w:i/>
          <w:iCs/>
          <w:sz w:val="24"/>
          <w:szCs w:val="24"/>
        </w:rPr>
        <w:t>s</w:t>
      </w:r>
      <w:r>
        <w:rPr>
          <w:rFonts w:ascii="Arial" w:eastAsiaTheme="majorEastAsia" w:hAnsi="Arial" w:cs="Arial"/>
          <w:b/>
          <w:i/>
          <w:iCs/>
          <w:sz w:val="24"/>
          <w:szCs w:val="24"/>
        </w:rPr>
        <w:t xml:space="preserve">tandard residential tenancy terms </w:t>
      </w:r>
      <w:r>
        <w:rPr>
          <w:rFonts w:ascii="Arial" w:eastAsiaTheme="majorEastAsia" w:hAnsi="Arial" w:cs="Arial"/>
          <w:bCs/>
          <w:sz w:val="24"/>
          <w:szCs w:val="24"/>
        </w:rPr>
        <w:t>means (i) the standard residential tenancy terms mentioned in schedule 1; and (ii) any additional terms in schedule 2 that, under section 8 (1) (b) to (g), is taken to be included in a residential tenancy agreement. It further clarifies that standard residential tenancy terms do not include a term mentioned in section 8 (1) (h), which is any other term that the lessor and tenant have agreed to include that: (i)</w:t>
      </w:r>
      <w:r w:rsidRPr="0056579A">
        <w:rPr>
          <w:rFonts w:ascii="Arial" w:eastAsiaTheme="majorEastAsia" w:hAnsi="Arial" w:cs="Arial"/>
          <w:bCs/>
          <w:sz w:val="24"/>
          <w:szCs w:val="24"/>
        </w:rPr>
        <w:t xml:space="preserve"> is consistent with the standard residential tenancy terms; or (ii) that is inconsistent with </w:t>
      </w:r>
      <w:r>
        <w:rPr>
          <w:rFonts w:ascii="Arial" w:eastAsiaTheme="majorEastAsia" w:hAnsi="Arial" w:cs="Arial"/>
          <w:bCs/>
          <w:sz w:val="24"/>
          <w:szCs w:val="24"/>
        </w:rPr>
        <w:t>the</w:t>
      </w:r>
      <w:r w:rsidRPr="0056579A">
        <w:rPr>
          <w:rFonts w:ascii="Arial" w:eastAsiaTheme="majorEastAsia" w:hAnsi="Arial" w:cs="Arial"/>
          <w:bCs/>
          <w:sz w:val="24"/>
          <w:szCs w:val="24"/>
        </w:rPr>
        <w:t xml:space="preserve"> standard residential tenancy terms but has been endorsed by </w:t>
      </w:r>
      <w:r>
        <w:rPr>
          <w:rFonts w:ascii="Arial" w:eastAsiaTheme="majorEastAsia" w:hAnsi="Arial" w:cs="Arial"/>
          <w:bCs/>
          <w:sz w:val="24"/>
          <w:szCs w:val="24"/>
        </w:rPr>
        <w:t>ACAT</w:t>
      </w:r>
      <w:r w:rsidRPr="0056579A">
        <w:rPr>
          <w:rFonts w:ascii="Arial" w:eastAsiaTheme="majorEastAsia" w:hAnsi="Arial" w:cs="Arial"/>
          <w:bCs/>
          <w:sz w:val="24"/>
          <w:szCs w:val="24"/>
        </w:rPr>
        <w:t xml:space="preserve"> under section 10.</w:t>
      </w:r>
    </w:p>
    <w:p w14:paraId="5E9B90E6" w14:textId="4EDAE428" w:rsidR="00670D80" w:rsidRDefault="00670D80" w:rsidP="00AC6D4F">
      <w:pPr>
        <w:rPr>
          <w:rFonts w:ascii="Arial" w:eastAsiaTheme="majorEastAsia" w:hAnsi="Arial" w:cs="Arial"/>
          <w:bCs/>
          <w:sz w:val="24"/>
          <w:szCs w:val="24"/>
        </w:rPr>
      </w:pPr>
      <w:r w:rsidRPr="005A14D5">
        <w:rPr>
          <w:rFonts w:ascii="Arial" w:eastAsiaTheme="majorEastAsia" w:hAnsi="Arial" w:cs="Arial"/>
          <w:b/>
          <w:sz w:val="24"/>
          <w:szCs w:val="24"/>
        </w:rPr>
        <w:t>Clause 58</w:t>
      </w:r>
      <w:r>
        <w:rPr>
          <w:rFonts w:ascii="Arial" w:eastAsiaTheme="majorEastAsia" w:hAnsi="Arial" w:cs="Arial"/>
          <w:bCs/>
          <w:sz w:val="24"/>
          <w:szCs w:val="24"/>
        </w:rPr>
        <w:t xml:space="preserve"> </w:t>
      </w:r>
      <w:r w:rsidRPr="002838EC">
        <w:rPr>
          <w:rFonts w:ascii="Arial" w:eastAsiaTheme="majorEastAsia" w:hAnsi="Arial" w:cs="Arial"/>
          <w:b/>
          <w:sz w:val="24"/>
          <w:szCs w:val="24"/>
        </w:rPr>
        <w:t>Dictionary, definition of</w:t>
      </w:r>
      <w:r>
        <w:rPr>
          <w:rFonts w:ascii="Arial" w:eastAsiaTheme="majorEastAsia" w:hAnsi="Arial" w:cs="Arial"/>
          <w:b/>
          <w:sz w:val="24"/>
          <w:szCs w:val="24"/>
        </w:rPr>
        <w:t xml:space="preserve"> </w:t>
      </w:r>
      <w:r>
        <w:rPr>
          <w:rFonts w:ascii="Arial" w:eastAsiaTheme="majorEastAsia" w:hAnsi="Arial" w:cs="Arial"/>
          <w:b/>
          <w:i/>
          <w:iCs/>
          <w:sz w:val="24"/>
          <w:szCs w:val="24"/>
        </w:rPr>
        <w:t>temporary housing assistance</w:t>
      </w:r>
    </w:p>
    <w:p w14:paraId="4ECB018D" w14:textId="65613E2F" w:rsidR="00445F2C" w:rsidRPr="00445F2C" w:rsidRDefault="00445F2C" w:rsidP="00AC6D4F">
      <w:pPr>
        <w:rPr>
          <w:rFonts w:ascii="Arial" w:eastAsiaTheme="majorEastAsia" w:hAnsi="Arial" w:cs="Arial"/>
          <w:bCs/>
          <w:sz w:val="24"/>
          <w:szCs w:val="24"/>
        </w:rPr>
      </w:pPr>
      <w:r>
        <w:rPr>
          <w:rFonts w:ascii="Arial" w:eastAsiaTheme="majorEastAsia" w:hAnsi="Arial" w:cs="Arial"/>
          <w:bCs/>
          <w:sz w:val="24"/>
          <w:szCs w:val="24"/>
        </w:rPr>
        <w:t xml:space="preserve">This clause also introduces </w:t>
      </w:r>
      <w:r>
        <w:rPr>
          <w:rFonts w:ascii="Arial" w:eastAsiaTheme="majorEastAsia" w:hAnsi="Arial" w:cs="Arial"/>
          <w:b/>
          <w:i/>
          <w:iCs/>
          <w:sz w:val="24"/>
          <w:szCs w:val="24"/>
        </w:rPr>
        <w:t xml:space="preserve">temporary housing assistance </w:t>
      </w:r>
      <w:r>
        <w:rPr>
          <w:rFonts w:ascii="Arial" w:eastAsiaTheme="majorEastAsia" w:hAnsi="Arial" w:cs="Arial"/>
          <w:bCs/>
          <w:sz w:val="24"/>
          <w:szCs w:val="24"/>
        </w:rPr>
        <w:t xml:space="preserve">as a defined term. The definition of </w:t>
      </w:r>
      <w:r>
        <w:rPr>
          <w:rFonts w:ascii="Arial" w:eastAsiaTheme="majorEastAsia" w:hAnsi="Arial" w:cs="Arial"/>
          <w:b/>
          <w:i/>
          <w:iCs/>
          <w:sz w:val="24"/>
          <w:szCs w:val="24"/>
        </w:rPr>
        <w:t xml:space="preserve">temporary housing assistance </w:t>
      </w:r>
      <w:r>
        <w:rPr>
          <w:rFonts w:ascii="Arial" w:eastAsiaTheme="majorEastAsia" w:hAnsi="Arial" w:cs="Arial"/>
          <w:bCs/>
          <w:sz w:val="24"/>
          <w:szCs w:val="24"/>
        </w:rPr>
        <w:t>refers the reader to the dictionary of the HAA.</w:t>
      </w:r>
    </w:p>
    <w:p w14:paraId="3219B129" w14:textId="758E0BA0" w:rsidR="00AC6D4F" w:rsidRPr="00264F34" w:rsidRDefault="00AC6D4F" w:rsidP="00AC6D4F">
      <w:pPr>
        <w:rPr>
          <w:rFonts w:ascii="Arial" w:eastAsiaTheme="majorEastAsia" w:hAnsi="Arial" w:cs="Arial"/>
          <w:b/>
          <w:sz w:val="24"/>
          <w:szCs w:val="24"/>
        </w:rPr>
      </w:pPr>
      <w:r w:rsidRPr="00F20978">
        <w:rPr>
          <w:rFonts w:ascii="Arial" w:eastAsiaTheme="majorEastAsia" w:hAnsi="Arial" w:cs="Arial"/>
          <w:b/>
          <w:sz w:val="24"/>
          <w:szCs w:val="24"/>
        </w:rPr>
        <w:t>Clause 5</w:t>
      </w:r>
      <w:r w:rsidR="00670D80">
        <w:rPr>
          <w:rFonts w:ascii="Arial" w:eastAsiaTheme="majorEastAsia" w:hAnsi="Arial" w:cs="Arial"/>
          <w:b/>
          <w:sz w:val="24"/>
          <w:szCs w:val="24"/>
        </w:rPr>
        <w:t>9</w:t>
      </w:r>
      <w:r w:rsidRPr="00264F34">
        <w:rPr>
          <w:rFonts w:ascii="Arial" w:eastAsiaTheme="majorEastAsia" w:hAnsi="Arial" w:cs="Arial"/>
          <w:b/>
          <w:sz w:val="24"/>
          <w:szCs w:val="24"/>
        </w:rPr>
        <w:tab/>
        <w:t>Dictionary, definition</w:t>
      </w:r>
      <w:r>
        <w:rPr>
          <w:rFonts w:ascii="Arial" w:eastAsiaTheme="majorEastAsia" w:hAnsi="Arial" w:cs="Arial"/>
          <w:b/>
          <w:sz w:val="24"/>
          <w:szCs w:val="24"/>
        </w:rPr>
        <w:t xml:space="preserve"> of </w:t>
      </w:r>
      <w:r w:rsidRPr="00264F34">
        <w:rPr>
          <w:rFonts w:ascii="Arial" w:hAnsi="Arial" w:cs="Arial"/>
          <w:b/>
          <w:bCs/>
          <w:i/>
          <w:iCs/>
          <w:sz w:val="24"/>
          <w:szCs w:val="24"/>
        </w:rPr>
        <w:t>Termination notice</w:t>
      </w:r>
    </w:p>
    <w:p w14:paraId="1EAE3DA6" w14:textId="77777777" w:rsidR="00AC6D4F" w:rsidRPr="00517B57" w:rsidRDefault="00AC6D4F" w:rsidP="00AC6D4F">
      <w:pPr>
        <w:rPr>
          <w:rFonts w:ascii="Arial" w:hAnsi="Arial" w:cs="Arial"/>
          <w:sz w:val="24"/>
          <w:szCs w:val="24"/>
        </w:rPr>
      </w:pPr>
      <w:r>
        <w:rPr>
          <w:rFonts w:ascii="Arial" w:hAnsi="Arial" w:cs="Arial"/>
          <w:sz w:val="24"/>
          <w:szCs w:val="24"/>
        </w:rPr>
        <w:t xml:space="preserve">This clause </w:t>
      </w:r>
      <w:r w:rsidRPr="00F20978">
        <w:rPr>
          <w:rFonts w:ascii="Arial" w:hAnsi="Arial" w:cs="Arial"/>
          <w:sz w:val="24"/>
          <w:szCs w:val="24"/>
        </w:rPr>
        <w:t>substitutes</w:t>
      </w:r>
      <w:r>
        <w:rPr>
          <w:rFonts w:ascii="Arial" w:hAnsi="Arial" w:cs="Arial"/>
          <w:sz w:val="24"/>
          <w:szCs w:val="24"/>
        </w:rPr>
        <w:t xml:space="preserve"> the definition of </w:t>
      </w:r>
      <w:r w:rsidRPr="00517B57">
        <w:rPr>
          <w:rFonts w:ascii="Arial" w:hAnsi="Arial" w:cs="Arial"/>
          <w:b/>
          <w:bCs/>
          <w:i/>
          <w:iCs/>
          <w:sz w:val="24"/>
          <w:szCs w:val="24"/>
        </w:rPr>
        <w:t>termination notice</w:t>
      </w:r>
      <w:r>
        <w:rPr>
          <w:rFonts w:ascii="Arial" w:hAnsi="Arial" w:cs="Arial"/>
          <w:sz w:val="24"/>
          <w:szCs w:val="24"/>
        </w:rPr>
        <w:t xml:space="preserve"> </w:t>
      </w:r>
    </w:p>
    <w:p w14:paraId="1D7FD549" w14:textId="6EC82F97" w:rsidR="00AC6D4F" w:rsidRPr="0048099F" w:rsidRDefault="00AC6D4F" w:rsidP="00AC6D4F">
      <w:pPr>
        <w:rPr>
          <w:rFonts w:ascii="Arial" w:eastAsiaTheme="majorEastAsia" w:hAnsi="Arial" w:cs="Arial"/>
          <w:bCs/>
          <w:sz w:val="24"/>
          <w:szCs w:val="24"/>
        </w:rPr>
      </w:pPr>
      <w:r w:rsidRPr="00517B57">
        <w:rPr>
          <w:rFonts w:ascii="Arial" w:hAnsi="Arial" w:cs="Arial"/>
          <w:sz w:val="24"/>
          <w:szCs w:val="24"/>
        </w:rPr>
        <w:lastRenderedPageBreak/>
        <w:t>The</w:t>
      </w:r>
      <w:r>
        <w:rPr>
          <w:rFonts w:ascii="Arial" w:hAnsi="Arial" w:cs="Arial"/>
          <w:b/>
          <w:bCs/>
          <w:i/>
          <w:iCs/>
          <w:sz w:val="24"/>
          <w:szCs w:val="24"/>
        </w:rPr>
        <w:t xml:space="preserve"> </w:t>
      </w:r>
      <w:r w:rsidRPr="00517B57">
        <w:rPr>
          <w:rFonts w:ascii="Arial" w:hAnsi="Arial" w:cs="Arial"/>
          <w:sz w:val="24"/>
          <w:szCs w:val="24"/>
        </w:rPr>
        <w:t>substit</w:t>
      </w:r>
      <w:r>
        <w:rPr>
          <w:rFonts w:ascii="Arial" w:hAnsi="Arial" w:cs="Arial"/>
          <w:sz w:val="24"/>
          <w:szCs w:val="24"/>
        </w:rPr>
        <w:t>ut</w:t>
      </w:r>
      <w:r w:rsidRPr="00517B57">
        <w:rPr>
          <w:rFonts w:ascii="Arial" w:hAnsi="Arial" w:cs="Arial"/>
          <w:sz w:val="24"/>
          <w:szCs w:val="24"/>
        </w:rPr>
        <w:t>ed definition of</w:t>
      </w:r>
      <w:r>
        <w:rPr>
          <w:rFonts w:ascii="Arial" w:hAnsi="Arial" w:cs="Arial"/>
          <w:b/>
          <w:bCs/>
          <w:sz w:val="24"/>
          <w:szCs w:val="24"/>
        </w:rPr>
        <w:t xml:space="preserve"> </w:t>
      </w:r>
      <w:r w:rsidRPr="00517B57">
        <w:rPr>
          <w:rFonts w:ascii="Arial" w:hAnsi="Arial" w:cs="Arial"/>
          <w:i/>
          <w:iCs/>
          <w:sz w:val="24"/>
          <w:szCs w:val="24"/>
        </w:rPr>
        <w:t xml:space="preserve">termination notice </w:t>
      </w:r>
      <w:r w:rsidRPr="00517B57">
        <w:rPr>
          <w:rFonts w:ascii="Arial" w:hAnsi="Arial" w:cs="Arial"/>
          <w:sz w:val="24"/>
          <w:szCs w:val="24"/>
        </w:rPr>
        <w:t>provides that a</w:t>
      </w:r>
      <w:r>
        <w:rPr>
          <w:rFonts w:ascii="Arial" w:hAnsi="Arial" w:cs="Arial"/>
          <w:b/>
          <w:bCs/>
          <w:sz w:val="24"/>
          <w:szCs w:val="24"/>
        </w:rPr>
        <w:t xml:space="preserve"> t</w:t>
      </w:r>
      <w:r w:rsidRPr="00517B57">
        <w:rPr>
          <w:rFonts w:ascii="Arial" w:hAnsi="Arial" w:cs="Arial"/>
          <w:b/>
          <w:bCs/>
          <w:i/>
          <w:iCs/>
          <w:sz w:val="24"/>
          <w:szCs w:val="24"/>
        </w:rPr>
        <w:t xml:space="preserve">ermination </w:t>
      </w:r>
      <w:r w:rsidR="003C5AF6">
        <w:rPr>
          <w:rFonts w:ascii="Arial" w:hAnsi="Arial" w:cs="Arial"/>
          <w:b/>
          <w:bCs/>
          <w:i/>
          <w:iCs/>
          <w:sz w:val="24"/>
          <w:szCs w:val="24"/>
        </w:rPr>
        <w:t>n</w:t>
      </w:r>
      <w:r w:rsidRPr="00517B57">
        <w:rPr>
          <w:rFonts w:ascii="Arial" w:hAnsi="Arial" w:cs="Arial"/>
          <w:b/>
          <w:bCs/>
          <w:i/>
          <w:iCs/>
          <w:sz w:val="24"/>
          <w:szCs w:val="24"/>
        </w:rPr>
        <w:t>otice</w:t>
      </w:r>
      <w:r>
        <w:rPr>
          <w:rFonts w:ascii="Arial" w:hAnsi="Arial" w:cs="Arial"/>
          <w:b/>
          <w:bCs/>
          <w:sz w:val="24"/>
          <w:szCs w:val="24"/>
        </w:rPr>
        <w:t xml:space="preserve"> </w:t>
      </w:r>
      <w:r w:rsidRPr="00264F34">
        <w:rPr>
          <w:rFonts w:ascii="Arial" w:hAnsi="Arial" w:cs="Arial"/>
          <w:sz w:val="24"/>
          <w:szCs w:val="24"/>
        </w:rPr>
        <w:t>means a written notice that – (a) if there is a form approved under section 133 (Approved forms – Minister) for a termination notice – is in the approved form; and (b) if there is no form approved under section 133 (Approved forms – Minister) – contains the information required by the standard residential tenancy terms; and (c) is served in accordance with the RTA.</w:t>
      </w:r>
    </w:p>
    <w:p w14:paraId="4C260C0A" w14:textId="77777777" w:rsidR="00AC6D4F" w:rsidRPr="0048099F" w:rsidRDefault="00AC6D4F" w:rsidP="00AC6D4F">
      <w:pPr>
        <w:rPr>
          <w:rFonts w:ascii="Arial" w:eastAsiaTheme="majorEastAsia" w:hAnsi="Arial" w:cs="Arial"/>
          <w:b/>
          <w:i/>
          <w:iCs/>
          <w:sz w:val="24"/>
          <w:szCs w:val="24"/>
        </w:rPr>
      </w:pPr>
      <w:r w:rsidRPr="0048099F">
        <w:rPr>
          <w:rFonts w:ascii="Arial" w:eastAsiaTheme="majorEastAsia" w:hAnsi="Arial" w:cs="Arial"/>
          <w:b/>
          <w:sz w:val="24"/>
          <w:szCs w:val="24"/>
        </w:rPr>
        <w:t>Part 3</w:t>
      </w:r>
      <w:r w:rsidRPr="0048099F">
        <w:rPr>
          <w:rFonts w:ascii="Arial" w:eastAsiaTheme="majorEastAsia" w:hAnsi="Arial" w:cs="Arial"/>
          <w:b/>
          <w:sz w:val="24"/>
          <w:szCs w:val="24"/>
        </w:rPr>
        <w:tab/>
      </w:r>
      <w:r w:rsidRPr="0048099F">
        <w:rPr>
          <w:rFonts w:ascii="Arial" w:eastAsiaTheme="majorEastAsia" w:hAnsi="Arial" w:cs="Arial"/>
          <w:b/>
          <w:sz w:val="24"/>
          <w:szCs w:val="24"/>
        </w:rPr>
        <w:tab/>
      </w:r>
      <w:r w:rsidRPr="0048099F">
        <w:rPr>
          <w:rFonts w:ascii="Arial" w:eastAsiaTheme="majorEastAsia" w:hAnsi="Arial" w:cs="Arial"/>
          <w:b/>
          <w:i/>
          <w:iCs/>
          <w:sz w:val="24"/>
          <w:szCs w:val="24"/>
        </w:rPr>
        <w:t>Residential Tenancies Regulations 1998</w:t>
      </w:r>
    </w:p>
    <w:p w14:paraId="6AA8B026" w14:textId="6F888773" w:rsidR="00AC6D4F" w:rsidRPr="0048099F" w:rsidRDefault="00AC6D4F" w:rsidP="00AC6D4F">
      <w:pPr>
        <w:rPr>
          <w:rFonts w:ascii="Arial" w:eastAsiaTheme="majorEastAsia" w:hAnsi="Arial" w:cs="Arial"/>
          <w:b/>
          <w:sz w:val="24"/>
          <w:szCs w:val="24"/>
        </w:rPr>
      </w:pPr>
      <w:r w:rsidRPr="00517B57">
        <w:rPr>
          <w:rFonts w:ascii="Arial" w:eastAsiaTheme="majorEastAsia" w:hAnsi="Arial" w:cs="Arial"/>
          <w:b/>
          <w:sz w:val="24"/>
          <w:szCs w:val="24"/>
        </w:rPr>
        <w:t xml:space="preserve">Clause </w:t>
      </w:r>
      <w:r w:rsidR="00670D80">
        <w:rPr>
          <w:rFonts w:ascii="Arial" w:eastAsiaTheme="majorEastAsia" w:hAnsi="Arial" w:cs="Arial"/>
          <w:b/>
          <w:sz w:val="24"/>
          <w:szCs w:val="24"/>
        </w:rPr>
        <w:t>60</w:t>
      </w:r>
      <w:r w:rsidRPr="00517B57">
        <w:rPr>
          <w:rFonts w:ascii="Arial" w:eastAsiaTheme="majorEastAsia" w:hAnsi="Arial" w:cs="Arial"/>
          <w:b/>
          <w:sz w:val="24"/>
          <w:szCs w:val="24"/>
        </w:rPr>
        <w:tab/>
        <w:t>New section 5B</w:t>
      </w:r>
    </w:p>
    <w:p w14:paraId="647A9DCF" w14:textId="77777777" w:rsidR="00AC6D4F" w:rsidRPr="00264F34" w:rsidRDefault="00AC6D4F" w:rsidP="00AC6D4F">
      <w:pPr>
        <w:rPr>
          <w:rFonts w:ascii="Arial" w:hAnsi="Arial" w:cs="Arial"/>
          <w:sz w:val="24"/>
          <w:szCs w:val="24"/>
        </w:rPr>
      </w:pPr>
      <w:r w:rsidRPr="00264F34">
        <w:rPr>
          <w:rFonts w:ascii="Arial" w:hAnsi="Arial" w:cs="Arial"/>
          <w:sz w:val="24"/>
          <w:szCs w:val="24"/>
        </w:rPr>
        <w:t xml:space="preserve">This clause inserts new regulation 5B which clarifies that some garden modifications can be considered ‘minor modifications’ for the purposes of sections 71AA – 71AD and 71AG of the RTA. </w:t>
      </w:r>
    </w:p>
    <w:p w14:paraId="4F04FFA4" w14:textId="77777777" w:rsidR="00AC6D4F" w:rsidRPr="00264F34" w:rsidRDefault="00AC6D4F" w:rsidP="00AC6D4F">
      <w:pPr>
        <w:rPr>
          <w:rFonts w:ascii="Arial" w:hAnsi="Arial" w:cs="Arial"/>
          <w:sz w:val="24"/>
          <w:szCs w:val="24"/>
        </w:rPr>
      </w:pPr>
      <w:r w:rsidRPr="00264F34">
        <w:rPr>
          <w:rFonts w:ascii="Arial" w:hAnsi="Arial" w:cs="Arial"/>
          <w:sz w:val="24"/>
          <w:szCs w:val="24"/>
        </w:rPr>
        <w:t>This amendment is intended to support the ACT Climate Change Strategy 2019 – 2025, by strengthening a tenant’s ability to grow food for personal use and reduce waste by composting.</w:t>
      </w:r>
    </w:p>
    <w:p w14:paraId="0DD01092" w14:textId="77777777" w:rsidR="00AC6D4F" w:rsidRPr="00264F34" w:rsidRDefault="00AC6D4F" w:rsidP="00AC6D4F">
      <w:pPr>
        <w:rPr>
          <w:rFonts w:ascii="Arial" w:hAnsi="Arial" w:cs="Arial"/>
          <w:sz w:val="24"/>
          <w:szCs w:val="24"/>
        </w:rPr>
      </w:pPr>
      <w:r w:rsidRPr="00264F34">
        <w:rPr>
          <w:rFonts w:ascii="Arial" w:hAnsi="Arial" w:cs="Arial"/>
          <w:sz w:val="24"/>
          <w:szCs w:val="24"/>
        </w:rPr>
        <w:t>While it is likely that the existing provisions pertaining to minor modifications would reasonably include some gardening and composting modifications, this amendment explicitly confirms this position.</w:t>
      </w:r>
    </w:p>
    <w:p w14:paraId="02186A4A" w14:textId="0B12451F" w:rsidR="00AC6D4F" w:rsidRPr="00264F34" w:rsidRDefault="00AC6D4F" w:rsidP="00AC6D4F">
      <w:pPr>
        <w:rPr>
          <w:rFonts w:ascii="Arial" w:hAnsi="Arial" w:cs="Arial"/>
          <w:sz w:val="24"/>
          <w:szCs w:val="24"/>
        </w:rPr>
      </w:pPr>
      <w:r w:rsidRPr="00264F34">
        <w:rPr>
          <w:rFonts w:ascii="Arial" w:hAnsi="Arial" w:cs="Arial"/>
          <w:sz w:val="24"/>
          <w:szCs w:val="24"/>
        </w:rPr>
        <w:t xml:space="preserve">New regulation 5B provides that upon written application, a tenant may plant vegetables, fruit, flowers, herbs or shrubs (under 2 meters) if existing vegetation or plants do not need to be removed. </w:t>
      </w:r>
      <w:r w:rsidR="00267EBB">
        <w:rPr>
          <w:rFonts w:ascii="Arial" w:hAnsi="Arial" w:cs="Arial"/>
          <w:sz w:val="24"/>
          <w:szCs w:val="24"/>
        </w:rPr>
        <w:t>With</w:t>
      </w:r>
      <w:r w:rsidRPr="00264F34">
        <w:rPr>
          <w:rFonts w:ascii="Arial" w:hAnsi="Arial" w:cs="Arial"/>
          <w:sz w:val="24"/>
          <w:szCs w:val="24"/>
        </w:rPr>
        <w:t xml:space="preserve"> regard</w:t>
      </w:r>
      <w:r w:rsidR="00267EBB">
        <w:rPr>
          <w:rFonts w:ascii="Arial" w:hAnsi="Arial" w:cs="Arial"/>
          <w:sz w:val="24"/>
          <w:szCs w:val="24"/>
        </w:rPr>
        <w:t>s</w:t>
      </w:r>
      <w:r w:rsidRPr="00264F34">
        <w:rPr>
          <w:rFonts w:ascii="Arial" w:hAnsi="Arial" w:cs="Arial"/>
          <w:sz w:val="24"/>
          <w:szCs w:val="24"/>
        </w:rPr>
        <w:t xml:space="preserve"> to composting, </w:t>
      </w:r>
      <w:r w:rsidR="00267EBB">
        <w:rPr>
          <w:rFonts w:ascii="Arial" w:hAnsi="Arial" w:cs="Arial"/>
          <w:sz w:val="24"/>
          <w:szCs w:val="24"/>
        </w:rPr>
        <w:t xml:space="preserve">upon written application, a </w:t>
      </w:r>
      <w:r w:rsidRPr="00264F34">
        <w:rPr>
          <w:rFonts w:ascii="Arial" w:hAnsi="Arial" w:cs="Arial"/>
          <w:sz w:val="24"/>
          <w:szCs w:val="24"/>
        </w:rPr>
        <w:t>tenant</w:t>
      </w:r>
      <w:r w:rsidR="00267EBB">
        <w:rPr>
          <w:rFonts w:ascii="Arial" w:hAnsi="Arial" w:cs="Arial"/>
          <w:sz w:val="24"/>
          <w:szCs w:val="24"/>
        </w:rPr>
        <w:t xml:space="preserve"> may</w:t>
      </w:r>
      <w:r w:rsidRPr="00264F34">
        <w:rPr>
          <w:rFonts w:ascii="Arial" w:hAnsi="Arial" w:cs="Arial"/>
          <w:sz w:val="24"/>
          <w:szCs w:val="24"/>
        </w:rPr>
        <w:t xml:space="preserve"> use a portable composting tumbler or bin </w:t>
      </w:r>
      <w:r w:rsidR="00267EBB">
        <w:rPr>
          <w:rFonts w:ascii="Arial" w:hAnsi="Arial" w:cs="Arial"/>
          <w:sz w:val="24"/>
          <w:szCs w:val="24"/>
        </w:rPr>
        <w:t>if existing vegetation or plants do not need to be removed</w:t>
      </w:r>
      <w:r w:rsidRPr="00264F34">
        <w:rPr>
          <w:rFonts w:ascii="Arial" w:hAnsi="Arial" w:cs="Arial"/>
          <w:sz w:val="24"/>
          <w:szCs w:val="24"/>
        </w:rPr>
        <w:t xml:space="preserve">. A lessor is unable to withhold their consent for a tenant’s application to make minor modifications unless they have obtained </w:t>
      </w:r>
      <w:r>
        <w:rPr>
          <w:rFonts w:ascii="Arial" w:hAnsi="Arial" w:cs="Arial"/>
          <w:sz w:val="24"/>
          <w:szCs w:val="24"/>
        </w:rPr>
        <w:t>ACAT</w:t>
      </w:r>
      <w:r w:rsidRPr="00264F34">
        <w:rPr>
          <w:rFonts w:ascii="Arial" w:hAnsi="Arial" w:cs="Arial"/>
          <w:sz w:val="24"/>
          <w:szCs w:val="24"/>
        </w:rPr>
        <w:t xml:space="preserve">’s prior approval. </w:t>
      </w:r>
    </w:p>
    <w:p w14:paraId="7DB243AA" w14:textId="77777777" w:rsidR="00AC6D4F" w:rsidRPr="00264F34" w:rsidRDefault="00AC6D4F" w:rsidP="00AC6D4F">
      <w:pPr>
        <w:rPr>
          <w:rFonts w:ascii="Arial" w:hAnsi="Arial" w:cs="Arial"/>
          <w:sz w:val="24"/>
          <w:szCs w:val="24"/>
        </w:rPr>
      </w:pPr>
      <w:r w:rsidRPr="00264F34">
        <w:rPr>
          <w:rFonts w:ascii="Arial" w:hAnsi="Arial" w:cs="Arial"/>
          <w:sz w:val="24"/>
          <w:szCs w:val="24"/>
        </w:rPr>
        <w:t>However, the new regulation acknowledges that there are circumstances where it would be inappropriate to limit a lessor’s ability to refuse an application to make gardening or composting modifications in this way.</w:t>
      </w:r>
    </w:p>
    <w:p w14:paraId="3ADAC619" w14:textId="2B50FA89" w:rsidR="00AC6D4F" w:rsidRPr="00264F34" w:rsidRDefault="00AC6D4F" w:rsidP="00AC6D4F">
      <w:pPr>
        <w:rPr>
          <w:rFonts w:ascii="Arial" w:hAnsi="Arial" w:cs="Arial"/>
          <w:sz w:val="24"/>
          <w:szCs w:val="24"/>
        </w:rPr>
      </w:pPr>
      <w:r w:rsidRPr="00264F34">
        <w:rPr>
          <w:rFonts w:ascii="Arial" w:hAnsi="Arial" w:cs="Arial"/>
          <w:sz w:val="24"/>
          <w:szCs w:val="24"/>
        </w:rPr>
        <w:t xml:space="preserve">Under the </w:t>
      </w:r>
      <w:r w:rsidRPr="00264F34">
        <w:rPr>
          <w:rFonts w:ascii="Arial" w:hAnsi="Arial" w:cs="Arial"/>
          <w:i/>
          <w:iCs/>
          <w:sz w:val="24"/>
          <w:szCs w:val="24"/>
        </w:rPr>
        <w:t xml:space="preserve">Unit Titles </w:t>
      </w:r>
      <w:r>
        <w:rPr>
          <w:rFonts w:ascii="Arial" w:hAnsi="Arial" w:cs="Arial"/>
          <w:i/>
          <w:iCs/>
          <w:sz w:val="24"/>
          <w:szCs w:val="24"/>
        </w:rPr>
        <w:t>(</w:t>
      </w:r>
      <w:r w:rsidRPr="00264F34">
        <w:rPr>
          <w:rFonts w:ascii="Arial" w:hAnsi="Arial" w:cs="Arial"/>
          <w:i/>
          <w:iCs/>
          <w:sz w:val="24"/>
          <w:szCs w:val="24"/>
        </w:rPr>
        <w:t>Management</w:t>
      </w:r>
      <w:r>
        <w:rPr>
          <w:rFonts w:ascii="Arial" w:hAnsi="Arial" w:cs="Arial"/>
          <w:i/>
          <w:iCs/>
          <w:sz w:val="24"/>
          <w:szCs w:val="24"/>
        </w:rPr>
        <w:t>)</w:t>
      </w:r>
      <w:r w:rsidRPr="00264F34">
        <w:rPr>
          <w:rFonts w:ascii="Arial" w:hAnsi="Arial" w:cs="Arial"/>
          <w:i/>
          <w:iCs/>
          <w:sz w:val="24"/>
          <w:szCs w:val="24"/>
        </w:rPr>
        <w:t xml:space="preserve"> Act 2011, </w:t>
      </w:r>
      <w:r w:rsidRPr="00264F34">
        <w:rPr>
          <w:rFonts w:ascii="Arial" w:hAnsi="Arial" w:cs="Arial"/>
          <w:sz w:val="24"/>
          <w:szCs w:val="24"/>
        </w:rPr>
        <w:t>any modifications to either the common area of a units plan or the balconies of class A units are subject to the rules of the owners’ corporation. These areas are also required to be maintained by the owners’ corporation. In these circumstances, the power to consent to any gardening or composting modifications does not sit with the lessor, but the owners’ corporation. As such, the above-described gardening or composting activities are not minor modifications if they impact a common area for class A or B units, the balconies of class A units</w:t>
      </w:r>
      <w:r w:rsidR="00267EBB">
        <w:rPr>
          <w:rFonts w:ascii="Arial" w:hAnsi="Arial" w:cs="Arial"/>
          <w:sz w:val="24"/>
          <w:szCs w:val="24"/>
        </w:rPr>
        <w:t>.</w:t>
      </w:r>
    </w:p>
    <w:p w14:paraId="75EE88DE" w14:textId="5CA817CF" w:rsidR="00AC6D4F" w:rsidRDefault="00AC6D4F" w:rsidP="00AC6D4F">
      <w:pPr>
        <w:rPr>
          <w:rFonts w:ascii="Arial" w:hAnsi="Arial" w:cs="Arial"/>
          <w:sz w:val="24"/>
          <w:szCs w:val="24"/>
        </w:rPr>
      </w:pPr>
      <w:r w:rsidRPr="00264F34">
        <w:rPr>
          <w:rFonts w:ascii="Arial" w:hAnsi="Arial" w:cs="Arial"/>
          <w:sz w:val="24"/>
          <w:szCs w:val="24"/>
        </w:rPr>
        <w:t xml:space="preserve">Further, the effect of paragraphs (c) is that a tenant may not make any other minor modification in a units plan unless the owners’ corporation rules allow for such a </w:t>
      </w:r>
      <w:r w:rsidRPr="00264F34">
        <w:rPr>
          <w:rFonts w:ascii="Arial" w:hAnsi="Arial" w:cs="Arial"/>
          <w:sz w:val="24"/>
          <w:szCs w:val="24"/>
        </w:rPr>
        <w:lastRenderedPageBreak/>
        <w:t>modification, and where required, the appropriate permission has been obtained from the owners corporation.</w:t>
      </w:r>
    </w:p>
    <w:p w14:paraId="5B059A0B" w14:textId="77777777" w:rsidR="00AC6D4F" w:rsidRDefault="00AC6D4F" w:rsidP="00AC6D4F">
      <w:pPr>
        <w:rPr>
          <w:rFonts w:ascii="Arial" w:hAnsi="Arial" w:cs="Arial"/>
          <w:sz w:val="24"/>
          <w:szCs w:val="24"/>
        </w:rPr>
      </w:pPr>
      <w:r>
        <w:rPr>
          <w:rFonts w:ascii="Arial" w:hAnsi="Arial" w:cs="Arial"/>
          <w:sz w:val="24"/>
          <w:szCs w:val="24"/>
        </w:rPr>
        <w:t xml:space="preserve">This section also introduces </w:t>
      </w:r>
      <w:r>
        <w:rPr>
          <w:rFonts w:ascii="Arial" w:hAnsi="Arial" w:cs="Arial"/>
          <w:b/>
          <w:bCs/>
          <w:i/>
          <w:iCs/>
          <w:sz w:val="24"/>
          <w:szCs w:val="24"/>
        </w:rPr>
        <w:t xml:space="preserve">class A unit, class B unit, common property, owners corporation </w:t>
      </w:r>
      <w:r>
        <w:rPr>
          <w:rFonts w:ascii="Arial" w:hAnsi="Arial" w:cs="Arial"/>
          <w:sz w:val="24"/>
          <w:szCs w:val="24"/>
        </w:rPr>
        <w:t xml:space="preserve">and </w:t>
      </w:r>
      <w:r>
        <w:rPr>
          <w:rFonts w:ascii="Arial" w:hAnsi="Arial" w:cs="Arial"/>
          <w:b/>
          <w:bCs/>
          <w:i/>
          <w:iCs/>
          <w:sz w:val="24"/>
          <w:szCs w:val="24"/>
        </w:rPr>
        <w:t xml:space="preserve">rule </w:t>
      </w:r>
      <w:r>
        <w:rPr>
          <w:rFonts w:ascii="Arial" w:hAnsi="Arial" w:cs="Arial"/>
          <w:sz w:val="24"/>
          <w:szCs w:val="24"/>
        </w:rPr>
        <w:t>as defined terms for the purposes of this section:</w:t>
      </w:r>
    </w:p>
    <w:p w14:paraId="00F37955" w14:textId="77777777" w:rsidR="00AC6D4F" w:rsidRDefault="00AC6D4F" w:rsidP="00AC6D4F">
      <w:pPr>
        <w:pStyle w:val="ListParagraph"/>
        <w:numPr>
          <w:ilvl w:val="0"/>
          <w:numId w:val="25"/>
        </w:numPr>
        <w:rPr>
          <w:rFonts w:ascii="Arial" w:hAnsi="Arial" w:cs="Arial"/>
          <w:sz w:val="24"/>
          <w:szCs w:val="24"/>
        </w:rPr>
      </w:pPr>
      <w:r w:rsidRPr="002838EC">
        <w:rPr>
          <w:rFonts w:ascii="Arial" w:hAnsi="Arial" w:cs="Arial"/>
          <w:b/>
          <w:bCs/>
          <w:i/>
          <w:iCs/>
          <w:sz w:val="24"/>
          <w:szCs w:val="24"/>
        </w:rPr>
        <w:t xml:space="preserve">class A unit </w:t>
      </w:r>
      <w:r w:rsidRPr="002838EC">
        <w:rPr>
          <w:rFonts w:ascii="Arial" w:hAnsi="Arial" w:cs="Arial"/>
          <w:sz w:val="24"/>
          <w:szCs w:val="24"/>
        </w:rPr>
        <w:t xml:space="preserve">refers the reader to the </w:t>
      </w:r>
      <w:r w:rsidRPr="002838EC">
        <w:rPr>
          <w:rFonts w:ascii="Arial" w:hAnsi="Arial" w:cs="Arial"/>
          <w:i/>
          <w:iCs/>
          <w:sz w:val="24"/>
          <w:szCs w:val="24"/>
        </w:rPr>
        <w:t>Unit Titles Act 2001</w:t>
      </w:r>
      <w:r w:rsidRPr="002838EC">
        <w:rPr>
          <w:rFonts w:ascii="Arial" w:hAnsi="Arial" w:cs="Arial"/>
          <w:sz w:val="24"/>
          <w:szCs w:val="24"/>
        </w:rPr>
        <w:t>, section 10.</w:t>
      </w:r>
    </w:p>
    <w:p w14:paraId="1782637C" w14:textId="77777777" w:rsidR="00AC6D4F" w:rsidRDefault="00AC6D4F" w:rsidP="00AC6D4F">
      <w:pPr>
        <w:pStyle w:val="ListParagraph"/>
        <w:numPr>
          <w:ilvl w:val="0"/>
          <w:numId w:val="25"/>
        </w:numPr>
        <w:rPr>
          <w:rFonts w:ascii="Arial" w:hAnsi="Arial" w:cs="Arial"/>
          <w:sz w:val="24"/>
          <w:szCs w:val="24"/>
        </w:rPr>
      </w:pPr>
      <w:r w:rsidRPr="00091B5D">
        <w:rPr>
          <w:rFonts w:ascii="Arial" w:hAnsi="Arial" w:cs="Arial"/>
          <w:b/>
          <w:bCs/>
          <w:i/>
          <w:iCs/>
          <w:sz w:val="24"/>
          <w:szCs w:val="24"/>
        </w:rPr>
        <w:t xml:space="preserve">class B unit </w:t>
      </w:r>
      <w:r w:rsidRPr="00091B5D">
        <w:rPr>
          <w:rFonts w:ascii="Arial" w:hAnsi="Arial" w:cs="Arial"/>
          <w:sz w:val="24"/>
          <w:szCs w:val="24"/>
        </w:rPr>
        <w:t xml:space="preserve">refers the reader to the </w:t>
      </w:r>
      <w:r w:rsidRPr="00091B5D">
        <w:rPr>
          <w:rFonts w:ascii="Arial" w:hAnsi="Arial" w:cs="Arial"/>
          <w:i/>
          <w:iCs/>
          <w:sz w:val="24"/>
          <w:szCs w:val="24"/>
        </w:rPr>
        <w:t xml:space="preserve">Unit Titles Act 2001, </w:t>
      </w:r>
      <w:r w:rsidRPr="00091B5D">
        <w:rPr>
          <w:rFonts w:ascii="Arial" w:hAnsi="Arial" w:cs="Arial"/>
          <w:sz w:val="24"/>
          <w:szCs w:val="24"/>
        </w:rPr>
        <w:t>section 11.</w:t>
      </w:r>
    </w:p>
    <w:p w14:paraId="002F48F8" w14:textId="1151304F" w:rsidR="00AC6D4F" w:rsidRPr="00091B5D" w:rsidRDefault="00AC6D4F" w:rsidP="00AC6D4F">
      <w:pPr>
        <w:pStyle w:val="ListParagraph"/>
        <w:numPr>
          <w:ilvl w:val="0"/>
          <w:numId w:val="25"/>
        </w:numPr>
        <w:rPr>
          <w:rFonts w:ascii="Arial" w:hAnsi="Arial" w:cs="Arial"/>
          <w:sz w:val="24"/>
          <w:szCs w:val="24"/>
        </w:rPr>
      </w:pPr>
      <w:r w:rsidRPr="00091B5D">
        <w:rPr>
          <w:rFonts w:ascii="Arial" w:hAnsi="Arial" w:cs="Arial"/>
          <w:b/>
          <w:bCs/>
          <w:i/>
          <w:iCs/>
          <w:sz w:val="24"/>
          <w:szCs w:val="24"/>
        </w:rPr>
        <w:t xml:space="preserve">common property </w:t>
      </w:r>
      <w:r w:rsidRPr="00091B5D">
        <w:rPr>
          <w:rFonts w:ascii="Arial" w:hAnsi="Arial" w:cs="Arial"/>
          <w:sz w:val="24"/>
          <w:szCs w:val="24"/>
        </w:rPr>
        <w:t xml:space="preserve">refers the reader to the </w:t>
      </w:r>
      <w:r w:rsidRPr="00091B5D">
        <w:rPr>
          <w:rFonts w:ascii="Arial" w:hAnsi="Arial" w:cs="Arial"/>
          <w:i/>
          <w:iCs/>
          <w:sz w:val="24"/>
          <w:szCs w:val="24"/>
        </w:rPr>
        <w:t xml:space="preserve">Unit Titles Act 2001, </w:t>
      </w:r>
      <w:r w:rsidR="00267EBB">
        <w:rPr>
          <w:rFonts w:ascii="Arial" w:hAnsi="Arial" w:cs="Arial"/>
          <w:sz w:val="24"/>
          <w:szCs w:val="24"/>
        </w:rPr>
        <w:t>section 13.</w:t>
      </w:r>
    </w:p>
    <w:p w14:paraId="310F048F" w14:textId="77777777" w:rsidR="00AC6D4F" w:rsidRPr="00091B5D" w:rsidRDefault="00AC6D4F" w:rsidP="00AC6D4F">
      <w:pPr>
        <w:pStyle w:val="ListParagraph"/>
        <w:numPr>
          <w:ilvl w:val="0"/>
          <w:numId w:val="25"/>
        </w:numPr>
        <w:rPr>
          <w:rFonts w:ascii="Arial" w:hAnsi="Arial" w:cs="Arial"/>
          <w:sz w:val="24"/>
          <w:szCs w:val="24"/>
        </w:rPr>
      </w:pPr>
      <w:r>
        <w:rPr>
          <w:rFonts w:ascii="Arial" w:hAnsi="Arial" w:cs="Arial"/>
          <w:b/>
          <w:bCs/>
          <w:i/>
          <w:iCs/>
          <w:sz w:val="24"/>
          <w:szCs w:val="24"/>
        </w:rPr>
        <w:t xml:space="preserve">owners corporation </w:t>
      </w:r>
      <w:r>
        <w:rPr>
          <w:rFonts w:ascii="Arial" w:hAnsi="Arial" w:cs="Arial"/>
          <w:sz w:val="24"/>
          <w:szCs w:val="24"/>
        </w:rPr>
        <w:t xml:space="preserve">refers the reader to the </w:t>
      </w:r>
      <w:r>
        <w:rPr>
          <w:rFonts w:ascii="Arial" w:hAnsi="Arial" w:cs="Arial"/>
          <w:i/>
          <w:iCs/>
          <w:sz w:val="24"/>
          <w:szCs w:val="24"/>
        </w:rPr>
        <w:t xml:space="preserve">Unit Titles (Management) Act 2011, </w:t>
      </w:r>
      <w:r w:rsidRPr="00091B5D">
        <w:rPr>
          <w:rFonts w:ascii="Arial" w:hAnsi="Arial" w:cs="Arial"/>
          <w:sz w:val="24"/>
          <w:szCs w:val="24"/>
        </w:rPr>
        <w:t>dictionary.</w:t>
      </w:r>
    </w:p>
    <w:p w14:paraId="282EB576" w14:textId="77777777" w:rsidR="00AC6D4F" w:rsidRDefault="00AC6D4F" w:rsidP="00AC6D4F">
      <w:pPr>
        <w:pStyle w:val="ListParagraph"/>
        <w:numPr>
          <w:ilvl w:val="0"/>
          <w:numId w:val="25"/>
        </w:numPr>
        <w:rPr>
          <w:rFonts w:ascii="Arial" w:hAnsi="Arial" w:cs="Arial"/>
          <w:sz w:val="24"/>
          <w:szCs w:val="24"/>
        </w:rPr>
      </w:pPr>
      <w:r>
        <w:rPr>
          <w:rFonts w:ascii="Arial" w:hAnsi="Arial" w:cs="Arial"/>
          <w:b/>
          <w:bCs/>
          <w:i/>
          <w:iCs/>
          <w:sz w:val="24"/>
          <w:szCs w:val="24"/>
        </w:rPr>
        <w:t xml:space="preserve">rule, </w:t>
      </w:r>
      <w:r>
        <w:rPr>
          <w:rFonts w:ascii="Arial" w:hAnsi="Arial" w:cs="Arial"/>
          <w:sz w:val="24"/>
          <w:szCs w:val="24"/>
        </w:rPr>
        <w:t xml:space="preserve">in the context of an owners’ corporation, refers the reader to the </w:t>
      </w:r>
      <w:r>
        <w:rPr>
          <w:rFonts w:ascii="Arial" w:hAnsi="Arial" w:cs="Arial"/>
          <w:i/>
          <w:iCs/>
          <w:sz w:val="24"/>
          <w:szCs w:val="24"/>
        </w:rPr>
        <w:t xml:space="preserve">Unit Titles (Management) Act 2011, </w:t>
      </w:r>
      <w:r>
        <w:rPr>
          <w:rFonts w:ascii="Arial" w:hAnsi="Arial" w:cs="Arial"/>
          <w:sz w:val="24"/>
          <w:szCs w:val="24"/>
        </w:rPr>
        <w:t>dictionary.</w:t>
      </w:r>
    </w:p>
    <w:p w14:paraId="22F42F5F" w14:textId="77777777" w:rsidR="00AC6D4F" w:rsidRPr="00091B5D" w:rsidRDefault="00AC6D4F" w:rsidP="00AC6D4F">
      <w:pPr>
        <w:pStyle w:val="ListParagraph"/>
        <w:rPr>
          <w:rFonts w:ascii="Arial" w:hAnsi="Arial" w:cs="Arial"/>
          <w:sz w:val="24"/>
          <w:szCs w:val="24"/>
        </w:rPr>
      </w:pPr>
    </w:p>
    <w:p w14:paraId="0CCA13E3" w14:textId="10D6A839" w:rsidR="00AC6D4F" w:rsidRPr="00DA1AEA" w:rsidRDefault="00AC6D4F" w:rsidP="00DA1AEA">
      <w:pPr>
        <w:rPr>
          <w:rFonts w:ascii="Arial" w:eastAsiaTheme="majorEastAsia" w:hAnsi="Arial" w:cs="Arial"/>
          <w:b/>
          <w:sz w:val="24"/>
          <w:szCs w:val="24"/>
        </w:rPr>
      </w:pPr>
      <w:bookmarkStart w:id="4" w:name="_Hlk117498092"/>
      <w:r w:rsidRPr="00DA1AEA">
        <w:rPr>
          <w:rFonts w:ascii="Arial" w:eastAsiaTheme="majorEastAsia" w:hAnsi="Arial" w:cs="Arial"/>
          <w:b/>
          <w:sz w:val="24"/>
          <w:szCs w:val="24"/>
        </w:rPr>
        <w:t xml:space="preserve">Schedule 1 Housing Assistance Act </w:t>
      </w:r>
      <w:r w:rsidR="003C5AF6">
        <w:rPr>
          <w:rFonts w:ascii="Arial" w:eastAsiaTheme="majorEastAsia" w:hAnsi="Arial" w:cs="Arial"/>
          <w:b/>
          <w:sz w:val="24"/>
          <w:szCs w:val="24"/>
        </w:rPr>
        <w:t>– Other amendments</w:t>
      </w:r>
    </w:p>
    <w:p w14:paraId="3F69A86B" w14:textId="77777777" w:rsidR="00AC6D4F" w:rsidRDefault="00AC6D4F" w:rsidP="00AC6D4F">
      <w:pPr>
        <w:pStyle w:val="Heading3"/>
      </w:pPr>
      <w:r w:rsidRPr="00067735">
        <w:t>[1.1]</w:t>
      </w:r>
      <w:r w:rsidRPr="00067735">
        <w:tab/>
        <w:t xml:space="preserve">Sections </w:t>
      </w:r>
      <w:r>
        <w:t>20 and 21</w:t>
      </w:r>
    </w:p>
    <w:p w14:paraId="536EF4DD" w14:textId="5F33027B" w:rsidR="00AC6D4F" w:rsidRDefault="00AC6D4F" w:rsidP="00AC6D4F">
      <w:pPr>
        <w:rPr>
          <w:rFonts w:ascii="Arial" w:hAnsi="Arial" w:cs="Arial"/>
          <w:sz w:val="24"/>
          <w:szCs w:val="24"/>
        </w:rPr>
      </w:pPr>
      <w:r w:rsidRPr="00067735">
        <w:rPr>
          <w:rFonts w:ascii="Arial" w:hAnsi="Arial" w:cs="Arial"/>
          <w:sz w:val="24"/>
          <w:szCs w:val="24"/>
        </w:rPr>
        <w:t xml:space="preserve">This </w:t>
      </w:r>
      <w:r>
        <w:rPr>
          <w:rFonts w:ascii="Arial" w:hAnsi="Arial" w:cs="Arial"/>
          <w:sz w:val="24"/>
          <w:szCs w:val="24"/>
        </w:rPr>
        <w:t xml:space="preserve">clause substitutes sections 20 and 21 of the </w:t>
      </w:r>
      <w:r w:rsidRPr="00F20978">
        <w:rPr>
          <w:rFonts w:ascii="Arial" w:hAnsi="Arial" w:cs="Arial"/>
          <w:sz w:val="24"/>
          <w:szCs w:val="24"/>
        </w:rPr>
        <w:t>HAA</w:t>
      </w:r>
      <w:r>
        <w:rPr>
          <w:rFonts w:ascii="Arial" w:hAnsi="Arial" w:cs="Arial"/>
          <w:sz w:val="24"/>
          <w:szCs w:val="24"/>
        </w:rPr>
        <w:t>.</w:t>
      </w:r>
      <w:r w:rsidRPr="00951F70">
        <w:rPr>
          <w:rFonts w:ascii="Arial" w:hAnsi="Arial" w:cs="Arial"/>
          <w:sz w:val="24"/>
          <w:szCs w:val="24"/>
        </w:rPr>
        <w:t xml:space="preserve"> </w:t>
      </w:r>
      <w:r>
        <w:rPr>
          <w:rFonts w:ascii="Arial" w:hAnsi="Arial" w:cs="Arial"/>
          <w:sz w:val="24"/>
          <w:szCs w:val="24"/>
        </w:rPr>
        <w:t xml:space="preserve">The amendments to sections 20 and 21 are consequential amendments as a result of new termination provisions for </w:t>
      </w:r>
      <w:r w:rsidR="00F7433E">
        <w:rPr>
          <w:rFonts w:ascii="Arial" w:hAnsi="Arial" w:cs="Arial"/>
          <w:sz w:val="24"/>
          <w:szCs w:val="24"/>
        </w:rPr>
        <w:t xml:space="preserve">public </w:t>
      </w:r>
      <w:r>
        <w:rPr>
          <w:rFonts w:ascii="Arial" w:hAnsi="Arial" w:cs="Arial"/>
          <w:sz w:val="24"/>
          <w:szCs w:val="24"/>
        </w:rPr>
        <w:t xml:space="preserve">housing and temporary housing assistance being inserted into the RTA (see </w:t>
      </w:r>
      <w:r w:rsidRPr="002838EC">
        <w:rPr>
          <w:rFonts w:ascii="Arial" w:hAnsi="Arial" w:cs="Arial"/>
          <w:sz w:val="24"/>
          <w:szCs w:val="24"/>
        </w:rPr>
        <w:t xml:space="preserve">clause </w:t>
      </w:r>
      <w:r w:rsidR="003A2815" w:rsidRPr="005A14D5">
        <w:rPr>
          <w:rFonts w:ascii="Arial" w:hAnsi="Arial" w:cs="Arial"/>
          <w:sz w:val="24"/>
          <w:szCs w:val="24"/>
        </w:rPr>
        <w:t>5</w:t>
      </w:r>
      <w:r>
        <w:rPr>
          <w:rFonts w:ascii="Arial" w:hAnsi="Arial" w:cs="Arial"/>
          <w:sz w:val="24"/>
          <w:szCs w:val="24"/>
        </w:rPr>
        <w:t xml:space="preserve"> of the amendment bill and schedule </w:t>
      </w:r>
      <w:r w:rsidRPr="005A14D5">
        <w:rPr>
          <w:rFonts w:ascii="Arial" w:hAnsi="Arial" w:cs="Arial"/>
          <w:sz w:val="24"/>
          <w:szCs w:val="24"/>
        </w:rPr>
        <w:t>2</w:t>
      </w:r>
      <w:r>
        <w:rPr>
          <w:rFonts w:ascii="Arial" w:hAnsi="Arial" w:cs="Arial"/>
          <w:sz w:val="24"/>
          <w:szCs w:val="24"/>
        </w:rPr>
        <w:t xml:space="preserve">, section </w:t>
      </w:r>
      <w:r w:rsidRPr="005A14D5">
        <w:rPr>
          <w:rFonts w:ascii="Arial" w:hAnsi="Arial" w:cs="Arial"/>
          <w:sz w:val="24"/>
          <w:szCs w:val="24"/>
        </w:rPr>
        <w:t>2.4</w:t>
      </w:r>
      <w:r>
        <w:rPr>
          <w:rFonts w:ascii="Arial" w:hAnsi="Arial" w:cs="Arial"/>
          <w:sz w:val="24"/>
          <w:szCs w:val="24"/>
        </w:rPr>
        <w:t xml:space="preserve"> and</w:t>
      </w:r>
      <w:r w:rsidR="00CB030D">
        <w:rPr>
          <w:rFonts w:ascii="Arial" w:hAnsi="Arial" w:cs="Arial"/>
          <w:sz w:val="24"/>
          <w:szCs w:val="24"/>
        </w:rPr>
        <w:t xml:space="preserve"> </w:t>
      </w:r>
      <w:r w:rsidRPr="005A14D5">
        <w:rPr>
          <w:rFonts w:ascii="Arial" w:hAnsi="Arial" w:cs="Arial"/>
          <w:sz w:val="24"/>
          <w:szCs w:val="24"/>
        </w:rPr>
        <w:t>2.</w:t>
      </w:r>
      <w:r w:rsidR="003A2815" w:rsidRPr="005A14D5">
        <w:rPr>
          <w:rFonts w:ascii="Arial" w:hAnsi="Arial" w:cs="Arial"/>
          <w:sz w:val="24"/>
          <w:szCs w:val="24"/>
        </w:rPr>
        <w:t>5</w:t>
      </w:r>
      <w:r>
        <w:rPr>
          <w:rFonts w:ascii="Arial" w:hAnsi="Arial" w:cs="Arial"/>
          <w:sz w:val="24"/>
          <w:szCs w:val="24"/>
        </w:rPr>
        <w:t>).</w:t>
      </w:r>
    </w:p>
    <w:p w14:paraId="6720D85D" w14:textId="38D21729" w:rsidR="00D634E4" w:rsidRDefault="00AC6D4F" w:rsidP="00AC6D4F">
      <w:pPr>
        <w:rPr>
          <w:rFonts w:ascii="Arial" w:hAnsi="Arial" w:cs="Arial"/>
          <w:sz w:val="24"/>
          <w:szCs w:val="24"/>
        </w:rPr>
      </w:pPr>
      <w:r>
        <w:rPr>
          <w:rFonts w:ascii="Arial" w:hAnsi="Arial" w:cs="Arial"/>
          <w:sz w:val="24"/>
          <w:szCs w:val="24"/>
        </w:rPr>
        <w:t xml:space="preserve">The amendments to sections 20 and 21 </w:t>
      </w:r>
      <w:r w:rsidR="00D634E4">
        <w:rPr>
          <w:rFonts w:ascii="Arial" w:hAnsi="Arial" w:cs="Arial"/>
          <w:sz w:val="24"/>
          <w:szCs w:val="24"/>
        </w:rPr>
        <w:t xml:space="preserve">provide </w:t>
      </w:r>
      <w:r>
        <w:rPr>
          <w:rFonts w:ascii="Arial" w:hAnsi="Arial" w:cs="Arial"/>
          <w:sz w:val="24"/>
          <w:szCs w:val="24"/>
        </w:rPr>
        <w:t xml:space="preserve">that any determinations or operational guidelines made under the HAA that deal with a </w:t>
      </w:r>
      <w:r w:rsidRPr="00F20978">
        <w:rPr>
          <w:rFonts w:ascii="Arial" w:hAnsi="Arial" w:cs="Arial"/>
          <w:b/>
          <w:bCs/>
          <w:i/>
          <w:iCs/>
          <w:sz w:val="24"/>
          <w:szCs w:val="24"/>
        </w:rPr>
        <w:t>relevant matter</w:t>
      </w:r>
      <w:r>
        <w:rPr>
          <w:rFonts w:ascii="Arial" w:hAnsi="Arial" w:cs="Arial"/>
          <w:sz w:val="24"/>
          <w:szCs w:val="24"/>
        </w:rPr>
        <w:t xml:space="preserve"> </w:t>
      </w:r>
      <w:r w:rsidR="00D634E4">
        <w:rPr>
          <w:rFonts w:ascii="Arial" w:hAnsi="Arial" w:cs="Arial"/>
          <w:sz w:val="24"/>
          <w:szCs w:val="24"/>
        </w:rPr>
        <w:t xml:space="preserve">must be </w:t>
      </w:r>
      <w:r>
        <w:rPr>
          <w:rFonts w:ascii="Arial" w:hAnsi="Arial" w:cs="Arial"/>
          <w:sz w:val="24"/>
          <w:szCs w:val="24"/>
        </w:rPr>
        <w:t xml:space="preserve">disallowable instruments rather than notifiable instruments. </w:t>
      </w:r>
    </w:p>
    <w:p w14:paraId="60742BD6" w14:textId="77777777" w:rsidR="00D634E4" w:rsidRDefault="00AC6D4F" w:rsidP="00AC6D4F">
      <w:pPr>
        <w:rPr>
          <w:rFonts w:ascii="Arial" w:hAnsi="Arial" w:cs="Arial"/>
          <w:sz w:val="24"/>
          <w:szCs w:val="24"/>
        </w:rPr>
      </w:pPr>
      <w:r w:rsidRPr="00F20978">
        <w:rPr>
          <w:rFonts w:ascii="Arial" w:hAnsi="Arial" w:cs="Arial"/>
          <w:b/>
          <w:bCs/>
          <w:i/>
          <w:iCs/>
          <w:sz w:val="24"/>
          <w:szCs w:val="24"/>
        </w:rPr>
        <w:t xml:space="preserve">Relevant matter </w:t>
      </w:r>
      <w:r>
        <w:rPr>
          <w:rFonts w:ascii="Arial" w:hAnsi="Arial" w:cs="Arial"/>
          <w:sz w:val="24"/>
          <w:szCs w:val="24"/>
        </w:rPr>
        <w:t xml:space="preserve">includes: the review of a person’s entitlement to housing assistance, requiring a person receiving housing assistance to move to an alternate premises, or a person’s eligibility for temporary housing assistance. </w:t>
      </w:r>
    </w:p>
    <w:p w14:paraId="62B4984D" w14:textId="52D56AEF" w:rsidR="00AC6D4F" w:rsidRDefault="00AC6D4F" w:rsidP="00AC6D4F">
      <w:pPr>
        <w:rPr>
          <w:rFonts w:ascii="Arial" w:hAnsi="Arial" w:cs="Arial"/>
          <w:sz w:val="24"/>
          <w:szCs w:val="24"/>
        </w:rPr>
      </w:pPr>
      <w:r>
        <w:rPr>
          <w:rFonts w:ascii="Arial" w:hAnsi="Arial" w:cs="Arial"/>
          <w:sz w:val="24"/>
          <w:szCs w:val="24"/>
        </w:rPr>
        <w:t xml:space="preserve">The purpose </w:t>
      </w:r>
      <w:r w:rsidR="00D634E4">
        <w:rPr>
          <w:rFonts w:ascii="Arial" w:hAnsi="Arial" w:cs="Arial"/>
          <w:sz w:val="24"/>
          <w:szCs w:val="24"/>
        </w:rPr>
        <w:t xml:space="preserve">of this amendment </w:t>
      </w:r>
      <w:r>
        <w:rPr>
          <w:rFonts w:ascii="Arial" w:hAnsi="Arial" w:cs="Arial"/>
          <w:sz w:val="24"/>
          <w:szCs w:val="24"/>
        </w:rPr>
        <w:t>is to provide an appropriate level of scrutiny to legislative instruments which provide guidance on circumstances that may lead to a tenancy termination. Disallowable instruments, unlike notifiable instruments</w:t>
      </w:r>
      <w:r w:rsidR="003C5AF6">
        <w:rPr>
          <w:rFonts w:ascii="Arial" w:hAnsi="Arial" w:cs="Arial"/>
          <w:sz w:val="24"/>
          <w:szCs w:val="24"/>
        </w:rPr>
        <w:t>,</w:t>
      </w:r>
      <w:r>
        <w:rPr>
          <w:rFonts w:ascii="Arial" w:hAnsi="Arial" w:cs="Arial"/>
          <w:sz w:val="24"/>
          <w:szCs w:val="24"/>
        </w:rPr>
        <w:t xml:space="preserve"> must be tabled in the Legislative Assembly. They also require an explanatory statement (which includes a human rights compatibility statement) when they are made. This provides policy transparency and ensures human rights are explicitly considered and any impacts explained when the instrument is made. </w:t>
      </w:r>
    </w:p>
    <w:p w14:paraId="4543AFE4" w14:textId="77777777" w:rsidR="00AC6D4F" w:rsidRPr="00067735" w:rsidRDefault="00AC6D4F" w:rsidP="00AC6D4F">
      <w:pPr>
        <w:rPr>
          <w:rFonts w:ascii="Arial" w:hAnsi="Arial" w:cs="Arial"/>
          <w:sz w:val="24"/>
          <w:szCs w:val="24"/>
        </w:rPr>
      </w:pPr>
      <w:r>
        <w:rPr>
          <w:rFonts w:ascii="Arial" w:hAnsi="Arial" w:cs="Arial"/>
          <w:sz w:val="24"/>
          <w:szCs w:val="24"/>
        </w:rPr>
        <w:t xml:space="preserve">See the human rights section above for further detail on this provision. </w:t>
      </w:r>
    </w:p>
    <w:p w14:paraId="50BFA993" w14:textId="6ECF61A3" w:rsidR="00AC6D4F" w:rsidRDefault="00AC6D4F" w:rsidP="00AC6D4F">
      <w:pPr>
        <w:pStyle w:val="Heading3"/>
      </w:pPr>
      <w:r>
        <w:t xml:space="preserve">[1.2] </w:t>
      </w:r>
      <w:r w:rsidR="00D634E4" w:rsidRPr="005A14D5">
        <w:t>Approved housing assistance programs – market rents</w:t>
      </w:r>
      <w:r w:rsidR="00D634E4" w:rsidRPr="005A14D5">
        <w:br/>
        <w:t>N</w:t>
      </w:r>
      <w:r w:rsidR="00AA67B8" w:rsidRPr="005A14D5">
        <w:t>ew section 22 (2A)</w:t>
      </w:r>
      <w:r w:rsidR="00D634E4" w:rsidRPr="005A14D5">
        <w:t xml:space="preserve"> and (2B)</w:t>
      </w:r>
    </w:p>
    <w:p w14:paraId="0E1678D5" w14:textId="77777777" w:rsidR="00073655" w:rsidRDefault="00073655" w:rsidP="00073655">
      <w:pPr>
        <w:rPr>
          <w:rFonts w:ascii="Arial" w:hAnsi="Arial" w:cs="Arial"/>
          <w:sz w:val="24"/>
          <w:szCs w:val="24"/>
        </w:rPr>
      </w:pPr>
      <w:r w:rsidRPr="00723D37">
        <w:rPr>
          <w:rFonts w:ascii="Arial" w:hAnsi="Arial" w:cs="Arial"/>
          <w:sz w:val="24"/>
          <w:szCs w:val="24"/>
        </w:rPr>
        <w:t xml:space="preserve">This subclause inserts new section 22 (2A) </w:t>
      </w:r>
      <w:r>
        <w:rPr>
          <w:rFonts w:ascii="Arial" w:hAnsi="Arial" w:cs="Arial"/>
          <w:sz w:val="24"/>
          <w:szCs w:val="24"/>
        </w:rPr>
        <w:t xml:space="preserve">and (2B) </w:t>
      </w:r>
      <w:r w:rsidRPr="00723D37">
        <w:rPr>
          <w:rFonts w:ascii="Arial" w:hAnsi="Arial" w:cs="Arial"/>
          <w:sz w:val="24"/>
          <w:szCs w:val="24"/>
        </w:rPr>
        <w:t>into the HAA.</w:t>
      </w:r>
    </w:p>
    <w:p w14:paraId="0F26417F" w14:textId="77777777" w:rsidR="00073655" w:rsidRDefault="00073655" w:rsidP="00073655">
      <w:pPr>
        <w:rPr>
          <w:rFonts w:ascii="Arial" w:hAnsi="Arial" w:cs="Arial"/>
          <w:sz w:val="24"/>
          <w:szCs w:val="24"/>
        </w:rPr>
      </w:pPr>
      <w:r>
        <w:rPr>
          <w:rFonts w:ascii="Arial" w:hAnsi="Arial" w:cs="Arial"/>
          <w:sz w:val="24"/>
          <w:szCs w:val="24"/>
        </w:rPr>
        <w:t xml:space="preserve">Currently, section 22 of the HAA provides that housing being rented under a housing assistance program must be charged at market rent. </w:t>
      </w:r>
      <w:r w:rsidRPr="00723D37">
        <w:rPr>
          <w:rFonts w:ascii="Arial" w:hAnsi="Arial" w:cs="Arial"/>
          <w:sz w:val="24"/>
          <w:szCs w:val="24"/>
        </w:rPr>
        <w:t>The HAA</w:t>
      </w:r>
      <w:r>
        <w:rPr>
          <w:rFonts w:ascii="Arial" w:hAnsi="Arial" w:cs="Arial"/>
          <w:sz w:val="24"/>
          <w:szCs w:val="24"/>
        </w:rPr>
        <w:t xml:space="preserve"> then</w:t>
      </w:r>
      <w:r w:rsidRPr="00723D37">
        <w:rPr>
          <w:rFonts w:ascii="Arial" w:hAnsi="Arial" w:cs="Arial"/>
          <w:sz w:val="24"/>
          <w:szCs w:val="24"/>
        </w:rPr>
        <w:t xml:space="preserve"> defines</w:t>
      </w:r>
      <w:r>
        <w:rPr>
          <w:rFonts w:ascii="Arial" w:hAnsi="Arial" w:cs="Arial"/>
          <w:b/>
          <w:bCs/>
          <w:sz w:val="24"/>
          <w:szCs w:val="24"/>
        </w:rPr>
        <w:t xml:space="preserve"> </w:t>
      </w:r>
      <w:r>
        <w:rPr>
          <w:rFonts w:ascii="Arial" w:hAnsi="Arial" w:cs="Arial"/>
          <w:b/>
          <w:bCs/>
          <w:i/>
          <w:iCs/>
          <w:sz w:val="24"/>
          <w:szCs w:val="24"/>
        </w:rPr>
        <w:t>market rent</w:t>
      </w:r>
      <w:r>
        <w:rPr>
          <w:rFonts w:ascii="Arial" w:hAnsi="Arial" w:cs="Arial"/>
          <w:sz w:val="24"/>
          <w:szCs w:val="24"/>
        </w:rPr>
        <w:t xml:space="preserve"> for the purposes of this section as: the rent that would be charged by the lessor </w:t>
      </w:r>
      <w:r>
        <w:rPr>
          <w:rFonts w:ascii="Arial" w:hAnsi="Arial" w:cs="Arial"/>
          <w:sz w:val="24"/>
          <w:szCs w:val="24"/>
        </w:rPr>
        <w:lastRenderedPageBreak/>
        <w:t xml:space="preserve">for the housing, if the housing were rented by a willing lessor to a willing tenant – (a) dealing with each other at arm’s length; and, (b) each of whom had acted knowledgably, sensibly and without compulsion. </w:t>
      </w:r>
    </w:p>
    <w:p w14:paraId="49AB6EDE" w14:textId="77777777" w:rsidR="00073655" w:rsidRDefault="00073655" w:rsidP="00073655">
      <w:pPr>
        <w:rPr>
          <w:rFonts w:ascii="Arial" w:hAnsi="Arial" w:cs="Arial"/>
          <w:sz w:val="24"/>
          <w:szCs w:val="24"/>
        </w:rPr>
      </w:pPr>
      <w:r>
        <w:rPr>
          <w:rFonts w:ascii="Arial" w:hAnsi="Arial" w:cs="Arial"/>
          <w:sz w:val="24"/>
          <w:szCs w:val="24"/>
        </w:rPr>
        <w:t xml:space="preserve">Section 23 of the HAA places an additional obligation on the housing commissioner to </w:t>
      </w:r>
      <w:r w:rsidRPr="0033486A">
        <w:rPr>
          <w:rFonts w:ascii="Arial" w:hAnsi="Arial" w:cs="Arial"/>
          <w:sz w:val="24"/>
          <w:szCs w:val="24"/>
        </w:rPr>
        <w:t>review the rent charged for housing rented under an approved housing assistance program at least once each year.</w:t>
      </w:r>
      <w:r>
        <w:rPr>
          <w:rFonts w:ascii="Arial" w:hAnsi="Arial" w:cs="Arial"/>
          <w:sz w:val="24"/>
          <w:szCs w:val="24"/>
        </w:rPr>
        <w:t xml:space="preserve">  This means that, each year, the housing commissioner must review rents charged and, if they are below the market rent, the housing commissioner must increase the rent charged to the newly assessed market rate. </w:t>
      </w:r>
    </w:p>
    <w:p w14:paraId="50C90A4C" w14:textId="77777777" w:rsidR="00073655" w:rsidRDefault="00073655" w:rsidP="00073655">
      <w:pPr>
        <w:rPr>
          <w:rFonts w:ascii="Arial" w:hAnsi="Arial" w:cs="Arial"/>
          <w:sz w:val="24"/>
          <w:szCs w:val="24"/>
        </w:rPr>
      </w:pPr>
      <w:r>
        <w:rPr>
          <w:rFonts w:ascii="Arial" w:hAnsi="Arial" w:cs="Arial"/>
          <w:sz w:val="24"/>
          <w:szCs w:val="24"/>
        </w:rPr>
        <w:t xml:space="preserve">In relation to the discussion on rent increases, it is noted that section 22 also allows an approved housing assistance program may provide for a rent rebate in accordance with the program. In practice, this means that the housing commissioner, when establishing a new tenancy, sets the rent charged for the property at the assessed market rate for the property.  Where the tenant is eligible, the housing commissioner will then provide the tenant with a rent rebate for the property which is determined with reference to the tenant’s household income.  The rent rebate will then be the amount payable by the tenant.  It is noted that the discussion in relation to rent increases which follows in this section relates to the </w:t>
      </w:r>
      <w:r w:rsidRPr="00907779">
        <w:rPr>
          <w:rFonts w:ascii="Arial" w:hAnsi="Arial" w:cs="Arial"/>
          <w:i/>
          <w:iCs/>
          <w:sz w:val="24"/>
          <w:szCs w:val="24"/>
        </w:rPr>
        <w:t>rent charged under the tenancy agreement</w:t>
      </w:r>
      <w:r>
        <w:rPr>
          <w:rFonts w:ascii="Arial" w:hAnsi="Arial" w:cs="Arial"/>
          <w:sz w:val="24"/>
          <w:szCs w:val="24"/>
        </w:rPr>
        <w:t xml:space="preserve"> and </w:t>
      </w:r>
      <w:r w:rsidRPr="00907779">
        <w:rPr>
          <w:rFonts w:ascii="Arial" w:hAnsi="Arial" w:cs="Arial"/>
          <w:sz w:val="24"/>
          <w:szCs w:val="24"/>
          <w:u w:val="single"/>
        </w:rPr>
        <w:t>does not relate to any rent rebate provided to the tenant under a housing assistance program</w:t>
      </w:r>
      <w:r>
        <w:rPr>
          <w:rFonts w:ascii="Arial" w:hAnsi="Arial" w:cs="Arial"/>
          <w:sz w:val="24"/>
          <w:szCs w:val="24"/>
        </w:rPr>
        <w:t xml:space="preserve">. </w:t>
      </w:r>
    </w:p>
    <w:p w14:paraId="4B9CE2AC" w14:textId="77777777" w:rsidR="00073655" w:rsidRDefault="00073655" w:rsidP="00073655">
      <w:pPr>
        <w:rPr>
          <w:rFonts w:ascii="Arial" w:hAnsi="Arial" w:cs="Arial"/>
          <w:sz w:val="24"/>
          <w:szCs w:val="24"/>
        </w:rPr>
      </w:pPr>
      <w:r>
        <w:rPr>
          <w:rFonts w:ascii="Arial" w:hAnsi="Arial" w:cs="Arial"/>
          <w:sz w:val="24"/>
          <w:szCs w:val="24"/>
        </w:rPr>
        <w:t>Section 64B of the</w:t>
      </w:r>
      <w:r>
        <w:rPr>
          <w:rFonts w:ascii="Arial" w:hAnsi="Arial" w:cs="Arial"/>
          <w:i/>
          <w:iCs/>
          <w:sz w:val="24"/>
          <w:szCs w:val="24"/>
        </w:rPr>
        <w:t xml:space="preserve"> </w:t>
      </w:r>
      <w:r w:rsidRPr="0033486A">
        <w:rPr>
          <w:rFonts w:ascii="Arial" w:hAnsi="Arial" w:cs="Arial"/>
          <w:sz w:val="24"/>
          <w:szCs w:val="24"/>
        </w:rPr>
        <w:t>RTA</w:t>
      </w:r>
      <w:r>
        <w:rPr>
          <w:rFonts w:ascii="Arial" w:hAnsi="Arial" w:cs="Arial"/>
          <w:sz w:val="24"/>
          <w:szCs w:val="24"/>
        </w:rPr>
        <w:t xml:space="preserve"> places limitations on all lessors, including the Housing Commissioner, from increasing a rental rate under a tenancy agreement by an amount that is more than the amount prescribed by regulation, unless the tenant provides written consent to such an increase, or the lessor obtains ACAT’s prior approval.  The prescribed amount for rent increases is set out in section 5A of the </w:t>
      </w:r>
      <w:r w:rsidRPr="0033486A">
        <w:rPr>
          <w:rFonts w:ascii="Arial" w:hAnsi="Arial" w:cs="Arial"/>
          <w:i/>
          <w:iCs/>
          <w:sz w:val="24"/>
          <w:szCs w:val="24"/>
        </w:rPr>
        <w:t>Residential Tenancies Regulation 1998</w:t>
      </w:r>
      <w:r>
        <w:rPr>
          <w:rFonts w:ascii="Arial" w:hAnsi="Arial" w:cs="Arial"/>
          <w:sz w:val="24"/>
          <w:szCs w:val="24"/>
        </w:rPr>
        <w:t xml:space="preserve">. </w:t>
      </w:r>
    </w:p>
    <w:p w14:paraId="5CB0AAE3" w14:textId="77777777" w:rsidR="00073655" w:rsidRDefault="00073655" w:rsidP="00073655">
      <w:pPr>
        <w:rPr>
          <w:rFonts w:ascii="Arial" w:hAnsi="Arial" w:cs="Arial"/>
          <w:sz w:val="24"/>
          <w:szCs w:val="24"/>
        </w:rPr>
      </w:pPr>
      <w:r>
        <w:rPr>
          <w:rFonts w:ascii="Arial" w:hAnsi="Arial" w:cs="Arial"/>
          <w:sz w:val="24"/>
          <w:szCs w:val="24"/>
        </w:rPr>
        <w:t xml:space="preserve">The combination of the obligation on the housing commissioner under the HAA to always charge market rent and the obligation under the RTA to not increase the rent by more than the prescribed amount (without the consent of the tenant or approval from ACAT) provides some administrative and practical challenges for the housing commissioner in circumstances where achieving the market rent for the property would require increasing the rent above the prescribed amount. This is because, for each individual tenancy where this is the case, the housing commissioner would need to write to the tenant to seek their agreement to the increase and if that was not provided, the housing commissioner would need to apply to ACAT for approval to increase the rent to the assessed market rate. Because of the size of the housing commissioners portfolio, this could represent a significant administrative burden. </w:t>
      </w:r>
    </w:p>
    <w:p w14:paraId="0098AE78" w14:textId="77777777" w:rsidR="00073655" w:rsidRPr="00E00278" w:rsidRDefault="00073655" w:rsidP="00073655">
      <w:pPr>
        <w:rPr>
          <w:rFonts w:ascii="Arial" w:hAnsi="Arial" w:cs="Arial"/>
          <w:sz w:val="24"/>
          <w:szCs w:val="24"/>
        </w:rPr>
      </w:pPr>
      <w:r>
        <w:rPr>
          <w:rFonts w:ascii="Arial" w:hAnsi="Arial" w:cs="Arial"/>
          <w:sz w:val="24"/>
          <w:szCs w:val="24"/>
        </w:rPr>
        <w:t>The policy intent of new subsections 22 (2A) and (2B) are to overcome this incongruence in the housing commissioner’s legislative obligations by giving the housing commissioner the discretion to increase the rent by less than the market rent (up to the prescribed amount).</w:t>
      </w:r>
    </w:p>
    <w:p w14:paraId="7C69E990" w14:textId="77777777" w:rsidR="00073655" w:rsidRDefault="00073655" w:rsidP="00073655">
      <w:pPr>
        <w:rPr>
          <w:rFonts w:ascii="Arial" w:hAnsi="Arial" w:cs="Arial"/>
          <w:sz w:val="24"/>
          <w:szCs w:val="24"/>
        </w:rPr>
      </w:pPr>
      <w:r>
        <w:rPr>
          <w:rFonts w:ascii="Arial" w:hAnsi="Arial" w:cs="Arial"/>
          <w:sz w:val="24"/>
          <w:szCs w:val="24"/>
        </w:rPr>
        <w:lastRenderedPageBreak/>
        <w:t>Subsection 22 (2A) provides that subsection (2B) will apply if: an entity is currently being charged less than the market rent for housing (disregarding any rebate), and if the housing commissioner were to increase the rent to market rent, that increase would be more than the amount prescribed by regulation under the RTA</w:t>
      </w:r>
      <w:r>
        <w:rPr>
          <w:rFonts w:ascii="Arial" w:hAnsi="Arial" w:cs="Arial"/>
          <w:i/>
          <w:iCs/>
          <w:sz w:val="24"/>
          <w:szCs w:val="24"/>
        </w:rPr>
        <w:t xml:space="preserve">. </w:t>
      </w:r>
    </w:p>
    <w:p w14:paraId="06322D75" w14:textId="77777777" w:rsidR="00073655" w:rsidRDefault="00073655" w:rsidP="00073655">
      <w:pPr>
        <w:rPr>
          <w:rFonts w:ascii="Arial" w:hAnsi="Arial" w:cs="Arial"/>
          <w:sz w:val="24"/>
          <w:szCs w:val="24"/>
        </w:rPr>
      </w:pPr>
      <w:r>
        <w:rPr>
          <w:rFonts w:ascii="Arial" w:hAnsi="Arial" w:cs="Arial"/>
          <w:sz w:val="24"/>
          <w:szCs w:val="24"/>
        </w:rPr>
        <w:t>Subsection 22 (2B) then empowers the housing commissioner to choose to increase the rent payable by that entity by up to the prescribed amount, rather than to adjust it to market rent.</w:t>
      </w:r>
    </w:p>
    <w:p w14:paraId="4E068EFC" w14:textId="77777777" w:rsidR="00073655" w:rsidRDefault="00073655" w:rsidP="00073655">
      <w:pPr>
        <w:rPr>
          <w:rFonts w:ascii="Arial" w:hAnsi="Arial" w:cs="Arial"/>
          <w:sz w:val="24"/>
          <w:szCs w:val="24"/>
        </w:rPr>
      </w:pPr>
      <w:r>
        <w:rPr>
          <w:rFonts w:ascii="Arial" w:hAnsi="Arial" w:cs="Arial"/>
          <w:sz w:val="24"/>
          <w:szCs w:val="24"/>
        </w:rPr>
        <w:t xml:space="preserve">This amendment gives the housing commissioner the discretion in relation to existing tenancies to only increase the rent by an amount up to the prescribed amount if the market rate for the property is assessed as being above the prescribed amount. </w:t>
      </w:r>
    </w:p>
    <w:p w14:paraId="6CA83D33" w14:textId="77777777" w:rsidR="00073655" w:rsidRDefault="00073655" w:rsidP="00073655">
      <w:pPr>
        <w:rPr>
          <w:rFonts w:ascii="Arial" w:hAnsi="Arial" w:cs="Arial"/>
          <w:sz w:val="24"/>
          <w:szCs w:val="24"/>
        </w:rPr>
      </w:pPr>
      <w:r>
        <w:rPr>
          <w:rFonts w:ascii="Arial" w:hAnsi="Arial" w:cs="Arial"/>
          <w:sz w:val="24"/>
          <w:szCs w:val="24"/>
        </w:rPr>
        <w:t xml:space="preserve">For clarity, this provision still gives the housing commissioner the discretion to seek increase the rent by more than the prescribed amount should the housing commissioner decide to do so. However, if the housing commissioner wishes to increase the rent charged above the prescribed amount, the housing commissioner would still be required to comply with the obligation under the RTA to seek agreement from the tenant to the increase or the apply to ACAT for approval for the increase. </w:t>
      </w:r>
    </w:p>
    <w:p w14:paraId="75B12C96" w14:textId="6A1545B7" w:rsidR="00C71147" w:rsidRDefault="00C71147" w:rsidP="00AC6D4F">
      <w:pPr>
        <w:rPr>
          <w:rFonts w:ascii="Arial" w:hAnsi="Arial" w:cs="Arial"/>
          <w:b/>
          <w:bCs/>
          <w:sz w:val="24"/>
          <w:szCs w:val="24"/>
        </w:rPr>
      </w:pPr>
      <w:r>
        <w:rPr>
          <w:rFonts w:ascii="Arial" w:hAnsi="Arial" w:cs="Arial"/>
          <w:b/>
          <w:bCs/>
          <w:sz w:val="24"/>
          <w:szCs w:val="24"/>
        </w:rPr>
        <w:t>[1.</w:t>
      </w:r>
      <w:r w:rsidR="0008234F">
        <w:rPr>
          <w:rFonts w:ascii="Arial" w:hAnsi="Arial" w:cs="Arial"/>
          <w:b/>
          <w:bCs/>
          <w:sz w:val="24"/>
          <w:szCs w:val="24"/>
        </w:rPr>
        <w:t>3</w:t>
      </w:r>
      <w:r>
        <w:rPr>
          <w:rFonts w:ascii="Arial" w:hAnsi="Arial" w:cs="Arial"/>
          <w:b/>
          <w:bCs/>
          <w:sz w:val="24"/>
          <w:szCs w:val="24"/>
        </w:rPr>
        <w:t>] New part 11</w:t>
      </w:r>
    </w:p>
    <w:p w14:paraId="63D94DE2" w14:textId="711CB74E" w:rsidR="00AC6D4F" w:rsidRPr="00E42F08" w:rsidRDefault="00AC6D4F" w:rsidP="00AC6D4F">
      <w:pPr>
        <w:rPr>
          <w:rFonts w:ascii="Arial" w:hAnsi="Arial" w:cs="Arial"/>
          <w:sz w:val="24"/>
          <w:szCs w:val="24"/>
        </w:rPr>
      </w:pPr>
      <w:r w:rsidRPr="00C71147">
        <w:rPr>
          <w:rFonts w:ascii="Arial" w:hAnsi="Arial" w:cs="Arial"/>
          <w:sz w:val="24"/>
          <w:szCs w:val="24"/>
        </w:rPr>
        <w:t>This</w:t>
      </w:r>
      <w:r>
        <w:rPr>
          <w:rFonts w:ascii="Arial" w:hAnsi="Arial" w:cs="Arial"/>
          <w:sz w:val="24"/>
          <w:szCs w:val="24"/>
        </w:rPr>
        <w:t xml:space="preserve"> subclause inserts new part 11 into the </w:t>
      </w:r>
      <w:r w:rsidRPr="00F20978">
        <w:rPr>
          <w:rFonts w:ascii="Arial" w:hAnsi="Arial" w:cs="Arial"/>
          <w:sz w:val="24"/>
          <w:szCs w:val="24"/>
        </w:rPr>
        <w:t>HAA</w:t>
      </w:r>
      <w:r>
        <w:rPr>
          <w:rFonts w:ascii="Arial" w:hAnsi="Arial" w:cs="Arial"/>
          <w:i/>
          <w:iCs/>
          <w:sz w:val="24"/>
          <w:szCs w:val="24"/>
        </w:rPr>
        <w:t>.</w:t>
      </w:r>
      <w:r>
        <w:rPr>
          <w:rFonts w:ascii="Arial" w:hAnsi="Arial" w:cs="Arial"/>
          <w:sz w:val="24"/>
          <w:szCs w:val="24"/>
        </w:rPr>
        <w:t xml:space="preserve"> New part 11 contains transitional provisions to clarify the status of existing notifiable instruments following the amendments to sections 20 and 21 of the HAA which provide that some determinations and operational guidelines will be notifiable instruments while others will be disallowable instruments. This is to allow existing instruments to continue in effect without needing the instrument to be remade as a disallowable instrument. </w:t>
      </w:r>
    </w:p>
    <w:p w14:paraId="228DBD02" w14:textId="77777777" w:rsidR="00AC6D4F" w:rsidRPr="00DA1AEA" w:rsidRDefault="00AC6D4F" w:rsidP="00DA1AEA">
      <w:pPr>
        <w:rPr>
          <w:rFonts w:ascii="Arial" w:hAnsi="Arial" w:cs="Arial"/>
          <w:i/>
          <w:iCs/>
          <w:sz w:val="24"/>
          <w:szCs w:val="24"/>
          <w:u w:val="single"/>
        </w:rPr>
      </w:pPr>
      <w:r w:rsidRPr="00DA1AEA">
        <w:rPr>
          <w:rFonts w:ascii="Arial" w:hAnsi="Arial" w:cs="Arial"/>
          <w:i/>
          <w:iCs/>
          <w:sz w:val="24"/>
          <w:szCs w:val="24"/>
          <w:u w:val="single"/>
        </w:rPr>
        <w:t>Part 11</w:t>
      </w:r>
      <w:r w:rsidRPr="00DA1AEA">
        <w:rPr>
          <w:rFonts w:ascii="Arial" w:hAnsi="Arial" w:cs="Arial"/>
          <w:i/>
          <w:iCs/>
          <w:sz w:val="24"/>
          <w:szCs w:val="24"/>
          <w:u w:val="single"/>
        </w:rPr>
        <w:tab/>
        <w:t>Transitional – Residential Tenancies Legislation Amendment Act 2022</w:t>
      </w:r>
    </w:p>
    <w:p w14:paraId="3298AA67" w14:textId="2911370B" w:rsidR="00AC6D4F" w:rsidRPr="00DA1AEA" w:rsidRDefault="00004B62" w:rsidP="00AC6D4F">
      <w:pPr>
        <w:rPr>
          <w:rFonts w:ascii="Arial" w:hAnsi="Arial" w:cs="Arial"/>
          <w:i/>
          <w:iCs/>
          <w:sz w:val="24"/>
          <w:szCs w:val="24"/>
          <w:u w:val="single"/>
        </w:rPr>
      </w:pPr>
      <w:r>
        <w:rPr>
          <w:rFonts w:ascii="Arial" w:hAnsi="Arial" w:cs="Arial"/>
          <w:i/>
          <w:iCs/>
          <w:sz w:val="24"/>
          <w:szCs w:val="24"/>
          <w:u w:val="single"/>
        </w:rPr>
        <w:t>New section</w:t>
      </w:r>
      <w:r w:rsidRPr="00DA1AEA">
        <w:rPr>
          <w:rFonts w:ascii="Arial" w:hAnsi="Arial" w:cs="Arial"/>
          <w:i/>
          <w:iCs/>
          <w:sz w:val="24"/>
          <w:szCs w:val="24"/>
          <w:u w:val="single"/>
        </w:rPr>
        <w:t xml:space="preserve"> </w:t>
      </w:r>
      <w:r w:rsidR="00AC6D4F" w:rsidRPr="00DA1AEA">
        <w:rPr>
          <w:rFonts w:ascii="Arial" w:hAnsi="Arial" w:cs="Arial"/>
          <w:i/>
          <w:iCs/>
          <w:sz w:val="24"/>
          <w:szCs w:val="24"/>
          <w:u w:val="single"/>
        </w:rPr>
        <w:t>111</w:t>
      </w:r>
      <w:r w:rsidR="00AC6D4F" w:rsidRPr="00DA1AEA">
        <w:rPr>
          <w:rFonts w:ascii="Arial" w:hAnsi="Arial" w:cs="Arial"/>
          <w:i/>
          <w:iCs/>
          <w:sz w:val="24"/>
          <w:szCs w:val="24"/>
          <w:u w:val="single"/>
        </w:rPr>
        <w:tab/>
        <w:t>Meaning of commencement day - pt 11</w:t>
      </w:r>
    </w:p>
    <w:p w14:paraId="25CDFF7F" w14:textId="3D5C053B" w:rsidR="00AC6D4F" w:rsidRPr="00F20978" w:rsidRDefault="00AC6D4F" w:rsidP="00AC6D4F">
      <w:pPr>
        <w:rPr>
          <w:rFonts w:ascii="Arial" w:hAnsi="Arial" w:cs="Arial"/>
          <w:sz w:val="24"/>
          <w:szCs w:val="24"/>
        </w:rPr>
      </w:pPr>
      <w:r w:rsidRPr="00F20978">
        <w:rPr>
          <w:rFonts w:ascii="Arial" w:hAnsi="Arial" w:cs="Arial"/>
          <w:sz w:val="24"/>
          <w:szCs w:val="24"/>
        </w:rPr>
        <w:t xml:space="preserve">This clause clarifies that for </w:t>
      </w:r>
      <w:r w:rsidR="0008234F">
        <w:rPr>
          <w:rFonts w:ascii="Arial" w:hAnsi="Arial" w:cs="Arial"/>
          <w:sz w:val="24"/>
          <w:szCs w:val="24"/>
        </w:rPr>
        <w:t xml:space="preserve">the purposes of </w:t>
      </w:r>
      <w:r w:rsidRPr="00F20978">
        <w:rPr>
          <w:rFonts w:ascii="Arial" w:hAnsi="Arial" w:cs="Arial"/>
          <w:sz w:val="24"/>
          <w:szCs w:val="24"/>
        </w:rPr>
        <w:t>new Part 11 of the HAA</w:t>
      </w:r>
      <w:r w:rsidR="0008234F">
        <w:rPr>
          <w:rFonts w:ascii="Arial" w:hAnsi="Arial" w:cs="Arial"/>
          <w:sz w:val="24"/>
          <w:szCs w:val="24"/>
        </w:rPr>
        <w:t>,</w:t>
      </w:r>
      <w:r w:rsidRPr="00F20978">
        <w:rPr>
          <w:rFonts w:ascii="Arial" w:hAnsi="Arial" w:cs="Arial"/>
          <w:sz w:val="24"/>
          <w:szCs w:val="24"/>
        </w:rPr>
        <w:t xml:space="preserve"> </w:t>
      </w:r>
      <w:r w:rsidRPr="00F20978">
        <w:rPr>
          <w:rFonts w:ascii="Arial" w:hAnsi="Arial" w:cs="Arial"/>
          <w:b/>
          <w:bCs/>
          <w:i/>
          <w:iCs/>
          <w:sz w:val="24"/>
          <w:szCs w:val="24"/>
        </w:rPr>
        <w:t>commencement day</w:t>
      </w:r>
      <w:r w:rsidRPr="00F20978">
        <w:rPr>
          <w:rFonts w:ascii="Arial" w:hAnsi="Arial" w:cs="Arial"/>
          <w:sz w:val="24"/>
          <w:szCs w:val="24"/>
        </w:rPr>
        <w:t xml:space="preserve"> means the day the </w:t>
      </w:r>
      <w:r w:rsidRPr="00F20978">
        <w:rPr>
          <w:rFonts w:ascii="Arial" w:hAnsi="Arial" w:cs="Arial"/>
          <w:i/>
          <w:iCs/>
          <w:sz w:val="24"/>
          <w:szCs w:val="24"/>
        </w:rPr>
        <w:t>Residential Tenancies Legislation Amendment Act 2022</w:t>
      </w:r>
      <w:r>
        <w:rPr>
          <w:rFonts w:ascii="Arial" w:hAnsi="Arial" w:cs="Arial"/>
          <w:sz w:val="24"/>
          <w:szCs w:val="24"/>
        </w:rPr>
        <w:t xml:space="preserve">, schedule 1, amendment [1.1] commences. </w:t>
      </w:r>
    </w:p>
    <w:p w14:paraId="6ACF68F3" w14:textId="77777777" w:rsidR="00AC6D4F" w:rsidRDefault="00AC6D4F" w:rsidP="00AC6D4F">
      <w:pPr>
        <w:rPr>
          <w:rFonts w:ascii="Arial" w:hAnsi="Arial" w:cs="Arial"/>
          <w:sz w:val="24"/>
          <w:szCs w:val="24"/>
        </w:rPr>
      </w:pPr>
      <w:r>
        <w:rPr>
          <w:rFonts w:ascii="Arial" w:hAnsi="Arial" w:cs="Arial"/>
          <w:sz w:val="24"/>
          <w:szCs w:val="24"/>
        </w:rPr>
        <w:t xml:space="preserve">The purpose of this provision is to align the commencement of the transitional provisions with the amendments to sections 20 and 21 of the HAA introduced by clause 1.1 above. </w:t>
      </w:r>
    </w:p>
    <w:p w14:paraId="31FA2CDC" w14:textId="14797837" w:rsidR="00AC6D4F" w:rsidRPr="00DA1AEA" w:rsidRDefault="00004B62" w:rsidP="00AC6D4F">
      <w:pPr>
        <w:rPr>
          <w:rFonts w:ascii="Arial" w:hAnsi="Arial" w:cs="Arial"/>
          <w:i/>
          <w:iCs/>
          <w:sz w:val="24"/>
          <w:szCs w:val="24"/>
          <w:u w:val="single"/>
        </w:rPr>
      </w:pPr>
      <w:r>
        <w:rPr>
          <w:rFonts w:ascii="Arial" w:hAnsi="Arial" w:cs="Arial"/>
          <w:i/>
          <w:iCs/>
          <w:sz w:val="24"/>
          <w:szCs w:val="24"/>
          <w:u w:val="single"/>
        </w:rPr>
        <w:t>New section</w:t>
      </w:r>
      <w:r w:rsidRPr="00DA1AEA">
        <w:rPr>
          <w:rFonts w:ascii="Arial" w:hAnsi="Arial" w:cs="Arial"/>
          <w:i/>
          <w:iCs/>
          <w:sz w:val="24"/>
          <w:szCs w:val="24"/>
          <w:u w:val="single"/>
        </w:rPr>
        <w:t xml:space="preserve"> </w:t>
      </w:r>
      <w:r w:rsidR="00AC6D4F" w:rsidRPr="00DA1AEA">
        <w:rPr>
          <w:rFonts w:ascii="Arial" w:hAnsi="Arial" w:cs="Arial"/>
          <w:i/>
          <w:iCs/>
          <w:sz w:val="24"/>
          <w:szCs w:val="24"/>
          <w:u w:val="single"/>
        </w:rPr>
        <w:t xml:space="preserve">112 </w:t>
      </w:r>
      <w:r w:rsidR="00AC6D4F" w:rsidRPr="00DA1AEA">
        <w:rPr>
          <w:rFonts w:ascii="Arial" w:hAnsi="Arial" w:cs="Arial"/>
          <w:i/>
          <w:iCs/>
          <w:sz w:val="24"/>
          <w:szCs w:val="24"/>
          <w:u w:val="single"/>
        </w:rPr>
        <w:tab/>
        <w:t>Housing assistance program determinations</w:t>
      </w:r>
    </w:p>
    <w:p w14:paraId="6597D40E" w14:textId="130599F2" w:rsidR="00AC6D4F" w:rsidRDefault="00AC6D4F" w:rsidP="00AC6D4F">
      <w:pPr>
        <w:rPr>
          <w:rFonts w:ascii="Arial" w:hAnsi="Arial" w:cs="Arial"/>
          <w:sz w:val="24"/>
          <w:szCs w:val="24"/>
        </w:rPr>
      </w:pPr>
      <w:r>
        <w:rPr>
          <w:rFonts w:ascii="Arial" w:hAnsi="Arial" w:cs="Arial"/>
          <w:sz w:val="24"/>
          <w:szCs w:val="24"/>
        </w:rPr>
        <w:t xml:space="preserve">This clause provides that the </w:t>
      </w:r>
      <w:hyperlink r:id="rId24" w:history="1">
        <w:r w:rsidRPr="00F20978">
          <w:rPr>
            <w:rStyle w:val="Hyperlink"/>
            <w:rFonts w:ascii="Arial" w:hAnsi="Arial" w:cs="Arial"/>
            <w:i/>
            <w:iCs/>
            <w:sz w:val="24"/>
            <w:szCs w:val="24"/>
          </w:rPr>
          <w:t xml:space="preserve">Housing Assistance Public Rental Housing Assistance Program (Review of Entitlement to Housing Assistance) Determination 2020 (No 1) </w:t>
        </w:r>
        <w:r w:rsidRPr="00F20978">
          <w:rPr>
            <w:rStyle w:val="Hyperlink"/>
            <w:rFonts w:ascii="Arial" w:hAnsi="Arial" w:cs="Arial"/>
            <w:sz w:val="24"/>
            <w:szCs w:val="24"/>
          </w:rPr>
          <w:t>(NI2020-658)</w:t>
        </w:r>
      </w:hyperlink>
      <w:r w:rsidRPr="00F20978">
        <w:rPr>
          <w:rFonts w:ascii="Arial" w:hAnsi="Arial" w:cs="Arial"/>
          <w:sz w:val="24"/>
          <w:szCs w:val="24"/>
        </w:rPr>
        <w:t>, as in force immediately before the commencement day, is taken to be a disallowable instrument made under section 20</w:t>
      </w:r>
      <w:r>
        <w:rPr>
          <w:rFonts w:ascii="Arial" w:hAnsi="Arial" w:cs="Arial"/>
          <w:sz w:val="24"/>
          <w:szCs w:val="24"/>
        </w:rPr>
        <w:t xml:space="preserve">. This ensures that this existing </w:t>
      </w:r>
      <w:r>
        <w:rPr>
          <w:rFonts w:ascii="Arial" w:hAnsi="Arial" w:cs="Arial"/>
          <w:sz w:val="24"/>
          <w:szCs w:val="24"/>
        </w:rPr>
        <w:lastRenderedPageBreak/>
        <w:t xml:space="preserve">determination can continue in force without needing to be re-made as a disallowable instrument for the purpose of amended section 20 (see clause 1.1 above). </w:t>
      </w:r>
    </w:p>
    <w:p w14:paraId="0CAEF8A7" w14:textId="77777777" w:rsidR="00AC6D4F" w:rsidRPr="00C45371" w:rsidRDefault="00AC6D4F" w:rsidP="00AC6D4F">
      <w:pPr>
        <w:rPr>
          <w:rFonts w:ascii="Arial" w:hAnsi="Arial" w:cs="Arial"/>
          <w:sz w:val="24"/>
          <w:szCs w:val="24"/>
        </w:rPr>
      </w:pPr>
      <w:r>
        <w:rPr>
          <w:rFonts w:ascii="Arial" w:hAnsi="Arial" w:cs="Arial"/>
          <w:sz w:val="24"/>
          <w:szCs w:val="24"/>
        </w:rPr>
        <w:t xml:space="preserve">To this end, subsection (2) also provides that Chapter 7 of the </w:t>
      </w:r>
      <w:r w:rsidRPr="00DA1AEA">
        <w:rPr>
          <w:rFonts w:ascii="Arial" w:hAnsi="Arial" w:cs="Arial"/>
          <w:i/>
          <w:iCs/>
          <w:sz w:val="24"/>
          <w:szCs w:val="24"/>
        </w:rPr>
        <w:t>Legislation Act 2001</w:t>
      </w:r>
      <w:r>
        <w:rPr>
          <w:rFonts w:ascii="Arial" w:hAnsi="Arial" w:cs="Arial"/>
          <w:sz w:val="24"/>
          <w:szCs w:val="24"/>
        </w:rPr>
        <w:t xml:space="preserve"> (which sets out the requirements for the presentation amendment and disallowance of disallowable instruments) does not apply the </w:t>
      </w:r>
      <w:hyperlink r:id="rId25" w:history="1">
        <w:r w:rsidRPr="00F20978">
          <w:rPr>
            <w:rStyle w:val="Hyperlink"/>
            <w:rFonts w:ascii="Arial" w:hAnsi="Arial" w:cs="Arial"/>
            <w:i/>
            <w:iCs/>
            <w:sz w:val="24"/>
            <w:szCs w:val="24"/>
          </w:rPr>
          <w:t xml:space="preserve">Housing Assistance Public Rental Housing Assistance Program (Review of Entitlement to Housing Assistance) Determination 2020 (No 1) </w:t>
        </w:r>
        <w:r w:rsidRPr="00F20978">
          <w:rPr>
            <w:rStyle w:val="Hyperlink"/>
            <w:rFonts w:ascii="Arial" w:hAnsi="Arial" w:cs="Arial"/>
            <w:sz w:val="24"/>
            <w:szCs w:val="24"/>
          </w:rPr>
          <w:t>(NI2020-658)</w:t>
        </w:r>
      </w:hyperlink>
      <w:r>
        <w:rPr>
          <w:rFonts w:ascii="Arial" w:hAnsi="Arial" w:cs="Arial"/>
          <w:i/>
          <w:iCs/>
          <w:sz w:val="24"/>
          <w:szCs w:val="24"/>
        </w:rPr>
        <w:t>.</w:t>
      </w:r>
      <w:r>
        <w:rPr>
          <w:rFonts w:ascii="Arial" w:hAnsi="Arial" w:cs="Arial"/>
          <w:sz w:val="24"/>
          <w:szCs w:val="24"/>
        </w:rPr>
        <w:t xml:space="preserve"> This is so the instrument can be deemed as a disallowable instrument without needing to follow the usual disallowance process. </w:t>
      </w:r>
    </w:p>
    <w:p w14:paraId="2F85D0CC" w14:textId="58EF82B9" w:rsidR="00AC6D4F" w:rsidRDefault="00AC6D4F" w:rsidP="00AC6D4F">
      <w:pPr>
        <w:rPr>
          <w:rFonts w:ascii="Arial" w:hAnsi="Arial" w:cs="Arial"/>
          <w:sz w:val="24"/>
          <w:szCs w:val="24"/>
        </w:rPr>
      </w:pPr>
      <w:r>
        <w:rPr>
          <w:rFonts w:ascii="Arial" w:hAnsi="Arial" w:cs="Arial"/>
          <w:sz w:val="24"/>
          <w:szCs w:val="24"/>
        </w:rPr>
        <w:t>This clause also clarifies that all other</w:t>
      </w:r>
      <w:r w:rsidR="00004B62">
        <w:rPr>
          <w:rFonts w:ascii="Arial" w:hAnsi="Arial" w:cs="Arial"/>
          <w:sz w:val="24"/>
          <w:szCs w:val="24"/>
        </w:rPr>
        <w:t xml:space="preserve"> instruments</w:t>
      </w:r>
      <w:r>
        <w:rPr>
          <w:rFonts w:ascii="Arial" w:hAnsi="Arial" w:cs="Arial"/>
          <w:sz w:val="24"/>
          <w:szCs w:val="24"/>
        </w:rPr>
        <w:t xml:space="preserve"> listed which were in force immediately before the commencement day are taken to be notifiable instruments made under section 20 (as they do not deal with relevant matters for the purposes of amended section 20 (see clause 1.1). The listed instruments are:</w:t>
      </w:r>
    </w:p>
    <w:p w14:paraId="3BA7E971" w14:textId="77777777" w:rsidR="00AC6D4F" w:rsidRPr="00F20978" w:rsidRDefault="00AC6D4F" w:rsidP="00AC6D4F">
      <w:pPr>
        <w:pStyle w:val="ListParagraph"/>
        <w:numPr>
          <w:ilvl w:val="0"/>
          <w:numId w:val="33"/>
        </w:numPr>
        <w:rPr>
          <w:rFonts w:ascii="Arial" w:hAnsi="Arial" w:cs="Arial"/>
          <w:sz w:val="24"/>
          <w:szCs w:val="24"/>
        </w:rPr>
      </w:pPr>
      <w:r w:rsidRPr="00F20978">
        <w:rPr>
          <w:rFonts w:ascii="Arial" w:hAnsi="Arial" w:cs="Arial"/>
          <w:i/>
          <w:iCs/>
          <w:sz w:val="24"/>
          <w:szCs w:val="24"/>
        </w:rPr>
        <w:t>Housing Assistance Public Rental Housing Assistance Program (Community Rental Housing Assistance – Modified Eligibility Criteria) Determination 2012 (No 1)</w:t>
      </w:r>
      <w:r w:rsidRPr="00F20978">
        <w:rPr>
          <w:rFonts w:ascii="Arial" w:hAnsi="Arial" w:cs="Arial"/>
          <w:sz w:val="24"/>
          <w:szCs w:val="24"/>
        </w:rPr>
        <w:t xml:space="preserve"> (NI2012-254) </w:t>
      </w:r>
    </w:p>
    <w:p w14:paraId="33B36AE5" w14:textId="77777777" w:rsidR="00AC6D4F" w:rsidRPr="00F20978" w:rsidRDefault="00AC6D4F" w:rsidP="00AC6D4F">
      <w:pPr>
        <w:pStyle w:val="ListParagraph"/>
        <w:numPr>
          <w:ilvl w:val="0"/>
          <w:numId w:val="33"/>
        </w:numPr>
        <w:rPr>
          <w:rFonts w:ascii="Arial" w:hAnsi="Arial" w:cs="Arial"/>
          <w:sz w:val="24"/>
          <w:szCs w:val="24"/>
        </w:rPr>
      </w:pPr>
      <w:r w:rsidRPr="00F20978">
        <w:rPr>
          <w:rFonts w:ascii="Arial" w:hAnsi="Arial" w:cs="Arial"/>
          <w:i/>
          <w:iCs/>
          <w:sz w:val="24"/>
          <w:szCs w:val="24"/>
        </w:rPr>
        <w:t>Housing Assistance Public Rental Housing Assistance Program (Exempt Income and Assets) Determination 2020 (No 1)</w:t>
      </w:r>
      <w:r w:rsidRPr="00F20978">
        <w:rPr>
          <w:rFonts w:ascii="Arial" w:hAnsi="Arial" w:cs="Arial"/>
          <w:sz w:val="24"/>
          <w:szCs w:val="24"/>
        </w:rPr>
        <w:t xml:space="preserve"> (NI2020-113) </w:t>
      </w:r>
    </w:p>
    <w:p w14:paraId="05189AAD" w14:textId="77777777" w:rsidR="00AC6D4F" w:rsidRPr="00F20978" w:rsidRDefault="00AC6D4F" w:rsidP="00AC6D4F">
      <w:pPr>
        <w:pStyle w:val="ListParagraph"/>
        <w:numPr>
          <w:ilvl w:val="0"/>
          <w:numId w:val="33"/>
        </w:numPr>
        <w:rPr>
          <w:rFonts w:ascii="Arial" w:hAnsi="Arial" w:cs="Arial"/>
          <w:sz w:val="24"/>
          <w:szCs w:val="24"/>
        </w:rPr>
      </w:pPr>
      <w:r w:rsidRPr="00F20978">
        <w:rPr>
          <w:rFonts w:ascii="Arial" w:hAnsi="Arial" w:cs="Arial"/>
          <w:i/>
          <w:iCs/>
          <w:sz w:val="24"/>
          <w:szCs w:val="24"/>
        </w:rPr>
        <w:t>Housing Assistance Public Rental Housing Assistance Program (Exempt Income and Assets) Determination 2020 (No 2)</w:t>
      </w:r>
      <w:r w:rsidRPr="00F20978">
        <w:rPr>
          <w:rFonts w:ascii="Arial" w:hAnsi="Arial" w:cs="Arial"/>
          <w:sz w:val="24"/>
          <w:szCs w:val="24"/>
        </w:rPr>
        <w:t xml:space="preserve"> (NI2020-173) </w:t>
      </w:r>
    </w:p>
    <w:p w14:paraId="1BF29D44" w14:textId="77777777" w:rsidR="00AC6D4F" w:rsidRPr="00F20978" w:rsidRDefault="00AC6D4F" w:rsidP="00AC6D4F">
      <w:pPr>
        <w:pStyle w:val="ListParagraph"/>
        <w:numPr>
          <w:ilvl w:val="0"/>
          <w:numId w:val="33"/>
        </w:numPr>
        <w:rPr>
          <w:rFonts w:ascii="Arial" w:hAnsi="Arial" w:cs="Arial"/>
          <w:sz w:val="24"/>
          <w:szCs w:val="24"/>
        </w:rPr>
      </w:pPr>
      <w:r w:rsidRPr="00F20978">
        <w:rPr>
          <w:rFonts w:ascii="Arial" w:hAnsi="Arial" w:cs="Arial"/>
          <w:i/>
          <w:iCs/>
          <w:sz w:val="24"/>
          <w:szCs w:val="24"/>
        </w:rPr>
        <w:t xml:space="preserve">Housing Assistance Public Rental Housing Assistance Program (Housing Needs Categories) Determination 2011 (No 2) </w:t>
      </w:r>
      <w:r w:rsidRPr="00F20978">
        <w:rPr>
          <w:rFonts w:ascii="Arial" w:hAnsi="Arial" w:cs="Arial"/>
          <w:sz w:val="24"/>
          <w:szCs w:val="24"/>
        </w:rPr>
        <w:t xml:space="preserve">(NI2011-507) </w:t>
      </w:r>
    </w:p>
    <w:p w14:paraId="254ABF98" w14:textId="4238355A" w:rsidR="0008234F" w:rsidRPr="00B56AE9" w:rsidRDefault="00AC6D4F" w:rsidP="00B56AE9">
      <w:pPr>
        <w:pStyle w:val="ListParagraph"/>
        <w:numPr>
          <w:ilvl w:val="0"/>
          <w:numId w:val="33"/>
        </w:numPr>
        <w:rPr>
          <w:rFonts w:ascii="Arial" w:hAnsi="Arial" w:cs="Arial"/>
          <w:sz w:val="24"/>
          <w:szCs w:val="24"/>
        </w:rPr>
      </w:pPr>
      <w:r w:rsidRPr="00F20978">
        <w:rPr>
          <w:rFonts w:ascii="Arial" w:hAnsi="Arial" w:cs="Arial"/>
          <w:i/>
          <w:iCs/>
          <w:sz w:val="24"/>
          <w:szCs w:val="24"/>
        </w:rPr>
        <w:t>Housing Assistance Public Rental Housing Assistance Program (Residency Time Limits—Exemptions) Determination 2020 (No 1)</w:t>
      </w:r>
      <w:r w:rsidRPr="00F20978">
        <w:rPr>
          <w:rFonts w:ascii="Arial" w:hAnsi="Arial" w:cs="Arial"/>
          <w:sz w:val="24"/>
          <w:szCs w:val="24"/>
        </w:rPr>
        <w:t xml:space="preserve"> (NI2020-521) </w:t>
      </w:r>
    </w:p>
    <w:p w14:paraId="4570B2F5" w14:textId="20101D8F" w:rsidR="00004B62" w:rsidRPr="0008234F" w:rsidRDefault="00AC6D4F" w:rsidP="0008234F">
      <w:pPr>
        <w:pStyle w:val="ListParagraph"/>
        <w:numPr>
          <w:ilvl w:val="0"/>
          <w:numId w:val="33"/>
        </w:numPr>
        <w:rPr>
          <w:rFonts w:ascii="Arial" w:hAnsi="Arial" w:cs="Arial"/>
          <w:sz w:val="24"/>
          <w:szCs w:val="24"/>
        </w:rPr>
      </w:pPr>
      <w:r w:rsidRPr="0008234F">
        <w:rPr>
          <w:rFonts w:ascii="Arial" w:hAnsi="Arial" w:cs="Arial"/>
          <w:i/>
          <w:iCs/>
          <w:sz w:val="24"/>
          <w:szCs w:val="24"/>
        </w:rPr>
        <w:t>Housing Assistance Public Rental Housing Assistance Program (Special Needs Applicants and Dwellings) Determination 2012 (No 1)</w:t>
      </w:r>
      <w:r w:rsidRPr="0008234F">
        <w:rPr>
          <w:rFonts w:ascii="Arial" w:hAnsi="Arial" w:cs="Arial"/>
          <w:sz w:val="24"/>
          <w:szCs w:val="24"/>
        </w:rPr>
        <w:t xml:space="preserve"> (NI2012-358).</w:t>
      </w:r>
    </w:p>
    <w:p w14:paraId="4429ACD3" w14:textId="77777777" w:rsidR="00AC6D4F" w:rsidRPr="00DA1AEA" w:rsidRDefault="00AC6D4F" w:rsidP="00DA1AEA">
      <w:pPr>
        <w:pStyle w:val="ListParagraph"/>
        <w:rPr>
          <w:rFonts w:ascii="Arial" w:hAnsi="Arial" w:cs="Arial"/>
          <w:sz w:val="24"/>
          <w:szCs w:val="24"/>
        </w:rPr>
      </w:pPr>
    </w:p>
    <w:p w14:paraId="0DD7FD56" w14:textId="25B03F7F" w:rsidR="00AC6D4F" w:rsidRPr="00DA1AEA" w:rsidRDefault="00004B62" w:rsidP="00AC6D4F">
      <w:pPr>
        <w:rPr>
          <w:rFonts w:ascii="Arial" w:hAnsi="Arial" w:cs="Arial"/>
          <w:i/>
          <w:iCs/>
          <w:sz w:val="24"/>
          <w:szCs w:val="24"/>
          <w:u w:val="single"/>
        </w:rPr>
      </w:pPr>
      <w:r>
        <w:rPr>
          <w:rFonts w:ascii="Arial" w:hAnsi="Arial" w:cs="Arial"/>
          <w:i/>
          <w:iCs/>
          <w:sz w:val="24"/>
          <w:szCs w:val="24"/>
          <w:u w:val="single"/>
        </w:rPr>
        <w:t xml:space="preserve">New section </w:t>
      </w:r>
      <w:r w:rsidR="00AC6D4F" w:rsidRPr="00DA1AEA">
        <w:rPr>
          <w:rFonts w:ascii="Arial" w:hAnsi="Arial" w:cs="Arial"/>
          <w:i/>
          <w:iCs/>
          <w:sz w:val="24"/>
          <w:szCs w:val="24"/>
          <w:u w:val="single"/>
        </w:rPr>
        <w:t>113</w:t>
      </w:r>
      <w:r w:rsidR="00AC6D4F" w:rsidRPr="00DA1AEA">
        <w:rPr>
          <w:rFonts w:ascii="Arial" w:hAnsi="Arial" w:cs="Arial"/>
          <w:i/>
          <w:iCs/>
          <w:sz w:val="24"/>
          <w:szCs w:val="24"/>
          <w:u w:val="single"/>
        </w:rPr>
        <w:tab/>
        <w:t>Operational Guidelines</w:t>
      </w:r>
    </w:p>
    <w:p w14:paraId="321E8830" w14:textId="442D34AC" w:rsidR="00AC6D4F" w:rsidRPr="00C83960" w:rsidRDefault="00AC6D4F" w:rsidP="00AC6D4F">
      <w:pPr>
        <w:rPr>
          <w:rFonts w:ascii="Arial" w:hAnsi="Arial" w:cs="Arial"/>
          <w:sz w:val="24"/>
          <w:szCs w:val="24"/>
        </w:rPr>
      </w:pPr>
      <w:r>
        <w:rPr>
          <w:rFonts w:ascii="Arial" w:hAnsi="Arial" w:cs="Arial"/>
          <w:sz w:val="24"/>
          <w:szCs w:val="24"/>
        </w:rPr>
        <w:t>Sub</w:t>
      </w:r>
      <w:r w:rsidRPr="004A217F">
        <w:rPr>
          <w:rFonts w:ascii="Arial" w:hAnsi="Arial" w:cs="Arial"/>
          <w:sz w:val="24"/>
          <w:szCs w:val="24"/>
        </w:rPr>
        <w:t>c</w:t>
      </w:r>
      <w:r>
        <w:rPr>
          <w:rFonts w:ascii="Arial" w:hAnsi="Arial" w:cs="Arial"/>
          <w:sz w:val="24"/>
          <w:szCs w:val="24"/>
        </w:rPr>
        <w:t xml:space="preserve">lause (1) repeals the </w:t>
      </w:r>
      <w:hyperlink r:id="rId26" w:history="1">
        <w:r w:rsidRPr="00F20978">
          <w:rPr>
            <w:rStyle w:val="Hyperlink"/>
            <w:rFonts w:ascii="Arial" w:hAnsi="Arial" w:cs="Arial"/>
            <w:i/>
            <w:iCs/>
            <w:sz w:val="24"/>
            <w:szCs w:val="24"/>
          </w:rPr>
          <w:t>Housing Assistance Public Rental Housing Assistance Program (Review of Entitlement to Housing Assistance) Operation Guideline 2013 (No 1)</w:t>
        </w:r>
        <w:r w:rsidRPr="00F20978">
          <w:rPr>
            <w:rStyle w:val="Hyperlink"/>
            <w:rFonts w:ascii="Arial" w:hAnsi="Arial" w:cs="Arial"/>
            <w:sz w:val="24"/>
            <w:szCs w:val="24"/>
          </w:rPr>
          <w:t xml:space="preserve"> (NI2013-534)</w:t>
        </w:r>
      </w:hyperlink>
      <w:r>
        <w:rPr>
          <w:rFonts w:ascii="Arial" w:hAnsi="Arial" w:cs="Arial"/>
          <w:sz w:val="24"/>
          <w:szCs w:val="24"/>
        </w:rPr>
        <w:t xml:space="preserve">. This is because this operational guideline makes reference to the Housing Commissioner utilising the without cause termination provision to terminate a tenancy in circumstances where the Housing Commissioner takes action to withdraw housing assistance from a tenant upon finding they are no longer eligible for assistance after a review of entitlement. As this Bill repeals the without cause termination provision, this instrument will need to remade. As this instrument deals with a relevant matter for the purposes of amended section 21 (see Clause 1.1 above) an amended version of this guideline will need to be remade as a disallowable instrument for when this Bill commences. </w:t>
      </w:r>
    </w:p>
    <w:p w14:paraId="585B58E7" w14:textId="72AAA6CD" w:rsidR="00AC6D4F" w:rsidRDefault="00AC6D4F" w:rsidP="00AC6D4F">
      <w:pPr>
        <w:rPr>
          <w:rFonts w:ascii="Arial" w:hAnsi="Arial" w:cs="Arial"/>
          <w:sz w:val="24"/>
          <w:szCs w:val="24"/>
        </w:rPr>
      </w:pPr>
      <w:r>
        <w:rPr>
          <w:rFonts w:ascii="Arial" w:hAnsi="Arial" w:cs="Arial"/>
          <w:sz w:val="24"/>
          <w:szCs w:val="24"/>
        </w:rPr>
        <w:t xml:space="preserve">Subclause (2) provides that all other guidelines made under section 21 as in force immediately before the commencement day are taken to </w:t>
      </w:r>
      <w:r w:rsidR="00004B62">
        <w:rPr>
          <w:rFonts w:ascii="Arial" w:hAnsi="Arial" w:cs="Arial"/>
          <w:sz w:val="24"/>
          <w:szCs w:val="24"/>
        </w:rPr>
        <w:t>c</w:t>
      </w:r>
      <w:r>
        <w:rPr>
          <w:rFonts w:ascii="Arial" w:hAnsi="Arial" w:cs="Arial"/>
          <w:sz w:val="24"/>
          <w:szCs w:val="24"/>
        </w:rPr>
        <w:t xml:space="preserve">ontinue in force. </w:t>
      </w:r>
    </w:p>
    <w:p w14:paraId="436E69FD" w14:textId="574586FD" w:rsidR="00AC6D4F" w:rsidRPr="00DA1AEA" w:rsidRDefault="00004B62" w:rsidP="00143AD1">
      <w:pPr>
        <w:keepNext/>
        <w:rPr>
          <w:rFonts w:ascii="Arial" w:hAnsi="Arial" w:cs="Arial"/>
          <w:i/>
          <w:iCs/>
          <w:sz w:val="24"/>
          <w:szCs w:val="24"/>
          <w:u w:val="single"/>
        </w:rPr>
      </w:pPr>
      <w:r>
        <w:rPr>
          <w:rFonts w:ascii="Arial" w:hAnsi="Arial" w:cs="Arial"/>
          <w:i/>
          <w:iCs/>
          <w:sz w:val="24"/>
          <w:szCs w:val="24"/>
          <w:u w:val="single"/>
        </w:rPr>
        <w:lastRenderedPageBreak/>
        <w:t>New section</w:t>
      </w:r>
      <w:r w:rsidRPr="00DA1AEA">
        <w:rPr>
          <w:rFonts w:ascii="Arial" w:hAnsi="Arial" w:cs="Arial"/>
          <w:i/>
          <w:iCs/>
          <w:sz w:val="24"/>
          <w:szCs w:val="24"/>
          <w:u w:val="single"/>
        </w:rPr>
        <w:t xml:space="preserve"> </w:t>
      </w:r>
      <w:r w:rsidR="00AC6D4F" w:rsidRPr="00DA1AEA">
        <w:rPr>
          <w:rFonts w:ascii="Arial" w:hAnsi="Arial" w:cs="Arial"/>
          <w:i/>
          <w:iCs/>
          <w:sz w:val="24"/>
          <w:szCs w:val="24"/>
          <w:u w:val="single"/>
        </w:rPr>
        <w:t>114</w:t>
      </w:r>
      <w:r w:rsidR="00AC6D4F" w:rsidRPr="00DA1AEA">
        <w:rPr>
          <w:rFonts w:ascii="Arial" w:hAnsi="Arial" w:cs="Arial"/>
          <w:i/>
          <w:iCs/>
          <w:sz w:val="24"/>
          <w:szCs w:val="24"/>
          <w:u w:val="single"/>
        </w:rPr>
        <w:tab/>
        <w:t>Expiry-</w:t>
      </w:r>
      <w:r w:rsidR="00143AD1">
        <w:rPr>
          <w:rFonts w:ascii="Arial" w:hAnsi="Arial" w:cs="Arial"/>
          <w:i/>
          <w:iCs/>
          <w:sz w:val="24"/>
          <w:szCs w:val="24"/>
          <w:u w:val="single"/>
        </w:rPr>
        <w:t xml:space="preserve"> </w:t>
      </w:r>
      <w:r w:rsidR="00AC6D4F" w:rsidRPr="00DA1AEA">
        <w:rPr>
          <w:rFonts w:ascii="Arial" w:hAnsi="Arial" w:cs="Arial"/>
          <w:i/>
          <w:iCs/>
          <w:sz w:val="24"/>
          <w:szCs w:val="24"/>
          <w:u w:val="single"/>
        </w:rPr>
        <w:t>pt 11</w:t>
      </w:r>
    </w:p>
    <w:p w14:paraId="7DE4E11A" w14:textId="77777777" w:rsidR="00AC6D4F" w:rsidRDefault="00AC6D4F" w:rsidP="00AC6D4F">
      <w:pPr>
        <w:rPr>
          <w:rFonts w:ascii="Arial" w:hAnsi="Arial" w:cs="Arial"/>
          <w:sz w:val="24"/>
          <w:szCs w:val="24"/>
        </w:rPr>
      </w:pPr>
      <w:r>
        <w:rPr>
          <w:rFonts w:ascii="Arial" w:hAnsi="Arial" w:cs="Arial"/>
          <w:sz w:val="24"/>
          <w:szCs w:val="24"/>
        </w:rPr>
        <w:t xml:space="preserve">This clause clarifies that the transitional period will expire 1 year after the commencement day. </w:t>
      </w:r>
    </w:p>
    <w:p w14:paraId="509CAC9D" w14:textId="24E1955D" w:rsidR="00AC6D4F" w:rsidRDefault="00AC6D4F" w:rsidP="00AC6D4F">
      <w:pPr>
        <w:rPr>
          <w:rFonts w:ascii="Arial" w:hAnsi="Arial" w:cs="Arial"/>
          <w:sz w:val="24"/>
          <w:szCs w:val="24"/>
        </w:rPr>
      </w:pPr>
      <w:r>
        <w:rPr>
          <w:rFonts w:ascii="Arial" w:hAnsi="Arial" w:cs="Arial"/>
          <w:sz w:val="24"/>
          <w:szCs w:val="24"/>
        </w:rPr>
        <w:t>The clause also contains a note which advises the reader that a transitional provision is repealed on its expiry but continues to have effect after it</w:t>
      </w:r>
      <w:r w:rsidR="0008234F">
        <w:rPr>
          <w:rFonts w:ascii="Arial" w:hAnsi="Arial" w:cs="Arial"/>
          <w:sz w:val="24"/>
          <w:szCs w:val="24"/>
        </w:rPr>
        <w:t>s</w:t>
      </w:r>
      <w:r>
        <w:rPr>
          <w:rFonts w:ascii="Arial" w:hAnsi="Arial" w:cs="Arial"/>
          <w:sz w:val="24"/>
          <w:szCs w:val="24"/>
        </w:rPr>
        <w:t xml:space="preserve"> repeal. The note refers the read</w:t>
      </w:r>
      <w:r w:rsidR="005A2088">
        <w:rPr>
          <w:rFonts w:ascii="Arial" w:hAnsi="Arial" w:cs="Arial"/>
          <w:sz w:val="24"/>
          <w:szCs w:val="24"/>
        </w:rPr>
        <w:t>er</w:t>
      </w:r>
      <w:r>
        <w:rPr>
          <w:rFonts w:ascii="Arial" w:hAnsi="Arial" w:cs="Arial"/>
          <w:sz w:val="24"/>
          <w:szCs w:val="24"/>
        </w:rPr>
        <w:t xml:space="preserve"> to section 88 of the </w:t>
      </w:r>
      <w:r w:rsidRPr="00480D5F">
        <w:rPr>
          <w:rFonts w:ascii="Arial" w:hAnsi="Arial" w:cs="Arial"/>
          <w:i/>
          <w:iCs/>
          <w:sz w:val="24"/>
          <w:szCs w:val="24"/>
        </w:rPr>
        <w:t>Legislation Act</w:t>
      </w:r>
      <w:r>
        <w:rPr>
          <w:rFonts w:ascii="Arial" w:hAnsi="Arial" w:cs="Arial"/>
          <w:sz w:val="24"/>
          <w:szCs w:val="24"/>
        </w:rPr>
        <w:t xml:space="preserve"> </w:t>
      </w:r>
      <w:r w:rsidR="005A2088">
        <w:rPr>
          <w:rFonts w:ascii="Arial" w:hAnsi="Arial" w:cs="Arial"/>
          <w:i/>
          <w:iCs/>
          <w:sz w:val="24"/>
          <w:szCs w:val="24"/>
        </w:rPr>
        <w:t xml:space="preserve">2001 (ACT) </w:t>
      </w:r>
      <w:r>
        <w:rPr>
          <w:rFonts w:ascii="Arial" w:hAnsi="Arial" w:cs="Arial"/>
          <w:sz w:val="24"/>
          <w:szCs w:val="24"/>
        </w:rPr>
        <w:t xml:space="preserve">for further information. </w:t>
      </w:r>
    </w:p>
    <w:p w14:paraId="2596DAC7" w14:textId="7D2BE108" w:rsidR="00AC6D4F" w:rsidRDefault="00AC6D4F" w:rsidP="00AC6D4F">
      <w:pPr>
        <w:pStyle w:val="Heading3"/>
      </w:pPr>
      <w:r>
        <w:t>[1.</w:t>
      </w:r>
      <w:r w:rsidR="0008234F">
        <w:t>4</w:t>
      </w:r>
      <w:r>
        <w:t xml:space="preserve">] </w:t>
      </w:r>
      <w:r>
        <w:tab/>
        <w:t>Dictionary, notes</w:t>
      </w:r>
      <w:r w:rsidR="00C71147">
        <w:t xml:space="preserve"> 1 and 2</w:t>
      </w:r>
    </w:p>
    <w:p w14:paraId="2753D2AB" w14:textId="4205F411" w:rsidR="00AC6D4F" w:rsidRDefault="00AC6D4F" w:rsidP="00AC6D4F">
      <w:pPr>
        <w:rPr>
          <w:rFonts w:ascii="Arial" w:hAnsi="Arial" w:cs="Arial"/>
          <w:sz w:val="24"/>
          <w:szCs w:val="24"/>
        </w:rPr>
      </w:pPr>
      <w:r w:rsidRPr="0048099F">
        <w:rPr>
          <w:rFonts w:ascii="Arial" w:hAnsi="Arial" w:cs="Arial"/>
          <w:sz w:val="24"/>
          <w:szCs w:val="24"/>
        </w:rPr>
        <w:t xml:space="preserve">This clause </w:t>
      </w:r>
      <w:r>
        <w:rPr>
          <w:rFonts w:ascii="Arial" w:hAnsi="Arial" w:cs="Arial"/>
          <w:sz w:val="24"/>
          <w:szCs w:val="24"/>
        </w:rPr>
        <w:t xml:space="preserve">inserts a </w:t>
      </w:r>
      <w:r w:rsidR="00C71147">
        <w:rPr>
          <w:rFonts w:ascii="Arial" w:hAnsi="Arial" w:cs="Arial"/>
          <w:sz w:val="24"/>
          <w:szCs w:val="24"/>
        </w:rPr>
        <w:t>note into the HAA</w:t>
      </w:r>
      <w:r w:rsidR="0008234F">
        <w:rPr>
          <w:rFonts w:ascii="Arial" w:hAnsi="Arial" w:cs="Arial"/>
          <w:sz w:val="24"/>
          <w:szCs w:val="24"/>
        </w:rPr>
        <w:t xml:space="preserve"> Dictionary</w:t>
      </w:r>
      <w:r w:rsidR="00C71147">
        <w:rPr>
          <w:rFonts w:ascii="Arial" w:hAnsi="Arial" w:cs="Arial"/>
          <w:sz w:val="24"/>
          <w:szCs w:val="24"/>
        </w:rPr>
        <w:t xml:space="preserve">, which advises the reader that the </w:t>
      </w:r>
      <w:r w:rsidR="005A2088" w:rsidRPr="00264F34">
        <w:rPr>
          <w:rFonts w:ascii="Arial" w:hAnsi="Arial" w:cs="Arial"/>
          <w:i/>
          <w:iCs/>
          <w:sz w:val="24"/>
          <w:szCs w:val="24"/>
        </w:rPr>
        <w:t>Legislation Act 2001 (ACT)</w:t>
      </w:r>
      <w:r w:rsidR="005A2088">
        <w:rPr>
          <w:rFonts w:ascii="Arial" w:hAnsi="Arial" w:cs="Arial"/>
          <w:i/>
          <w:iCs/>
          <w:sz w:val="24"/>
          <w:szCs w:val="24"/>
        </w:rPr>
        <w:t xml:space="preserve"> </w:t>
      </w:r>
      <w:r w:rsidR="00C71147">
        <w:rPr>
          <w:rFonts w:ascii="Arial" w:hAnsi="Arial" w:cs="Arial"/>
          <w:sz w:val="24"/>
          <w:szCs w:val="24"/>
        </w:rPr>
        <w:t xml:space="preserve">contains definitions that are relevant </w:t>
      </w:r>
      <w:r w:rsidR="005A2088">
        <w:rPr>
          <w:rFonts w:ascii="Arial" w:hAnsi="Arial" w:cs="Arial"/>
          <w:sz w:val="24"/>
          <w:szCs w:val="24"/>
        </w:rPr>
        <w:t>to</w:t>
      </w:r>
      <w:r w:rsidR="00C71147">
        <w:rPr>
          <w:rFonts w:ascii="Arial" w:hAnsi="Arial" w:cs="Arial"/>
          <w:sz w:val="24"/>
          <w:szCs w:val="24"/>
        </w:rPr>
        <w:t xml:space="preserve"> the interpretation of the HAA.</w:t>
      </w:r>
      <w:r>
        <w:rPr>
          <w:rFonts w:ascii="Arial" w:hAnsi="Arial" w:cs="Arial"/>
          <w:sz w:val="24"/>
          <w:szCs w:val="24"/>
        </w:rPr>
        <w:t xml:space="preserve"> </w:t>
      </w:r>
      <w:r w:rsidR="00C71147">
        <w:rPr>
          <w:rFonts w:ascii="Arial" w:hAnsi="Arial" w:cs="Arial"/>
          <w:sz w:val="24"/>
          <w:szCs w:val="24"/>
        </w:rPr>
        <w:t xml:space="preserve">The note lists the following terms as being defined in the </w:t>
      </w:r>
      <w:r w:rsidR="005A2088" w:rsidRPr="00264F34">
        <w:rPr>
          <w:rFonts w:ascii="Arial" w:hAnsi="Arial" w:cs="Arial"/>
          <w:i/>
          <w:iCs/>
          <w:sz w:val="24"/>
          <w:szCs w:val="24"/>
        </w:rPr>
        <w:t>Legislation Act 2001 (ACT)</w:t>
      </w:r>
      <w:r w:rsidR="00C71147">
        <w:rPr>
          <w:rFonts w:ascii="Arial" w:hAnsi="Arial" w:cs="Arial"/>
          <w:sz w:val="24"/>
          <w:szCs w:val="24"/>
        </w:rPr>
        <w:t xml:space="preserve">: </w:t>
      </w:r>
      <w:r w:rsidR="00C71147" w:rsidRPr="00480D5F">
        <w:rPr>
          <w:rFonts w:ascii="Arial" w:hAnsi="Arial" w:cs="Arial"/>
          <w:i/>
          <w:iCs/>
          <w:sz w:val="24"/>
          <w:szCs w:val="24"/>
        </w:rPr>
        <w:t>ACAT, director-general, entity, Executive, exercise, function, may, Minister, must, planning and land authority, reviewable decision notice, territory land</w:t>
      </w:r>
      <w:r w:rsidR="00C71147">
        <w:rPr>
          <w:rFonts w:ascii="Arial" w:hAnsi="Arial" w:cs="Arial"/>
          <w:sz w:val="24"/>
          <w:szCs w:val="24"/>
        </w:rPr>
        <w:t xml:space="preserve"> and </w:t>
      </w:r>
      <w:r w:rsidR="00C71147" w:rsidRPr="00480D5F">
        <w:rPr>
          <w:rFonts w:ascii="Arial" w:hAnsi="Arial" w:cs="Arial"/>
          <w:i/>
          <w:iCs/>
          <w:sz w:val="24"/>
          <w:szCs w:val="24"/>
        </w:rPr>
        <w:t>year</w:t>
      </w:r>
      <w:r w:rsidR="00C71147">
        <w:rPr>
          <w:rFonts w:ascii="Arial" w:hAnsi="Arial" w:cs="Arial"/>
          <w:sz w:val="24"/>
          <w:szCs w:val="24"/>
        </w:rPr>
        <w:t>.</w:t>
      </w:r>
    </w:p>
    <w:p w14:paraId="55C5C3CF" w14:textId="797119BF" w:rsidR="00AC6D4F" w:rsidRPr="002D091B" w:rsidRDefault="00AC6D4F" w:rsidP="00AC6D4F">
      <w:pPr>
        <w:pStyle w:val="Heading3"/>
        <w:rPr>
          <w:i/>
          <w:iCs/>
        </w:rPr>
      </w:pPr>
      <w:r>
        <w:t>[1.</w:t>
      </w:r>
      <w:r w:rsidR="0008234F">
        <w:t>5</w:t>
      </w:r>
      <w:r>
        <w:t xml:space="preserve">] </w:t>
      </w:r>
      <w:r>
        <w:tab/>
        <w:t xml:space="preserve">Dictionary, new definition of </w:t>
      </w:r>
      <w:r w:rsidRPr="002D091B">
        <w:rPr>
          <w:i/>
          <w:iCs/>
        </w:rPr>
        <w:t>temporary housing assistance</w:t>
      </w:r>
    </w:p>
    <w:p w14:paraId="1EF5C64D" w14:textId="77777777" w:rsidR="00AC6D4F" w:rsidRPr="002D091B" w:rsidRDefault="00AC6D4F" w:rsidP="00AC6D4F">
      <w:pPr>
        <w:rPr>
          <w:rFonts w:ascii="Arial" w:hAnsi="Arial" w:cs="Arial"/>
          <w:sz w:val="24"/>
          <w:szCs w:val="24"/>
        </w:rPr>
      </w:pPr>
      <w:r w:rsidRPr="002D091B">
        <w:rPr>
          <w:rFonts w:ascii="Arial" w:hAnsi="Arial" w:cs="Arial"/>
          <w:sz w:val="24"/>
          <w:szCs w:val="24"/>
        </w:rPr>
        <w:t>This clause inserts a new definition of</w:t>
      </w:r>
      <w:r w:rsidRPr="002D091B">
        <w:rPr>
          <w:rFonts w:ascii="Arial" w:hAnsi="Arial" w:cs="Arial"/>
          <w:b/>
          <w:bCs/>
          <w:i/>
          <w:iCs/>
          <w:sz w:val="24"/>
          <w:szCs w:val="24"/>
        </w:rPr>
        <w:t xml:space="preserve"> temporary housing assistance</w:t>
      </w:r>
      <w:r w:rsidRPr="002D091B">
        <w:rPr>
          <w:rFonts w:ascii="Arial" w:hAnsi="Arial" w:cs="Arial"/>
          <w:sz w:val="24"/>
          <w:szCs w:val="24"/>
        </w:rPr>
        <w:t xml:space="preserve"> into the HAA.  This definition is then cross referenced in the RTA (see clause </w:t>
      </w:r>
      <w:r>
        <w:rPr>
          <w:rFonts w:ascii="Arial" w:hAnsi="Arial" w:cs="Arial"/>
          <w:sz w:val="24"/>
          <w:szCs w:val="24"/>
        </w:rPr>
        <w:t>55</w:t>
      </w:r>
      <w:r w:rsidRPr="002D091B">
        <w:rPr>
          <w:rFonts w:ascii="Arial" w:hAnsi="Arial" w:cs="Arial"/>
          <w:sz w:val="24"/>
          <w:szCs w:val="24"/>
        </w:rPr>
        <w:t xml:space="preserve"> for the insertion of the new definition in the RTA). </w:t>
      </w:r>
    </w:p>
    <w:p w14:paraId="3F860DC4" w14:textId="2828B7CC" w:rsidR="002D091B" w:rsidRPr="002D091B" w:rsidRDefault="00AC6D4F" w:rsidP="00DA1AEA">
      <w:pPr>
        <w:rPr>
          <w:rFonts w:ascii="Arial" w:hAnsi="Arial" w:cs="Arial"/>
          <w:sz w:val="24"/>
          <w:szCs w:val="24"/>
        </w:rPr>
      </w:pPr>
      <w:r w:rsidRPr="002D091B">
        <w:rPr>
          <w:rFonts w:ascii="Arial" w:hAnsi="Arial" w:cs="Arial"/>
          <w:sz w:val="24"/>
          <w:szCs w:val="24"/>
        </w:rPr>
        <w:t xml:space="preserve">It provides that </w:t>
      </w:r>
      <w:r w:rsidRPr="002D091B">
        <w:rPr>
          <w:rFonts w:ascii="Arial" w:hAnsi="Arial" w:cs="Arial"/>
          <w:b/>
          <w:bCs/>
          <w:i/>
          <w:iCs/>
          <w:sz w:val="24"/>
          <w:szCs w:val="24"/>
        </w:rPr>
        <w:t>temporary housing assistance</w:t>
      </w:r>
      <w:r w:rsidRPr="002D091B">
        <w:rPr>
          <w:rFonts w:ascii="Arial" w:hAnsi="Arial" w:cs="Arial"/>
          <w:sz w:val="24"/>
          <w:szCs w:val="24"/>
        </w:rPr>
        <w:t xml:space="preserve"> means housing assistance identified as temporary housing assistance in an approved housing assistance program.</w:t>
      </w:r>
      <w:r>
        <w:rPr>
          <w:rFonts w:ascii="Arial" w:hAnsi="Arial" w:cs="Arial"/>
          <w:sz w:val="24"/>
          <w:szCs w:val="24"/>
        </w:rPr>
        <w:t xml:space="preserve"> </w:t>
      </w:r>
      <w:bookmarkEnd w:id="4"/>
    </w:p>
    <w:sectPr w:rsidR="002D091B" w:rsidRPr="002D091B" w:rsidSect="00F41A2F">
      <w:footerReference w:type="default" r:id="rId27"/>
      <w:footerReference w:type="first" r:id="rId28"/>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0459" w14:textId="77777777" w:rsidR="00CD35F9" w:rsidRDefault="00CD35F9">
      <w:pPr>
        <w:spacing w:after="0" w:line="240" w:lineRule="auto"/>
      </w:pPr>
      <w:r>
        <w:separator/>
      </w:r>
    </w:p>
  </w:endnote>
  <w:endnote w:type="continuationSeparator" w:id="0">
    <w:p w14:paraId="32BEBD75" w14:textId="77777777" w:rsidR="00CD35F9" w:rsidRDefault="00CD35F9">
      <w:pPr>
        <w:spacing w:after="0" w:line="240" w:lineRule="auto"/>
      </w:pPr>
      <w:r>
        <w:continuationSeparator/>
      </w:r>
    </w:p>
  </w:endnote>
  <w:endnote w:type="continuationNotice" w:id="1">
    <w:p w14:paraId="1F9CD2F3" w14:textId="77777777" w:rsidR="00CD35F9" w:rsidRDefault="00CD3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EE14" w14:textId="77777777" w:rsidR="000971E1" w:rsidRDefault="00097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1FA9" w14:textId="354FCB97" w:rsidR="00974B72" w:rsidRPr="007B01B9" w:rsidRDefault="007B01B9" w:rsidP="007B01B9">
    <w:pPr>
      <w:pStyle w:val="Footer"/>
      <w:jc w:val="center"/>
      <w:rPr>
        <w:rFonts w:cs="Arial"/>
        <w:sz w:val="14"/>
      </w:rPr>
    </w:pPr>
    <w:r w:rsidRPr="007B01B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3F157F38"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36BE6E99" w14:textId="42A5A299" w:rsidR="007B01B9" w:rsidRPr="007B01B9" w:rsidRDefault="007B01B9" w:rsidP="007B01B9">
    <w:pPr>
      <w:pStyle w:val="Footer"/>
      <w:spacing w:before="60" w:line="240" w:lineRule="auto"/>
      <w:jc w:val="center"/>
      <w:rPr>
        <w:rFonts w:cs="Arial"/>
        <w:sz w:val="14"/>
      </w:rPr>
    </w:pPr>
    <w:r w:rsidRPr="007B01B9">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51424217"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75EE3BDA" w14:textId="4F7B0FAF" w:rsidR="007B01B9" w:rsidRPr="007B01B9" w:rsidRDefault="007B01B9" w:rsidP="007B01B9">
    <w:pPr>
      <w:pStyle w:val="Footer"/>
      <w:jc w:val="center"/>
      <w:rPr>
        <w:rFonts w:cs="Arial"/>
        <w:sz w:val="14"/>
      </w:rPr>
    </w:pPr>
    <w:r w:rsidRPr="007B01B9">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04EE1" w14:textId="77777777" w:rsidR="00CD35F9" w:rsidRDefault="00CD35F9">
      <w:pPr>
        <w:spacing w:after="0" w:line="240" w:lineRule="auto"/>
      </w:pPr>
      <w:r>
        <w:separator/>
      </w:r>
    </w:p>
  </w:footnote>
  <w:footnote w:type="continuationSeparator" w:id="0">
    <w:p w14:paraId="6B0829A9" w14:textId="77777777" w:rsidR="00CD35F9" w:rsidRDefault="00CD35F9">
      <w:pPr>
        <w:spacing w:after="0" w:line="240" w:lineRule="auto"/>
      </w:pPr>
      <w:r>
        <w:continuationSeparator/>
      </w:r>
    </w:p>
  </w:footnote>
  <w:footnote w:type="continuationNotice" w:id="1">
    <w:p w14:paraId="4B4942C8" w14:textId="77777777" w:rsidR="00CD35F9" w:rsidRDefault="00CD35F9">
      <w:pPr>
        <w:spacing w:after="0" w:line="240" w:lineRule="auto"/>
      </w:pPr>
    </w:p>
  </w:footnote>
  <w:footnote w:id="2">
    <w:p w14:paraId="575BD90C" w14:textId="5753C812" w:rsidR="0010598A" w:rsidRPr="002838EC" w:rsidRDefault="0010598A">
      <w:pPr>
        <w:pStyle w:val="FootnoteText"/>
        <w:rPr>
          <w:lang w:val="en-AU"/>
        </w:rPr>
      </w:pPr>
      <w:r>
        <w:rPr>
          <w:rStyle w:val="FootnoteReference"/>
        </w:rPr>
        <w:footnoteRef/>
      </w:r>
      <w:r>
        <w:t xml:space="preserve"> UN Human Rights Committee, General Comment No. 18: Non-discrimination (1989) (‘General Comment No. 18’),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4A7F" w14:textId="77777777" w:rsidR="000971E1" w:rsidRDefault="00097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162F" w14:textId="77777777" w:rsidR="000971E1" w:rsidRDefault="00097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CCC9" w14:textId="77777777" w:rsidR="000971E1" w:rsidRDefault="00097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7AF0"/>
    <w:multiLevelType w:val="hybridMultilevel"/>
    <w:tmpl w:val="891C60D0"/>
    <w:lvl w:ilvl="0" w:tplc="066C9874">
      <w:start w:val="1"/>
      <w:numFmt w:val="lowerLetter"/>
      <w:pStyle w:val="Recommendation2"/>
      <w:lvlText w:val="%1."/>
      <w:lvlJc w:val="left"/>
      <w:pPr>
        <w:ind w:left="1145" w:hanging="360"/>
      </w:pPr>
    </w:lvl>
    <w:lvl w:ilvl="1" w:tplc="0C09001B">
      <w:start w:val="1"/>
      <w:numFmt w:val="lowerRoman"/>
      <w:lvlText w:val="%2."/>
      <w:lvlJc w:val="right"/>
      <w:pPr>
        <w:ind w:left="1865" w:hanging="360"/>
      </w:pPr>
    </w:lvl>
    <w:lvl w:ilvl="2" w:tplc="0C09001B">
      <w:start w:val="1"/>
      <w:numFmt w:val="lowerRoman"/>
      <w:lvlText w:val="%3."/>
      <w:lvlJc w:val="right"/>
      <w:pPr>
        <w:ind w:left="1172" w:hanging="180"/>
      </w:pPr>
    </w:lvl>
    <w:lvl w:ilvl="3" w:tplc="0C09000F">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DD2571"/>
    <w:multiLevelType w:val="hybridMultilevel"/>
    <w:tmpl w:val="4B58FF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12D2A59"/>
    <w:multiLevelType w:val="hybridMultilevel"/>
    <w:tmpl w:val="A69E8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912D8"/>
    <w:multiLevelType w:val="hybridMultilevel"/>
    <w:tmpl w:val="53740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B207B"/>
    <w:multiLevelType w:val="hybridMultilevel"/>
    <w:tmpl w:val="C6AA12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5C00C2"/>
    <w:multiLevelType w:val="hybridMultilevel"/>
    <w:tmpl w:val="B560AB86"/>
    <w:lvl w:ilvl="0" w:tplc="C27CC2E0">
      <w:start w:val="1"/>
      <w:numFmt w:val="lowerLetter"/>
      <w:lvlText w:val="(%1)"/>
      <w:lvlJc w:val="left"/>
      <w:pPr>
        <w:ind w:left="720" w:hanging="360"/>
      </w:pPr>
      <w:rPr>
        <w:rFonts w:ascii="Calibri" w:eastAsia="Times New Roman" w:hAnsi="Calibri" w:cs="Times New Roman"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9F59D1"/>
    <w:multiLevelType w:val="hybridMultilevel"/>
    <w:tmpl w:val="9B4AE228"/>
    <w:lvl w:ilvl="0" w:tplc="6B9CA5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466B50"/>
    <w:multiLevelType w:val="hybridMultilevel"/>
    <w:tmpl w:val="78083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741E4D"/>
    <w:multiLevelType w:val="hybridMultilevel"/>
    <w:tmpl w:val="F2E6F830"/>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680038"/>
    <w:multiLevelType w:val="hybridMultilevel"/>
    <w:tmpl w:val="2E281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E75D31"/>
    <w:multiLevelType w:val="hybridMultilevel"/>
    <w:tmpl w:val="4FD2938C"/>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2" w15:restartNumberingAfterBreak="0">
    <w:nsid w:val="297941C9"/>
    <w:multiLevelType w:val="hybridMultilevel"/>
    <w:tmpl w:val="D7FC8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F03FEB"/>
    <w:multiLevelType w:val="hybridMultilevel"/>
    <w:tmpl w:val="AE94EA5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4" w15:restartNumberingAfterBreak="0">
    <w:nsid w:val="2C154E21"/>
    <w:multiLevelType w:val="hybridMultilevel"/>
    <w:tmpl w:val="868640FE"/>
    <w:lvl w:ilvl="0" w:tplc="FFFFFFFF">
      <w:start w:val="1"/>
      <w:numFmt w:val="lowerLetter"/>
      <w:lvlText w:val="%1."/>
      <w:lvlJc w:val="left"/>
      <w:pPr>
        <w:ind w:left="1145" w:hanging="360"/>
      </w:pPr>
    </w:lvl>
    <w:lvl w:ilvl="1" w:tplc="0C090001">
      <w:start w:val="1"/>
      <w:numFmt w:val="bullet"/>
      <w:lvlText w:val=""/>
      <w:lvlJc w:val="left"/>
      <w:pPr>
        <w:ind w:left="1865" w:hanging="360"/>
      </w:pPr>
      <w:rPr>
        <w:rFonts w:ascii="Symbol" w:hAnsi="Symbol" w:hint="default"/>
      </w:rPr>
    </w:lvl>
    <w:lvl w:ilvl="2" w:tplc="FFFFFFFF">
      <w:start w:val="1"/>
      <w:numFmt w:val="lowerRoman"/>
      <w:lvlText w:val="%3."/>
      <w:lvlJc w:val="right"/>
      <w:pPr>
        <w:ind w:left="1172" w:hanging="180"/>
      </w:pPr>
    </w:lvl>
    <w:lvl w:ilvl="3" w:tplc="FFFFFFFF">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5" w15:restartNumberingAfterBreak="0">
    <w:nsid w:val="335872B8"/>
    <w:multiLevelType w:val="hybridMultilevel"/>
    <w:tmpl w:val="F424B458"/>
    <w:lvl w:ilvl="0" w:tplc="6DBAF65E">
      <w:start w:val="1"/>
      <w:numFmt w:val="decimal"/>
      <w:pStyle w:val="CS-Paragraphnumbering"/>
      <w:lvlText w:val="%1."/>
      <w:lvlJc w:val="left"/>
      <w:pPr>
        <w:ind w:left="720" w:hanging="360"/>
      </w:pPr>
      <w:rPr>
        <w:sz w:val="24"/>
        <w:szCs w:val="24"/>
      </w:rPr>
    </w:lvl>
    <w:lvl w:ilvl="1" w:tplc="07ACAC12">
      <w:start w:val="1"/>
      <w:numFmt w:val="lowerLetter"/>
      <w:lvlText w:val="%2."/>
      <w:lvlJc w:val="left"/>
      <w:pPr>
        <w:ind w:left="1440" w:hanging="360"/>
      </w:pPr>
      <w:rPr>
        <w:b w:val="0"/>
        <w:bCs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FE4716"/>
    <w:multiLevelType w:val="hybridMultilevel"/>
    <w:tmpl w:val="93AE1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B03A3A"/>
    <w:multiLevelType w:val="hybridMultilevel"/>
    <w:tmpl w:val="0D7CB1B4"/>
    <w:lvl w:ilvl="0" w:tplc="FFFFFFFF">
      <w:start w:val="1"/>
      <w:numFmt w:val="lowerLetter"/>
      <w:lvlText w:val="%1."/>
      <w:lvlJc w:val="left"/>
      <w:pPr>
        <w:ind w:left="1145" w:hanging="360"/>
      </w:p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1172" w:hanging="180"/>
      </w:pPr>
    </w:lvl>
    <w:lvl w:ilvl="3" w:tplc="FFFFFFFF">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8" w15:restartNumberingAfterBreak="0">
    <w:nsid w:val="372D7AAD"/>
    <w:multiLevelType w:val="hybridMultilevel"/>
    <w:tmpl w:val="F9FCE978"/>
    <w:lvl w:ilvl="0" w:tplc="5E3695A4">
      <w:start w:val="1"/>
      <w:numFmt w:val="decimal"/>
      <w:pStyle w:val="CS-RecommendationList"/>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B875BE0"/>
    <w:multiLevelType w:val="hybridMultilevel"/>
    <w:tmpl w:val="5BBCD3A0"/>
    <w:lvl w:ilvl="0" w:tplc="5E380E14">
      <w:start w:val="1"/>
      <w:numFmt w:val="lowerLetter"/>
      <w:lvlText w:val="(%1)"/>
      <w:lvlJc w:val="left"/>
      <w:pPr>
        <w:ind w:left="720" w:hanging="360"/>
      </w:pPr>
      <w:rPr>
        <w:rFonts w:ascii="Arial" w:eastAsia="Times New Roman" w:hAnsi="Arial" w:cs="Arial"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B0067D"/>
    <w:multiLevelType w:val="hybridMultilevel"/>
    <w:tmpl w:val="385C7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BB67D0C"/>
    <w:multiLevelType w:val="hybridMultilevel"/>
    <w:tmpl w:val="37668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D109E1"/>
    <w:multiLevelType w:val="hybridMultilevel"/>
    <w:tmpl w:val="9B98B7BC"/>
    <w:lvl w:ilvl="0" w:tplc="98CA0E80">
      <w:start w:val="5"/>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BDD4058"/>
    <w:multiLevelType w:val="hybridMultilevel"/>
    <w:tmpl w:val="53369FA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556F4C"/>
    <w:multiLevelType w:val="hybridMultilevel"/>
    <w:tmpl w:val="229C2E9E"/>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25" w15:restartNumberingAfterBreak="0">
    <w:nsid w:val="45C25CD6"/>
    <w:multiLevelType w:val="hybridMultilevel"/>
    <w:tmpl w:val="7E423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6413D5"/>
    <w:multiLevelType w:val="hybridMultilevel"/>
    <w:tmpl w:val="E9063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FF2CFA"/>
    <w:multiLevelType w:val="hybridMultilevel"/>
    <w:tmpl w:val="6DD84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DF6781"/>
    <w:multiLevelType w:val="hybridMultilevel"/>
    <w:tmpl w:val="1F7A1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904E00"/>
    <w:multiLevelType w:val="hybridMultilevel"/>
    <w:tmpl w:val="34EE12AC"/>
    <w:lvl w:ilvl="0" w:tplc="D80AB2D2">
      <w:start w:val="1"/>
      <w:numFmt w:val="decimal"/>
      <w:lvlText w:val="%1)"/>
      <w:lvlJc w:val="left"/>
      <w:pPr>
        <w:ind w:left="360" w:hanging="360"/>
      </w:pPr>
      <w:rPr>
        <w:i w:val="0"/>
      </w:rPr>
    </w:lvl>
    <w:lvl w:ilvl="1" w:tplc="915E3BEC">
      <w:start w:val="1"/>
      <w:numFmt w:val="lowerLetter"/>
      <w:lvlText w:val="%2."/>
      <w:lvlJc w:val="left"/>
      <w:pPr>
        <w:ind w:left="1353" w:hanging="360"/>
      </w:pPr>
      <w:rPr>
        <w:i w:val="0"/>
        <w:iCs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4031F"/>
    <w:multiLevelType w:val="hybridMultilevel"/>
    <w:tmpl w:val="FC18B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2" w15:restartNumberingAfterBreak="0">
    <w:nsid w:val="637C4566"/>
    <w:multiLevelType w:val="hybridMultilevel"/>
    <w:tmpl w:val="268A0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12229F"/>
    <w:multiLevelType w:val="hybridMultilevel"/>
    <w:tmpl w:val="E79AA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CD749B"/>
    <w:multiLevelType w:val="hybridMultilevel"/>
    <w:tmpl w:val="8348D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A532C7"/>
    <w:multiLevelType w:val="hybridMultilevel"/>
    <w:tmpl w:val="7F207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6509F2"/>
    <w:multiLevelType w:val="hybridMultilevel"/>
    <w:tmpl w:val="971CAB9A"/>
    <w:lvl w:ilvl="0" w:tplc="0C090001">
      <w:start w:val="1"/>
      <w:numFmt w:val="bullet"/>
      <w:lvlText w:val=""/>
      <w:lvlJc w:val="left"/>
      <w:pPr>
        <w:ind w:left="852" w:hanging="360"/>
      </w:pPr>
      <w:rPr>
        <w:rFonts w:ascii="Symbol" w:hAnsi="Symbol" w:hint="default"/>
      </w:rPr>
    </w:lvl>
    <w:lvl w:ilvl="1" w:tplc="0C090003" w:tentative="1">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37" w15:restartNumberingAfterBreak="0">
    <w:nsid w:val="6EAA4B89"/>
    <w:multiLevelType w:val="hybridMultilevel"/>
    <w:tmpl w:val="FAC29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5F49FE"/>
    <w:multiLevelType w:val="hybridMultilevel"/>
    <w:tmpl w:val="A89E4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9601D07"/>
    <w:multiLevelType w:val="hybridMultilevel"/>
    <w:tmpl w:val="87D46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7D8C2BC4"/>
    <w:multiLevelType w:val="hybridMultilevel"/>
    <w:tmpl w:val="4D760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3354721">
    <w:abstractNumId w:val="31"/>
  </w:num>
  <w:num w:numId="2" w16cid:durableId="1051271003">
    <w:abstractNumId w:val="40"/>
  </w:num>
  <w:num w:numId="3" w16cid:durableId="1102529142">
    <w:abstractNumId w:val="1"/>
  </w:num>
  <w:num w:numId="4" w16cid:durableId="915213282">
    <w:abstractNumId w:val="35"/>
  </w:num>
  <w:num w:numId="5" w16cid:durableId="1350640627">
    <w:abstractNumId w:val="6"/>
  </w:num>
  <w:num w:numId="6" w16cid:durableId="1789471547">
    <w:abstractNumId w:val="9"/>
  </w:num>
  <w:num w:numId="7" w16cid:durableId="377901064">
    <w:abstractNumId w:val="25"/>
  </w:num>
  <w:num w:numId="8" w16cid:durableId="361321812">
    <w:abstractNumId w:val="19"/>
  </w:num>
  <w:num w:numId="9" w16cid:durableId="1725368074">
    <w:abstractNumId w:val="3"/>
  </w:num>
  <w:num w:numId="10" w16cid:durableId="1688677657">
    <w:abstractNumId w:val="22"/>
  </w:num>
  <w:num w:numId="11" w16cid:durableId="1489245829">
    <w:abstractNumId w:val="13"/>
  </w:num>
  <w:num w:numId="12" w16cid:durableId="367030060">
    <w:abstractNumId w:val="20"/>
  </w:num>
  <w:num w:numId="13" w16cid:durableId="596331759">
    <w:abstractNumId w:val="38"/>
  </w:num>
  <w:num w:numId="14" w16cid:durableId="1291781988">
    <w:abstractNumId w:val="0"/>
  </w:num>
  <w:num w:numId="15" w16cid:durableId="1478187802">
    <w:abstractNumId w:val="15"/>
  </w:num>
  <w:num w:numId="16" w16cid:durableId="1135755551">
    <w:abstractNumId w:val="23"/>
  </w:num>
  <w:num w:numId="17" w16cid:durableId="1125345626">
    <w:abstractNumId w:val="28"/>
  </w:num>
  <w:num w:numId="18" w16cid:durableId="1819564545">
    <w:abstractNumId w:val="29"/>
  </w:num>
  <w:num w:numId="19" w16cid:durableId="1338070140">
    <w:abstractNumId w:val="2"/>
  </w:num>
  <w:num w:numId="20" w16cid:durableId="513106365">
    <w:abstractNumId w:val="0"/>
  </w:num>
  <w:num w:numId="21" w16cid:durableId="1895118571">
    <w:abstractNumId w:val="0"/>
  </w:num>
  <w:num w:numId="22" w16cid:durableId="520509211">
    <w:abstractNumId w:val="11"/>
  </w:num>
  <w:num w:numId="23" w16cid:durableId="1122000742">
    <w:abstractNumId w:val="26"/>
  </w:num>
  <w:num w:numId="24" w16cid:durableId="1001085988">
    <w:abstractNumId w:val="27"/>
  </w:num>
  <w:num w:numId="25" w16cid:durableId="1446269825">
    <w:abstractNumId w:val="39"/>
  </w:num>
  <w:num w:numId="26" w16cid:durableId="1813056346">
    <w:abstractNumId w:val="18"/>
  </w:num>
  <w:num w:numId="27" w16cid:durableId="38479111">
    <w:abstractNumId w:val="36"/>
  </w:num>
  <w:num w:numId="28" w16cid:durableId="1999187563">
    <w:abstractNumId w:val="5"/>
  </w:num>
  <w:num w:numId="29" w16cid:durableId="1100489357">
    <w:abstractNumId w:val="37"/>
  </w:num>
  <w:num w:numId="30" w16cid:durableId="343556414">
    <w:abstractNumId w:val="12"/>
  </w:num>
  <w:num w:numId="31" w16cid:durableId="718020617">
    <w:abstractNumId w:val="21"/>
  </w:num>
  <w:num w:numId="32" w16cid:durableId="1356808678">
    <w:abstractNumId w:val="24"/>
  </w:num>
  <w:num w:numId="33" w16cid:durableId="107507821">
    <w:abstractNumId w:val="32"/>
  </w:num>
  <w:num w:numId="34" w16cid:durableId="172380960">
    <w:abstractNumId w:val="7"/>
  </w:num>
  <w:num w:numId="35" w16cid:durableId="415252043">
    <w:abstractNumId w:val="4"/>
  </w:num>
  <w:num w:numId="36" w16cid:durableId="1913999764">
    <w:abstractNumId w:val="34"/>
  </w:num>
  <w:num w:numId="37" w16cid:durableId="1489832543">
    <w:abstractNumId w:val="8"/>
  </w:num>
  <w:num w:numId="38" w16cid:durableId="2064788299">
    <w:abstractNumId w:val="10"/>
  </w:num>
  <w:num w:numId="39" w16cid:durableId="189690138">
    <w:abstractNumId w:val="16"/>
  </w:num>
  <w:num w:numId="40" w16cid:durableId="302976702">
    <w:abstractNumId w:val="14"/>
  </w:num>
  <w:num w:numId="41" w16cid:durableId="324013199">
    <w:abstractNumId w:val="17"/>
  </w:num>
  <w:num w:numId="42" w16cid:durableId="1545630044">
    <w:abstractNumId w:val="41"/>
  </w:num>
  <w:num w:numId="43" w16cid:durableId="449668249">
    <w:abstractNumId w:val="33"/>
  </w:num>
  <w:num w:numId="44" w16cid:durableId="1234898626">
    <w:abstractNumId w:val="0"/>
  </w:num>
  <w:num w:numId="45" w16cid:durableId="191305527">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60"/>
    <w:rsid w:val="00000744"/>
    <w:rsid w:val="00000D55"/>
    <w:rsid w:val="000010F4"/>
    <w:rsid w:val="00001171"/>
    <w:rsid w:val="000017F2"/>
    <w:rsid w:val="00003193"/>
    <w:rsid w:val="000031D2"/>
    <w:rsid w:val="000037CA"/>
    <w:rsid w:val="00003B06"/>
    <w:rsid w:val="00003E8C"/>
    <w:rsid w:val="00003E9C"/>
    <w:rsid w:val="000044DF"/>
    <w:rsid w:val="00004B62"/>
    <w:rsid w:val="000051BF"/>
    <w:rsid w:val="00005792"/>
    <w:rsid w:val="000065F2"/>
    <w:rsid w:val="00006A9D"/>
    <w:rsid w:val="00006CBF"/>
    <w:rsid w:val="00007947"/>
    <w:rsid w:val="00007EB9"/>
    <w:rsid w:val="00010C5C"/>
    <w:rsid w:val="00010E45"/>
    <w:rsid w:val="00010F19"/>
    <w:rsid w:val="00011047"/>
    <w:rsid w:val="00011106"/>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704"/>
    <w:rsid w:val="00020A0B"/>
    <w:rsid w:val="00020FD5"/>
    <w:rsid w:val="00022103"/>
    <w:rsid w:val="000227DF"/>
    <w:rsid w:val="00022F73"/>
    <w:rsid w:val="00022FF4"/>
    <w:rsid w:val="000235BB"/>
    <w:rsid w:val="00023B23"/>
    <w:rsid w:val="00023D6C"/>
    <w:rsid w:val="00024137"/>
    <w:rsid w:val="0002422D"/>
    <w:rsid w:val="00024DD6"/>
    <w:rsid w:val="000272B2"/>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BEC"/>
    <w:rsid w:val="00040CF4"/>
    <w:rsid w:val="00041643"/>
    <w:rsid w:val="00041DB3"/>
    <w:rsid w:val="00041F36"/>
    <w:rsid w:val="00041FDD"/>
    <w:rsid w:val="000420D8"/>
    <w:rsid w:val="0004219D"/>
    <w:rsid w:val="00042214"/>
    <w:rsid w:val="000426C2"/>
    <w:rsid w:val="00042847"/>
    <w:rsid w:val="00042C2E"/>
    <w:rsid w:val="00043372"/>
    <w:rsid w:val="00043A31"/>
    <w:rsid w:val="0004464C"/>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8AB"/>
    <w:rsid w:val="0006694B"/>
    <w:rsid w:val="00066C61"/>
    <w:rsid w:val="00067735"/>
    <w:rsid w:val="00067CD2"/>
    <w:rsid w:val="00067E87"/>
    <w:rsid w:val="00070095"/>
    <w:rsid w:val="00070B87"/>
    <w:rsid w:val="00071883"/>
    <w:rsid w:val="00072D58"/>
    <w:rsid w:val="00072EA8"/>
    <w:rsid w:val="00073655"/>
    <w:rsid w:val="0007375C"/>
    <w:rsid w:val="00073760"/>
    <w:rsid w:val="00073A1C"/>
    <w:rsid w:val="00074ACD"/>
    <w:rsid w:val="00076249"/>
    <w:rsid w:val="000762EC"/>
    <w:rsid w:val="00076783"/>
    <w:rsid w:val="00077549"/>
    <w:rsid w:val="00077D2E"/>
    <w:rsid w:val="00081B40"/>
    <w:rsid w:val="00081E18"/>
    <w:rsid w:val="0008234F"/>
    <w:rsid w:val="00083D69"/>
    <w:rsid w:val="000842CF"/>
    <w:rsid w:val="0008433C"/>
    <w:rsid w:val="000851B2"/>
    <w:rsid w:val="0008530E"/>
    <w:rsid w:val="00085645"/>
    <w:rsid w:val="000857B4"/>
    <w:rsid w:val="00085D07"/>
    <w:rsid w:val="00085E95"/>
    <w:rsid w:val="0008657A"/>
    <w:rsid w:val="0008673D"/>
    <w:rsid w:val="00086C41"/>
    <w:rsid w:val="00086C90"/>
    <w:rsid w:val="00086FCA"/>
    <w:rsid w:val="0009047A"/>
    <w:rsid w:val="00090967"/>
    <w:rsid w:val="00090BC8"/>
    <w:rsid w:val="00090C73"/>
    <w:rsid w:val="00090D7D"/>
    <w:rsid w:val="00090EC6"/>
    <w:rsid w:val="00091223"/>
    <w:rsid w:val="00091B5D"/>
    <w:rsid w:val="00091E66"/>
    <w:rsid w:val="0009228E"/>
    <w:rsid w:val="00092480"/>
    <w:rsid w:val="00092A0F"/>
    <w:rsid w:val="00092B9F"/>
    <w:rsid w:val="000942EE"/>
    <w:rsid w:val="000945CF"/>
    <w:rsid w:val="00094C01"/>
    <w:rsid w:val="00094F6C"/>
    <w:rsid w:val="00094FD4"/>
    <w:rsid w:val="0009567D"/>
    <w:rsid w:val="00095738"/>
    <w:rsid w:val="00095800"/>
    <w:rsid w:val="000958D7"/>
    <w:rsid w:val="00095A66"/>
    <w:rsid w:val="00095A67"/>
    <w:rsid w:val="00096A8C"/>
    <w:rsid w:val="00096D22"/>
    <w:rsid w:val="00096EAE"/>
    <w:rsid w:val="000971A4"/>
    <w:rsid w:val="000971E1"/>
    <w:rsid w:val="00097617"/>
    <w:rsid w:val="00097749"/>
    <w:rsid w:val="000977FD"/>
    <w:rsid w:val="000A09FC"/>
    <w:rsid w:val="000A119F"/>
    <w:rsid w:val="000A13F5"/>
    <w:rsid w:val="000A2470"/>
    <w:rsid w:val="000A2684"/>
    <w:rsid w:val="000A287F"/>
    <w:rsid w:val="000A2A5C"/>
    <w:rsid w:val="000A2F6F"/>
    <w:rsid w:val="000A345B"/>
    <w:rsid w:val="000A3C79"/>
    <w:rsid w:val="000A4586"/>
    <w:rsid w:val="000A49BF"/>
    <w:rsid w:val="000A4DAA"/>
    <w:rsid w:val="000A5FDC"/>
    <w:rsid w:val="000A66E5"/>
    <w:rsid w:val="000A76D9"/>
    <w:rsid w:val="000A7D8D"/>
    <w:rsid w:val="000B080D"/>
    <w:rsid w:val="000B136E"/>
    <w:rsid w:val="000B13E0"/>
    <w:rsid w:val="000B14AF"/>
    <w:rsid w:val="000B1647"/>
    <w:rsid w:val="000B1F5C"/>
    <w:rsid w:val="000B2446"/>
    <w:rsid w:val="000B29EF"/>
    <w:rsid w:val="000B31C6"/>
    <w:rsid w:val="000B3285"/>
    <w:rsid w:val="000B370E"/>
    <w:rsid w:val="000B3958"/>
    <w:rsid w:val="000B3FB6"/>
    <w:rsid w:val="000B478E"/>
    <w:rsid w:val="000B4CEC"/>
    <w:rsid w:val="000B5751"/>
    <w:rsid w:val="000B590E"/>
    <w:rsid w:val="000B5BE5"/>
    <w:rsid w:val="000B5C27"/>
    <w:rsid w:val="000B66F1"/>
    <w:rsid w:val="000B77EF"/>
    <w:rsid w:val="000B785B"/>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07D4"/>
    <w:rsid w:val="000D0BD3"/>
    <w:rsid w:val="000D1393"/>
    <w:rsid w:val="000D16F4"/>
    <w:rsid w:val="000D2C67"/>
    <w:rsid w:val="000D3095"/>
    <w:rsid w:val="000D3C11"/>
    <w:rsid w:val="000D3C24"/>
    <w:rsid w:val="000D4F31"/>
    <w:rsid w:val="000D5345"/>
    <w:rsid w:val="000D53DB"/>
    <w:rsid w:val="000D6034"/>
    <w:rsid w:val="000D652C"/>
    <w:rsid w:val="000D68BC"/>
    <w:rsid w:val="000D6905"/>
    <w:rsid w:val="000D703B"/>
    <w:rsid w:val="000D758B"/>
    <w:rsid w:val="000E0B99"/>
    <w:rsid w:val="000E0C67"/>
    <w:rsid w:val="000E15C9"/>
    <w:rsid w:val="000E1A96"/>
    <w:rsid w:val="000E1D21"/>
    <w:rsid w:val="000E1D83"/>
    <w:rsid w:val="000E29A4"/>
    <w:rsid w:val="000E368C"/>
    <w:rsid w:val="000E3C40"/>
    <w:rsid w:val="000E43D7"/>
    <w:rsid w:val="000E47FE"/>
    <w:rsid w:val="000E496F"/>
    <w:rsid w:val="000E4BD4"/>
    <w:rsid w:val="000E508E"/>
    <w:rsid w:val="000E6447"/>
    <w:rsid w:val="000E661D"/>
    <w:rsid w:val="000E6C96"/>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5CC"/>
    <w:rsid w:val="000F68DE"/>
    <w:rsid w:val="000F6AA8"/>
    <w:rsid w:val="000F6DB1"/>
    <w:rsid w:val="000F790D"/>
    <w:rsid w:val="00100D53"/>
    <w:rsid w:val="00100E59"/>
    <w:rsid w:val="00101503"/>
    <w:rsid w:val="00101E88"/>
    <w:rsid w:val="00101FC6"/>
    <w:rsid w:val="001034CA"/>
    <w:rsid w:val="00104500"/>
    <w:rsid w:val="00104503"/>
    <w:rsid w:val="001045CA"/>
    <w:rsid w:val="001047F1"/>
    <w:rsid w:val="0010598A"/>
    <w:rsid w:val="00105AFD"/>
    <w:rsid w:val="00106C6C"/>
    <w:rsid w:val="00106EE4"/>
    <w:rsid w:val="00107214"/>
    <w:rsid w:val="0010794F"/>
    <w:rsid w:val="001100C3"/>
    <w:rsid w:val="001101D7"/>
    <w:rsid w:val="00110778"/>
    <w:rsid w:val="00110892"/>
    <w:rsid w:val="00110938"/>
    <w:rsid w:val="00110FB0"/>
    <w:rsid w:val="001112B8"/>
    <w:rsid w:val="00111686"/>
    <w:rsid w:val="00111A76"/>
    <w:rsid w:val="001129DB"/>
    <w:rsid w:val="00112C4D"/>
    <w:rsid w:val="00113678"/>
    <w:rsid w:val="00113692"/>
    <w:rsid w:val="00113AB4"/>
    <w:rsid w:val="00114280"/>
    <w:rsid w:val="001144E0"/>
    <w:rsid w:val="001155C5"/>
    <w:rsid w:val="00115FCF"/>
    <w:rsid w:val="00116274"/>
    <w:rsid w:val="0011672E"/>
    <w:rsid w:val="0011691E"/>
    <w:rsid w:val="00116B2F"/>
    <w:rsid w:val="00116EB7"/>
    <w:rsid w:val="0011712A"/>
    <w:rsid w:val="001179F7"/>
    <w:rsid w:val="00121208"/>
    <w:rsid w:val="00121855"/>
    <w:rsid w:val="00121DDC"/>
    <w:rsid w:val="0012202A"/>
    <w:rsid w:val="001223B0"/>
    <w:rsid w:val="001227CF"/>
    <w:rsid w:val="00122EE1"/>
    <w:rsid w:val="0012328A"/>
    <w:rsid w:val="00123C64"/>
    <w:rsid w:val="00124189"/>
    <w:rsid w:val="00124A6E"/>
    <w:rsid w:val="00124E60"/>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4271"/>
    <w:rsid w:val="001353D0"/>
    <w:rsid w:val="0013550C"/>
    <w:rsid w:val="00135C10"/>
    <w:rsid w:val="001370BD"/>
    <w:rsid w:val="00137192"/>
    <w:rsid w:val="00137741"/>
    <w:rsid w:val="00137D22"/>
    <w:rsid w:val="00137DC9"/>
    <w:rsid w:val="0014031C"/>
    <w:rsid w:val="001404FF"/>
    <w:rsid w:val="00141744"/>
    <w:rsid w:val="00141A37"/>
    <w:rsid w:val="00142808"/>
    <w:rsid w:val="00143701"/>
    <w:rsid w:val="00143AD1"/>
    <w:rsid w:val="00143E5B"/>
    <w:rsid w:val="00143E6D"/>
    <w:rsid w:val="00144447"/>
    <w:rsid w:val="0014457E"/>
    <w:rsid w:val="00145364"/>
    <w:rsid w:val="00145728"/>
    <w:rsid w:val="00145958"/>
    <w:rsid w:val="00145C8A"/>
    <w:rsid w:val="00145ECF"/>
    <w:rsid w:val="00146857"/>
    <w:rsid w:val="001468AC"/>
    <w:rsid w:val="00146B74"/>
    <w:rsid w:val="00146CBD"/>
    <w:rsid w:val="00146CD7"/>
    <w:rsid w:val="001475AF"/>
    <w:rsid w:val="001478E7"/>
    <w:rsid w:val="00147B5B"/>
    <w:rsid w:val="00147E27"/>
    <w:rsid w:val="001511C3"/>
    <w:rsid w:val="00151B9B"/>
    <w:rsid w:val="00152730"/>
    <w:rsid w:val="0015320A"/>
    <w:rsid w:val="0015362B"/>
    <w:rsid w:val="001538A4"/>
    <w:rsid w:val="00153971"/>
    <w:rsid w:val="00153FBB"/>
    <w:rsid w:val="001564B6"/>
    <w:rsid w:val="001577A9"/>
    <w:rsid w:val="0016098D"/>
    <w:rsid w:val="001609F9"/>
    <w:rsid w:val="00160B3A"/>
    <w:rsid w:val="0016184C"/>
    <w:rsid w:val="00162380"/>
    <w:rsid w:val="00162E78"/>
    <w:rsid w:val="001630FA"/>
    <w:rsid w:val="0016454F"/>
    <w:rsid w:val="00164A49"/>
    <w:rsid w:val="00164B78"/>
    <w:rsid w:val="00164D68"/>
    <w:rsid w:val="00164E7A"/>
    <w:rsid w:val="00164FFB"/>
    <w:rsid w:val="001650A1"/>
    <w:rsid w:val="001656F8"/>
    <w:rsid w:val="00165EB2"/>
    <w:rsid w:val="00165F0C"/>
    <w:rsid w:val="00165FDB"/>
    <w:rsid w:val="00166CA8"/>
    <w:rsid w:val="00166D97"/>
    <w:rsid w:val="00170455"/>
    <w:rsid w:val="00171533"/>
    <w:rsid w:val="0017163D"/>
    <w:rsid w:val="001720BD"/>
    <w:rsid w:val="0017277A"/>
    <w:rsid w:val="00172AA2"/>
    <w:rsid w:val="00172D9E"/>
    <w:rsid w:val="00174344"/>
    <w:rsid w:val="00175157"/>
    <w:rsid w:val="001756D8"/>
    <w:rsid w:val="0017626F"/>
    <w:rsid w:val="00177375"/>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62AD"/>
    <w:rsid w:val="0019677F"/>
    <w:rsid w:val="00197E94"/>
    <w:rsid w:val="001A08E1"/>
    <w:rsid w:val="001A0E08"/>
    <w:rsid w:val="001A168A"/>
    <w:rsid w:val="001A1C0B"/>
    <w:rsid w:val="001A1CFA"/>
    <w:rsid w:val="001A1EB3"/>
    <w:rsid w:val="001A250B"/>
    <w:rsid w:val="001A2651"/>
    <w:rsid w:val="001A2A0B"/>
    <w:rsid w:val="001A2FF6"/>
    <w:rsid w:val="001A3907"/>
    <w:rsid w:val="001A3A45"/>
    <w:rsid w:val="001A3ECA"/>
    <w:rsid w:val="001A3EDE"/>
    <w:rsid w:val="001A4947"/>
    <w:rsid w:val="001A4BA1"/>
    <w:rsid w:val="001A4E63"/>
    <w:rsid w:val="001A6C2F"/>
    <w:rsid w:val="001A784A"/>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5EE9"/>
    <w:rsid w:val="001B6376"/>
    <w:rsid w:val="001B67D4"/>
    <w:rsid w:val="001B69AD"/>
    <w:rsid w:val="001B6AFA"/>
    <w:rsid w:val="001B6B07"/>
    <w:rsid w:val="001B6BAE"/>
    <w:rsid w:val="001B7090"/>
    <w:rsid w:val="001B7472"/>
    <w:rsid w:val="001B760A"/>
    <w:rsid w:val="001B7731"/>
    <w:rsid w:val="001C0F8B"/>
    <w:rsid w:val="001C155F"/>
    <w:rsid w:val="001C1DB2"/>
    <w:rsid w:val="001C1DCC"/>
    <w:rsid w:val="001C1E66"/>
    <w:rsid w:val="001C1F12"/>
    <w:rsid w:val="001C3D42"/>
    <w:rsid w:val="001C42EE"/>
    <w:rsid w:val="001C43BB"/>
    <w:rsid w:val="001C49B8"/>
    <w:rsid w:val="001C4B20"/>
    <w:rsid w:val="001C53A2"/>
    <w:rsid w:val="001C53D0"/>
    <w:rsid w:val="001C54AB"/>
    <w:rsid w:val="001C59DB"/>
    <w:rsid w:val="001C6204"/>
    <w:rsid w:val="001C69F4"/>
    <w:rsid w:val="001C7271"/>
    <w:rsid w:val="001D0F73"/>
    <w:rsid w:val="001D22AD"/>
    <w:rsid w:val="001D25BC"/>
    <w:rsid w:val="001D27E5"/>
    <w:rsid w:val="001D2A06"/>
    <w:rsid w:val="001D4C4A"/>
    <w:rsid w:val="001D4CA4"/>
    <w:rsid w:val="001D5147"/>
    <w:rsid w:val="001D5235"/>
    <w:rsid w:val="001D5852"/>
    <w:rsid w:val="001D5E8F"/>
    <w:rsid w:val="001D60F6"/>
    <w:rsid w:val="001D6F31"/>
    <w:rsid w:val="001D7E08"/>
    <w:rsid w:val="001E110E"/>
    <w:rsid w:val="001E1617"/>
    <w:rsid w:val="001E25FA"/>
    <w:rsid w:val="001E26F3"/>
    <w:rsid w:val="001E2952"/>
    <w:rsid w:val="001E2B5B"/>
    <w:rsid w:val="001E2DED"/>
    <w:rsid w:val="001E33FE"/>
    <w:rsid w:val="001E4E14"/>
    <w:rsid w:val="001E55C4"/>
    <w:rsid w:val="001E6026"/>
    <w:rsid w:val="001E63B6"/>
    <w:rsid w:val="001E6CFF"/>
    <w:rsid w:val="001E73E0"/>
    <w:rsid w:val="001E7D5F"/>
    <w:rsid w:val="001F07E2"/>
    <w:rsid w:val="001F08AB"/>
    <w:rsid w:val="001F08B5"/>
    <w:rsid w:val="001F0DDF"/>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35A"/>
    <w:rsid w:val="00213C0E"/>
    <w:rsid w:val="00213CE5"/>
    <w:rsid w:val="00214118"/>
    <w:rsid w:val="0021435A"/>
    <w:rsid w:val="00214E0A"/>
    <w:rsid w:val="00214EBD"/>
    <w:rsid w:val="002151AC"/>
    <w:rsid w:val="00215603"/>
    <w:rsid w:val="00215820"/>
    <w:rsid w:val="00215843"/>
    <w:rsid w:val="00215A07"/>
    <w:rsid w:val="00215DD1"/>
    <w:rsid w:val="00215F81"/>
    <w:rsid w:val="0021608C"/>
    <w:rsid w:val="00216B01"/>
    <w:rsid w:val="0021720E"/>
    <w:rsid w:val="00217363"/>
    <w:rsid w:val="00217C94"/>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26270"/>
    <w:rsid w:val="0022694A"/>
    <w:rsid w:val="00227DB8"/>
    <w:rsid w:val="0023096D"/>
    <w:rsid w:val="00230C82"/>
    <w:rsid w:val="00230F6B"/>
    <w:rsid w:val="00231962"/>
    <w:rsid w:val="00232952"/>
    <w:rsid w:val="00232D47"/>
    <w:rsid w:val="00233EF5"/>
    <w:rsid w:val="002345BD"/>
    <w:rsid w:val="00234C11"/>
    <w:rsid w:val="00234D9D"/>
    <w:rsid w:val="00234E4E"/>
    <w:rsid w:val="0023601B"/>
    <w:rsid w:val="00236041"/>
    <w:rsid w:val="00236190"/>
    <w:rsid w:val="00236543"/>
    <w:rsid w:val="00237096"/>
    <w:rsid w:val="00237969"/>
    <w:rsid w:val="00240642"/>
    <w:rsid w:val="00240E94"/>
    <w:rsid w:val="00241944"/>
    <w:rsid w:val="00242879"/>
    <w:rsid w:val="00244799"/>
    <w:rsid w:val="00245F00"/>
    <w:rsid w:val="00246553"/>
    <w:rsid w:val="00246764"/>
    <w:rsid w:val="00247355"/>
    <w:rsid w:val="00247589"/>
    <w:rsid w:val="00247792"/>
    <w:rsid w:val="002477A0"/>
    <w:rsid w:val="002477EE"/>
    <w:rsid w:val="00247DC5"/>
    <w:rsid w:val="0025013B"/>
    <w:rsid w:val="00250428"/>
    <w:rsid w:val="00250B2A"/>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051C"/>
    <w:rsid w:val="002606CE"/>
    <w:rsid w:val="00261185"/>
    <w:rsid w:val="00261E42"/>
    <w:rsid w:val="00262B78"/>
    <w:rsid w:val="0026309A"/>
    <w:rsid w:val="00263C09"/>
    <w:rsid w:val="00264788"/>
    <w:rsid w:val="00264B8F"/>
    <w:rsid w:val="00264C61"/>
    <w:rsid w:val="00264D73"/>
    <w:rsid w:val="00264F34"/>
    <w:rsid w:val="002651D6"/>
    <w:rsid w:val="002654F1"/>
    <w:rsid w:val="00265BFB"/>
    <w:rsid w:val="00265DCF"/>
    <w:rsid w:val="00265FA4"/>
    <w:rsid w:val="0026623E"/>
    <w:rsid w:val="002668BA"/>
    <w:rsid w:val="00266E1F"/>
    <w:rsid w:val="00266F68"/>
    <w:rsid w:val="00267282"/>
    <w:rsid w:val="00267471"/>
    <w:rsid w:val="0026768C"/>
    <w:rsid w:val="00267961"/>
    <w:rsid w:val="00267B88"/>
    <w:rsid w:val="00267EBB"/>
    <w:rsid w:val="00267EE2"/>
    <w:rsid w:val="002701E2"/>
    <w:rsid w:val="00270887"/>
    <w:rsid w:val="00271285"/>
    <w:rsid w:val="00271B05"/>
    <w:rsid w:val="0027205B"/>
    <w:rsid w:val="00272F05"/>
    <w:rsid w:val="0027303E"/>
    <w:rsid w:val="002736D7"/>
    <w:rsid w:val="00273D81"/>
    <w:rsid w:val="0027423C"/>
    <w:rsid w:val="00274F51"/>
    <w:rsid w:val="0027734B"/>
    <w:rsid w:val="002774DB"/>
    <w:rsid w:val="00277A64"/>
    <w:rsid w:val="00277CA0"/>
    <w:rsid w:val="0028000F"/>
    <w:rsid w:val="00280425"/>
    <w:rsid w:val="0028089A"/>
    <w:rsid w:val="00280C5C"/>
    <w:rsid w:val="00281563"/>
    <w:rsid w:val="0028217C"/>
    <w:rsid w:val="00283845"/>
    <w:rsid w:val="002838EC"/>
    <w:rsid w:val="00284004"/>
    <w:rsid w:val="00284547"/>
    <w:rsid w:val="0028502E"/>
    <w:rsid w:val="00285597"/>
    <w:rsid w:val="00285822"/>
    <w:rsid w:val="00285EF0"/>
    <w:rsid w:val="002860A9"/>
    <w:rsid w:val="002869CE"/>
    <w:rsid w:val="00286C34"/>
    <w:rsid w:val="00287594"/>
    <w:rsid w:val="002875B0"/>
    <w:rsid w:val="00287626"/>
    <w:rsid w:val="002876F0"/>
    <w:rsid w:val="00287740"/>
    <w:rsid w:val="00287916"/>
    <w:rsid w:val="002879DE"/>
    <w:rsid w:val="00287B42"/>
    <w:rsid w:val="00287BFF"/>
    <w:rsid w:val="00287D32"/>
    <w:rsid w:val="002910A1"/>
    <w:rsid w:val="00291A96"/>
    <w:rsid w:val="00291DB6"/>
    <w:rsid w:val="00292395"/>
    <w:rsid w:val="00295448"/>
    <w:rsid w:val="00295802"/>
    <w:rsid w:val="0029592E"/>
    <w:rsid w:val="00296566"/>
    <w:rsid w:val="0029681B"/>
    <w:rsid w:val="00296C06"/>
    <w:rsid w:val="00296E80"/>
    <w:rsid w:val="0029730C"/>
    <w:rsid w:val="002974AE"/>
    <w:rsid w:val="00297A3D"/>
    <w:rsid w:val="002A0ADA"/>
    <w:rsid w:val="002A11EA"/>
    <w:rsid w:val="002A1375"/>
    <w:rsid w:val="002A146C"/>
    <w:rsid w:val="002A1957"/>
    <w:rsid w:val="002A1CEE"/>
    <w:rsid w:val="002A203B"/>
    <w:rsid w:val="002A235A"/>
    <w:rsid w:val="002A3285"/>
    <w:rsid w:val="002A32E0"/>
    <w:rsid w:val="002A35FE"/>
    <w:rsid w:val="002A50C2"/>
    <w:rsid w:val="002A556A"/>
    <w:rsid w:val="002A58E2"/>
    <w:rsid w:val="002A5D4E"/>
    <w:rsid w:val="002A6E71"/>
    <w:rsid w:val="002A726B"/>
    <w:rsid w:val="002A73E5"/>
    <w:rsid w:val="002A7543"/>
    <w:rsid w:val="002A7699"/>
    <w:rsid w:val="002B066F"/>
    <w:rsid w:val="002B0EA0"/>
    <w:rsid w:val="002B1027"/>
    <w:rsid w:val="002B14D6"/>
    <w:rsid w:val="002B1686"/>
    <w:rsid w:val="002B1C3E"/>
    <w:rsid w:val="002B221C"/>
    <w:rsid w:val="002B23A0"/>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551C"/>
    <w:rsid w:val="002C571D"/>
    <w:rsid w:val="002C5A61"/>
    <w:rsid w:val="002C5EE2"/>
    <w:rsid w:val="002C6019"/>
    <w:rsid w:val="002C6620"/>
    <w:rsid w:val="002C69CC"/>
    <w:rsid w:val="002C6AEB"/>
    <w:rsid w:val="002C7093"/>
    <w:rsid w:val="002C7212"/>
    <w:rsid w:val="002C7578"/>
    <w:rsid w:val="002C767B"/>
    <w:rsid w:val="002C76FE"/>
    <w:rsid w:val="002C7B3E"/>
    <w:rsid w:val="002C7CA4"/>
    <w:rsid w:val="002C7F85"/>
    <w:rsid w:val="002D0031"/>
    <w:rsid w:val="002D091B"/>
    <w:rsid w:val="002D1385"/>
    <w:rsid w:val="002D1410"/>
    <w:rsid w:val="002D1429"/>
    <w:rsid w:val="002D1788"/>
    <w:rsid w:val="002D2267"/>
    <w:rsid w:val="002D24CF"/>
    <w:rsid w:val="002D24FA"/>
    <w:rsid w:val="002D2AD2"/>
    <w:rsid w:val="002D2ADD"/>
    <w:rsid w:val="002D2C06"/>
    <w:rsid w:val="002D2C57"/>
    <w:rsid w:val="002D42D3"/>
    <w:rsid w:val="002D4A92"/>
    <w:rsid w:val="002D557D"/>
    <w:rsid w:val="002D55DF"/>
    <w:rsid w:val="002D59A5"/>
    <w:rsid w:val="002D622E"/>
    <w:rsid w:val="002D686B"/>
    <w:rsid w:val="002D6938"/>
    <w:rsid w:val="002D6AA4"/>
    <w:rsid w:val="002E03F4"/>
    <w:rsid w:val="002E0A05"/>
    <w:rsid w:val="002E0A32"/>
    <w:rsid w:val="002E1149"/>
    <w:rsid w:val="002E126F"/>
    <w:rsid w:val="002E12C7"/>
    <w:rsid w:val="002E1A7E"/>
    <w:rsid w:val="002E2C82"/>
    <w:rsid w:val="002E3E7D"/>
    <w:rsid w:val="002E4A3A"/>
    <w:rsid w:val="002E4ACA"/>
    <w:rsid w:val="002E4BF9"/>
    <w:rsid w:val="002E5391"/>
    <w:rsid w:val="002E5579"/>
    <w:rsid w:val="002E67B5"/>
    <w:rsid w:val="002E70D2"/>
    <w:rsid w:val="002F0708"/>
    <w:rsid w:val="002F0AE9"/>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0D20"/>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1E9"/>
    <w:rsid w:val="00305D57"/>
    <w:rsid w:val="00305F74"/>
    <w:rsid w:val="00306A96"/>
    <w:rsid w:val="00306C23"/>
    <w:rsid w:val="00307340"/>
    <w:rsid w:val="00307E87"/>
    <w:rsid w:val="00307EEE"/>
    <w:rsid w:val="00310DE4"/>
    <w:rsid w:val="00311204"/>
    <w:rsid w:val="003119D9"/>
    <w:rsid w:val="003124D6"/>
    <w:rsid w:val="00312B5F"/>
    <w:rsid w:val="00312E3D"/>
    <w:rsid w:val="0031311E"/>
    <w:rsid w:val="0031372C"/>
    <w:rsid w:val="00313B96"/>
    <w:rsid w:val="00313FBE"/>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C97"/>
    <w:rsid w:val="00323D51"/>
    <w:rsid w:val="003245FC"/>
    <w:rsid w:val="0032491B"/>
    <w:rsid w:val="0032545F"/>
    <w:rsid w:val="0032636F"/>
    <w:rsid w:val="003263C6"/>
    <w:rsid w:val="00326971"/>
    <w:rsid w:val="00326CA7"/>
    <w:rsid w:val="00327702"/>
    <w:rsid w:val="00327BA9"/>
    <w:rsid w:val="00327BEA"/>
    <w:rsid w:val="00327F3B"/>
    <w:rsid w:val="00330CAD"/>
    <w:rsid w:val="00330CE7"/>
    <w:rsid w:val="0033106C"/>
    <w:rsid w:val="00331CCD"/>
    <w:rsid w:val="00331F8B"/>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41B"/>
    <w:rsid w:val="0034280B"/>
    <w:rsid w:val="00342C36"/>
    <w:rsid w:val="003430AD"/>
    <w:rsid w:val="00343402"/>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709"/>
    <w:rsid w:val="003559E9"/>
    <w:rsid w:val="0035606E"/>
    <w:rsid w:val="003568D2"/>
    <w:rsid w:val="00357385"/>
    <w:rsid w:val="00357774"/>
    <w:rsid w:val="00357D5C"/>
    <w:rsid w:val="00360233"/>
    <w:rsid w:val="0036028E"/>
    <w:rsid w:val="00360790"/>
    <w:rsid w:val="0036091C"/>
    <w:rsid w:val="0036102E"/>
    <w:rsid w:val="003610E2"/>
    <w:rsid w:val="00361309"/>
    <w:rsid w:val="0036130C"/>
    <w:rsid w:val="00362B20"/>
    <w:rsid w:val="00363373"/>
    <w:rsid w:val="003634B3"/>
    <w:rsid w:val="00363A42"/>
    <w:rsid w:val="003643FB"/>
    <w:rsid w:val="0036471A"/>
    <w:rsid w:val="00364748"/>
    <w:rsid w:val="00364DDC"/>
    <w:rsid w:val="00364FB7"/>
    <w:rsid w:val="00364FCF"/>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3C9A"/>
    <w:rsid w:val="00374E13"/>
    <w:rsid w:val="00375AC2"/>
    <w:rsid w:val="00375C42"/>
    <w:rsid w:val="00375F5A"/>
    <w:rsid w:val="00376166"/>
    <w:rsid w:val="0037617E"/>
    <w:rsid w:val="00376193"/>
    <w:rsid w:val="0037688B"/>
    <w:rsid w:val="00376B2D"/>
    <w:rsid w:val="00376F4B"/>
    <w:rsid w:val="00376FDE"/>
    <w:rsid w:val="0037782C"/>
    <w:rsid w:val="00380575"/>
    <w:rsid w:val="00381626"/>
    <w:rsid w:val="00381C38"/>
    <w:rsid w:val="00381D4B"/>
    <w:rsid w:val="003827A9"/>
    <w:rsid w:val="00382BE2"/>
    <w:rsid w:val="00382E5F"/>
    <w:rsid w:val="0038423E"/>
    <w:rsid w:val="003844C6"/>
    <w:rsid w:val="003844E6"/>
    <w:rsid w:val="00384870"/>
    <w:rsid w:val="0038506B"/>
    <w:rsid w:val="003854A9"/>
    <w:rsid w:val="003864A6"/>
    <w:rsid w:val="003876E9"/>
    <w:rsid w:val="00387CEA"/>
    <w:rsid w:val="00390007"/>
    <w:rsid w:val="0039021B"/>
    <w:rsid w:val="00390B90"/>
    <w:rsid w:val="00391355"/>
    <w:rsid w:val="003915E8"/>
    <w:rsid w:val="0039212F"/>
    <w:rsid w:val="00392D0C"/>
    <w:rsid w:val="00392E0C"/>
    <w:rsid w:val="003930D0"/>
    <w:rsid w:val="003937C4"/>
    <w:rsid w:val="00393B1B"/>
    <w:rsid w:val="00393BD4"/>
    <w:rsid w:val="00394569"/>
    <w:rsid w:val="00395342"/>
    <w:rsid w:val="003953C7"/>
    <w:rsid w:val="003959A3"/>
    <w:rsid w:val="00396D87"/>
    <w:rsid w:val="00397193"/>
    <w:rsid w:val="00397DC1"/>
    <w:rsid w:val="00397F6D"/>
    <w:rsid w:val="003A0B00"/>
    <w:rsid w:val="003A123C"/>
    <w:rsid w:val="003A15A4"/>
    <w:rsid w:val="003A15E1"/>
    <w:rsid w:val="003A1799"/>
    <w:rsid w:val="003A18BB"/>
    <w:rsid w:val="003A2378"/>
    <w:rsid w:val="003A2815"/>
    <w:rsid w:val="003A2BC4"/>
    <w:rsid w:val="003A2FA7"/>
    <w:rsid w:val="003A371E"/>
    <w:rsid w:val="003A3CAD"/>
    <w:rsid w:val="003A4E6E"/>
    <w:rsid w:val="003A5B5A"/>
    <w:rsid w:val="003A5C68"/>
    <w:rsid w:val="003A631F"/>
    <w:rsid w:val="003A6448"/>
    <w:rsid w:val="003A6D12"/>
    <w:rsid w:val="003A7637"/>
    <w:rsid w:val="003B074C"/>
    <w:rsid w:val="003B0C2A"/>
    <w:rsid w:val="003B0E68"/>
    <w:rsid w:val="003B13BC"/>
    <w:rsid w:val="003B1449"/>
    <w:rsid w:val="003B1869"/>
    <w:rsid w:val="003B1D23"/>
    <w:rsid w:val="003B2E0F"/>
    <w:rsid w:val="003B31FE"/>
    <w:rsid w:val="003B32A3"/>
    <w:rsid w:val="003B3A43"/>
    <w:rsid w:val="003B3BF4"/>
    <w:rsid w:val="003B409E"/>
    <w:rsid w:val="003B43CC"/>
    <w:rsid w:val="003B491D"/>
    <w:rsid w:val="003B4DAC"/>
    <w:rsid w:val="003B509F"/>
    <w:rsid w:val="003B51E1"/>
    <w:rsid w:val="003B5572"/>
    <w:rsid w:val="003B55B1"/>
    <w:rsid w:val="003B5907"/>
    <w:rsid w:val="003B5EA3"/>
    <w:rsid w:val="003B621B"/>
    <w:rsid w:val="003B62F7"/>
    <w:rsid w:val="003B6551"/>
    <w:rsid w:val="003B6911"/>
    <w:rsid w:val="003B709B"/>
    <w:rsid w:val="003B71CF"/>
    <w:rsid w:val="003B727B"/>
    <w:rsid w:val="003B739A"/>
    <w:rsid w:val="003B7A31"/>
    <w:rsid w:val="003B7C4B"/>
    <w:rsid w:val="003C103C"/>
    <w:rsid w:val="003C1726"/>
    <w:rsid w:val="003C1930"/>
    <w:rsid w:val="003C1978"/>
    <w:rsid w:val="003C1FEF"/>
    <w:rsid w:val="003C224D"/>
    <w:rsid w:val="003C23A7"/>
    <w:rsid w:val="003C25A7"/>
    <w:rsid w:val="003C2868"/>
    <w:rsid w:val="003C3102"/>
    <w:rsid w:val="003C3336"/>
    <w:rsid w:val="003C384A"/>
    <w:rsid w:val="003C38A7"/>
    <w:rsid w:val="003C396B"/>
    <w:rsid w:val="003C3BDC"/>
    <w:rsid w:val="003C3C47"/>
    <w:rsid w:val="003C3EF2"/>
    <w:rsid w:val="003C436B"/>
    <w:rsid w:val="003C4F78"/>
    <w:rsid w:val="003C5161"/>
    <w:rsid w:val="003C5685"/>
    <w:rsid w:val="003C5737"/>
    <w:rsid w:val="003C5AF6"/>
    <w:rsid w:val="003C5E36"/>
    <w:rsid w:val="003C6037"/>
    <w:rsid w:val="003C65B0"/>
    <w:rsid w:val="003C6F4F"/>
    <w:rsid w:val="003C707C"/>
    <w:rsid w:val="003C70DD"/>
    <w:rsid w:val="003C770B"/>
    <w:rsid w:val="003D0A1D"/>
    <w:rsid w:val="003D0D12"/>
    <w:rsid w:val="003D15A0"/>
    <w:rsid w:val="003D1FB9"/>
    <w:rsid w:val="003D20C7"/>
    <w:rsid w:val="003D247B"/>
    <w:rsid w:val="003D24C8"/>
    <w:rsid w:val="003D2BBF"/>
    <w:rsid w:val="003D32D8"/>
    <w:rsid w:val="003D396E"/>
    <w:rsid w:val="003D4B4B"/>
    <w:rsid w:val="003D5E14"/>
    <w:rsid w:val="003D6070"/>
    <w:rsid w:val="003D61A1"/>
    <w:rsid w:val="003D628F"/>
    <w:rsid w:val="003D645F"/>
    <w:rsid w:val="003D6500"/>
    <w:rsid w:val="003D6773"/>
    <w:rsid w:val="003D6A23"/>
    <w:rsid w:val="003D6C8A"/>
    <w:rsid w:val="003D6FAE"/>
    <w:rsid w:val="003D70D2"/>
    <w:rsid w:val="003D7789"/>
    <w:rsid w:val="003D7DDF"/>
    <w:rsid w:val="003E0933"/>
    <w:rsid w:val="003E1CBB"/>
    <w:rsid w:val="003E2469"/>
    <w:rsid w:val="003E265C"/>
    <w:rsid w:val="003E2C0D"/>
    <w:rsid w:val="003E3C7D"/>
    <w:rsid w:val="003E3D64"/>
    <w:rsid w:val="003E3F21"/>
    <w:rsid w:val="003E4109"/>
    <w:rsid w:val="003E44AC"/>
    <w:rsid w:val="003E4FD0"/>
    <w:rsid w:val="003E52AE"/>
    <w:rsid w:val="003E5B05"/>
    <w:rsid w:val="003E5FA3"/>
    <w:rsid w:val="003E61C0"/>
    <w:rsid w:val="003E637F"/>
    <w:rsid w:val="003E64B3"/>
    <w:rsid w:val="003E67F9"/>
    <w:rsid w:val="003E69CE"/>
    <w:rsid w:val="003E6A99"/>
    <w:rsid w:val="003E6FB5"/>
    <w:rsid w:val="003E782E"/>
    <w:rsid w:val="003F23D6"/>
    <w:rsid w:val="003F28B1"/>
    <w:rsid w:val="003F2E41"/>
    <w:rsid w:val="003F517E"/>
    <w:rsid w:val="003F68EE"/>
    <w:rsid w:val="003F6B70"/>
    <w:rsid w:val="003F6C17"/>
    <w:rsid w:val="003F6FCB"/>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3A3"/>
    <w:rsid w:val="00406420"/>
    <w:rsid w:val="004067A1"/>
    <w:rsid w:val="00407676"/>
    <w:rsid w:val="00407F0F"/>
    <w:rsid w:val="004108E5"/>
    <w:rsid w:val="00411053"/>
    <w:rsid w:val="004126F8"/>
    <w:rsid w:val="004131EB"/>
    <w:rsid w:val="004135D5"/>
    <w:rsid w:val="00414534"/>
    <w:rsid w:val="00414921"/>
    <w:rsid w:val="004149E8"/>
    <w:rsid w:val="00414BA9"/>
    <w:rsid w:val="00414C79"/>
    <w:rsid w:val="00414DDB"/>
    <w:rsid w:val="00415778"/>
    <w:rsid w:val="00415E50"/>
    <w:rsid w:val="00415FCD"/>
    <w:rsid w:val="004160E4"/>
    <w:rsid w:val="0041670E"/>
    <w:rsid w:val="00416E4C"/>
    <w:rsid w:val="004179C5"/>
    <w:rsid w:val="00417E0B"/>
    <w:rsid w:val="00417ECD"/>
    <w:rsid w:val="00420D14"/>
    <w:rsid w:val="00421708"/>
    <w:rsid w:val="004222C1"/>
    <w:rsid w:val="004223E2"/>
    <w:rsid w:val="004229E2"/>
    <w:rsid w:val="00422DEA"/>
    <w:rsid w:val="004240EE"/>
    <w:rsid w:val="0042486F"/>
    <w:rsid w:val="00424953"/>
    <w:rsid w:val="00424FBB"/>
    <w:rsid w:val="0042515E"/>
    <w:rsid w:val="00425A3E"/>
    <w:rsid w:val="00425A8C"/>
    <w:rsid w:val="00426776"/>
    <w:rsid w:val="004269D7"/>
    <w:rsid w:val="00426E87"/>
    <w:rsid w:val="00427CCB"/>
    <w:rsid w:val="00430308"/>
    <w:rsid w:val="00430591"/>
    <w:rsid w:val="00430A0A"/>
    <w:rsid w:val="0043176B"/>
    <w:rsid w:val="00431900"/>
    <w:rsid w:val="00433B49"/>
    <w:rsid w:val="0043422C"/>
    <w:rsid w:val="004343AE"/>
    <w:rsid w:val="00434E9C"/>
    <w:rsid w:val="0043575C"/>
    <w:rsid w:val="00435777"/>
    <w:rsid w:val="004366F6"/>
    <w:rsid w:val="00436B13"/>
    <w:rsid w:val="00437EB3"/>
    <w:rsid w:val="004407F0"/>
    <w:rsid w:val="00440C11"/>
    <w:rsid w:val="00440F58"/>
    <w:rsid w:val="0044116A"/>
    <w:rsid w:val="0044169C"/>
    <w:rsid w:val="0044213E"/>
    <w:rsid w:val="00442201"/>
    <w:rsid w:val="00442421"/>
    <w:rsid w:val="004434D0"/>
    <w:rsid w:val="00443EA3"/>
    <w:rsid w:val="00444694"/>
    <w:rsid w:val="00444FED"/>
    <w:rsid w:val="00445033"/>
    <w:rsid w:val="004459C7"/>
    <w:rsid w:val="00445AA8"/>
    <w:rsid w:val="00445F2C"/>
    <w:rsid w:val="00446409"/>
    <w:rsid w:val="0044703C"/>
    <w:rsid w:val="0044745A"/>
    <w:rsid w:val="00447846"/>
    <w:rsid w:val="0045148E"/>
    <w:rsid w:val="004514FD"/>
    <w:rsid w:val="00452AAF"/>
    <w:rsid w:val="0045327C"/>
    <w:rsid w:val="004533C8"/>
    <w:rsid w:val="00453568"/>
    <w:rsid w:val="00453888"/>
    <w:rsid w:val="00453F08"/>
    <w:rsid w:val="00454089"/>
    <w:rsid w:val="00454B18"/>
    <w:rsid w:val="00454BB4"/>
    <w:rsid w:val="004557D1"/>
    <w:rsid w:val="00455964"/>
    <w:rsid w:val="00455CCD"/>
    <w:rsid w:val="00455DCB"/>
    <w:rsid w:val="00456704"/>
    <w:rsid w:val="00456CDA"/>
    <w:rsid w:val="004575FD"/>
    <w:rsid w:val="00457BAA"/>
    <w:rsid w:val="004604F5"/>
    <w:rsid w:val="0046185D"/>
    <w:rsid w:val="00461B27"/>
    <w:rsid w:val="00461DF2"/>
    <w:rsid w:val="00462F53"/>
    <w:rsid w:val="00464591"/>
    <w:rsid w:val="00464B28"/>
    <w:rsid w:val="004654EA"/>
    <w:rsid w:val="00465521"/>
    <w:rsid w:val="0046558A"/>
    <w:rsid w:val="004660FA"/>
    <w:rsid w:val="00466308"/>
    <w:rsid w:val="00466772"/>
    <w:rsid w:val="004667B4"/>
    <w:rsid w:val="00466B7A"/>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99F"/>
    <w:rsid w:val="00480D5F"/>
    <w:rsid w:val="00480D6F"/>
    <w:rsid w:val="00480EFF"/>
    <w:rsid w:val="00481171"/>
    <w:rsid w:val="00481293"/>
    <w:rsid w:val="00481649"/>
    <w:rsid w:val="00481880"/>
    <w:rsid w:val="00481C17"/>
    <w:rsid w:val="004831AE"/>
    <w:rsid w:val="004833E3"/>
    <w:rsid w:val="004835B5"/>
    <w:rsid w:val="00483860"/>
    <w:rsid w:val="00484F56"/>
    <w:rsid w:val="00485097"/>
    <w:rsid w:val="004851EE"/>
    <w:rsid w:val="00485341"/>
    <w:rsid w:val="00485941"/>
    <w:rsid w:val="00485A1F"/>
    <w:rsid w:val="00485BC5"/>
    <w:rsid w:val="00486475"/>
    <w:rsid w:val="0048652E"/>
    <w:rsid w:val="004867FE"/>
    <w:rsid w:val="00487C9D"/>
    <w:rsid w:val="00490008"/>
    <w:rsid w:val="004906E1"/>
    <w:rsid w:val="004907A7"/>
    <w:rsid w:val="00490A9D"/>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17F"/>
    <w:rsid w:val="004A26C3"/>
    <w:rsid w:val="004A3521"/>
    <w:rsid w:val="004A3E34"/>
    <w:rsid w:val="004A3E84"/>
    <w:rsid w:val="004A3F2D"/>
    <w:rsid w:val="004A4234"/>
    <w:rsid w:val="004A4696"/>
    <w:rsid w:val="004A472F"/>
    <w:rsid w:val="004A5FE9"/>
    <w:rsid w:val="004A6217"/>
    <w:rsid w:val="004A6A4A"/>
    <w:rsid w:val="004A6B0B"/>
    <w:rsid w:val="004B0EEE"/>
    <w:rsid w:val="004B15B5"/>
    <w:rsid w:val="004B172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5DA"/>
    <w:rsid w:val="004C4753"/>
    <w:rsid w:val="004C4F88"/>
    <w:rsid w:val="004C551E"/>
    <w:rsid w:val="004C56A9"/>
    <w:rsid w:val="004C5C64"/>
    <w:rsid w:val="004C5FEA"/>
    <w:rsid w:val="004C67C1"/>
    <w:rsid w:val="004C7068"/>
    <w:rsid w:val="004D02EF"/>
    <w:rsid w:val="004D08C1"/>
    <w:rsid w:val="004D0E75"/>
    <w:rsid w:val="004D1162"/>
    <w:rsid w:val="004D1192"/>
    <w:rsid w:val="004D1224"/>
    <w:rsid w:val="004D1AD6"/>
    <w:rsid w:val="004D1DDA"/>
    <w:rsid w:val="004D1E7C"/>
    <w:rsid w:val="004D1F05"/>
    <w:rsid w:val="004D2268"/>
    <w:rsid w:val="004D24EA"/>
    <w:rsid w:val="004D2BF1"/>
    <w:rsid w:val="004D32FD"/>
    <w:rsid w:val="004D34D6"/>
    <w:rsid w:val="004D3939"/>
    <w:rsid w:val="004D3B6C"/>
    <w:rsid w:val="004D40A6"/>
    <w:rsid w:val="004D4610"/>
    <w:rsid w:val="004D4D6A"/>
    <w:rsid w:val="004D56B7"/>
    <w:rsid w:val="004D58DA"/>
    <w:rsid w:val="004D5F79"/>
    <w:rsid w:val="004D6514"/>
    <w:rsid w:val="004D6700"/>
    <w:rsid w:val="004D70FB"/>
    <w:rsid w:val="004D78EF"/>
    <w:rsid w:val="004E04EE"/>
    <w:rsid w:val="004E0526"/>
    <w:rsid w:val="004E06EA"/>
    <w:rsid w:val="004E0C69"/>
    <w:rsid w:val="004E0E1E"/>
    <w:rsid w:val="004E10AA"/>
    <w:rsid w:val="004E14B9"/>
    <w:rsid w:val="004E1579"/>
    <w:rsid w:val="004E173A"/>
    <w:rsid w:val="004E2DBF"/>
    <w:rsid w:val="004E3A64"/>
    <w:rsid w:val="004E3BF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4D6E"/>
    <w:rsid w:val="004F5E59"/>
    <w:rsid w:val="004F6A1E"/>
    <w:rsid w:val="004F7654"/>
    <w:rsid w:val="004F7747"/>
    <w:rsid w:val="004F7C00"/>
    <w:rsid w:val="004F7EFD"/>
    <w:rsid w:val="00500A09"/>
    <w:rsid w:val="00500A53"/>
    <w:rsid w:val="00501270"/>
    <w:rsid w:val="00502582"/>
    <w:rsid w:val="00503607"/>
    <w:rsid w:val="00503AAB"/>
    <w:rsid w:val="00503B46"/>
    <w:rsid w:val="00503EE9"/>
    <w:rsid w:val="00503F2D"/>
    <w:rsid w:val="005048F6"/>
    <w:rsid w:val="00504BA3"/>
    <w:rsid w:val="00505363"/>
    <w:rsid w:val="0050700F"/>
    <w:rsid w:val="0050724B"/>
    <w:rsid w:val="00507347"/>
    <w:rsid w:val="005073AA"/>
    <w:rsid w:val="00507924"/>
    <w:rsid w:val="005079D6"/>
    <w:rsid w:val="005103B9"/>
    <w:rsid w:val="005121AB"/>
    <w:rsid w:val="0051243D"/>
    <w:rsid w:val="00512595"/>
    <w:rsid w:val="00512718"/>
    <w:rsid w:val="0051284A"/>
    <w:rsid w:val="00512ED7"/>
    <w:rsid w:val="0051375C"/>
    <w:rsid w:val="00513ABE"/>
    <w:rsid w:val="00513E23"/>
    <w:rsid w:val="005144C8"/>
    <w:rsid w:val="00514F66"/>
    <w:rsid w:val="00515073"/>
    <w:rsid w:val="00515092"/>
    <w:rsid w:val="00515A86"/>
    <w:rsid w:val="005162FA"/>
    <w:rsid w:val="005171AF"/>
    <w:rsid w:val="00517AF5"/>
    <w:rsid w:val="00517B57"/>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2056"/>
    <w:rsid w:val="0053273F"/>
    <w:rsid w:val="0053277B"/>
    <w:rsid w:val="00532BA2"/>
    <w:rsid w:val="00532EC8"/>
    <w:rsid w:val="005330ED"/>
    <w:rsid w:val="005341B2"/>
    <w:rsid w:val="00534839"/>
    <w:rsid w:val="005348D5"/>
    <w:rsid w:val="00534AD4"/>
    <w:rsid w:val="00534E94"/>
    <w:rsid w:val="005351FB"/>
    <w:rsid w:val="0053563A"/>
    <w:rsid w:val="005358FB"/>
    <w:rsid w:val="005363F2"/>
    <w:rsid w:val="00537541"/>
    <w:rsid w:val="00537760"/>
    <w:rsid w:val="00540411"/>
    <w:rsid w:val="00541524"/>
    <w:rsid w:val="00541C26"/>
    <w:rsid w:val="0054249F"/>
    <w:rsid w:val="005429CB"/>
    <w:rsid w:val="00543111"/>
    <w:rsid w:val="005431F6"/>
    <w:rsid w:val="005437F5"/>
    <w:rsid w:val="00543DB4"/>
    <w:rsid w:val="00544371"/>
    <w:rsid w:val="00544A57"/>
    <w:rsid w:val="005461C9"/>
    <w:rsid w:val="005463E1"/>
    <w:rsid w:val="00546568"/>
    <w:rsid w:val="0054703D"/>
    <w:rsid w:val="00547388"/>
    <w:rsid w:val="00547833"/>
    <w:rsid w:val="0055013A"/>
    <w:rsid w:val="00550819"/>
    <w:rsid w:val="005508D8"/>
    <w:rsid w:val="00550A77"/>
    <w:rsid w:val="00550F17"/>
    <w:rsid w:val="00552001"/>
    <w:rsid w:val="0055260C"/>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A"/>
    <w:rsid w:val="0056579D"/>
    <w:rsid w:val="005659AB"/>
    <w:rsid w:val="00566627"/>
    <w:rsid w:val="005667AF"/>
    <w:rsid w:val="0056680C"/>
    <w:rsid w:val="00566D31"/>
    <w:rsid w:val="005670C2"/>
    <w:rsid w:val="00567158"/>
    <w:rsid w:val="0056765C"/>
    <w:rsid w:val="00570781"/>
    <w:rsid w:val="00570ACB"/>
    <w:rsid w:val="00571367"/>
    <w:rsid w:val="005714FB"/>
    <w:rsid w:val="0057154D"/>
    <w:rsid w:val="00571709"/>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6666"/>
    <w:rsid w:val="005772AA"/>
    <w:rsid w:val="00577F77"/>
    <w:rsid w:val="005805C1"/>
    <w:rsid w:val="00581042"/>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4D5"/>
    <w:rsid w:val="005A16C9"/>
    <w:rsid w:val="005A1757"/>
    <w:rsid w:val="005A1E94"/>
    <w:rsid w:val="005A2088"/>
    <w:rsid w:val="005A257F"/>
    <w:rsid w:val="005A2794"/>
    <w:rsid w:val="005A2C69"/>
    <w:rsid w:val="005A2CA7"/>
    <w:rsid w:val="005A2FF0"/>
    <w:rsid w:val="005A35BE"/>
    <w:rsid w:val="005A3E1C"/>
    <w:rsid w:val="005A3E76"/>
    <w:rsid w:val="005A471D"/>
    <w:rsid w:val="005A4765"/>
    <w:rsid w:val="005A4A4A"/>
    <w:rsid w:val="005A4D8E"/>
    <w:rsid w:val="005A5CEE"/>
    <w:rsid w:val="005A5D50"/>
    <w:rsid w:val="005A743D"/>
    <w:rsid w:val="005A7945"/>
    <w:rsid w:val="005A7AC7"/>
    <w:rsid w:val="005B0CCD"/>
    <w:rsid w:val="005B0FB6"/>
    <w:rsid w:val="005B23A3"/>
    <w:rsid w:val="005B2C3F"/>
    <w:rsid w:val="005B36E3"/>
    <w:rsid w:val="005B3751"/>
    <w:rsid w:val="005B38F2"/>
    <w:rsid w:val="005B3FCE"/>
    <w:rsid w:val="005B452D"/>
    <w:rsid w:val="005B51FC"/>
    <w:rsid w:val="005B5671"/>
    <w:rsid w:val="005B6270"/>
    <w:rsid w:val="005B6457"/>
    <w:rsid w:val="005B6A08"/>
    <w:rsid w:val="005B6C48"/>
    <w:rsid w:val="005B6E2F"/>
    <w:rsid w:val="005B7158"/>
    <w:rsid w:val="005B77A2"/>
    <w:rsid w:val="005B7C06"/>
    <w:rsid w:val="005B7F41"/>
    <w:rsid w:val="005C1177"/>
    <w:rsid w:val="005C13CA"/>
    <w:rsid w:val="005C18A0"/>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83E"/>
    <w:rsid w:val="005D0A41"/>
    <w:rsid w:val="005D0EDD"/>
    <w:rsid w:val="005D121D"/>
    <w:rsid w:val="005D1616"/>
    <w:rsid w:val="005D1754"/>
    <w:rsid w:val="005D230C"/>
    <w:rsid w:val="005D3531"/>
    <w:rsid w:val="005D3570"/>
    <w:rsid w:val="005D3E51"/>
    <w:rsid w:val="005D405C"/>
    <w:rsid w:val="005D513C"/>
    <w:rsid w:val="005D591E"/>
    <w:rsid w:val="005D5BFA"/>
    <w:rsid w:val="005D5DF6"/>
    <w:rsid w:val="005D6672"/>
    <w:rsid w:val="005D686D"/>
    <w:rsid w:val="005D7819"/>
    <w:rsid w:val="005D79BE"/>
    <w:rsid w:val="005E09A7"/>
    <w:rsid w:val="005E0B8D"/>
    <w:rsid w:val="005E1BA2"/>
    <w:rsid w:val="005E209D"/>
    <w:rsid w:val="005E2196"/>
    <w:rsid w:val="005E2C04"/>
    <w:rsid w:val="005E2DA1"/>
    <w:rsid w:val="005E3D58"/>
    <w:rsid w:val="005E3E13"/>
    <w:rsid w:val="005E41D4"/>
    <w:rsid w:val="005E4415"/>
    <w:rsid w:val="005E4C63"/>
    <w:rsid w:val="005E5BCB"/>
    <w:rsid w:val="005E5F7B"/>
    <w:rsid w:val="005E64AA"/>
    <w:rsid w:val="005E6802"/>
    <w:rsid w:val="005E68DA"/>
    <w:rsid w:val="005E6C3B"/>
    <w:rsid w:val="005E7243"/>
    <w:rsid w:val="005F01EA"/>
    <w:rsid w:val="005F03F6"/>
    <w:rsid w:val="005F07F5"/>
    <w:rsid w:val="005F0BDF"/>
    <w:rsid w:val="005F1326"/>
    <w:rsid w:val="005F30A2"/>
    <w:rsid w:val="005F31DD"/>
    <w:rsid w:val="005F353F"/>
    <w:rsid w:val="005F4619"/>
    <w:rsid w:val="005F49C8"/>
    <w:rsid w:val="005F5FC5"/>
    <w:rsid w:val="005F61FB"/>
    <w:rsid w:val="005F6620"/>
    <w:rsid w:val="00600216"/>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436D"/>
    <w:rsid w:val="00614C17"/>
    <w:rsid w:val="006167E9"/>
    <w:rsid w:val="00616F75"/>
    <w:rsid w:val="00616F9E"/>
    <w:rsid w:val="0061728B"/>
    <w:rsid w:val="0061731C"/>
    <w:rsid w:val="00617A58"/>
    <w:rsid w:val="00620218"/>
    <w:rsid w:val="00620341"/>
    <w:rsid w:val="0062096B"/>
    <w:rsid w:val="00620C63"/>
    <w:rsid w:val="0062137C"/>
    <w:rsid w:val="00622225"/>
    <w:rsid w:val="00622718"/>
    <w:rsid w:val="0062300E"/>
    <w:rsid w:val="00623483"/>
    <w:rsid w:val="00623655"/>
    <w:rsid w:val="00623B53"/>
    <w:rsid w:val="00625BC3"/>
    <w:rsid w:val="00625DA8"/>
    <w:rsid w:val="006271A3"/>
    <w:rsid w:val="0062779A"/>
    <w:rsid w:val="00627B4F"/>
    <w:rsid w:val="006302F3"/>
    <w:rsid w:val="00630E67"/>
    <w:rsid w:val="00632057"/>
    <w:rsid w:val="00632131"/>
    <w:rsid w:val="006326DF"/>
    <w:rsid w:val="00632D03"/>
    <w:rsid w:val="00632E0D"/>
    <w:rsid w:val="0063305F"/>
    <w:rsid w:val="006337D8"/>
    <w:rsid w:val="00633F04"/>
    <w:rsid w:val="00633FCE"/>
    <w:rsid w:val="00634288"/>
    <w:rsid w:val="00634671"/>
    <w:rsid w:val="00634A88"/>
    <w:rsid w:val="00634E85"/>
    <w:rsid w:val="006351DD"/>
    <w:rsid w:val="00635D8D"/>
    <w:rsid w:val="00636222"/>
    <w:rsid w:val="0063638C"/>
    <w:rsid w:val="006379F9"/>
    <w:rsid w:val="00637A3C"/>
    <w:rsid w:val="00637D52"/>
    <w:rsid w:val="0064002B"/>
    <w:rsid w:val="0064040A"/>
    <w:rsid w:val="00640AB5"/>
    <w:rsid w:val="00640F65"/>
    <w:rsid w:val="006411C6"/>
    <w:rsid w:val="00641985"/>
    <w:rsid w:val="00642730"/>
    <w:rsid w:val="00642833"/>
    <w:rsid w:val="00642867"/>
    <w:rsid w:val="00642B5B"/>
    <w:rsid w:val="00642C89"/>
    <w:rsid w:val="00642CC7"/>
    <w:rsid w:val="00643D81"/>
    <w:rsid w:val="00643D9D"/>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5C"/>
    <w:rsid w:val="00655874"/>
    <w:rsid w:val="006560A9"/>
    <w:rsid w:val="006566FF"/>
    <w:rsid w:val="00657271"/>
    <w:rsid w:val="00660596"/>
    <w:rsid w:val="00660EB1"/>
    <w:rsid w:val="00661098"/>
    <w:rsid w:val="006613E7"/>
    <w:rsid w:val="006614E1"/>
    <w:rsid w:val="00662661"/>
    <w:rsid w:val="0066378C"/>
    <w:rsid w:val="00663E9B"/>
    <w:rsid w:val="00665195"/>
    <w:rsid w:val="0066575D"/>
    <w:rsid w:val="00665791"/>
    <w:rsid w:val="00665C2E"/>
    <w:rsid w:val="00665E11"/>
    <w:rsid w:val="00665FF4"/>
    <w:rsid w:val="006662D8"/>
    <w:rsid w:val="00666A23"/>
    <w:rsid w:val="006671E2"/>
    <w:rsid w:val="00667B63"/>
    <w:rsid w:val="00670515"/>
    <w:rsid w:val="00670A76"/>
    <w:rsid w:val="00670B9F"/>
    <w:rsid w:val="00670D80"/>
    <w:rsid w:val="00670E1C"/>
    <w:rsid w:val="00672775"/>
    <w:rsid w:val="0067305E"/>
    <w:rsid w:val="006739F7"/>
    <w:rsid w:val="00673DA9"/>
    <w:rsid w:val="00674074"/>
    <w:rsid w:val="006745AE"/>
    <w:rsid w:val="00674703"/>
    <w:rsid w:val="0067665D"/>
    <w:rsid w:val="00676836"/>
    <w:rsid w:val="00676F9A"/>
    <w:rsid w:val="00677385"/>
    <w:rsid w:val="006774F3"/>
    <w:rsid w:val="00677558"/>
    <w:rsid w:val="0068019C"/>
    <w:rsid w:val="00681143"/>
    <w:rsid w:val="00681520"/>
    <w:rsid w:val="00682BC2"/>
    <w:rsid w:val="00683C94"/>
    <w:rsid w:val="00684943"/>
    <w:rsid w:val="00685640"/>
    <w:rsid w:val="00685794"/>
    <w:rsid w:val="00685878"/>
    <w:rsid w:val="00685C33"/>
    <w:rsid w:val="006867FA"/>
    <w:rsid w:val="00686C30"/>
    <w:rsid w:val="0068702A"/>
    <w:rsid w:val="00687277"/>
    <w:rsid w:val="0068767F"/>
    <w:rsid w:val="006879C3"/>
    <w:rsid w:val="00687ABF"/>
    <w:rsid w:val="00690D2A"/>
    <w:rsid w:val="00691038"/>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0F9"/>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856"/>
    <w:rsid w:val="006A6C76"/>
    <w:rsid w:val="006A7151"/>
    <w:rsid w:val="006A746D"/>
    <w:rsid w:val="006A7E4E"/>
    <w:rsid w:val="006A7FEC"/>
    <w:rsid w:val="006B052A"/>
    <w:rsid w:val="006B064A"/>
    <w:rsid w:val="006B0E9A"/>
    <w:rsid w:val="006B0FC2"/>
    <w:rsid w:val="006B1522"/>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629"/>
    <w:rsid w:val="006C3845"/>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2698"/>
    <w:rsid w:val="006D276D"/>
    <w:rsid w:val="006D3619"/>
    <w:rsid w:val="006D3F79"/>
    <w:rsid w:val="006D4724"/>
    <w:rsid w:val="006D49BD"/>
    <w:rsid w:val="006D52AC"/>
    <w:rsid w:val="006D53B2"/>
    <w:rsid w:val="006D54B3"/>
    <w:rsid w:val="006D5777"/>
    <w:rsid w:val="006D5DCD"/>
    <w:rsid w:val="006D6329"/>
    <w:rsid w:val="006D6725"/>
    <w:rsid w:val="006D68C3"/>
    <w:rsid w:val="006D6C87"/>
    <w:rsid w:val="006D7F01"/>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3FD"/>
    <w:rsid w:val="006E444E"/>
    <w:rsid w:val="006E58A4"/>
    <w:rsid w:val="006E6256"/>
    <w:rsid w:val="006E69F3"/>
    <w:rsid w:val="006E6A6F"/>
    <w:rsid w:val="006E6C4A"/>
    <w:rsid w:val="006E6CD9"/>
    <w:rsid w:val="006E7344"/>
    <w:rsid w:val="006E74DA"/>
    <w:rsid w:val="006E7B71"/>
    <w:rsid w:val="006E7EE1"/>
    <w:rsid w:val="006F1312"/>
    <w:rsid w:val="006F1776"/>
    <w:rsid w:val="006F1C8B"/>
    <w:rsid w:val="006F1F52"/>
    <w:rsid w:val="006F21D8"/>
    <w:rsid w:val="006F2DB5"/>
    <w:rsid w:val="006F2E92"/>
    <w:rsid w:val="006F35F0"/>
    <w:rsid w:val="006F3CBF"/>
    <w:rsid w:val="006F4478"/>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557E"/>
    <w:rsid w:val="00706750"/>
    <w:rsid w:val="00706C0F"/>
    <w:rsid w:val="00707F42"/>
    <w:rsid w:val="0071020C"/>
    <w:rsid w:val="0071076A"/>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082C"/>
    <w:rsid w:val="00720B65"/>
    <w:rsid w:val="007210A0"/>
    <w:rsid w:val="00721B81"/>
    <w:rsid w:val="00722591"/>
    <w:rsid w:val="007237B9"/>
    <w:rsid w:val="00723963"/>
    <w:rsid w:val="00723DC8"/>
    <w:rsid w:val="007247DB"/>
    <w:rsid w:val="007249E0"/>
    <w:rsid w:val="00724A1B"/>
    <w:rsid w:val="00726D56"/>
    <w:rsid w:val="0072726A"/>
    <w:rsid w:val="007273A3"/>
    <w:rsid w:val="00727415"/>
    <w:rsid w:val="0072744D"/>
    <w:rsid w:val="00727673"/>
    <w:rsid w:val="00727821"/>
    <w:rsid w:val="00727919"/>
    <w:rsid w:val="0073020C"/>
    <w:rsid w:val="00730C03"/>
    <w:rsid w:val="00731B17"/>
    <w:rsid w:val="00731B43"/>
    <w:rsid w:val="00731C7C"/>
    <w:rsid w:val="0073209E"/>
    <w:rsid w:val="0073211C"/>
    <w:rsid w:val="00732142"/>
    <w:rsid w:val="007326D7"/>
    <w:rsid w:val="0073275A"/>
    <w:rsid w:val="00732BA5"/>
    <w:rsid w:val="00732F80"/>
    <w:rsid w:val="00733369"/>
    <w:rsid w:val="00733EB5"/>
    <w:rsid w:val="007349B8"/>
    <w:rsid w:val="00735081"/>
    <w:rsid w:val="0073546A"/>
    <w:rsid w:val="00735E50"/>
    <w:rsid w:val="00735FB3"/>
    <w:rsid w:val="007360B0"/>
    <w:rsid w:val="00736109"/>
    <w:rsid w:val="00736C5D"/>
    <w:rsid w:val="00736F80"/>
    <w:rsid w:val="007371FC"/>
    <w:rsid w:val="00737475"/>
    <w:rsid w:val="00737843"/>
    <w:rsid w:val="00737AD9"/>
    <w:rsid w:val="00737BC9"/>
    <w:rsid w:val="00737E4C"/>
    <w:rsid w:val="00737FE2"/>
    <w:rsid w:val="00740038"/>
    <w:rsid w:val="007407E0"/>
    <w:rsid w:val="00740AFF"/>
    <w:rsid w:val="00741447"/>
    <w:rsid w:val="007416B7"/>
    <w:rsid w:val="007417F0"/>
    <w:rsid w:val="00741BDE"/>
    <w:rsid w:val="00741C4A"/>
    <w:rsid w:val="007429CF"/>
    <w:rsid w:val="00742BD8"/>
    <w:rsid w:val="00742F48"/>
    <w:rsid w:val="00743742"/>
    <w:rsid w:val="00743D60"/>
    <w:rsid w:val="00743F9E"/>
    <w:rsid w:val="00744732"/>
    <w:rsid w:val="0074529F"/>
    <w:rsid w:val="0074546A"/>
    <w:rsid w:val="00745BA5"/>
    <w:rsid w:val="00745D47"/>
    <w:rsid w:val="00745D7C"/>
    <w:rsid w:val="007468E1"/>
    <w:rsid w:val="007476AD"/>
    <w:rsid w:val="007502DA"/>
    <w:rsid w:val="00750D67"/>
    <w:rsid w:val="00750F0E"/>
    <w:rsid w:val="00751210"/>
    <w:rsid w:val="007518C6"/>
    <w:rsid w:val="00752C3A"/>
    <w:rsid w:val="007531F5"/>
    <w:rsid w:val="007532DA"/>
    <w:rsid w:val="007541BC"/>
    <w:rsid w:val="00754626"/>
    <w:rsid w:val="007549AC"/>
    <w:rsid w:val="00756878"/>
    <w:rsid w:val="00756AFA"/>
    <w:rsid w:val="00756B9A"/>
    <w:rsid w:val="00756BBA"/>
    <w:rsid w:val="007571CB"/>
    <w:rsid w:val="007572AD"/>
    <w:rsid w:val="007608BF"/>
    <w:rsid w:val="00760DC9"/>
    <w:rsid w:val="00761A84"/>
    <w:rsid w:val="00761C1A"/>
    <w:rsid w:val="00761E8C"/>
    <w:rsid w:val="00762389"/>
    <w:rsid w:val="007626D5"/>
    <w:rsid w:val="007629C9"/>
    <w:rsid w:val="00762EC2"/>
    <w:rsid w:val="007633C1"/>
    <w:rsid w:val="00763A0C"/>
    <w:rsid w:val="00763AA8"/>
    <w:rsid w:val="007645BF"/>
    <w:rsid w:val="00764978"/>
    <w:rsid w:val="00764B3E"/>
    <w:rsid w:val="00764F8F"/>
    <w:rsid w:val="00765134"/>
    <w:rsid w:val="00765322"/>
    <w:rsid w:val="00765550"/>
    <w:rsid w:val="00765AC2"/>
    <w:rsid w:val="00765C15"/>
    <w:rsid w:val="00766009"/>
    <w:rsid w:val="0076624A"/>
    <w:rsid w:val="00766307"/>
    <w:rsid w:val="007664AD"/>
    <w:rsid w:val="00766C19"/>
    <w:rsid w:val="00767976"/>
    <w:rsid w:val="007703F7"/>
    <w:rsid w:val="0077059A"/>
    <w:rsid w:val="00770A14"/>
    <w:rsid w:val="00771B9A"/>
    <w:rsid w:val="007729F5"/>
    <w:rsid w:val="00772B39"/>
    <w:rsid w:val="00772C86"/>
    <w:rsid w:val="00773057"/>
    <w:rsid w:val="00773ABF"/>
    <w:rsid w:val="00774277"/>
    <w:rsid w:val="0077563E"/>
    <w:rsid w:val="00775C60"/>
    <w:rsid w:val="00776F12"/>
    <w:rsid w:val="0077749D"/>
    <w:rsid w:val="007774BB"/>
    <w:rsid w:val="00777D35"/>
    <w:rsid w:val="00777F5D"/>
    <w:rsid w:val="0078002B"/>
    <w:rsid w:val="0078071F"/>
    <w:rsid w:val="00780795"/>
    <w:rsid w:val="00780DDC"/>
    <w:rsid w:val="00781C4A"/>
    <w:rsid w:val="00781DFE"/>
    <w:rsid w:val="00781F9D"/>
    <w:rsid w:val="007824D1"/>
    <w:rsid w:val="00782978"/>
    <w:rsid w:val="00783153"/>
    <w:rsid w:val="007839D0"/>
    <w:rsid w:val="007849BD"/>
    <w:rsid w:val="00784A77"/>
    <w:rsid w:val="00784CA4"/>
    <w:rsid w:val="00784CBD"/>
    <w:rsid w:val="00785252"/>
    <w:rsid w:val="00785608"/>
    <w:rsid w:val="0078597C"/>
    <w:rsid w:val="007867C7"/>
    <w:rsid w:val="00787FC9"/>
    <w:rsid w:val="00790249"/>
    <w:rsid w:val="00790D07"/>
    <w:rsid w:val="00790FE4"/>
    <w:rsid w:val="00791A34"/>
    <w:rsid w:val="00792803"/>
    <w:rsid w:val="00792D72"/>
    <w:rsid w:val="0079332F"/>
    <w:rsid w:val="00793669"/>
    <w:rsid w:val="007936A0"/>
    <w:rsid w:val="0079391E"/>
    <w:rsid w:val="00794B7E"/>
    <w:rsid w:val="0079523F"/>
    <w:rsid w:val="00795BF3"/>
    <w:rsid w:val="00795D93"/>
    <w:rsid w:val="00795F29"/>
    <w:rsid w:val="00796B78"/>
    <w:rsid w:val="0079771A"/>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3FC"/>
    <w:rsid w:val="007A64D1"/>
    <w:rsid w:val="007A651A"/>
    <w:rsid w:val="007A707F"/>
    <w:rsid w:val="007A7FC2"/>
    <w:rsid w:val="007B003A"/>
    <w:rsid w:val="007B01B9"/>
    <w:rsid w:val="007B1507"/>
    <w:rsid w:val="007B169D"/>
    <w:rsid w:val="007B2457"/>
    <w:rsid w:val="007B26A8"/>
    <w:rsid w:val="007B26C9"/>
    <w:rsid w:val="007B2C29"/>
    <w:rsid w:val="007B2F68"/>
    <w:rsid w:val="007B32B4"/>
    <w:rsid w:val="007B32D3"/>
    <w:rsid w:val="007B3957"/>
    <w:rsid w:val="007B4AFD"/>
    <w:rsid w:val="007B5875"/>
    <w:rsid w:val="007B62AB"/>
    <w:rsid w:val="007B6417"/>
    <w:rsid w:val="007B648B"/>
    <w:rsid w:val="007B6799"/>
    <w:rsid w:val="007B6A78"/>
    <w:rsid w:val="007B6E5F"/>
    <w:rsid w:val="007B7384"/>
    <w:rsid w:val="007B7D8D"/>
    <w:rsid w:val="007C00CB"/>
    <w:rsid w:val="007C0124"/>
    <w:rsid w:val="007C01CE"/>
    <w:rsid w:val="007C09D4"/>
    <w:rsid w:val="007C173C"/>
    <w:rsid w:val="007C1F79"/>
    <w:rsid w:val="007C202C"/>
    <w:rsid w:val="007C2779"/>
    <w:rsid w:val="007C3C4B"/>
    <w:rsid w:val="007C42CE"/>
    <w:rsid w:val="007C44D3"/>
    <w:rsid w:val="007C4E6A"/>
    <w:rsid w:val="007C5010"/>
    <w:rsid w:val="007C5346"/>
    <w:rsid w:val="007C565D"/>
    <w:rsid w:val="007C57C2"/>
    <w:rsid w:val="007C5DE1"/>
    <w:rsid w:val="007C6169"/>
    <w:rsid w:val="007C62F2"/>
    <w:rsid w:val="007C63B4"/>
    <w:rsid w:val="007C681A"/>
    <w:rsid w:val="007C6D65"/>
    <w:rsid w:val="007C6F00"/>
    <w:rsid w:val="007C76C8"/>
    <w:rsid w:val="007C7823"/>
    <w:rsid w:val="007C7D06"/>
    <w:rsid w:val="007C7FB2"/>
    <w:rsid w:val="007D004A"/>
    <w:rsid w:val="007D042D"/>
    <w:rsid w:val="007D11D9"/>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1229"/>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C3C"/>
    <w:rsid w:val="007F5EC8"/>
    <w:rsid w:val="007F6531"/>
    <w:rsid w:val="007F719C"/>
    <w:rsid w:val="007F722D"/>
    <w:rsid w:val="007F75AD"/>
    <w:rsid w:val="008007BE"/>
    <w:rsid w:val="00800807"/>
    <w:rsid w:val="00800882"/>
    <w:rsid w:val="00801057"/>
    <w:rsid w:val="00801D20"/>
    <w:rsid w:val="00801F10"/>
    <w:rsid w:val="00802491"/>
    <w:rsid w:val="00802A7D"/>
    <w:rsid w:val="00802BF4"/>
    <w:rsid w:val="00803802"/>
    <w:rsid w:val="00803F69"/>
    <w:rsid w:val="00803F72"/>
    <w:rsid w:val="00803FB5"/>
    <w:rsid w:val="00804487"/>
    <w:rsid w:val="00804589"/>
    <w:rsid w:val="00805241"/>
    <w:rsid w:val="00805415"/>
    <w:rsid w:val="00805BCC"/>
    <w:rsid w:val="00805C1F"/>
    <w:rsid w:val="00806142"/>
    <w:rsid w:val="008063D0"/>
    <w:rsid w:val="008065A9"/>
    <w:rsid w:val="008068EE"/>
    <w:rsid w:val="00806E8F"/>
    <w:rsid w:val="00810600"/>
    <w:rsid w:val="00810788"/>
    <w:rsid w:val="00810F80"/>
    <w:rsid w:val="0081132B"/>
    <w:rsid w:val="00811773"/>
    <w:rsid w:val="00811787"/>
    <w:rsid w:val="00811BC7"/>
    <w:rsid w:val="00812E49"/>
    <w:rsid w:val="00812FCC"/>
    <w:rsid w:val="00813F4B"/>
    <w:rsid w:val="00815693"/>
    <w:rsid w:val="00815A2C"/>
    <w:rsid w:val="00815B1F"/>
    <w:rsid w:val="00815B42"/>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8A0"/>
    <w:rsid w:val="00824BBB"/>
    <w:rsid w:val="008253D9"/>
    <w:rsid w:val="00825420"/>
    <w:rsid w:val="00825A42"/>
    <w:rsid w:val="00826C37"/>
    <w:rsid w:val="008279CF"/>
    <w:rsid w:val="00830312"/>
    <w:rsid w:val="008308F6"/>
    <w:rsid w:val="00830AD2"/>
    <w:rsid w:val="00831107"/>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4"/>
    <w:rsid w:val="008362E5"/>
    <w:rsid w:val="0083680C"/>
    <w:rsid w:val="00836BB3"/>
    <w:rsid w:val="00836C7D"/>
    <w:rsid w:val="00840138"/>
    <w:rsid w:val="008405A6"/>
    <w:rsid w:val="0084077D"/>
    <w:rsid w:val="008407BA"/>
    <w:rsid w:val="008408A9"/>
    <w:rsid w:val="00840D66"/>
    <w:rsid w:val="0084179B"/>
    <w:rsid w:val="00841A5A"/>
    <w:rsid w:val="00841FF1"/>
    <w:rsid w:val="00842087"/>
    <w:rsid w:val="0084296A"/>
    <w:rsid w:val="0084373B"/>
    <w:rsid w:val="0084396D"/>
    <w:rsid w:val="008439A9"/>
    <w:rsid w:val="00844A1C"/>
    <w:rsid w:val="00844CA2"/>
    <w:rsid w:val="008451FD"/>
    <w:rsid w:val="008457B7"/>
    <w:rsid w:val="00845D64"/>
    <w:rsid w:val="0084690D"/>
    <w:rsid w:val="00846CB3"/>
    <w:rsid w:val="00846D99"/>
    <w:rsid w:val="00846DE2"/>
    <w:rsid w:val="00847966"/>
    <w:rsid w:val="00847980"/>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57F67"/>
    <w:rsid w:val="0086053E"/>
    <w:rsid w:val="008609A8"/>
    <w:rsid w:val="008612AF"/>
    <w:rsid w:val="008617CA"/>
    <w:rsid w:val="00861C88"/>
    <w:rsid w:val="008624D1"/>
    <w:rsid w:val="00862E7C"/>
    <w:rsid w:val="008630AD"/>
    <w:rsid w:val="008632F0"/>
    <w:rsid w:val="008632F2"/>
    <w:rsid w:val="00863428"/>
    <w:rsid w:val="00863453"/>
    <w:rsid w:val="008635AE"/>
    <w:rsid w:val="0086361B"/>
    <w:rsid w:val="00863CCA"/>
    <w:rsid w:val="0086422A"/>
    <w:rsid w:val="00864255"/>
    <w:rsid w:val="008645E6"/>
    <w:rsid w:val="00864629"/>
    <w:rsid w:val="008650DA"/>
    <w:rsid w:val="00865B08"/>
    <w:rsid w:val="0086677F"/>
    <w:rsid w:val="00866A21"/>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DCC"/>
    <w:rsid w:val="00876FED"/>
    <w:rsid w:val="008772BE"/>
    <w:rsid w:val="00877741"/>
    <w:rsid w:val="008777AD"/>
    <w:rsid w:val="008778BA"/>
    <w:rsid w:val="00877C4B"/>
    <w:rsid w:val="00880367"/>
    <w:rsid w:val="00880607"/>
    <w:rsid w:val="00880621"/>
    <w:rsid w:val="00880627"/>
    <w:rsid w:val="00880767"/>
    <w:rsid w:val="00880A62"/>
    <w:rsid w:val="00880B70"/>
    <w:rsid w:val="00880F99"/>
    <w:rsid w:val="00881DA6"/>
    <w:rsid w:val="0088216A"/>
    <w:rsid w:val="008822AA"/>
    <w:rsid w:val="0088335E"/>
    <w:rsid w:val="008837A3"/>
    <w:rsid w:val="00884E2F"/>
    <w:rsid w:val="00884EDD"/>
    <w:rsid w:val="00884FF2"/>
    <w:rsid w:val="00885580"/>
    <w:rsid w:val="008859B7"/>
    <w:rsid w:val="0088608D"/>
    <w:rsid w:val="00886384"/>
    <w:rsid w:val="0088641E"/>
    <w:rsid w:val="00886F8C"/>
    <w:rsid w:val="00887DBF"/>
    <w:rsid w:val="00887EF9"/>
    <w:rsid w:val="0089025E"/>
    <w:rsid w:val="008906BD"/>
    <w:rsid w:val="0089074E"/>
    <w:rsid w:val="00891404"/>
    <w:rsid w:val="0089386B"/>
    <w:rsid w:val="00893FE7"/>
    <w:rsid w:val="008947E4"/>
    <w:rsid w:val="008950F3"/>
    <w:rsid w:val="00895619"/>
    <w:rsid w:val="008956FE"/>
    <w:rsid w:val="0089578E"/>
    <w:rsid w:val="00896122"/>
    <w:rsid w:val="00896BC7"/>
    <w:rsid w:val="008A0D2C"/>
    <w:rsid w:val="008A1488"/>
    <w:rsid w:val="008A17B4"/>
    <w:rsid w:val="008A1E44"/>
    <w:rsid w:val="008A28FF"/>
    <w:rsid w:val="008A33AA"/>
    <w:rsid w:val="008A34DC"/>
    <w:rsid w:val="008A3835"/>
    <w:rsid w:val="008A499F"/>
    <w:rsid w:val="008A52E3"/>
    <w:rsid w:val="008A546C"/>
    <w:rsid w:val="008A54FE"/>
    <w:rsid w:val="008A5EF2"/>
    <w:rsid w:val="008A6036"/>
    <w:rsid w:val="008A6F74"/>
    <w:rsid w:val="008A7925"/>
    <w:rsid w:val="008A7DA2"/>
    <w:rsid w:val="008B069E"/>
    <w:rsid w:val="008B12A4"/>
    <w:rsid w:val="008B1350"/>
    <w:rsid w:val="008B18FC"/>
    <w:rsid w:val="008B20A2"/>
    <w:rsid w:val="008B2868"/>
    <w:rsid w:val="008B3B9E"/>
    <w:rsid w:val="008B3E84"/>
    <w:rsid w:val="008B4112"/>
    <w:rsid w:val="008B5054"/>
    <w:rsid w:val="008B5528"/>
    <w:rsid w:val="008B59A5"/>
    <w:rsid w:val="008B5AC8"/>
    <w:rsid w:val="008B5AE9"/>
    <w:rsid w:val="008B671C"/>
    <w:rsid w:val="008B6AEB"/>
    <w:rsid w:val="008B7265"/>
    <w:rsid w:val="008B79FB"/>
    <w:rsid w:val="008C0BB3"/>
    <w:rsid w:val="008C14D6"/>
    <w:rsid w:val="008C1DC2"/>
    <w:rsid w:val="008C225D"/>
    <w:rsid w:val="008C2C28"/>
    <w:rsid w:val="008C2D23"/>
    <w:rsid w:val="008C2FC1"/>
    <w:rsid w:val="008C380B"/>
    <w:rsid w:val="008C3B92"/>
    <w:rsid w:val="008C40F4"/>
    <w:rsid w:val="008C439C"/>
    <w:rsid w:val="008C5193"/>
    <w:rsid w:val="008C5355"/>
    <w:rsid w:val="008C5A45"/>
    <w:rsid w:val="008C5ADD"/>
    <w:rsid w:val="008C5DF2"/>
    <w:rsid w:val="008C6DE5"/>
    <w:rsid w:val="008C7431"/>
    <w:rsid w:val="008C76C4"/>
    <w:rsid w:val="008C7840"/>
    <w:rsid w:val="008C7CB3"/>
    <w:rsid w:val="008D07F6"/>
    <w:rsid w:val="008D188E"/>
    <w:rsid w:val="008D195A"/>
    <w:rsid w:val="008D1C3A"/>
    <w:rsid w:val="008D2D83"/>
    <w:rsid w:val="008D38E0"/>
    <w:rsid w:val="008D3EB3"/>
    <w:rsid w:val="008D4F13"/>
    <w:rsid w:val="008D514D"/>
    <w:rsid w:val="008D5981"/>
    <w:rsid w:val="008D6275"/>
    <w:rsid w:val="008D63C9"/>
    <w:rsid w:val="008D6BD4"/>
    <w:rsid w:val="008D7117"/>
    <w:rsid w:val="008D72D9"/>
    <w:rsid w:val="008D7383"/>
    <w:rsid w:val="008D75D5"/>
    <w:rsid w:val="008D75DC"/>
    <w:rsid w:val="008D7924"/>
    <w:rsid w:val="008E005F"/>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E7C47"/>
    <w:rsid w:val="008F04B9"/>
    <w:rsid w:val="008F1017"/>
    <w:rsid w:val="008F163E"/>
    <w:rsid w:val="008F1D26"/>
    <w:rsid w:val="008F2D67"/>
    <w:rsid w:val="008F3475"/>
    <w:rsid w:val="008F3AEB"/>
    <w:rsid w:val="008F3F04"/>
    <w:rsid w:val="008F4176"/>
    <w:rsid w:val="008F464D"/>
    <w:rsid w:val="008F6E12"/>
    <w:rsid w:val="008F6E89"/>
    <w:rsid w:val="008F7F74"/>
    <w:rsid w:val="009008B1"/>
    <w:rsid w:val="00900EA4"/>
    <w:rsid w:val="009028C1"/>
    <w:rsid w:val="0090348F"/>
    <w:rsid w:val="00903D67"/>
    <w:rsid w:val="00903D85"/>
    <w:rsid w:val="00903F2A"/>
    <w:rsid w:val="00904319"/>
    <w:rsid w:val="00906221"/>
    <w:rsid w:val="00906793"/>
    <w:rsid w:val="00906922"/>
    <w:rsid w:val="00907043"/>
    <w:rsid w:val="00907517"/>
    <w:rsid w:val="0090760B"/>
    <w:rsid w:val="00907962"/>
    <w:rsid w:val="009106BC"/>
    <w:rsid w:val="00911B87"/>
    <w:rsid w:val="009123C3"/>
    <w:rsid w:val="00912445"/>
    <w:rsid w:val="009125F6"/>
    <w:rsid w:val="00912AE3"/>
    <w:rsid w:val="009137CB"/>
    <w:rsid w:val="00913C69"/>
    <w:rsid w:val="0091478F"/>
    <w:rsid w:val="009147D6"/>
    <w:rsid w:val="00915159"/>
    <w:rsid w:val="0091545D"/>
    <w:rsid w:val="00915470"/>
    <w:rsid w:val="009158E3"/>
    <w:rsid w:val="0091788D"/>
    <w:rsid w:val="00917CF2"/>
    <w:rsid w:val="00920748"/>
    <w:rsid w:val="009216C1"/>
    <w:rsid w:val="00923485"/>
    <w:rsid w:val="00923A7D"/>
    <w:rsid w:val="00923B75"/>
    <w:rsid w:val="00923F8C"/>
    <w:rsid w:val="00924911"/>
    <w:rsid w:val="00925DE4"/>
    <w:rsid w:val="009267CC"/>
    <w:rsid w:val="00926A36"/>
    <w:rsid w:val="00926A7D"/>
    <w:rsid w:val="009277EA"/>
    <w:rsid w:val="009301EF"/>
    <w:rsid w:val="009307A7"/>
    <w:rsid w:val="00932784"/>
    <w:rsid w:val="00932BCC"/>
    <w:rsid w:val="00933059"/>
    <w:rsid w:val="009338D2"/>
    <w:rsid w:val="009347CD"/>
    <w:rsid w:val="00934A55"/>
    <w:rsid w:val="00934A74"/>
    <w:rsid w:val="00935B0E"/>
    <w:rsid w:val="0093668E"/>
    <w:rsid w:val="009366E7"/>
    <w:rsid w:val="00936D8A"/>
    <w:rsid w:val="00937334"/>
    <w:rsid w:val="0093774B"/>
    <w:rsid w:val="00937954"/>
    <w:rsid w:val="00940192"/>
    <w:rsid w:val="009407D6"/>
    <w:rsid w:val="00940A6A"/>
    <w:rsid w:val="00941744"/>
    <w:rsid w:val="0094179E"/>
    <w:rsid w:val="00941CEC"/>
    <w:rsid w:val="00942057"/>
    <w:rsid w:val="00942182"/>
    <w:rsid w:val="00942DEE"/>
    <w:rsid w:val="00943E07"/>
    <w:rsid w:val="009441F9"/>
    <w:rsid w:val="00944B9C"/>
    <w:rsid w:val="00944C87"/>
    <w:rsid w:val="00944C9D"/>
    <w:rsid w:val="00944D73"/>
    <w:rsid w:val="00945C93"/>
    <w:rsid w:val="00945D90"/>
    <w:rsid w:val="0094647A"/>
    <w:rsid w:val="00946AA0"/>
    <w:rsid w:val="00947472"/>
    <w:rsid w:val="00947F4A"/>
    <w:rsid w:val="00947F5C"/>
    <w:rsid w:val="00950C53"/>
    <w:rsid w:val="00950DB5"/>
    <w:rsid w:val="00950E6E"/>
    <w:rsid w:val="00951013"/>
    <w:rsid w:val="00951511"/>
    <w:rsid w:val="00951A4A"/>
    <w:rsid w:val="00951B14"/>
    <w:rsid w:val="00951F70"/>
    <w:rsid w:val="009520FC"/>
    <w:rsid w:val="0095257B"/>
    <w:rsid w:val="0095335B"/>
    <w:rsid w:val="00953C30"/>
    <w:rsid w:val="009544A5"/>
    <w:rsid w:val="00955182"/>
    <w:rsid w:val="00955A07"/>
    <w:rsid w:val="00955C77"/>
    <w:rsid w:val="00956D7D"/>
    <w:rsid w:val="00957779"/>
    <w:rsid w:val="00960F61"/>
    <w:rsid w:val="00961BF3"/>
    <w:rsid w:val="0096219A"/>
    <w:rsid w:val="00962361"/>
    <w:rsid w:val="009624C0"/>
    <w:rsid w:val="00962E07"/>
    <w:rsid w:val="00963FAF"/>
    <w:rsid w:val="009645C2"/>
    <w:rsid w:val="0096463A"/>
    <w:rsid w:val="0096471F"/>
    <w:rsid w:val="009647FF"/>
    <w:rsid w:val="009650F2"/>
    <w:rsid w:val="00965440"/>
    <w:rsid w:val="00965653"/>
    <w:rsid w:val="00965CED"/>
    <w:rsid w:val="0096715B"/>
    <w:rsid w:val="00967E48"/>
    <w:rsid w:val="00967E64"/>
    <w:rsid w:val="009705AB"/>
    <w:rsid w:val="0097067F"/>
    <w:rsid w:val="00970CAB"/>
    <w:rsid w:val="00971117"/>
    <w:rsid w:val="00972323"/>
    <w:rsid w:val="00972717"/>
    <w:rsid w:val="009738AF"/>
    <w:rsid w:val="009738ED"/>
    <w:rsid w:val="00973D12"/>
    <w:rsid w:val="00973E97"/>
    <w:rsid w:val="009745A5"/>
    <w:rsid w:val="00974B72"/>
    <w:rsid w:val="00974ED5"/>
    <w:rsid w:val="009750C0"/>
    <w:rsid w:val="009759FA"/>
    <w:rsid w:val="00975B07"/>
    <w:rsid w:val="0097628A"/>
    <w:rsid w:val="00976B1D"/>
    <w:rsid w:val="00977225"/>
    <w:rsid w:val="00977A65"/>
    <w:rsid w:val="0098001A"/>
    <w:rsid w:val="00980259"/>
    <w:rsid w:val="00980366"/>
    <w:rsid w:val="009807AD"/>
    <w:rsid w:val="00980EC1"/>
    <w:rsid w:val="00981170"/>
    <w:rsid w:val="0098148D"/>
    <w:rsid w:val="00981BE7"/>
    <w:rsid w:val="00982113"/>
    <w:rsid w:val="0098294F"/>
    <w:rsid w:val="00982D2C"/>
    <w:rsid w:val="0098417E"/>
    <w:rsid w:val="00984FEA"/>
    <w:rsid w:val="00985043"/>
    <w:rsid w:val="00985094"/>
    <w:rsid w:val="009850CF"/>
    <w:rsid w:val="009851FE"/>
    <w:rsid w:val="0098536D"/>
    <w:rsid w:val="00985DE9"/>
    <w:rsid w:val="009869DE"/>
    <w:rsid w:val="00986ED2"/>
    <w:rsid w:val="009872CC"/>
    <w:rsid w:val="00987454"/>
    <w:rsid w:val="00987DD9"/>
    <w:rsid w:val="00990313"/>
    <w:rsid w:val="009906DF"/>
    <w:rsid w:val="00990A07"/>
    <w:rsid w:val="009910C5"/>
    <w:rsid w:val="009913C6"/>
    <w:rsid w:val="009914B4"/>
    <w:rsid w:val="009918F7"/>
    <w:rsid w:val="00991C59"/>
    <w:rsid w:val="00992149"/>
    <w:rsid w:val="009921C5"/>
    <w:rsid w:val="00992DCA"/>
    <w:rsid w:val="00993A0E"/>
    <w:rsid w:val="00993A60"/>
    <w:rsid w:val="00994710"/>
    <w:rsid w:val="00994A76"/>
    <w:rsid w:val="00994C55"/>
    <w:rsid w:val="00994D36"/>
    <w:rsid w:val="00994DC7"/>
    <w:rsid w:val="00994E7F"/>
    <w:rsid w:val="00996329"/>
    <w:rsid w:val="0099670B"/>
    <w:rsid w:val="0099693C"/>
    <w:rsid w:val="00996BCA"/>
    <w:rsid w:val="00996E02"/>
    <w:rsid w:val="009977FC"/>
    <w:rsid w:val="009A1BE2"/>
    <w:rsid w:val="009A1CFA"/>
    <w:rsid w:val="009A26D4"/>
    <w:rsid w:val="009A274A"/>
    <w:rsid w:val="009A2CE2"/>
    <w:rsid w:val="009A31AA"/>
    <w:rsid w:val="009A4C7A"/>
    <w:rsid w:val="009A51B0"/>
    <w:rsid w:val="009A5CA6"/>
    <w:rsid w:val="009A62EB"/>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2CE"/>
    <w:rsid w:val="009B34F8"/>
    <w:rsid w:val="009B3BF8"/>
    <w:rsid w:val="009B40A7"/>
    <w:rsid w:val="009B4EE3"/>
    <w:rsid w:val="009B550C"/>
    <w:rsid w:val="009B5891"/>
    <w:rsid w:val="009B660A"/>
    <w:rsid w:val="009B7055"/>
    <w:rsid w:val="009B77C5"/>
    <w:rsid w:val="009C01DA"/>
    <w:rsid w:val="009C0A29"/>
    <w:rsid w:val="009C16AA"/>
    <w:rsid w:val="009C16AE"/>
    <w:rsid w:val="009C172D"/>
    <w:rsid w:val="009C17EC"/>
    <w:rsid w:val="009C199D"/>
    <w:rsid w:val="009C1D4F"/>
    <w:rsid w:val="009C1F0B"/>
    <w:rsid w:val="009C31F9"/>
    <w:rsid w:val="009C39FB"/>
    <w:rsid w:val="009C3A1D"/>
    <w:rsid w:val="009C3AA2"/>
    <w:rsid w:val="009C3B1C"/>
    <w:rsid w:val="009C44C7"/>
    <w:rsid w:val="009C458F"/>
    <w:rsid w:val="009C5C21"/>
    <w:rsid w:val="009C6375"/>
    <w:rsid w:val="009C6628"/>
    <w:rsid w:val="009C6ECC"/>
    <w:rsid w:val="009C7452"/>
    <w:rsid w:val="009C77D7"/>
    <w:rsid w:val="009C7BF4"/>
    <w:rsid w:val="009C7F92"/>
    <w:rsid w:val="009D16AE"/>
    <w:rsid w:val="009D1E62"/>
    <w:rsid w:val="009D2072"/>
    <w:rsid w:val="009D2705"/>
    <w:rsid w:val="009D27B4"/>
    <w:rsid w:val="009D2DE7"/>
    <w:rsid w:val="009D3260"/>
    <w:rsid w:val="009D45AA"/>
    <w:rsid w:val="009D4D95"/>
    <w:rsid w:val="009D56B8"/>
    <w:rsid w:val="009D5AF0"/>
    <w:rsid w:val="009D5D2A"/>
    <w:rsid w:val="009D5E55"/>
    <w:rsid w:val="009D65D8"/>
    <w:rsid w:val="009D66C9"/>
    <w:rsid w:val="009D6B47"/>
    <w:rsid w:val="009D73BF"/>
    <w:rsid w:val="009D764B"/>
    <w:rsid w:val="009D779A"/>
    <w:rsid w:val="009D7C0C"/>
    <w:rsid w:val="009E1222"/>
    <w:rsid w:val="009E157A"/>
    <w:rsid w:val="009E1F2D"/>
    <w:rsid w:val="009E226B"/>
    <w:rsid w:val="009E2DD1"/>
    <w:rsid w:val="009E335D"/>
    <w:rsid w:val="009E3A66"/>
    <w:rsid w:val="009E3E8C"/>
    <w:rsid w:val="009E4061"/>
    <w:rsid w:val="009E4944"/>
    <w:rsid w:val="009E5180"/>
    <w:rsid w:val="009E54E4"/>
    <w:rsid w:val="009E649A"/>
    <w:rsid w:val="009E6C4D"/>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92"/>
    <w:rsid w:val="009F79D1"/>
    <w:rsid w:val="00A001D5"/>
    <w:rsid w:val="00A01AE5"/>
    <w:rsid w:val="00A027CC"/>
    <w:rsid w:val="00A0291C"/>
    <w:rsid w:val="00A02BE2"/>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120"/>
    <w:rsid w:val="00A142A2"/>
    <w:rsid w:val="00A1460E"/>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02B"/>
    <w:rsid w:val="00A42C29"/>
    <w:rsid w:val="00A43655"/>
    <w:rsid w:val="00A43B7A"/>
    <w:rsid w:val="00A4473C"/>
    <w:rsid w:val="00A465B5"/>
    <w:rsid w:val="00A46B0E"/>
    <w:rsid w:val="00A500A0"/>
    <w:rsid w:val="00A50657"/>
    <w:rsid w:val="00A5148E"/>
    <w:rsid w:val="00A51A61"/>
    <w:rsid w:val="00A51DFF"/>
    <w:rsid w:val="00A5201D"/>
    <w:rsid w:val="00A52F49"/>
    <w:rsid w:val="00A5315D"/>
    <w:rsid w:val="00A53181"/>
    <w:rsid w:val="00A531C3"/>
    <w:rsid w:val="00A53B94"/>
    <w:rsid w:val="00A53C3D"/>
    <w:rsid w:val="00A53E77"/>
    <w:rsid w:val="00A540C6"/>
    <w:rsid w:val="00A54CF5"/>
    <w:rsid w:val="00A551B1"/>
    <w:rsid w:val="00A5520A"/>
    <w:rsid w:val="00A56101"/>
    <w:rsid w:val="00A5717D"/>
    <w:rsid w:val="00A57523"/>
    <w:rsid w:val="00A6118E"/>
    <w:rsid w:val="00A61221"/>
    <w:rsid w:val="00A613DE"/>
    <w:rsid w:val="00A61585"/>
    <w:rsid w:val="00A61699"/>
    <w:rsid w:val="00A61C62"/>
    <w:rsid w:val="00A62A35"/>
    <w:rsid w:val="00A6333C"/>
    <w:rsid w:val="00A637F3"/>
    <w:rsid w:val="00A63D59"/>
    <w:rsid w:val="00A63F13"/>
    <w:rsid w:val="00A65558"/>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492"/>
    <w:rsid w:val="00A74656"/>
    <w:rsid w:val="00A74D20"/>
    <w:rsid w:val="00A7515E"/>
    <w:rsid w:val="00A75BA6"/>
    <w:rsid w:val="00A75EE3"/>
    <w:rsid w:val="00A762AC"/>
    <w:rsid w:val="00A7634F"/>
    <w:rsid w:val="00A76B6C"/>
    <w:rsid w:val="00A77737"/>
    <w:rsid w:val="00A800B5"/>
    <w:rsid w:val="00A8042D"/>
    <w:rsid w:val="00A8099C"/>
    <w:rsid w:val="00A80CC7"/>
    <w:rsid w:val="00A80D2C"/>
    <w:rsid w:val="00A813F4"/>
    <w:rsid w:val="00A81B2D"/>
    <w:rsid w:val="00A82306"/>
    <w:rsid w:val="00A82583"/>
    <w:rsid w:val="00A826AE"/>
    <w:rsid w:val="00A82814"/>
    <w:rsid w:val="00A829EA"/>
    <w:rsid w:val="00A82EF6"/>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73"/>
    <w:rsid w:val="00A91486"/>
    <w:rsid w:val="00A916ED"/>
    <w:rsid w:val="00A91F2A"/>
    <w:rsid w:val="00A92561"/>
    <w:rsid w:val="00A927BE"/>
    <w:rsid w:val="00A929ED"/>
    <w:rsid w:val="00A92A86"/>
    <w:rsid w:val="00A936B6"/>
    <w:rsid w:val="00A942E6"/>
    <w:rsid w:val="00A94502"/>
    <w:rsid w:val="00A94CFA"/>
    <w:rsid w:val="00A95605"/>
    <w:rsid w:val="00A968DE"/>
    <w:rsid w:val="00A96FBF"/>
    <w:rsid w:val="00A97103"/>
    <w:rsid w:val="00AA02A6"/>
    <w:rsid w:val="00AA091C"/>
    <w:rsid w:val="00AA0CA0"/>
    <w:rsid w:val="00AA127C"/>
    <w:rsid w:val="00AA1A4B"/>
    <w:rsid w:val="00AA1A7B"/>
    <w:rsid w:val="00AA1CD6"/>
    <w:rsid w:val="00AA1EDA"/>
    <w:rsid w:val="00AA26F6"/>
    <w:rsid w:val="00AA27F7"/>
    <w:rsid w:val="00AA2967"/>
    <w:rsid w:val="00AA3F39"/>
    <w:rsid w:val="00AA4233"/>
    <w:rsid w:val="00AA5067"/>
    <w:rsid w:val="00AA511F"/>
    <w:rsid w:val="00AA67B8"/>
    <w:rsid w:val="00AA67C6"/>
    <w:rsid w:val="00AB040C"/>
    <w:rsid w:val="00AB0A0E"/>
    <w:rsid w:val="00AB17AC"/>
    <w:rsid w:val="00AB25F3"/>
    <w:rsid w:val="00AB4AEF"/>
    <w:rsid w:val="00AB506B"/>
    <w:rsid w:val="00AB5504"/>
    <w:rsid w:val="00AB5A28"/>
    <w:rsid w:val="00AB5B6C"/>
    <w:rsid w:val="00AB632F"/>
    <w:rsid w:val="00AB65A5"/>
    <w:rsid w:val="00AB69BC"/>
    <w:rsid w:val="00AB700A"/>
    <w:rsid w:val="00AB7116"/>
    <w:rsid w:val="00AB73B2"/>
    <w:rsid w:val="00AC03EC"/>
    <w:rsid w:val="00AC0556"/>
    <w:rsid w:val="00AC0749"/>
    <w:rsid w:val="00AC1332"/>
    <w:rsid w:val="00AC34DD"/>
    <w:rsid w:val="00AC41B4"/>
    <w:rsid w:val="00AC48F6"/>
    <w:rsid w:val="00AC4947"/>
    <w:rsid w:val="00AC59DF"/>
    <w:rsid w:val="00AC5F64"/>
    <w:rsid w:val="00AC6493"/>
    <w:rsid w:val="00AC6C62"/>
    <w:rsid w:val="00AC6D4F"/>
    <w:rsid w:val="00AC7407"/>
    <w:rsid w:val="00AC7C2E"/>
    <w:rsid w:val="00AC7E00"/>
    <w:rsid w:val="00AD0D7A"/>
    <w:rsid w:val="00AD1BB5"/>
    <w:rsid w:val="00AD21A3"/>
    <w:rsid w:val="00AD2463"/>
    <w:rsid w:val="00AD2985"/>
    <w:rsid w:val="00AD318F"/>
    <w:rsid w:val="00AD3DAD"/>
    <w:rsid w:val="00AD4799"/>
    <w:rsid w:val="00AD4948"/>
    <w:rsid w:val="00AD557B"/>
    <w:rsid w:val="00AD56C0"/>
    <w:rsid w:val="00AD7416"/>
    <w:rsid w:val="00AD7640"/>
    <w:rsid w:val="00AD76C6"/>
    <w:rsid w:val="00AD7817"/>
    <w:rsid w:val="00AD7E28"/>
    <w:rsid w:val="00AE1450"/>
    <w:rsid w:val="00AE180A"/>
    <w:rsid w:val="00AE1DB7"/>
    <w:rsid w:val="00AE2050"/>
    <w:rsid w:val="00AE2241"/>
    <w:rsid w:val="00AE4728"/>
    <w:rsid w:val="00AE4C00"/>
    <w:rsid w:val="00AE57B4"/>
    <w:rsid w:val="00AE5AC4"/>
    <w:rsid w:val="00AE6980"/>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1FB"/>
    <w:rsid w:val="00AF5538"/>
    <w:rsid w:val="00AF56C4"/>
    <w:rsid w:val="00AF66F9"/>
    <w:rsid w:val="00AF6745"/>
    <w:rsid w:val="00AF6C23"/>
    <w:rsid w:val="00AF7568"/>
    <w:rsid w:val="00AF7F1B"/>
    <w:rsid w:val="00B00407"/>
    <w:rsid w:val="00B00B35"/>
    <w:rsid w:val="00B00F8B"/>
    <w:rsid w:val="00B00FC9"/>
    <w:rsid w:val="00B01571"/>
    <w:rsid w:val="00B01827"/>
    <w:rsid w:val="00B01960"/>
    <w:rsid w:val="00B02200"/>
    <w:rsid w:val="00B02596"/>
    <w:rsid w:val="00B02D9C"/>
    <w:rsid w:val="00B02DFD"/>
    <w:rsid w:val="00B03D7F"/>
    <w:rsid w:val="00B03E5E"/>
    <w:rsid w:val="00B03F5D"/>
    <w:rsid w:val="00B04422"/>
    <w:rsid w:val="00B04A8C"/>
    <w:rsid w:val="00B05046"/>
    <w:rsid w:val="00B0569F"/>
    <w:rsid w:val="00B05D6D"/>
    <w:rsid w:val="00B05E0A"/>
    <w:rsid w:val="00B064DF"/>
    <w:rsid w:val="00B070BE"/>
    <w:rsid w:val="00B07591"/>
    <w:rsid w:val="00B076E3"/>
    <w:rsid w:val="00B108F1"/>
    <w:rsid w:val="00B10C81"/>
    <w:rsid w:val="00B10DEA"/>
    <w:rsid w:val="00B10F0E"/>
    <w:rsid w:val="00B10F57"/>
    <w:rsid w:val="00B1103C"/>
    <w:rsid w:val="00B118D2"/>
    <w:rsid w:val="00B1211B"/>
    <w:rsid w:val="00B12745"/>
    <w:rsid w:val="00B12B7F"/>
    <w:rsid w:val="00B13C95"/>
    <w:rsid w:val="00B1430B"/>
    <w:rsid w:val="00B143B1"/>
    <w:rsid w:val="00B14650"/>
    <w:rsid w:val="00B147E9"/>
    <w:rsid w:val="00B14C4A"/>
    <w:rsid w:val="00B15339"/>
    <w:rsid w:val="00B156E7"/>
    <w:rsid w:val="00B15C49"/>
    <w:rsid w:val="00B1658A"/>
    <w:rsid w:val="00B166A6"/>
    <w:rsid w:val="00B16AB1"/>
    <w:rsid w:val="00B16DF8"/>
    <w:rsid w:val="00B20B5E"/>
    <w:rsid w:val="00B21281"/>
    <w:rsid w:val="00B21A71"/>
    <w:rsid w:val="00B21E45"/>
    <w:rsid w:val="00B21F9A"/>
    <w:rsid w:val="00B21FF4"/>
    <w:rsid w:val="00B22868"/>
    <w:rsid w:val="00B23781"/>
    <w:rsid w:val="00B25570"/>
    <w:rsid w:val="00B25A3E"/>
    <w:rsid w:val="00B25DF4"/>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078"/>
    <w:rsid w:val="00B4147F"/>
    <w:rsid w:val="00B41991"/>
    <w:rsid w:val="00B41B37"/>
    <w:rsid w:val="00B41D5E"/>
    <w:rsid w:val="00B41FA8"/>
    <w:rsid w:val="00B424FB"/>
    <w:rsid w:val="00B44899"/>
    <w:rsid w:val="00B455BD"/>
    <w:rsid w:val="00B45F5C"/>
    <w:rsid w:val="00B46C4B"/>
    <w:rsid w:val="00B5015E"/>
    <w:rsid w:val="00B5017A"/>
    <w:rsid w:val="00B501FA"/>
    <w:rsid w:val="00B510F5"/>
    <w:rsid w:val="00B51335"/>
    <w:rsid w:val="00B518E0"/>
    <w:rsid w:val="00B51A1C"/>
    <w:rsid w:val="00B51E92"/>
    <w:rsid w:val="00B5237A"/>
    <w:rsid w:val="00B5325E"/>
    <w:rsid w:val="00B5332D"/>
    <w:rsid w:val="00B53776"/>
    <w:rsid w:val="00B53E56"/>
    <w:rsid w:val="00B53F69"/>
    <w:rsid w:val="00B540B4"/>
    <w:rsid w:val="00B54DB2"/>
    <w:rsid w:val="00B5547A"/>
    <w:rsid w:val="00B557C1"/>
    <w:rsid w:val="00B563EF"/>
    <w:rsid w:val="00B56578"/>
    <w:rsid w:val="00B56AE9"/>
    <w:rsid w:val="00B5765C"/>
    <w:rsid w:val="00B57DE4"/>
    <w:rsid w:val="00B604EA"/>
    <w:rsid w:val="00B61083"/>
    <w:rsid w:val="00B61837"/>
    <w:rsid w:val="00B619E8"/>
    <w:rsid w:val="00B61E0C"/>
    <w:rsid w:val="00B62151"/>
    <w:rsid w:val="00B621B1"/>
    <w:rsid w:val="00B62304"/>
    <w:rsid w:val="00B626B0"/>
    <w:rsid w:val="00B626C3"/>
    <w:rsid w:val="00B62D98"/>
    <w:rsid w:val="00B633EE"/>
    <w:rsid w:val="00B63A06"/>
    <w:rsid w:val="00B63B16"/>
    <w:rsid w:val="00B64166"/>
    <w:rsid w:val="00B648E2"/>
    <w:rsid w:val="00B649C8"/>
    <w:rsid w:val="00B64C8A"/>
    <w:rsid w:val="00B712FD"/>
    <w:rsid w:val="00B7202E"/>
    <w:rsid w:val="00B72054"/>
    <w:rsid w:val="00B725CF"/>
    <w:rsid w:val="00B7267B"/>
    <w:rsid w:val="00B72862"/>
    <w:rsid w:val="00B73CDF"/>
    <w:rsid w:val="00B74B19"/>
    <w:rsid w:val="00B74B23"/>
    <w:rsid w:val="00B76361"/>
    <w:rsid w:val="00B763A2"/>
    <w:rsid w:val="00B7682E"/>
    <w:rsid w:val="00B76832"/>
    <w:rsid w:val="00B7697A"/>
    <w:rsid w:val="00B770F1"/>
    <w:rsid w:val="00B80361"/>
    <w:rsid w:val="00B8098B"/>
    <w:rsid w:val="00B81D5A"/>
    <w:rsid w:val="00B82AF0"/>
    <w:rsid w:val="00B82FA8"/>
    <w:rsid w:val="00B83E35"/>
    <w:rsid w:val="00B84190"/>
    <w:rsid w:val="00B843B0"/>
    <w:rsid w:val="00B84F40"/>
    <w:rsid w:val="00B8557F"/>
    <w:rsid w:val="00B857B9"/>
    <w:rsid w:val="00B85C1B"/>
    <w:rsid w:val="00B8633D"/>
    <w:rsid w:val="00B86E49"/>
    <w:rsid w:val="00B86F1B"/>
    <w:rsid w:val="00B8719A"/>
    <w:rsid w:val="00B87A4D"/>
    <w:rsid w:val="00B9006A"/>
    <w:rsid w:val="00B901C2"/>
    <w:rsid w:val="00B90909"/>
    <w:rsid w:val="00B90D92"/>
    <w:rsid w:val="00B910FD"/>
    <w:rsid w:val="00B91332"/>
    <w:rsid w:val="00B92184"/>
    <w:rsid w:val="00B923BD"/>
    <w:rsid w:val="00B92411"/>
    <w:rsid w:val="00B93224"/>
    <w:rsid w:val="00B94BCE"/>
    <w:rsid w:val="00B9546E"/>
    <w:rsid w:val="00B959B4"/>
    <w:rsid w:val="00B95C3F"/>
    <w:rsid w:val="00B9615A"/>
    <w:rsid w:val="00B96161"/>
    <w:rsid w:val="00B968EC"/>
    <w:rsid w:val="00B9709E"/>
    <w:rsid w:val="00B973C8"/>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422A"/>
    <w:rsid w:val="00BA5166"/>
    <w:rsid w:val="00BA5CE4"/>
    <w:rsid w:val="00BA5FC1"/>
    <w:rsid w:val="00BA67D8"/>
    <w:rsid w:val="00BA6E00"/>
    <w:rsid w:val="00BA79A0"/>
    <w:rsid w:val="00BB0006"/>
    <w:rsid w:val="00BB0222"/>
    <w:rsid w:val="00BB04D1"/>
    <w:rsid w:val="00BB0627"/>
    <w:rsid w:val="00BB1447"/>
    <w:rsid w:val="00BB1A5D"/>
    <w:rsid w:val="00BB2279"/>
    <w:rsid w:val="00BB24F1"/>
    <w:rsid w:val="00BB28E7"/>
    <w:rsid w:val="00BB3183"/>
    <w:rsid w:val="00BB3587"/>
    <w:rsid w:val="00BB387E"/>
    <w:rsid w:val="00BB3933"/>
    <w:rsid w:val="00BB396F"/>
    <w:rsid w:val="00BB3991"/>
    <w:rsid w:val="00BB3C7F"/>
    <w:rsid w:val="00BB4265"/>
    <w:rsid w:val="00BB5BB8"/>
    <w:rsid w:val="00BB6406"/>
    <w:rsid w:val="00BB695E"/>
    <w:rsid w:val="00BB79B5"/>
    <w:rsid w:val="00BB7B42"/>
    <w:rsid w:val="00BC069F"/>
    <w:rsid w:val="00BC08DB"/>
    <w:rsid w:val="00BC0A98"/>
    <w:rsid w:val="00BC0FB8"/>
    <w:rsid w:val="00BC14F6"/>
    <w:rsid w:val="00BC217E"/>
    <w:rsid w:val="00BC22D0"/>
    <w:rsid w:val="00BC28C4"/>
    <w:rsid w:val="00BC3542"/>
    <w:rsid w:val="00BC3565"/>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757"/>
    <w:rsid w:val="00BD0965"/>
    <w:rsid w:val="00BD0B6D"/>
    <w:rsid w:val="00BD0CE7"/>
    <w:rsid w:val="00BD0E68"/>
    <w:rsid w:val="00BD1542"/>
    <w:rsid w:val="00BD1B5E"/>
    <w:rsid w:val="00BD1E51"/>
    <w:rsid w:val="00BD22D9"/>
    <w:rsid w:val="00BD2CC5"/>
    <w:rsid w:val="00BD3433"/>
    <w:rsid w:val="00BD37D2"/>
    <w:rsid w:val="00BD3AA2"/>
    <w:rsid w:val="00BD4776"/>
    <w:rsid w:val="00BD4A9B"/>
    <w:rsid w:val="00BD575A"/>
    <w:rsid w:val="00BD6056"/>
    <w:rsid w:val="00BD6079"/>
    <w:rsid w:val="00BD6722"/>
    <w:rsid w:val="00BD67B8"/>
    <w:rsid w:val="00BD752F"/>
    <w:rsid w:val="00BD756B"/>
    <w:rsid w:val="00BD7EA6"/>
    <w:rsid w:val="00BE0294"/>
    <w:rsid w:val="00BE0959"/>
    <w:rsid w:val="00BE1856"/>
    <w:rsid w:val="00BE2372"/>
    <w:rsid w:val="00BE268F"/>
    <w:rsid w:val="00BE2DE6"/>
    <w:rsid w:val="00BE3E6C"/>
    <w:rsid w:val="00BE4168"/>
    <w:rsid w:val="00BE455B"/>
    <w:rsid w:val="00BE4AF1"/>
    <w:rsid w:val="00BE4B47"/>
    <w:rsid w:val="00BE5D4F"/>
    <w:rsid w:val="00BE640F"/>
    <w:rsid w:val="00BF0070"/>
    <w:rsid w:val="00BF012E"/>
    <w:rsid w:val="00BF01C7"/>
    <w:rsid w:val="00BF0638"/>
    <w:rsid w:val="00BF107D"/>
    <w:rsid w:val="00BF122D"/>
    <w:rsid w:val="00BF141D"/>
    <w:rsid w:val="00BF1684"/>
    <w:rsid w:val="00BF3094"/>
    <w:rsid w:val="00BF31F0"/>
    <w:rsid w:val="00BF39C1"/>
    <w:rsid w:val="00BF3E82"/>
    <w:rsid w:val="00BF3F4C"/>
    <w:rsid w:val="00BF42E0"/>
    <w:rsid w:val="00BF4F87"/>
    <w:rsid w:val="00BF50A2"/>
    <w:rsid w:val="00BF5F4B"/>
    <w:rsid w:val="00BF685D"/>
    <w:rsid w:val="00BF69F8"/>
    <w:rsid w:val="00BF6DB0"/>
    <w:rsid w:val="00BF7859"/>
    <w:rsid w:val="00BF7F71"/>
    <w:rsid w:val="00C0002F"/>
    <w:rsid w:val="00C000CE"/>
    <w:rsid w:val="00C00A0D"/>
    <w:rsid w:val="00C00AF7"/>
    <w:rsid w:val="00C00C93"/>
    <w:rsid w:val="00C011A5"/>
    <w:rsid w:val="00C017D1"/>
    <w:rsid w:val="00C0198F"/>
    <w:rsid w:val="00C02CF2"/>
    <w:rsid w:val="00C03994"/>
    <w:rsid w:val="00C039AA"/>
    <w:rsid w:val="00C039EB"/>
    <w:rsid w:val="00C03C54"/>
    <w:rsid w:val="00C03D31"/>
    <w:rsid w:val="00C04379"/>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3DA"/>
    <w:rsid w:val="00C108B4"/>
    <w:rsid w:val="00C10AB3"/>
    <w:rsid w:val="00C10FF0"/>
    <w:rsid w:val="00C11950"/>
    <w:rsid w:val="00C11B25"/>
    <w:rsid w:val="00C124C7"/>
    <w:rsid w:val="00C1276F"/>
    <w:rsid w:val="00C12A6C"/>
    <w:rsid w:val="00C12B07"/>
    <w:rsid w:val="00C12E94"/>
    <w:rsid w:val="00C12EBA"/>
    <w:rsid w:val="00C12FCF"/>
    <w:rsid w:val="00C130C4"/>
    <w:rsid w:val="00C13BF5"/>
    <w:rsid w:val="00C13D17"/>
    <w:rsid w:val="00C142AC"/>
    <w:rsid w:val="00C157D8"/>
    <w:rsid w:val="00C16DDD"/>
    <w:rsid w:val="00C17179"/>
    <w:rsid w:val="00C1732B"/>
    <w:rsid w:val="00C17422"/>
    <w:rsid w:val="00C17C56"/>
    <w:rsid w:val="00C17D82"/>
    <w:rsid w:val="00C2040D"/>
    <w:rsid w:val="00C20B13"/>
    <w:rsid w:val="00C21160"/>
    <w:rsid w:val="00C211D7"/>
    <w:rsid w:val="00C21360"/>
    <w:rsid w:val="00C21682"/>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4FC5"/>
    <w:rsid w:val="00C360EC"/>
    <w:rsid w:val="00C36F46"/>
    <w:rsid w:val="00C37635"/>
    <w:rsid w:val="00C406EE"/>
    <w:rsid w:val="00C40771"/>
    <w:rsid w:val="00C40C45"/>
    <w:rsid w:val="00C40F4A"/>
    <w:rsid w:val="00C42108"/>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8C1"/>
    <w:rsid w:val="00C55ECC"/>
    <w:rsid w:val="00C56753"/>
    <w:rsid w:val="00C56EA0"/>
    <w:rsid w:val="00C57174"/>
    <w:rsid w:val="00C57291"/>
    <w:rsid w:val="00C57DF3"/>
    <w:rsid w:val="00C60347"/>
    <w:rsid w:val="00C60AC0"/>
    <w:rsid w:val="00C60BE7"/>
    <w:rsid w:val="00C61B07"/>
    <w:rsid w:val="00C61BC7"/>
    <w:rsid w:val="00C62042"/>
    <w:rsid w:val="00C623C4"/>
    <w:rsid w:val="00C62D24"/>
    <w:rsid w:val="00C64171"/>
    <w:rsid w:val="00C645C1"/>
    <w:rsid w:val="00C647B0"/>
    <w:rsid w:val="00C649C5"/>
    <w:rsid w:val="00C65D88"/>
    <w:rsid w:val="00C65E0C"/>
    <w:rsid w:val="00C6685B"/>
    <w:rsid w:val="00C668C9"/>
    <w:rsid w:val="00C66D38"/>
    <w:rsid w:val="00C673A7"/>
    <w:rsid w:val="00C677E6"/>
    <w:rsid w:val="00C6783F"/>
    <w:rsid w:val="00C704CA"/>
    <w:rsid w:val="00C704F2"/>
    <w:rsid w:val="00C70B4D"/>
    <w:rsid w:val="00C71147"/>
    <w:rsid w:val="00C71911"/>
    <w:rsid w:val="00C73140"/>
    <w:rsid w:val="00C73855"/>
    <w:rsid w:val="00C73ABE"/>
    <w:rsid w:val="00C74260"/>
    <w:rsid w:val="00C74263"/>
    <w:rsid w:val="00C74367"/>
    <w:rsid w:val="00C7488E"/>
    <w:rsid w:val="00C74ACB"/>
    <w:rsid w:val="00C74DA6"/>
    <w:rsid w:val="00C750E2"/>
    <w:rsid w:val="00C753C2"/>
    <w:rsid w:val="00C7594F"/>
    <w:rsid w:val="00C75B38"/>
    <w:rsid w:val="00C75EC7"/>
    <w:rsid w:val="00C7610F"/>
    <w:rsid w:val="00C76476"/>
    <w:rsid w:val="00C76AC7"/>
    <w:rsid w:val="00C774E0"/>
    <w:rsid w:val="00C77643"/>
    <w:rsid w:val="00C77EAD"/>
    <w:rsid w:val="00C8086A"/>
    <w:rsid w:val="00C80B68"/>
    <w:rsid w:val="00C81131"/>
    <w:rsid w:val="00C811D2"/>
    <w:rsid w:val="00C8122E"/>
    <w:rsid w:val="00C81896"/>
    <w:rsid w:val="00C81DE9"/>
    <w:rsid w:val="00C8241C"/>
    <w:rsid w:val="00C82454"/>
    <w:rsid w:val="00C827D9"/>
    <w:rsid w:val="00C82C83"/>
    <w:rsid w:val="00C82D95"/>
    <w:rsid w:val="00C830D9"/>
    <w:rsid w:val="00C83CB3"/>
    <w:rsid w:val="00C83F6B"/>
    <w:rsid w:val="00C84193"/>
    <w:rsid w:val="00C850AF"/>
    <w:rsid w:val="00C85331"/>
    <w:rsid w:val="00C854AC"/>
    <w:rsid w:val="00C854E5"/>
    <w:rsid w:val="00C8595F"/>
    <w:rsid w:val="00C8642E"/>
    <w:rsid w:val="00C876F8"/>
    <w:rsid w:val="00C9022E"/>
    <w:rsid w:val="00C90F90"/>
    <w:rsid w:val="00C9134D"/>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3133"/>
    <w:rsid w:val="00CA4367"/>
    <w:rsid w:val="00CA48F1"/>
    <w:rsid w:val="00CA4D8F"/>
    <w:rsid w:val="00CA4E70"/>
    <w:rsid w:val="00CA5371"/>
    <w:rsid w:val="00CA5B43"/>
    <w:rsid w:val="00CA5CD2"/>
    <w:rsid w:val="00CA6606"/>
    <w:rsid w:val="00CA6F7D"/>
    <w:rsid w:val="00CA7122"/>
    <w:rsid w:val="00CB030D"/>
    <w:rsid w:val="00CB0596"/>
    <w:rsid w:val="00CB0E7C"/>
    <w:rsid w:val="00CB10AB"/>
    <w:rsid w:val="00CB1189"/>
    <w:rsid w:val="00CB186E"/>
    <w:rsid w:val="00CB22F6"/>
    <w:rsid w:val="00CB2B5B"/>
    <w:rsid w:val="00CB2BC0"/>
    <w:rsid w:val="00CB4045"/>
    <w:rsid w:val="00CB44BA"/>
    <w:rsid w:val="00CB46CF"/>
    <w:rsid w:val="00CB479D"/>
    <w:rsid w:val="00CB47E9"/>
    <w:rsid w:val="00CB52A3"/>
    <w:rsid w:val="00CB5899"/>
    <w:rsid w:val="00CB5A48"/>
    <w:rsid w:val="00CB6298"/>
    <w:rsid w:val="00CB6663"/>
    <w:rsid w:val="00CB67FB"/>
    <w:rsid w:val="00CB6C54"/>
    <w:rsid w:val="00CB7A12"/>
    <w:rsid w:val="00CB7BDC"/>
    <w:rsid w:val="00CC00D8"/>
    <w:rsid w:val="00CC018F"/>
    <w:rsid w:val="00CC0719"/>
    <w:rsid w:val="00CC0A54"/>
    <w:rsid w:val="00CC0D71"/>
    <w:rsid w:val="00CC1A4A"/>
    <w:rsid w:val="00CC2EF2"/>
    <w:rsid w:val="00CC2FC2"/>
    <w:rsid w:val="00CC31AE"/>
    <w:rsid w:val="00CC34DB"/>
    <w:rsid w:val="00CC3915"/>
    <w:rsid w:val="00CC3C3B"/>
    <w:rsid w:val="00CC4180"/>
    <w:rsid w:val="00CC5DAA"/>
    <w:rsid w:val="00CC623B"/>
    <w:rsid w:val="00CC62ED"/>
    <w:rsid w:val="00CC6423"/>
    <w:rsid w:val="00CC6B78"/>
    <w:rsid w:val="00CC728B"/>
    <w:rsid w:val="00CC75A4"/>
    <w:rsid w:val="00CD0696"/>
    <w:rsid w:val="00CD1130"/>
    <w:rsid w:val="00CD14B2"/>
    <w:rsid w:val="00CD21AD"/>
    <w:rsid w:val="00CD248F"/>
    <w:rsid w:val="00CD2851"/>
    <w:rsid w:val="00CD2936"/>
    <w:rsid w:val="00CD2DC4"/>
    <w:rsid w:val="00CD34D0"/>
    <w:rsid w:val="00CD35F9"/>
    <w:rsid w:val="00CD3E51"/>
    <w:rsid w:val="00CD4153"/>
    <w:rsid w:val="00CD6177"/>
    <w:rsid w:val="00CD6540"/>
    <w:rsid w:val="00CD6BEC"/>
    <w:rsid w:val="00CD72B6"/>
    <w:rsid w:val="00CD7581"/>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20B0"/>
    <w:rsid w:val="00CF3A27"/>
    <w:rsid w:val="00CF3B54"/>
    <w:rsid w:val="00CF3C3D"/>
    <w:rsid w:val="00CF459B"/>
    <w:rsid w:val="00CF5085"/>
    <w:rsid w:val="00CF51DA"/>
    <w:rsid w:val="00CF5647"/>
    <w:rsid w:val="00CF5871"/>
    <w:rsid w:val="00CF5953"/>
    <w:rsid w:val="00CF600D"/>
    <w:rsid w:val="00CF62F0"/>
    <w:rsid w:val="00CF646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2F56"/>
    <w:rsid w:val="00D03DC1"/>
    <w:rsid w:val="00D04119"/>
    <w:rsid w:val="00D041E0"/>
    <w:rsid w:val="00D043E5"/>
    <w:rsid w:val="00D045CB"/>
    <w:rsid w:val="00D04671"/>
    <w:rsid w:val="00D047D4"/>
    <w:rsid w:val="00D047F6"/>
    <w:rsid w:val="00D04AD4"/>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1C9"/>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B80"/>
    <w:rsid w:val="00D23CDD"/>
    <w:rsid w:val="00D23D9C"/>
    <w:rsid w:val="00D246D0"/>
    <w:rsid w:val="00D24AF9"/>
    <w:rsid w:val="00D2505B"/>
    <w:rsid w:val="00D25E16"/>
    <w:rsid w:val="00D2616A"/>
    <w:rsid w:val="00D2677B"/>
    <w:rsid w:val="00D2679D"/>
    <w:rsid w:val="00D27247"/>
    <w:rsid w:val="00D27AA8"/>
    <w:rsid w:val="00D27C83"/>
    <w:rsid w:val="00D302DF"/>
    <w:rsid w:val="00D3034B"/>
    <w:rsid w:val="00D30ED5"/>
    <w:rsid w:val="00D3157F"/>
    <w:rsid w:val="00D31899"/>
    <w:rsid w:val="00D319D2"/>
    <w:rsid w:val="00D31D45"/>
    <w:rsid w:val="00D31DA7"/>
    <w:rsid w:val="00D329C3"/>
    <w:rsid w:val="00D32ABC"/>
    <w:rsid w:val="00D330DB"/>
    <w:rsid w:val="00D3372F"/>
    <w:rsid w:val="00D33BC8"/>
    <w:rsid w:val="00D33D88"/>
    <w:rsid w:val="00D346A3"/>
    <w:rsid w:val="00D34D2F"/>
    <w:rsid w:val="00D361D5"/>
    <w:rsid w:val="00D36A79"/>
    <w:rsid w:val="00D3776B"/>
    <w:rsid w:val="00D37DC0"/>
    <w:rsid w:val="00D4031A"/>
    <w:rsid w:val="00D4082B"/>
    <w:rsid w:val="00D408B4"/>
    <w:rsid w:val="00D41091"/>
    <w:rsid w:val="00D4178E"/>
    <w:rsid w:val="00D41C8C"/>
    <w:rsid w:val="00D421F3"/>
    <w:rsid w:val="00D424C6"/>
    <w:rsid w:val="00D42BFB"/>
    <w:rsid w:val="00D42FE8"/>
    <w:rsid w:val="00D43DEC"/>
    <w:rsid w:val="00D43E85"/>
    <w:rsid w:val="00D4401A"/>
    <w:rsid w:val="00D44828"/>
    <w:rsid w:val="00D44BBC"/>
    <w:rsid w:val="00D44BD4"/>
    <w:rsid w:val="00D45602"/>
    <w:rsid w:val="00D4599F"/>
    <w:rsid w:val="00D4686C"/>
    <w:rsid w:val="00D47072"/>
    <w:rsid w:val="00D47D37"/>
    <w:rsid w:val="00D47FCA"/>
    <w:rsid w:val="00D521BD"/>
    <w:rsid w:val="00D534CB"/>
    <w:rsid w:val="00D535F1"/>
    <w:rsid w:val="00D53802"/>
    <w:rsid w:val="00D53A67"/>
    <w:rsid w:val="00D54052"/>
    <w:rsid w:val="00D546EF"/>
    <w:rsid w:val="00D5473A"/>
    <w:rsid w:val="00D548D9"/>
    <w:rsid w:val="00D54983"/>
    <w:rsid w:val="00D54C43"/>
    <w:rsid w:val="00D54EFF"/>
    <w:rsid w:val="00D55614"/>
    <w:rsid w:val="00D56E1C"/>
    <w:rsid w:val="00D57997"/>
    <w:rsid w:val="00D57C41"/>
    <w:rsid w:val="00D57F7C"/>
    <w:rsid w:val="00D57F92"/>
    <w:rsid w:val="00D60526"/>
    <w:rsid w:val="00D608C4"/>
    <w:rsid w:val="00D6122C"/>
    <w:rsid w:val="00D61295"/>
    <w:rsid w:val="00D615A7"/>
    <w:rsid w:val="00D61814"/>
    <w:rsid w:val="00D61892"/>
    <w:rsid w:val="00D61E0B"/>
    <w:rsid w:val="00D62992"/>
    <w:rsid w:val="00D6332A"/>
    <w:rsid w:val="00D634E4"/>
    <w:rsid w:val="00D63E4E"/>
    <w:rsid w:val="00D63F85"/>
    <w:rsid w:val="00D646C7"/>
    <w:rsid w:val="00D6490A"/>
    <w:rsid w:val="00D64BE2"/>
    <w:rsid w:val="00D656C6"/>
    <w:rsid w:val="00D659A9"/>
    <w:rsid w:val="00D65F0F"/>
    <w:rsid w:val="00D65FF6"/>
    <w:rsid w:val="00D66190"/>
    <w:rsid w:val="00D661A2"/>
    <w:rsid w:val="00D665EE"/>
    <w:rsid w:val="00D66CA5"/>
    <w:rsid w:val="00D67E42"/>
    <w:rsid w:val="00D702CE"/>
    <w:rsid w:val="00D7031D"/>
    <w:rsid w:val="00D70411"/>
    <w:rsid w:val="00D704C2"/>
    <w:rsid w:val="00D7062D"/>
    <w:rsid w:val="00D70AAD"/>
    <w:rsid w:val="00D71378"/>
    <w:rsid w:val="00D7196C"/>
    <w:rsid w:val="00D71995"/>
    <w:rsid w:val="00D71C17"/>
    <w:rsid w:val="00D7262A"/>
    <w:rsid w:val="00D72DDB"/>
    <w:rsid w:val="00D7389D"/>
    <w:rsid w:val="00D73A9D"/>
    <w:rsid w:val="00D73D8E"/>
    <w:rsid w:val="00D74797"/>
    <w:rsid w:val="00D74FF8"/>
    <w:rsid w:val="00D7500A"/>
    <w:rsid w:val="00D756B1"/>
    <w:rsid w:val="00D757E8"/>
    <w:rsid w:val="00D758CE"/>
    <w:rsid w:val="00D75B38"/>
    <w:rsid w:val="00D764A5"/>
    <w:rsid w:val="00D76BA1"/>
    <w:rsid w:val="00D77FFB"/>
    <w:rsid w:val="00D809F3"/>
    <w:rsid w:val="00D80DBD"/>
    <w:rsid w:val="00D8113C"/>
    <w:rsid w:val="00D81212"/>
    <w:rsid w:val="00D815B5"/>
    <w:rsid w:val="00D816BF"/>
    <w:rsid w:val="00D81973"/>
    <w:rsid w:val="00D81DA0"/>
    <w:rsid w:val="00D81DAB"/>
    <w:rsid w:val="00D821B4"/>
    <w:rsid w:val="00D82422"/>
    <w:rsid w:val="00D82C97"/>
    <w:rsid w:val="00D83013"/>
    <w:rsid w:val="00D834BC"/>
    <w:rsid w:val="00D83A1C"/>
    <w:rsid w:val="00D83A4E"/>
    <w:rsid w:val="00D8464D"/>
    <w:rsid w:val="00D8572F"/>
    <w:rsid w:val="00D85BE1"/>
    <w:rsid w:val="00D85E77"/>
    <w:rsid w:val="00D876B0"/>
    <w:rsid w:val="00D87711"/>
    <w:rsid w:val="00D8793A"/>
    <w:rsid w:val="00D8799B"/>
    <w:rsid w:val="00D87D56"/>
    <w:rsid w:val="00D909F1"/>
    <w:rsid w:val="00D90AD5"/>
    <w:rsid w:val="00D911E6"/>
    <w:rsid w:val="00D91989"/>
    <w:rsid w:val="00D92660"/>
    <w:rsid w:val="00D92877"/>
    <w:rsid w:val="00D92B72"/>
    <w:rsid w:val="00D93187"/>
    <w:rsid w:val="00D937FE"/>
    <w:rsid w:val="00D944C1"/>
    <w:rsid w:val="00D94B05"/>
    <w:rsid w:val="00D95AD4"/>
    <w:rsid w:val="00D95CC8"/>
    <w:rsid w:val="00D97CD6"/>
    <w:rsid w:val="00D97D83"/>
    <w:rsid w:val="00DA00AB"/>
    <w:rsid w:val="00DA0C4F"/>
    <w:rsid w:val="00DA1022"/>
    <w:rsid w:val="00DA12B5"/>
    <w:rsid w:val="00DA1A1C"/>
    <w:rsid w:val="00DA1AEA"/>
    <w:rsid w:val="00DA1C4C"/>
    <w:rsid w:val="00DA2A94"/>
    <w:rsid w:val="00DA32DF"/>
    <w:rsid w:val="00DA3A40"/>
    <w:rsid w:val="00DA3D26"/>
    <w:rsid w:val="00DA4556"/>
    <w:rsid w:val="00DA4678"/>
    <w:rsid w:val="00DA4CA7"/>
    <w:rsid w:val="00DA5593"/>
    <w:rsid w:val="00DA56CD"/>
    <w:rsid w:val="00DA5D15"/>
    <w:rsid w:val="00DA5DB8"/>
    <w:rsid w:val="00DA6700"/>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0AB3"/>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57C"/>
    <w:rsid w:val="00DD7966"/>
    <w:rsid w:val="00DD79D4"/>
    <w:rsid w:val="00DD7F4E"/>
    <w:rsid w:val="00DE01E7"/>
    <w:rsid w:val="00DE093A"/>
    <w:rsid w:val="00DE0986"/>
    <w:rsid w:val="00DE0BAA"/>
    <w:rsid w:val="00DE1255"/>
    <w:rsid w:val="00DE1814"/>
    <w:rsid w:val="00DE19C5"/>
    <w:rsid w:val="00DE1C1F"/>
    <w:rsid w:val="00DE1E6D"/>
    <w:rsid w:val="00DE23B8"/>
    <w:rsid w:val="00DE2756"/>
    <w:rsid w:val="00DE27B7"/>
    <w:rsid w:val="00DE32CE"/>
    <w:rsid w:val="00DE32F2"/>
    <w:rsid w:val="00DE5B7B"/>
    <w:rsid w:val="00DE715A"/>
    <w:rsid w:val="00DE71FE"/>
    <w:rsid w:val="00DE7437"/>
    <w:rsid w:val="00DE7A6D"/>
    <w:rsid w:val="00DF0054"/>
    <w:rsid w:val="00DF0122"/>
    <w:rsid w:val="00DF0492"/>
    <w:rsid w:val="00DF06CC"/>
    <w:rsid w:val="00DF0982"/>
    <w:rsid w:val="00DF126D"/>
    <w:rsid w:val="00DF153C"/>
    <w:rsid w:val="00DF1B1D"/>
    <w:rsid w:val="00DF1D70"/>
    <w:rsid w:val="00DF1FAE"/>
    <w:rsid w:val="00DF1FB1"/>
    <w:rsid w:val="00DF262E"/>
    <w:rsid w:val="00DF277B"/>
    <w:rsid w:val="00DF2DDA"/>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3C94"/>
    <w:rsid w:val="00E04198"/>
    <w:rsid w:val="00E04F8C"/>
    <w:rsid w:val="00E05453"/>
    <w:rsid w:val="00E0599D"/>
    <w:rsid w:val="00E06341"/>
    <w:rsid w:val="00E06D98"/>
    <w:rsid w:val="00E073D3"/>
    <w:rsid w:val="00E07585"/>
    <w:rsid w:val="00E07667"/>
    <w:rsid w:val="00E07B68"/>
    <w:rsid w:val="00E104AF"/>
    <w:rsid w:val="00E105F8"/>
    <w:rsid w:val="00E1092D"/>
    <w:rsid w:val="00E10B30"/>
    <w:rsid w:val="00E10FAE"/>
    <w:rsid w:val="00E11405"/>
    <w:rsid w:val="00E114A1"/>
    <w:rsid w:val="00E116B1"/>
    <w:rsid w:val="00E119E9"/>
    <w:rsid w:val="00E11EEE"/>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467"/>
    <w:rsid w:val="00E30786"/>
    <w:rsid w:val="00E31106"/>
    <w:rsid w:val="00E314DD"/>
    <w:rsid w:val="00E31BF6"/>
    <w:rsid w:val="00E32705"/>
    <w:rsid w:val="00E32A37"/>
    <w:rsid w:val="00E32BAE"/>
    <w:rsid w:val="00E32CD6"/>
    <w:rsid w:val="00E3310B"/>
    <w:rsid w:val="00E3325C"/>
    <w:rsid w:val="00E33307"/>
    <w:rsid w:val="00E334F5"/>
    <w:rsid w:val="00E33AF3"/>
    <w:rsid w:val="00E33C3B"/>
    <w:rsid w:val="00E3401C"/>
    <w:rsid w:val="00E34ED7"/>
    <w:rsid w:val="00E3560C"/>
    <w:rsid w:val="00E356B6"/>
    <w:rsid w:val="00E359A9"/>
    <w:rsid w:val="00E367D4"/>
    <w:rsid w:val="00E36934"/>
    <w:rsid w:val="00E373C0"/>
    <w:rsid w:val="00E4054B"/>
    <w:rsid w:val="00E4084C"/>
    <w:rsid w:val="00E40C4B"/>
    <w:rsid w:val="00E4104B"/>
    <w:rsid w:val="00E41135"/>
    <w:rsid w:val="00E412DF"/>
    <w:rsid w:val="00E42F08"/>
    <w:rsid w:val="00E4425F"/>
    <w:rsid w:val="00E44423"/>
    <w:rsid w:val="00E44839"/>
    <w:rsid w:val="00E4538B"/>
    <w:rsid w:val="00E45DEA"/>
    <w:rsid w:val="00E47047"/>
    <w:rsid w:val="00E5002E"/>
    <w:rsid w:val="00E50A6F"/>
    <w:rsid w:val="00E516EA"/>
    <w:rsid w:val="00E51C8C"/>
    <w:rsid w:val="00E52448"/>
    <w:rsid w:val="00E53986"/>
    <w:rsid w:val="00E54554"/>
    <w:rsid w:val="00E54B25"/>
    <w:rsid w:val="00E54E03"/>
    <w:rsid w:val="00E54F4F"/>
    <w:rsid w:val="00E54F90"/>
    <w:rsid w:val="00E5526F"/>
    <w:rsid w:val="00E55A01"/>
    <w:rsid w:val="00E55F4E"/>
    <w:rsid w:val="00E56A7E"/>
    <w:rsid w:val="00E56C72"/>
    <w:rsid w:val="00E574DD"/>
    <w:rsid w:val="00E5755E"/>
    <w:rsid w:val="00E576EE"/>
    <w:rsid w:val="00E6029F"/>
    <w:rsid w:val="00E604C6"/>
    <w:rsid w:val="00E615A2"/>
    <w:rsid w:val="00E61614"/>
    <w:rsid w:val="00E61965"/>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39E8"/>
    <w:rsid w:val="00E74780"/>
    <w:rsid w:val="00E74DBD"/>
    <w:rsid w:val="00E7535D"/>
    <w:rsid w:val="00E7571F"/>
    <w:rsid w:val="00E75856"/>
    <w:rsid w:val="00E75922"/>
    <w:rsid w:val="00E75B90"/>
    <w:rsid w:val="00E76504"/>
    <w:rsid w:val="00E76559"/>
    <w:rsid w:val="00E7655E"/>
    <w:rsid w:val="00E76714"/>
    <w:rsid w:val="00E76BE3"/>
    <w:rsid w:val="00E772DD"/>
    <w:rsid w:val="00E7771D"/>
    <w:rsid w:val="00E77DF4"/>
    <w:rsid w:val="00E80156"/>
    <w:rsid w:val="00E807A3"/>
    <w:rsid w:val="00E80C93"/>
    <w:rsid w:val="00E80FB6"/>
    <w:rsid w:val="00E819C1"/>
    <w:rsid w:val="00E82C1B"/>
    <w:rsid w:val="00E82D23"/>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C96"/>
    <w:rsid w:val="00E954A1"/>
    <w:rsid w:val="00E961CD"/>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55F"/>
    <w:rsid w:val="00EA2CBA"/>
    <w:rsid w:val="00EA2EB4"/>
    <w:rsid w:val="00EA388C"/>
    <w:rsid w:val="00EA4586"/>
    <w:rsid w:val="00EA4F7E"/>
    <w:rsid w:val="00EA5077"/>
    <w:rsid w:val="00EA50CC"/>
    <w:rsid w:val="00EA55FA"/>
    <w:rsid w:val="00EA5BB4"/>
    <w:rsid w:val="00EA5CDB"/>
    <w:rsid w:val="00EA6941"/>
    <w:rsid w:val="00EA6C88"/>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AD3"/>
    <w:rsid w:val="00EB4D36"/>
    <w:rsid w:val="00EB56BE"/>
    <w:rsid w:val="00EB584A"/>
    <w:rsid w:val="00EB5D71"/>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0C95"/>
    <w:rsid w:val="00EE17FE"/>
    <w:rsid w:val="00EE1C1F"/>
    <w:rsid w:val="00EE22C7"/>
    <w:rsid w:val="00EE2A7B"/>
    <w:rsid w:val="00EE3345"/>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6357"/>
    <w:rsid w:val="00EF6383"/>
    <w:rsid w:val="00EF7188"/>
    <w:rsid w:val="00EF743A"/>
    <w:rsid w:val="00EF74FC"/>
    <w:rsid w:val="00EF7783"/>
    <w:rsid w:val="00EF7846"/>
    <w:rsid w:val="00EF7C66"/>
    <w:rsid w:val="00EF7D8F"/>
    <w:rsid w:val="00F007DF"/>
    <w:rsid w:val="00F00D3C"/>
    <w:rsid w:val="00F01528"/>
    <w:rsid w:val="00F02F72"/>
    <w:rsid w:val="00F03AFE"/>
    <w:rsid w:val="00F04546"/>
    <w:rsid w:val="00F0486D"/>
    <w:rsid w:val="00F04E9D"/>
    <w:rsid w:val="00F05D84"/>
    <w:rsid w:val="00F06FCF"/>
    <w:rsid w:val="00F0738C"/>
    <w:rsid w:val="00F075A5"/>
    <w:rsid w:val="00F10976"/>
    <w:rsid w:val="00F1104C"/>
    <w:rsid w:val="00F11E24"/>
    <w:rsid w:val="00F1213C"/>
    <w:rsid w:val="00F12D8C"/>
    <w:rsid w:val="00F130AF"/>
    <w:rsid w:val="00F134D2"/>
    <w:rsid w:val="00F13507"/>
    <w:rsid w:val="00F13615"/>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2A9"/>
    <w:rsid w:val="00F3030A"/>
    <w:rsid w:val="00F31064"/>
    <w:rsid w:val="00F3168C"/>
    <w:rsid w:val="00F31D66"/>
    <w:rsid w:val="00F3237A"/>
    <w:rsid w:val="00F32434"/>
    <w:rsid w:val="00F3265A"/>
    <w:rsid w:val="00F32C67"/>
    <w:rsid w:val="00F33488"/>
    <w:rsid w:val="00F33F6B"/>
    <w:rsid w:val="00F34006"/>
    <w:rsid w:val="00F341C7"/>
    <w:rsid w:val="00F34335"/>
    <w:rsid w:val="00F34918"/>
    <w:rsid w:val="00F35616"/>
    <w:rsid w:val="00F3591C"/>
    <w:rsid w:val="00F372EF"/>
    <w:rsid w:val="00F37648"/>
    <w:rsid w:val="00F37BB5"/>
    <w:rsid w:val="00F37DBB"/>
    <w:rsid w:val="00F408DA"/>
    <w:rsid w:val="00F40BFD"/>
    <w:rsid w:val="00F40C3A"/>
    <w:rsid w:val="00F40CFB"/>
    <w:rsid w:val="00F40DB4"/>
    <w:rsid w:val="00F40EE1"/>
    <w:rsid w:val="00F41A2F"/>
    <w:rsid w:val="00F41A5B"/>
    <w:rsid w:val="00F42025"/>
    <w:rsid w:val="00F426FB"/>
    <w:rsid w:val="00F42A89"/>
    <w:rsid w:val="00F42BAA"/>
    <w:rsid w:val="00F43319"/>
    <w:rsid w:val="00F4356D"/>
    <w:rsid w:val="00F436F7"/>
    <w:rsid w:val="00F43832"/>
    <w:rsid w:val="00F43878"/>
    <w:rsid w:val="00F43953"/>
    <w:rsid w:val="00F43AF2"/>
    <w:rsid w:val="00F43F15"/>
    <w:rsid w:val="00F44087"/>
    <w:rsid w:val="00F44476"/>
    <w:rsid w:val="00F44781"/>
    <w:rsid w:val="00F45744"/>
    <w:rsid w:val="00F458AB"/>
    <w:rsid w:val="00F459F5"/>
    <w:rsid w:val="00F45D32"/>
    <w:rsid w:val="00F45E87"/>
    <w:rsid w:val="00F45FAD"/>
    <w:rsid w:val="00F46135"/>
    <w:rsid w:val="00F461FF"/>
    <w:rsid w:val="00F46FC8"/>
    <w:rsid w:val="00F474AB"/>
    <w:rsid w:val="00F475F0"/>
    <w:rsid w:val="00F4764E"/>
    <w:rsid w:val="00F478ED"/>
    <w:rsid w:val="00F47F06"/>
    <w:rsid w:val="00F500C3"/>
    <w:rsid w:val="00F50A1A"/>
    <w:rsid w:val="00F515C0"/>
    <w:rsid w:val="00F5174D"/>
    <w:rsid w:val="00F523E9"/>
    <w:rsid w:val="00F527FF"/>
    <w:rsid w:val="00F52D71"/>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0E96"/>
    <w:rsid w:val="00F61807"/>
    <w:rsid w:val="00F61DA1"/>
    <w:rsid w:val="00F61DF0"/>
    <w:rsid w:val="00F62826"/>
    <w:rsid w:val="00F634EF"/>
    <w:rsid w:val="00F635A7"/>
    <w:rsid w:val="00F638B1"/>
    <w:rsid w:val="00F63E7E"/>
    <w:rsid w:val="00F64187"/>
    <w:rsid w:val="00F645A7"/>
    <w:rsid w:val="00F648C7"/>
    <w:rsid w:val="00F64E41"/>
    <w:rsid w:val="00F65E96"/>
    <w:rsid w:val="00F65F3A"/>
    <w:rsid w:val="00F6657C"/>
    <w:rsid w:val="00F66842"/>
    <w:rsid w:val="00F67A42"/>
    <w:rsid w:val="00F67BA7"/>
    <w:rsid w:val="00F67D35"/>
    <w:rsid w:val="00F700BC"/>
    <w:rsid w:val="00F71C01"/>
    <w:rsid w:val="00F72584"/>
    <w:rsid w:val="00F7289E"/>
    <w:rsid w:val="00F72A74"/>
    <w:rsid w:val="00F72DC7"/>
    <w:rsid w:val="00F73961"/>
    <w:rsid w:val="00F7433E"/>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2F3E"/>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2A21"/>
    <w:rsid w:val="00F9356C"/>
    <w:rsid w:val="00F93919"/>
    <w:rsid w:val="00F94265"/>
    <w:rsid w:val="00F94305"/>
    <w:rsid w:val="00F94722"/>
    <w:rsid w:val="00F94A15"/>
    <w:rsid w:val="00F95A4B"/>
    <w:rsid w:val="00F961B8"/>
    <w:rsid w:val="00F96420"/>
    <w:rsid w:val="00F97653"/>
    <w:rsid w:val="00F97A33"/>
    <w:rsid w:val="00FA0396"/>
    <w:rsid w:val="00FA1F41"/>
    <w:rsid w:val="00FA20DD"/>
    <w:rsid w:val="00FA2432"/>
    <w:rsid w:val="00FA250D"/>
    <w:rsid w:val="00FA265A"/>
    <w:rsid w:val="00FA2E61"/>
    <w:rsid w:val="00FA3094"/>
    <w:rsid w:val="00FA3846"/>
    <w:rsid w:val="00FA49F3"/>
    <w:rsid w:val="00FA4FD4"/>
    <w:rsid w:val="00FA53D1"/>
    <w:rsid w:val="00FA5431"/>
    <w:rsid w:val="00FA54F3"/>
    <w:rsid w:val="00FA5D38"/>
    <w:rsid w:val="00FA5F78"/>
    <w:rsid w:val="00FA63D4"/>
    <w:rsid w:val="00FA6493"/>
    <w:rsid w:val="00FA64C1"/>
    <w:rsid w:val="00FA66D0"/>
    <w:rsid w:val="00FA6E6B"/>
    <w:rsid w:val="00FA7344"/>
    <w:rsid w:val="00FA771C"/>
    <w:rsid w:val="00FA7BF8"/>
    <w:rsid w:val="00FB0CED"/>
    <w:rsid w:val="00FB17C3"/>
    <w:rsid w:val="00FB2377"/>
    <w:rsid w:val="00FB3244"/>
    <w:rsid w:val="00FB361C"/>
    <w:rsid w:val="00FB416D"/>
    <w:rsid w:val="00FB4676"/>
    <w:rsid w:val="00FB4EB1"/>
    <w:rsid w:val="00FB52EB"/>
    <w:rsid w:val="00FB5A21"/>
    <w:rsid w:val="00FB64F8"/>
    <w:rsid w:val="00FB765E"/>
    <w:rsid w:val="00FB781B"/>
    <w:rsid w:val="00FB798F"/>
    <w:rsid w:val="00FB7FCC"/>
    <w:rsid w:val="00FC012F"/>
    <w:rsid w:val="00FC05A3"/>
    <w:rsid w:val="00FC0DB0"/>
    <w:rsid w:val="00FC1C1D"/>
    <w:rsid w:val="00FC1F59"/>
    <w:rsid w:val="00FC2541"/>
    <w:rsid w:val="00FC25B9"/>
    <w:rsid w:val="00FC4021"/>
    <w:rsid w:val="00FC4B81"/>
    <w:rsid w:val="00FC527B"/>
    <w:rsid w:val="00FC54C4"/>
    <w:rsid w:val="00FC5C42"/>
    <w:rsid w:val="00FC628A"/>
    <w:rsid w:val="00FC6438"/>
    <w:rsid w:val="00FC67E9"/>
    <w:rsid w:val="00FC6DF4"/>
    <w:rsid w:val="00FC6E85"/>
    <w:rsid w:val="00FC733E"/>
    <w:rsid w:val="00FC7609"/>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6BE"/>
    <w:rsid w:val="00FD77F4"/>
    <w:rsid w:val="00FE03A3"/>
    <w:rsid w:val="00FE0A60"/>
    <w:rsid w:val="00FE1E8D"/>
    <w:rsid w:val="00FE23EA"/>
    <w:rsid w:val="00FE2F98"/>
    <w:rsid w:val="00FE357B"/>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1BD2"/>
    <w:rsid w:val="00FF251E"/>
    <w:rsid w:val="00FF28E1"/>
    <w:rsid w:val="00FF2991"/>
    <w:rsid w:val="00FF2BE2"/>
    <w:rsid w:val="00FF3545"/>
    <w:rsid w:val="00FF3F99"/>
    <w:rsid w:val="00FF4CDB"/>
    <w:rsid w:val="00FF54DB"/>
    <w:rsid w:val="00FF6833"/>
    <w:rsid w:val="00FF7171"/>
    <w:rsid w:val="00FF7800"/>
    <w:rsid w:val="00FF7A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5:docId w15:val="{29BE9B7E-E4D8-4506-952A-DB241789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semiHidden="1" w:uiPriority="0" w:unhideWhenUsed="1" w:qFormat="1"/>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1FE"/>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uiPriority w:val="99"/>
    <w:semiHidden/>
    <w:rsid w:val="008609A8"/>
    <w:rPr>
      <w:rFonts w:cs="Times New Roman"/>
      <w:sz w:val="16"/>
      <w:szCs w:val="16"/>
    </w:rPr>
  </w:style>
  <w:style w:type="paragraph" w:styleId="CommentText">
    <w:name w:val="annotation text"/>
    <w:basedOn w:val="Normal"/>
    <w:link w:val="CommentTextChar"/>
    <w:uiPriority w:val="99"/>
    <w:semiHidden/>
    <w:rsid w:val="008609A8"/>
    <w:rPr>
      <w:sz w:val="20"/>
      <w:szCs w:val="20"/>
    </w:rPr>
  </w:style>
  <w:style w:type="character" w:customStyle="1" w:styleId="CommentTextChar">
    <w:name w:val="Comment Text Char"/>
    <w:basedOn w:val="DefaultParagraphFont"/>
    <w:link w:val="CommentText"/>
    <w:uiPriority w:val="99"/>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customStyle="1" w:styleId="normalweb0">
    <w:name w:val="normalweb"/>
    <w:basedOn w:val="Normal"/>
    <w:rsid w:val="00687ABF"/>
    <w:pPr>
      <w:spacing w:before="100" w:beforeAutospacing="1" w:after="100" w:afterAutospacing="1" w:line="240" w:lineRule="auto"/>
    </w:pPr>
    <w:rPr>
      <w:rFonts w:ascii="Times New Roman" w:hAnsi="Times New Roman"/>
      <w:sz w:val="24"/>
      <w:szCs w:val="24"/>
      <w:lang w:eastAsia="en-AU"/>
    </w:rPr>
  </w:style>
  <w:style w:type="paragraph" w:customStyle="1" w:styleId="Recommendation2">
    <w:name w:val="Recommendation 2"/>
    <w:qFormat/>
    <w:rsid w:val="00264F34"/>
    <w:pPr>
      <w:numPr>
        <w:numId w:val="14"/>
      </w:numPr>
      <w:tabs>
        <w:tab w:val="left" w:pos="851"/>
      </w:tabs>
      <w:spacing w:before="120" w:line="276" w:lineRule="auto"/>
    </w:pPr>
    <w:rPr>
      <w:rFonts w:asciiTheme="minorHAnsi" w:eastAsiaTheme="minorEastAsia" w:hAnsiTheme="minorHAnsi" w:cstheme="minorBidi"/>
      <w:sz w:val="24"/>
      <w:szCs w:val="24"/>
      <w:lang w:eastAsia="en-US"/>
    </w:rPr>
  </w:style>
  <w:style w:type="paragraph" w:customStyle="1" w:styleId="CS-Paragraphnumbering">
    <w:name w:val="CS - Paragraph numbering"/>
    <w:basedOn w:val="Normal"/>
    <w:rsid w:val="00264F34"/>
    <w:pPr>
      <w:numPr>
        <w:numId w:val="15"/>
      </w:numPr>
      <w:spacing w:after="120"/>
      <w:ind w:left="567" w:right="-45" w:hanging="567"/>
    </w:pPr>
    <w:rPr>
      <w:rFonts w:asciiTheme="minorHAnsi" w:eastAsiaTheme="minorHAnsi" w:hAnsiTheme="minorHAnsi" w:cstheme="minorBidi"/>
      <w:sz w:val="24"/>
      <w:szCs w:val="24"/>
    </w:rPr>
  </w:style>
  <w:style w:type="character" w:styleId="UnresolvedMention">
    <w:name w:val="Unresolved Mention"/>
    <w:basedOn w:val="DefaultParagraphFont"/>
    <w:uiPriority w:val="99"/>
    <w:semiHidden/>
    <w:unhideWhenUsed/>
    <w:rsid w:val="004E0C69"/>
    <w:rPr>
      <w:color w:val="605E5C"/>
      <w:shd w:val="clear" w:color="auto" w:fill="E1DFDD"/>
    </w:rPr>
  </w:style>
  <w:style w:type="paragraph" w:customStyle="1" w:styleId="CS-RecommendationList">
    <w:name w:val="CS - Recommendation List"/>
    <w:basedOn w:val="Normal"/>
    <w:qFormat/>
    <w:rsid w:val="00327F3B"/>
    <w:pPr>
      <w:numPr>
        <w:numId w:val="26"/>
      </w:numPr>
      <w:spacing w:after="240" w:line="240" w:lineRule="auto"/>
      <w:ind w:left="851" w:hanging="425"/>
      <w:contextualSpacing/>
    </w:pPr>
    <w:rPr>
      <w:rFonts w:cs="Calibri"/>
      <w:iCs/>
      <w:sz w:val="24"/>
      <w:szCs w:val="24"/>
    </w:rPr>
  </w:style>
  <w:style w:type="paragraph" w:customStyle="1" w:styleId="billname">
    <w:name w:val="billname"/>
    <w:basedOn w:val="Normal"/>
    <w:rsid w:val="002D091B"/>
    <w:pPr>
      <w:spacing w:before="100" w:beforeAutospacing="1" w:after="100" w:afterAutospacing="1" w:line="240" w:lineRule="auto"/>
    </w:pPr>
    <w:rPr>
      <w:rFonts w:ascii="Times New Roman" w:hAnsi="Times New Roman"/>
      <w:sz w:val="24"/>
      <w:szCs w:val="24"/>
      <w:lang w:eastAsia="en-AU"/>
    </w:rPr>
  </w:style>
  <w:style w:type="paragraph" w:customStyle="1" w:styleId="heading9">
    <w:name w:val="heading9"/>
    <w:basedOn w:val="Normal"/>
    <w:rsid w:val="002D091B"/>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4741">
      <w:bodyDiv w:val="1"/>
      <w:marLeft w:val="0"/>
      <w:marRight w:val="0"/>
      <w:marTop w:val="0"/>
      <w:marBottom w:val="0"/>
      <w:divBdr>
        <w:top w:val="none" w:sz="0" w:space="0" w:color="auto"/>
        <w:left w:val="none" w:sz="0" w:space="0" w:color="auto"/>
        <w:bottom w:val="none" w:sz="0" w:space="0" w:color="auto"/>
        <w:right w:val="none" w:sz="0" w:space="0" w:color="auto"/>
      </w:divBdr>
    </w:div>
    <w:div w:id="260527159">
      <w:bodyDiv w:val="1"/>
      <w:marLeft w:val="0"/>
      <w:marRight w:val="0"/>
      <w:marTop w:val="0"/>
      <w:marBottom w:val="0"/>
      <w:divBdr>
        <w:top w:val="none" w:sz="0" w:space="0" w:color="auto"/>
        <w:left w:val="none" w:sz="0" w:space="0" w:color="auto"/>
        <w:bottom w:val="none" w:sz="0" w:space="0" w:color="auto"/>
        <w:right w:val="none" w:sz="0" w:space="0" w:color="auto"/>
      </w:divBdr>
    </w:div>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670134479">
      <w:bodyDiv w:val="1"/>
      <w:marLeft w:val="0"/>
      <w:marRight w:val="0"/>
      <w:marTop w:val="0"/>
      <w:marBottom w:val="0"/>
      <w:divBdr>
        <w:top w:val="none" w:sz="0" w:space="0" w:color="auto"/>
        <w:left w:val="none" w:sz="0" w:space="0" w:color="auto"/>
        <w:bottom w:val="none" w:sz="0" w:space="0" w:color="auto"/>
        <w:right w:val="none" w:sz="0" w:space="0" w:color="auto"/>
      </w:divBdr>
    </w:div>
    <w:div w:id="765006164">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429227633">
      <w:bodyDiv w:val="1"/>
      <w:marLeft w:val="0"/>
      <w:marRight w:val="0"/>
      <w:marTop w:val="0"/>
      <w:marBottom w:val="0"/>
      <w:divBdr>
        <w:top w:val="none" w:sz="0" w:space="0" w:color="auto"/>
        <w:left w:val="none" w:sz="0" w:space="0" w:color="auto"/>
        <w:bottom w:val="none" w:sz="0" w:space="0" w:color="auto"/>
        <w:right w:val="none" w:sz="0" w:space="0" w:color="auto"/>
      </w:divBdr>
    </w:div>
    <w:div w:id="1848326861">
      <w:bodyDiv w:val="1"/>
      <w:marLeft w:val="0"/>
      <w:marRight w:val="0"/>
      <w:marTop w:val="0"/>
      <w:marBottom w:val="0"/>
      <w:divBdr>
        <w:top w:val="none" w:sz="0" w:space="0" w:color="auto"/>
        <w:left w:val="none" w:sz="0" w:space="0" w:color="auto"/>
        <w:bottom w:val="none" w:sz="0" w:space="0" w:color="auto"/>
        <w:right w:val="none" w:sz="0" w:space="0" w:color="auto"/>
      </w:divBdr>
    </w:div>
    <w:div w:id="1893616005">
      <w:bodyDiv w:val="1"/>
      <w:marLeft w:val="0"/>
      <w:marRight w:val="0"/>
      <w:marTop w:val="0"/>
      <w:marBottom w:val="0"/>
      <w:divBdr>
        <w:top w:val="none" w:sz="0" w:space="0" w:color="auto"/>
        <w:left w:val="none" w:sz="0" w:space="0" w:color="auto"/>
        <w:bottom w:val="none" w:sz="0" w:space="0" w:color="auto"/>
        <w:right w:val="none" w:sz="0" w:space="0" w:color="auto"/>
      </w:divBdr>
    </w:div>
    <w:div w:id="1995645251">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legislation.act.gov.au/a/2007-8" TargetMode="External"/><Relationship Id="rId26" Type="http://schemas.openxmlformats.org/officeDocument/2006/relationships/hyperlink" Target="https://www.legislation.act.gov.au/ni/2013-534/" TargetMode="External"/><Relationship Id="rId3" Type="http://schemas.openxmlformats.org/officeDocument/2006/relationships/numbering" Target="numbering.xml"/><Relationship Id="rId21" Type="http://schemas.openxmlformats.org/officeDocument/2006/relationships/hyperlink" Target="https://www.legislation.act.gov.au/di/2008-18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legislation.act.gov.au/sl/1998-17/" TargetMode="External"/><Relationship Id="rId25" Type="http://schemas.openxmlformats.org/officeDocument/2006/relationships/hyperlink" Target="C://Users/Heather%20McAulay/Downloads/db_63359.PDF" TargetMode="External"/><Relationship Id="rId2" Type="http://schemas.openxmlformats.org/officeDocument/2006/relationships/customXml" Target="../customXml/item2.xml"/><Relationship Id="rId16" Type="http://schemas.openxmlformats.org/officeDocument/2006/relationships/hyperlink" Target="https://www.legislation.act.gov.au/a/1997-84/" TargetMode="External"/><Relationship Id="rId20" Type="http://schemas.openxmlformats.org/officeDocument/2006/relationships/hyperlink" Target="https://www.legislation.act.gov.au/di/2013-5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Users/Heather%20McAulay/Downloads/db_63359.PDF" TargetMode="External"/><Relationship Id="rId5" Type="http://schemas.openxmlformats.org/officeDocument/2006/relationships/settings" Target="settings.xml"/><Relationship Id="rId15" Type="http://schemas.openxmlformats.org/officeDocument/2006/relationships/hyperlink" Target="https://www.legislation.act.gov.au/a/2004-5" TargetMode="External"/><Relationship Id="rId23" Type="http://schemas.openxmlformats.org/officeDocument/2006/relationships/hyperlink" Target="https://www.legislation.gov.au/Details/F2020L00282" TargetMode="Externa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yoursayconversations.act.gov.au/expanding-rights-renter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legislation.act.gov.au/di/2013-52/"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customXml/itemProps2.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35096</Words>
  <Characters>184970</Characters>
  <Application>Microsoft Office Word</Application>
  <DocSecurity>0</DocSecurity>
  <Lines>3189</Lines>
  <Paragraphs>847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PCODCS</cp:lastModifiedBy>
  <cp:revision>4</cp:revision>
  <cp:lastPrinted>2022-10-23T22:44:00Z</cp:lastPrinted>
  <dcterms:created xsi:type="dcterms:W3CDTF">2022-11-29T21:27:00Z</dcterms:created>
  <dcterms:modified xsi:type="dcterms:W3CDTF">2022-11-29T21:27:00Z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1776947428</vt:i4>
  </property>
</Properties>
</file>