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5B43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7D50BC2" w14:textId="2189768C" w:rsidR="005D70F1" w:rsidRPr="002F1A2A" w:rsidRDefault="003A2B81" w:rsidP="002F1A2A">
      <w:pPr>
        <w:pStyle w:val="Heading1"/>
      </w:pPr>
      <w:r>
        <w:t>Climate Change and Greenhouse Gas Reduction (Greenhouse Gas Emissions Measurement</w:t>
      </w:r>
      <w:r w:rsidR="00E25A42">
        <w:t xml:space="preserve"> Method</w:t>
      </w:r>
      <w:r w:rsidR="005D70F1" w:rsidRPr="002F1A2A">
        <w:t>)</w:t>
      </w:r>
      <w:r w:rsidR="00767778">
        <w:t xml:space="preserve"> Determination </w:t>
      </w:r>
      <w:r w:rsidR="00513992">
        <w:t xml:space="preserve">2022 </w:t>
      </w:r>
    </w:p>
    <w:p w14:paraId="3330D30A" w14:textId="34623C04" w:rsidR="005D70F1" w:rsidRPr="00A33086" w:rsidRDefault="005D70F1" w:rsidP="00F312D1">
      <w:pPr>
        <w:spacing w:before="340"/>
      </w:pPr>
      <w:r w:rsidRPr="00A33086">
        <w:rPr>
          <w:rFonts w:ascii="Arial" w:hAnsi="Arial" w:cs="Arial"/>
          <w:b/>
          <w:bCs/>
        </w:rPr>
        <w:t xml:space="preserve">Disallowable instrument </w:t>
      </w:r>
      <w:r w:rsidR="00F253DB" w:rsidRPr="00A9368B">
        <w:rPr>
          <w:rFonts w:ascii="Arial" w:hAnsi="Arial" w:cs="Arial"/>
          <w:b/>
          <w:bCs/>
        </w:rPr>
        <w:t>DI202</w:t>
      </w:r>
      <w:r w:rsidR="00A9368B">
        <w:rPr>
          <w:rFonts w:ascii="Arial" w:hAnsi="Arial" w:cs="Arial"/>
          <w:b/>
          <w:bCs/>
        </w:rPr>
        <w:t>2</w:t>
      </w:r>
      <w:r w:rsidR="00774AC7" w:rsidRPr="00A9368B">
        <w:rPr>
          <w:rFonts w:ascii="Arial" w:hAnsi="Arial" w:cs="Arial"/>
          <w:b/>
          <w:bCs/>
        </w:rPr>
        <w:t>-</w:t>
      </w:r>
      <w:r w:rsidR="00D452FC">
        <w:rPr>
          <w:rFonts w:ascii="Arial" w:hAnsi="Arial" w:cs="Arial"/>
          <w:b/>
          <w:bCs/>
        </w:rPr>
        <w:t>258</w:t>
      </w:r>
    </w:p>
    <w:p w14:paraId="3A4917E6" w14:textId="77777777" w:rsidR="005D70F1" w:rsidRDefault="005D70F1" w:rsidP="00C37261">
      <w:pPr>
        <w:pStyle w:val="madeunder"/>
        <w:spacing w:before="300" w:after="120"/>
      </w:pPr>
      <w:r>
        <w:t xml:space="preserve">made under the  </w:t>
      </w:r>
    </w:p>
    <w:p w14:paraId="21269A90" w14:textId="77777777" w:rsidR="00871914" w:rsidRDefault="003A2B81" w:rsidP="00C37261">
      <w:pPr>
        <w:pStyle w:val="CoverActName"/>
        <w:spacing w:before="320"/>
        <w:jc w:val="left"/>
        <w:rPr>
          <w:rFonts w:cs="Arial"/>
          <w:sz w:val="20"/>
        </w:rPr>
      </w:pPr>
      <w:r>
        <w:rPr>
          <w:rFonts w:cs="Arial"/>
          <w:sz w:val="20"/>
        </w:rPr>
        <w:t>Climate Change and Greenhouse Gas Reduction Act 2010</w:t>
      </w:r>
      <w:r w:rsidR="00082141">
        <w:rPr>
          <w:rFonts w:cs="Arial"/>
          <w:sz w:val="20"/>
        </w:rPr>
        <w:t>,</w:t>
      </w:r>
      <w:r>
        <w:rPr>
          <w:rFonts w:cs="Arial"/>
          <w:sz w:val="20"/>
        </w:rPr>
        <w:t xml:space="preserve"> s 11 (Measuring greenhouse gas emissions – determinations</w:t>
      </w:r>
      <w:r w:rsidR="005D70F1">
        <w:rPr>
          <w:rFonts w:cs="Arial"/>
          <w:sz w:val="20"/>
        </w:rPr>
        <w:t>)</w:t>
      </w:r>
    </w:p>
    <w:p w14:paraId="61044F24" w14:textId="77777777" w:rsidR="005D70F1" w:rsidRPr="002F1A2A" w:rsidRDefault="005D70F1" w:rsidP="00C37261">
      <w:pPr>
        <w:pStyle w:val="Heading3"/>
        <w:ind w:right="567"/>
      </w:pPr>
      <w:r w:rsidRPr="002F1A2A">
        <w:t>EXPLANATORY STATEMENT</w:t>
      </w:r>
    </w:p>
    <w:p w14:paraId="7D5D0732" w14:textId="77777777" w:rsidR="005D70F1" w:rsidRDefault="005D70F1">
      <w:pPr>
        <w:pStyle w:val="N-line3"/>
        <w:pBdr>
          <w:bottom w:val="none" w:sz="0" w:space="0" w:color="auto"/>
        </w:pBdr>
      </w:pPr>
    </w:p>
    <w:p w14:paraId="74E9F150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75D4697" w14:textId="15CD68CF" w:rsidR="00881C95" w:rsidRPr="00881C95" w:rsidRDefault="00881C95" w:rsidP="00881C95">
      <w:r w:rsidRPr="00881C95">
        <w:t xml:space="preserve">This explanatory statement relates to the </w:t>
      </w:r>
      <w:r w:rsidRPr="001502E1">
        <w:rPr>
          <w:i/>
          <w:iCs/>
        </w:rPr>
        <w:t xml:space="preserve">Climate Change and Greenhouse Gas Reduction (Greenhouse Gas Emissions Measurement Method) Determination </w:t>
      </w:r>
      <w:r w:rsidR="00513992" w:rsidRPr="001502E1">
        <w:rPr>
          <w:i/>
          <w:iCs/>
        </w:rPr>
        <w:t>202</w:t>
      </w:r>
      <w:r w:rsidR="00513992">
        <w:rPr>
          <w:i/>
          <w:iCs/>
        </w:rPr>
        <w:t xml:space="preserve">2 </w:t>
      </w:r>
      <w:r w:rsidR="00283352">
        <w:t xml:space="preserve">(the </w:t>
      </w:r>
      <w:r w:rsidR="00283352" w:rsidRPr="00F312D1">
        <w:rPr>
          <w:b/>
          <w:bCs/>
          <w:i/>
          <w:iCs/>
        </w:rPr>
        <w:t>determination</w:t>
      </w:r>
      <w:r w:rsidR="00283352">
        <w:t xml:space="preserve">) </w:t>
      </w:r>
      <w:r w:rsidRPr="00881C95">
        <w:t xml:space="preserve">as made by the </w:t>
      </w:r>
      <w:r w:rsidR="00545FF0" w:rsidRPr="00545FF0">
        <w:t xml:space="preserve">Minister for Water, Energy and Emissions Reduction </w:t>
      </w:r>
      <w:r w:rsidRPr="00881C95">
        <w:t>and presented to the Legislative Assembly. It has been prepared in order to assist the reader of the instrument.</w:t>
      </w:r>
      <w:r>
        <w:t xml:space="preserve"> </w:t>
      </w:r>
      <w:r w:rsidRPr="00881C95">
        <w:t xml:space="preserve">It does not form part of the instrument and has not been endorsed by the </w:t>
      </w:r>
      <w:r>
        <w:t>L</w:t>
      </w:r>
      <w:r w:rsidRPr="00881C95">
        <w:t xml:space="preserve">egislative Assembly. </w:t>
      </w:r>
    </w:p>
    <w:p w14:paraId="5069FD00" w14:textId="77777777" w:rsidR="00881C95" w:rsidRDefault="00881C95" w:rsidP="00881C95"/>
    <w:p w14:paraId="0D878380" w14:textId="03C234E9" w:rsidR="00881C95" w:rsidRPr="00881C95" w:rsidRDefault="00881C95" w:rsidP="00881C95">
      <w:r w:rsidRPr="00881C95">
        <w:t>This explanatory statement must be read in conjunction with the instrument. It is not, and is not meant to be, a comprehensive description of the instrument. What is said about a provision is not to be taken as an authoritative guide to the meaning of a provision, this being a matter for the courts.</w:t>
      </w:r>
    </w:p>
    <w:p w14:paraId="22CC7C0D" w14:textId="77777777" w:rsidR="003D5E11" w:rsidRDefault="003D5E11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19BFBB31" w14:textId="77777777" w:rsidR="003D5E11" w:rsidRDefault="003D5E11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</w:p>
    <w:p w14:paraId="6B7D10AE" w14:textId="77777777"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>Overview</w:t>
      </w:r>
    </w:p>
    <w:p w14:paraId="37F5C0CC" w14:textId="33CBF73B" w:rsidR="000634A4" w:rsidRDefault="000634A4" w:rsidP="000634A4">
      <w:r w:rsidRPr="000634A4">
        <w:t xml:space="preserve">The </w:t>
      </w:r>
      <w:r w:rsidRPr="000634A4">
        <w:rPr>
          <w:i/>
        </w:rPr>
        <w:t>Climate Change and Greenhouse Gas Reduction Act 2010</w:t>
      </w:r>
      <w:r w:rsidRPr="000634A4">
        <w:t xml:space="preserve"> (the </w:t>
      </w:r>
      <w:r w:rsidRPr="00F312D1">
        <w:rPr>
          <w:b/>
          <w:bCs/>
          <w:i/>
          <w:iCs/>
        </w:rPr>
        <w:t>Act</w:t>
      </w:r>
      <w:r w:rsidRPr="000634A4">
        <w:t>) sets targets</w:t>
      </w:r>
      <w:r>
        <w:t xml:space="preserve"> </w:t>
      </w:r>
      <w:r w:rsidRPr="000634A4">
        <w:t>for greenhouse gas (GHG) emission</w:t>
      </w:r>
      <w:r w:rsidR="000F72A6">
        <w:t>s</w:t>
      </w:r>
      <w:r w:rsidRPr="000634A4">
        <w:t xml:space="preserve"> reduction and the </w:t>
      </w:r>
      <w:r w:rsidR="00896C99">
        <w:t>use of renewable electricity in the ACT</w:t>
      </w:r>
      <w:r w:rsidRPr="000634A4">
        <w:t>. It also provides for monitoring and reporting</w:t>
      </w:r>
      <w:r>
        <w:t xml:space="preserve"> </w:t>
      </w:r>
      <w:r w:rsidRPr="000634A4">
        <w:t xml:space="preserve">on progress made in achieving GHG </w:t>
      </w:r>
      <w:r w:rsidR="00896C99">
        <w:t xml:space="preserve">emissions </w:t>
      </w:r>
      <w:r w:rsidRPr="000634A4">
        <w:t>reduction, informs the government’s</w:t>
      </w:r>
      <w:r>
        <w:t xml:space="preserve"> </w:t>
      </w:r>
      <w:r w:rsidRPr="000634A4">
        <w:t>development of policies, and encourages private entities to actively address climate</w:t>
      </w:r>
      <w:r>
        <w:t xml:space="preserve"> </w:t>
      </w:r>
      <w:r w:rsidRPr="000634A4">
        <w:t>change.</w:t>
      </w:r>
    </w:p>
    <w:p w14:paraId="69F22700" w14:textId="77777777" w:rsidR="000634A4" w:rsidRPr="000634A4" w:rsidRDefault="000634A4" w:rsidP="000634A4"/>
    <w:p w14:paraId="09CF237D" w14:textId="045DF7FF" w:rsidR="000634A4" w:rsidRDefault="000634A4" w:rsidP="000634A4">
      <w:r w:rsidRPr="000634A4">
        <w:t>Pursuant to section 12 of the Act</w:t>
      </w:r>
      <w:r w:rsidR="00082141">
        <w:t>,</w:t>
      </w:r>
      <w:r w:rsidRPr="000634A4">
        <w:t xml:space="preserve"> an independent entity must prepare a report</w:t>
      </w:r>
      <w:r>
        <w:t xml:space="preserve"> </w:t>
      </w:r>
      <w:r w:rsidRPr="000634A4">
        <w:t xml:space="preserve">annually on the measured </w:t>
      </w:r>
      <w:r w:rsidR="00896C99">
        <w:t xml:space="preserve">GHG </w:t>
      </w:r>
      <w:r w:rsidRPr="000634A4">
        <w:t>emissio</w:t>
      </w:r>
      <w:r w:rsidR="000F72A6">
        <w:t>ns</w:t>
      </w:r>
      <w:r w:rsidRPr="000634A4">
        <w:t xml:space="preserve"> for the ACT.</w:t>
      </w:r>
      <w:r>
        <w:t xml:space="preserve"> </w:t>
      </w:r>
      <w:r w:rsidRPr="000634A4">
        <w:t>The report must be provided to the Minister</w:t>
      </w:r>
      <w:r>
        <w:t xml:space="preserve"> </w:t>
      </w:r>
      <w:r w:rsidRPr="000634A4">
        <w:t xml:space="preserve">within three months after the end of the </w:t>
      </w:r>
      <w:r w:rsidR="000F72A6">
        <w:t>reporting period</w:t>
      </w:r>
      <w:r w:rsidR="004C4701">
        <w:t xml:space="preserve">; </w:t>
      </w:r>
      <w:r w:rsidR="000F72A6">
        <w:t>that is, by 30 </w:t>
      </w:r>
      <w:r w:rsidRPr="000634A4">
        <w:t>September</w:t>
      </w:r>
      <w:r>
        <w:t xml:space="preserve"> </w:t>
      </w:r>
      <w:r w:rsidRPr="000634A4">
        <w:t>each year</w:t>
      </w:r>
      <w:r w:rsidR="007C0B12">
        <w:t xml:space="preserve"> for the period two years in arrears</w:t>
      </w:r>
      <w:r w:rsidRPr="000634A4">
        <w:t>.</w:t>
      </w:r>
    </w:p>
    <w:p w14:paraId="6A9128E1" w14:textId="77777777" w:rsidR="000634A4" w:rsidRDefault="000634A4" w:rsidP="000634A4"/>
    <w:p w14:paraId="5DDA41F6" w14:textId="77777777" w:rsidR="00DD73BE" w:rsidRDefault="00DD73BE">
      <w:pPr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br w:type="page"/>
      </w:r>
    </w:p>
    <w:p w14:paraId="19216EBC" w14:textId="77777777" w:rsidR="000634A4" w:rsidRDefault="000634A4" w:rsidP="000634A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lastRenderedPageBreak/>
        <w:t>Purpose</w:t>
      </w:r>
    </w:p>
    <w:p w14:paraId="32A1D925" w14:textId="0547E1C8" w:rsidR="000634A4" w:rsidRDefault="000634A4" w:rsidP="000634A4">
      <w:r w:rsidRPr="000634A4">
        <w:t xml:space="preserve">The purpose of </w:t>
      </w:r>
      <w:r w:rsidR="00A55149">
        <w:rPr>
          <w:iCs/>
        </w:rPr>
        <w:t xml:space="preserve">the </w:t>
      </w:r>
      <w:r w:rsidR="00283352">
        <w:t>d</w:t>
      </w:r>
      <w:r w:rsidRPr="000634A4">
        <w:t>etermination is to prescribe a method for measuring GHG</w:t>
      </w:r>
      <w:r>
        <w:t xml:space="preserve"> </w:t>
      </w:r>
      <w:r w:rsidRPr="000634A4">
        <w:t>emissions. Under section 11 of the Act</w:t>
      </w:r>
      <w:r w:rsidR="00082141">
        <w:t>,</w:t>
      </w:r>
      <w:r w:rsidRPr="000634A4">
        <w:t xml:space="preserve"> th</w:t>
      </w:r>
      <w:r w:rsidR="000F72A6">
        <w:t xml:space="preserve">e </w:t>
      </w:r>
      <w:r w:rsidR="00283352">
        <w:t>d</w:t>
      </w:r>
      <w:r w:rsidR="000F72A6">
        <w:t xml:space="preserve">etermination is </w:t>
      </w:r>
      <w:r w:rsidR="00A55149">
        <w:t xml:space="preserve">made </w:t>
      </w:r>
      <w:r w:rsidR="000F72A6">
        <w:t xml:space="preserve">by way of a </w:t>
      </w:r>
      <w:r w:rsidR="00283352">
        <w:t>d</w:t>
      </w:r>
      <w:r w:rsidRPr="000634A4">
        <w:t>isallowable</w:t>
      </w:r>
      <w:r>
        <w:t xml:space="preserve"> </w:t>
      </w:r>
      <w:r w:rsidR="00283352">
        <w:t>i</w:t>
      </w:r>
      <w:r w:rsidRPr="000634A4">
        <w:t>nstrument which must be notified, and presented to the Legislative Assembly, under</w:t>
      </w:r>
      <w:r>
        <w:t xml:space="preserve"> </w:t>
      </w:r>
      <w:r w:rsidRPr="000634A4">
        <w:t xml:space="preserve">the </w:t>
      </w:r>
      <w:r w:rsidRPr="000634A4">
        <w:rPr>
          <w:i/>
        </w:rPr>
        <w:t>Legislation Act 2001</w:t>
      </w:r>
      <w:r w:rsidRPr="000634A4">
        <w:t>.</w:t>
      </w:r>
      <w:r w:rsidR="00896C99">
        <w:t xml:space="preserve"> </w:t>
      </w:r>
      <w:r w:rsidRPr="000634A4">
        <w:t xml:space="preserve">The </w:t>
      </w:r>
      <w:r w:rsidR="00283352">
        <w:t>d</w:t>
      </w:r>
      <w:r w:rsidRPr="000634A4">
        <w:t xml:space="preserve">etermination </w:t>
      </w:r>
      <w:r w:rsidR="00283352">
        <w:t>commences</w:t>
      </w:r>
      <w:r w:rsidRPr="000634A4">
        <w:t xml:space="preserve"> </w:t>
      </w:r>
      <w:r w:rsidR="004230BB">
        <w:t xml:space="preserve">on </w:t>
      </w:r>
      <w:r w:rsidRPr="000634A4">
        <w:t xml:space="preserve">the day after </w:t>
      </w:r>
      <w:r w:rsidR="00A55149">
        <w:t xml:space="preserve">its </w:t>
      </w:r>
      <w:r w:rsidRPr="000634A4">
        <w:t>notification</w:t>
      </w:r>
      <w:r w:rsidR="00A55149">
        <w:t xml:space="preserve"> day</w:t>
      </w:r>
      <w:r w:rsidRPr="000634A4">
        <w:t>.</w:t>
      </w:r>
    </w:p>
    <w:p w14:paraId="061438C9" w14:textId="77777777" w:rsidR="000634A4" w:rsidRPr="000634A4" w:rsidRDefault="000634A4" w:rsidP="00891901"/>
    <w:p w14:paraId="50D3306A" w14:textId="34676220" w:rsidR="000009BC" w:rsidRDefault="000634A4" w:rsidP="004C4701">
      <w:pPr>
        <w:spacing w:after="240"/>
      </w:pPr>
      <w:r w:rsidRPr="000634A4">
        <w:t xml:space="preserve">In making the </w:t>
      </w:r>
      <w:r w:rsidR="00283352">
        <w:t>d</w:t>
      </w:r>
      <w:r w:rsidRPr="000634A4">
        <w:t>etermination, the Minister must</w:t>
      </w:r>
      <w:r w:rsidR="00896C99">
        <w:t xml:space="preserve"> (</w:t>
      </w:r>
      <w:r w:rsidR="007650D5">
        <w:t xml:space="preserve">as per </w:t>
      </w:r>
      <w:r w:rsidR="00896C99">
        <w:t>section 11</w:t>
      </w:r>
      <w:r w:rsidR="000E08A1">
        <w:t xml:space="preserve"> </w:t>
      </w:r>
      <w:r w:rsidR="00896C99">
        <w:t>(3) of the Act):</w:t>
      </w:r>
    </w:p>
    <w:p w14:paraId="50F53197" w14:textId="77777777" w:rsidR="00896C99" w:rsidRDefault="000634A4" w:rsidP="004C4701">
      <w:pPr>
        <w:pStyle w:val="ListParagraph"/>
        <w:numPr>
          <w:ilvl w:val="0"/>
          <w:numId w:val="16"/>
        </w:numPr>
        <w:spacing w:after="120"/>
        <w:ind w:left="777" w:hanging="357"/>
        <w:contextualSpacing w:val="0"/>
      </w:pPr>
      <w:r w:rsidRPr="000634A4">
        <w:t>seek</w:t>
      </w:r>
      <w:r w:rsidR="00896C99">
        <w:t>,</w:t>
      </w:r>
      <w:r w:rsidRPr="000634A4">
        <w:t xml:space="preserve"> and have regard to</w:t>
      </w:r>
      <w:r w:rsidR="00896C99">
        <w:t>,</w:t>
      </w:r>
      <w:r w:rsidRPr="000634A4">
        <w:t xml:space="preserve"> the</w:t>
      </w:r>
      <w:r>
        <w:t xml:space="preserve"> </w:t>
      </w:r>
      <w:r w:rsidRPr="000634A4">
        <w:t>advice of an independent entity on the method for measuring GHG emissions</w:t>
      </w:r>
      <w:r w:rsidR="00896C99">
        <w:t>;</w:t>
      </w:r>
      <w:r w:rsidRPr="000634A4">
        <w:t xml:space="preserve"> and</w:t>
      </w:r>
      <w:r>
        <w:t xml:space="preserve"> </w:t>
      </w:r>
    </w:p>
    <w:p w14:paraId="697C5AF3" w14:textId="77777777" w:rsidR="00896C99" w:rsidRDefault="000634A4" w:rsidP="004C4701">
      <w:pPr>
        <w:pStyle w:val="ListParagraph"/>
        <w:numPr>
          <w:ilvl w:val="0"/>
          <w:numId w:val="16"/>
        </w:numPr>
        <w:ind w:left="777" w:hanging="357"/>
      </w:pPr>
      <w:r w:rsidRPr="000634A4">
        <w:t>as far as practica</w:t>
      </w:r>
      <w:r w:rsidR="00896C99">
        <w:t>ble</w:t>
      </w:r>
      <w:r w:rsidRPr="000634A4">
        <w:t>, ensure consistency with the best national and international</w:t>
      </w:r>
      <w:r>
        <w:t xml:space="preserve"> </w:t>
      </w:r>
      <w:r w:rsidRPr="000634A4">
        <w:t xml:space="preserve">practices in relation to measuring </w:t>
      </w:r>
      <w:r w:rsidR="00896C99">
        <w:t>GHG</w:t>
      </w:r>
      <w:r w:rsidRPr="000634A4">
        <w:t xml:space="preserve"> emissions. </w:t>
      </w:r>
    </w:p>
    <w:p w14:paraId="62BA0819" w14:textId="77777777" w:rsidR="00896C99" w:rsidRDefault="00896C99" w:rsidP="004C4701"/>
    <w:p w14:paraId="15D58F89" w14:textId="0CC39BB8" w:rsidR="000634A4" w:rsidRDefault="000634A4" w:rsidP="00891901">
      <w:r w:rsidRPr="000634A4">
        <w:t>Prior to making th</w:t>
      </w:r>
      <w:r w:rsidR="00720932">
        <w:t>e</w:t>
      </w:r>
      <w:r>
        <w:t xml:space="preserve"> </w:t>
      </w:r>
      <w:r w:rsidR="00283352">
        <w:t>d</w:t>
      </w:r>
      <w:r w:rsidRPr="000634A4">
        <w:t>etermination, the Minister sought and h</w:t>
      </w:r>
      <w:r>
        <w:t>ad regard to the advice of i</w:t>
      </w:r>
      <w:r w:rsidRPr="000634A4">
        <w:t>ndependent</w:t>
      </w:r>
      <w:r>
        <w:t xml:space="preserve"> </w:t>
      </w:r>
      <w:r w:rsidR="00536391">
        <w:t>consultant</w:t>
      </w:r>
      <w:r w:rsidR="00B15E01">
        <w:t>s</w:t>
      </w:r>
      <w:r w:rsidR="00A55149">
        <w:t>,</w:t>
      </w:r>
      <w:r w:rsidR="00536391">
        <w:t xml:space="preserve"> </w:t>
      </w:r>
      <w:r w:rsidR="00545FF0">
        <w:t>Point Advisory</w:t>
      </w:r>
      <w:r w:rsidR="00A55149">
        <w:t>,</w:t>
      </w:r>
      <w:r w:rsidR="00536391">
        <w:t xml:space="preserve"> </w:t>
      </w:r>
      <w:r w:rsidRPr="000634A4">
        <w:t>on the method for</w:t>
      </w:r>
      <w:r>
        <w:t xml:space="preserve"> </w:t>
      </w:r>
      <w:r w:rsidRPr="000634A4">
        <w:t>measuring GHG emissions.</w:t>
      </w:r>
      <w:r w:rsidR="007A0566">
        <w:t xml:space="preserve"> </w:t>
      </w:r>
    </w:p>
    <w:p w14:paraId="3A7F26C0" w14:textId="0A24ED85" w:rsidR="005B1EBC" w:rsidRDefault="005B1EBC" w:rsidP="00424B8A"/>
    <w:p w14:paraId="53ECF285" w14:textId="77777777" w:rsidR="005B1EBC" w:rsidRDefault="005B1EBC" w:rsidP="005B1EBC">
      <w:pPr>
        <w:autoSpaceDE w:val="0"/>
        <w:autoSpaceDN w:val="0"/>
        <w:adjustRightInd w:val="0"/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 xml:space="preserve">Updates made by this </w:t>
      </w:r>
      <w:r>
        <w:rPr>
          <w:rFonts w:ascii="Arial" w:hAnsi="Arial" w:cs="Arial"/>
          <w:b/>
          <w:bCs/>
          <w:sz w:val="22"/>
          <w:szCs w:val="22"/>
          <w:lang w:eastAsia="en-AU"/>
        </w:rPr>
        <w:t>d</w:t>
      </w: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>etermination</w:t>
      </w:r>
    </w:p>
    <w:p w14:paraId="41B6A75B" w14:textId="10925611" w:rsidR="00F92DBD" w:rsidRPr="00F92DBD" w:rsidRDefault="00923086" w:rsidP="00F92DBD">
      <w:r>
        <w:t>This determination makes minor technical amendments to the method</w:t>
      </w:r>
      <w:r w:rsidR="00F92DBD">
        <w:t xml:space="preserve"> </w:t>
      </w:r>
      <w:r w:rsidR="00F92DBD" w:rsidRPr="00F92DBD">
        <w:t xml:space="preserve">to reflect best practice GHG accounting and improve the accuracy of the GHG Inventory. </w:t>
      </w:r>
    </w:p>
    <w:p w14:paraId="070BFC09" w14:textId="173F1385" w:rsidR="00F92DBD" w:rsidRDefault="00F92DBD" w:rsidP="00424B8A"/>
    <w:p w14:paraId="20167E1F" w14:textId="2CF3BC80" w:rsidR="005B1EBC" w:rsidRDefault="00F92DBD" w:rsidP="00424B8A">
      <w:r>
        <w:t xml:space="preserve">The Determination </w:t>
      </w:r>
      <w:r w:rsidR="006E2C20">
        <w:t>has been</w:t>
      </w:r>
      <w:r>
        <w:t xml:space="preserve"> updated to </w:t>
      </w:r>
      <w:r w:rsidR="000C297F">
        <w:t>include emissions from aviation</w:t>
      </w:r>
      <w:r w:rsidR="00F016F8">
        <w:t xml:space="preserve"> at 6.2</w:t>
      </w:r>
      <w:r w:rsidR="000C297F">
        <w:t xml:space="preserve">. </w:t>
      </w:r>
      <w:r w:rsidR="006E2C20" w:rsidRPr="006E2C20">
        <w:t>Emissions have been calculated in accordance with the GHG Protocol guidance for cities and account for emissions that occur within the jurisdiction. All emissions associated with the landing and take-off cycle (including taxi-out, take-off, climb, descent, land and taxi-in) are taken as a proxy for aviation emissions that occur within the ACT boundary. It is assumed that all cruising altitude emissions occur outside of the ACT</w:t>
      </w:r>
      <w:r w:rsidR="006E2C20">
        <w:t>.</w:t>
      </w:r>
    </w:p>
    <w:p w14:paraId="77600247" w14:textId="082D30EE" w:rsidR="006E2C20" w:rsidRDefault="006E2C20" w:rsidP="00424B8A"/>
    <w:p w14:paraId="4EEE1CF0" w14:textId="61819456" w:rsidR="00F016F8" w:rsidRDefault="00F016F8" w:rsidP="00424B8A">
      <w:r>
        <w:t>In relation to LPG stationary combustion at Part 5.3, the references to specific LPG suppliers have been replaced with a general term to allow for future changes in LPG suppliers.</w:t>
      </w:r>
    </w:p>
    <w:p w14:paraId="6341564C" w14:textId="77777777" w:rsidR="00F016F8" w:rsidRDefault="00F016F8" w:rsidP="00424B8A"/>
    <w:p w14:paraId="48BAD4E8" w14:textId="36DB2375" w:rsidR="006E2C20" w:rsidRDefault="006E2C20" w:rsidP="00424B8A">
      <w:r w:rsidRPr="006E2C20">
        <w:t xml:space="preserve">The </w:t>
      </w:r>
      <w:r>
        <w:t xml:space="preserve">wording </w:t>
      </w:r>
      <w:r w:rsidR="00F016F8">
        <w:t xml:space="preserve">in Part 9 </w:t>
      </w:r>
      <w:r>
        <w:t xml:space="preserve">of the </w:t>
      </w:r>
      <w:r w:rsidR="00F016F8" w:rsidRPr="00923086">
        <w:t>land use, land use change and forestry</w:t>
      </w:r>
      <w:r w:rsidR="00F016F8">
        <w:t xml:space="preserve"> (</w:t>
      </w:r>
      <w:r>
        <w:t>LULUCF</w:t>
      </w:r>
      <w:r w:rsidR="00F016F8">
        <w:t>)</w:t>
      </w:r>
      <w:r>
        <w:t xml:space="preserve"> </w:t>
      </w:r>
      <w:r w:rsidRPr="006E2C20">
        <w:t xml:space="preserve">measurement method </w:t>
      </w:r>
      <w:r>
        <w:t xml:space="preserve">has been </w:t>
      </w:r>
      <w:r w:rsidR="001C0B2C">
        <w:t>clarified</w:t>
      </w:r>
      <w:r w:rsidR="00EB51CE">
        <w:t xml:space="preserve"> </w:t>
      </w:r>
      <w:r>
        <w:t xml:space="preserve">to reduce the risk of confusion. </w:t>
      </w:r>
    </w:p>
    <w:p w14:paraId="5A795CC2" w14:textId="32E131F1" w:rsidR="0022725F" w:rsidRDefault="0022725F" w:rsidP="00424B8A"/>
    <w:p w14:paraId="0445AF57" w14:textId="0A7143EB" w:rsidR="0022725F" w:rsidRDefault="0022725F" w:rsidP="00424B8A">
      <w:r>
        <w:t xml:space="preserve">For </w:t>
      </w:r>
      <w:r w:rsidR="00F016F8">
        <w:t xml:space="preserve">Part 10.3 </w:t>
      </w:r>
      <w:r>
        <w:t>Wastewater treatment and discharge, the word ‘methane’ has been inserted to clarify th</w:t>
      </w:r>
      <w:r w:rsidR="00F016F8">
        <w:t>at methane</w:t>
      </w:r>
      <w:r>
        <w:t xml:space="preserve"> emissions </w:t>
      </w:r>
      <w:r w:rsidR="00F016F8">
        <w:t xml:space="preserve">arising </w:t>
      </w:r>
      <w:r>
        <w:t>from wastewater treatment and discharge have always been considered</w:t>
      </w:r>
      <w:r w:rsidR="00F016F8">
        <w:t xml:space="preserve"> by the independent entity</w:t>
      </w:r>
      <w:r>
        <w:t>.</w:t>
      </w:r>
    </w:p>
    <w:p w14:paraId="3C4F78AD" w14:textId="77777777" w:rsidR="00F92DBD" w:rsidRDefault="00F92DBD" w:rsidP="00424B8A"/>
    <w:p w14:paraId="41C29D99" w14:textId="77777777" w:rsidR="00F312D1" w:rsidRPr="00F312D1" w:rsidRDefault="00F312D1" w:rsidP="00F312D1"/>
    <w:p w14:paraId="6026EBBD" w14:textId="000E5AEB" w:rsidR="00720932" w:rsidRPr="00720932" w:rsidRDefault="00720932" w:rsidP="0072093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AU"/>
        </w:rPr>
      </w:pPr>
      <w:r w:rsidRPr="00720932">
        <w:rPr>
          <w:rFonts w:ascii="Arial" w:hAnsi="Arial" w:cs="Arial"/>
          <w:b/>
          <w:bCs/>
          <w:sz w:val="22"/>
          <w:szCs w:val="22"/>
          <w:lang w:eastAsia="en-AU"/>
        </w:rPr>
        <w:t>Other</w:t>
      </w:r>
    </w:p>
    <w:p w14:paraId="502EAC04" w14:textId="7E185D50" w:rsidR="00082141" w:rsidRDefault="00082141" w:rsidP="00957D0D">
      <w:r w:rsidRPr="004230BB">
        <w:t xml:space="preserve">The </w:t>
      </w:r>
      <w:r w:rsidR="00283352">
        <w:t>d</w:t>
      </w:r>
      <w:r w:rsidRPr="004230BB">
        <w:t xml:space="preserve">etermination is </w:t>
      </w:r>
      <w:r w:rsidR="00BE0F6E" w:rsidRPr="004230BB">
        <w:t xml:space="preserve">not </w:t>
      </w:r>
      <w:r w:rsidRPr="004230BB">
        <w:t>likely to impose appreciable costs on the community, or part of the community</w:t>
      </w:r>
      <w:r w:rsidR="00BE0F6E" w:rsidRPr="004230BB">
        <w:t xml:space="preserve"> and for this reason</w:t>
      </w:r>
      <w:r w:rsidR="00BE0F6E" w:rsidRPr="0033532F">
        <w:t xml:space="preserve"> a regulatory impact statement is not required</w:t>
      </w:r>
      <w:r w:rsidR="000E08A1">
        <w:t>,</w:t>
      </w:r>
      <w:r w:rsidR="00BE0F6E" w:rsidRPr="0033532F">
        <w:t xml:space="preserve"> consistent with section 34 of the </w:t>
      </w:r>
      <w:r w:rsidR="00BE0F6E" w:rsidRPr="00F312D1">
        <w:rPr>
          <w:i/>
          <w:iCs/>
        </w:rPr>
        <w:t>Legislation Act</w:t>
      </w:r>
      <w:r w:rsidR="000E08A1" w:rsidRPr="00F312D1">
        <w:rPr>
          <w:i/>
          <w:iCs/>
        </w:rPr>
        <w:t xml:space="preserve"> 2001</w:t>
      </w:r>
      <w:r w:rsidRPr="0033532F">
        <w:t xml:space="preserve">. In </w:t>
      </w:r>
      <w:r w:rsidR="00BE0F6E" w:rsidRPr="0033532F">
        <w:t xml:space="preserve">addition, in </w:t>
      </w:r>
      <w:r w:rsidRPr="0033532F">
        <w:t>accordance with s</w:t>
      </w:r>
      <w:r w:rsidR="000E08A1">
        <w:t xml:space="preserve">ection </w:t>
      </w:r>
      <w:r w:rsidRPr="0033532F">
        <w:t>36</w:t>
      </w:r>
      <w:r w:rsidR="000E08A1">
        <w:t xml:space="preserve"> </w:t>
      </w:r>
      <w:r w:rsidRPr="0033532F">
        <w:t>(1)</w:t>
      </w:r>
      <w:r w:rsidR="000E08A1">
        <w:t xml:space="preserve"> </w:t>
      </w:r>
      <w:r w:rsidRPr="0033532F">
        <w:t xml:space="preserve">(b) of the </w:t>
      </w:r>
      <w:r w:rsidR="005917F4" w:rsidRPr="00F312D1">
        <w:rPr>
          <w:i/>
          <w:iCs/>
        </w:rPr>
        <w:t>Legislation Act</w:t>
      </w:r>
      <w:r w:rsidR="000E08A1" w:rsidRPr="00F312D1">
        <w:rPr>
          <w:i/>
          <w:iCs/>
        </w:rPr>
        <w:t xml:space="preserve"> 2001</w:t>
      </w:r>
      <w:r w:rsidR="00F02FEA">
        <w:t>,</w:t>
      </w:r>
      <w:r>
        <w:t xml:space="preserve"> a </w:t>
      </w:r>
      <w:r w:rsidR="00BE0F6E">
        <w:t>r</w:t>
      </w:r>
      <w:r>
        <w:t xml:space="preserve">egulatory </w:t>
      </w:r>
      <w:r w:rsidR="00BE0F6E">
        <w:t>i</w:t>
      </w:r>
      <w:r>
        <w:t xml:space="preserve">mpact </w:t>
      </w:r>
      <w:r w:rsidR="00BE0F6E">
        <w:t>s</w:t>
      </w:r>
      <w:r>
        <w:t xml:space="preserve">tatement is </w:t>
      </w:r>
      <w:r w:rsidR="00283352">
        <w:t xml:space="preserve">not </w:t>
      </w:r>
      <w:r>
        <w:t xml:space="preserve">necessary as the </w:t>
      </w:r>
      <w:r w:rsidR="00283352">
        <w:t>d</w:t>
      </w:r>
      <w:r>
        <w:t xml:space="preserve">etermination provides a tool to calculate the </w:t>
      </w:r>
      <w:r w:rsidR="000E08A1">
        <w:t>GHG</w:t>
      </w:r>
      <w:r>
        <w:t xml:space="preserve"> emissions in the ACT and does not adversely affect a person’s rights, or impose liabilities on anyone.</w:t>
      </w:r>
    </w:p>
    <w:p w14:paraId="298A070C" w14:textId="77777777" w:rsidR="008B6407" w:rsidRDefault="008B6407" w:rsidP="00957D0D"/>
    <w:p w14:paraId="2F3D18EC" w14:textId="064715B3" w:rsidR="008B6407" w:rsidRPr="008B6407" w:rsidRDefault="008B6407" w:rsidP="00957D0D">
      <w:r>
        <w:lastRenderedPageBreak/>
        <w:t xml:space="preserve">Similarly, as the </w:t>
      </w:r>
      <w:r w:rsidR="00283352">
        <w:t>d</w:t>
      </w:r>
      <w:r>
        <w:t xml:space="preserve">etermination only provides a tool to calculate the </w:t>
      </w:r>
      <w:r w:rsidR="00720932">
        <w:t>GHG</w:t>
      </w:r>
      <w:r>
        <w:t xml:space="preserve"> emissions in the ACT</w:t>
      </w:r>
      <w:r w:rsidR="00720932">
        <w:t>,</w:t>
      </w:r>
      <w:r>
        <w:t xml:space="preserve"> it does not </w:t>
      </w:r>
      <w:r w:rsidR="00283352">
        <w:t>engage</w:t>
      </w:r>
      <w:r>
        <w:t xml:space="preserve"> a right contained in the </w:t>
      </w:r>
      <w:r>
        <w:rPr>
          <w:i/>
        </w:rPr>
        <w:t>Human Rights Act 2004</w:t>
      </w:r>
      <w:r>
        <w:t>.</w:t>
      </w:r>
    </w:p>
    <w:p w14:paraId="55F1ED1A" w14:textId="77777777" w:rsidR="00957D0D" w:rsidRDefault="00957D0D" w:rsidP="000634A4"/>
    <w:p w14:paraId="554287E6" w14:textId="77777777" w:rsidR="00BE0F6E" w:rsidRDefault="004230BB" w:rsidP="000634A4">
      <w:pPr>
        <w:rPr>
          <w:b/>
        </w:rPr>
      </w:pPr>
      <w:r>
        <w:rPr>
          <w:b/>
        </w:rPr>
        <w:t>Outline of Provisions</w:t>
      </w:r>
    </w:p>
    <w:p w14:paraId="74646AC7" w14:textId="77777777" w:rsidR="004230BB" w:rsidRDefault="004230BB" w:rsidP="000634A4">
      <w:pPr>
        <w:rPr>
          <w:b/>
        </w:rPr>
      </w:pPr>
    </w:p>
    <w:p w14:paraId="4B614788" w14:textId="77777777" w:rsidR="004230BB" w:rsidRDefault="004230BB" w:rsidP="000634A4">
      <w:pPr>
        <w:rPr>
          <w:b/>
        </w:rPr>
      </w:pPr>
      <w:r>
        <w:rPr>
          <w:b/>
        </w:rPr>
        <w:t>Clause 1</w:t>
      </w:r>
      <w:r>
        <w:rPr>
          <w:b/>
        </w:rPr>
        <w:tab/>
        <w:t>Name of Instrument</w:t>
      </w:r>
    </w:p>
    <w:p w14:paraId="6E021454" w14:textId="3902E735" w:rsidR="004230BB" w:rsidRDefault="004230BB" w:rsidP="000634A4">
      <w:pPr>
        <w:rPr>
          <w:i/>
          <w:iCs/>
        </w:rPr>
      </w:pPr>
      <w:r>
        <w:t xml:space="preserve">This clause names the instrument as the </w:t>
      </w:r>
      <w:r w:rsidRPr="00080AE7">
        <w:rPr>
          <w:i/>
          <w:iCs/>
        </w:rPr>
        <w:t xml:space="preserve">Climate Change and Greenhouse Gas Reduction (Greenhouse Gas Emissions Measurement Method) Determination </w:t>
      </w:r>
      <w:r w:rsidR="005B1EBC" w:rsidRPr="00080AE7">
        <w:rPr>
          <w:i/>
          <w:iCs/>
        </w:rPr>
        <w:t>20</w:t>
      </w:r>
      <w:r w:rsidR="005B1EBC">
        <w:rPr>
          <w:i/>
          <w:iCs/>
        </w:rPr>
        <w:t>22</w:t>
      </w:r>
      <w:r w:rsidR="00F312D1">
        <w:rPr>
          <w:i/>
          <w:iCs/>
        </w:rPr>
        <w:t>.</w:t>
      </w:r>
    </w:p>
    <w:p w14:paraId="60D2D83E" w14:textId="77777777" w:rsidR="004230BB" w:rsidRDefault="004230BB" w:rsidP="000634A4">
      <w:pPr>
        <w:rPr>
          <w:i/>
          <w:iCs/>
        </w:rPr>
      </w:pPr>
    </w:p>
    <w:p w14:paraId="13BEBAF0" w14:textId="77777777" w:rsidR="004230BB" w:rsidRDefault="004230BB" w:rsidP="000634A4">
      <w:pPr>
        <w:rPr>
          <w:b/>
          <w:iCs/>
        </w:rPr>
      </w:pPr>
      <w:r>
        <w:rPr>
          <w:b/>
          <w:iCs/>
        </w:rPr>
        <w:t>Clause 2</w:t>
      </w:r>
      <w:r>
        <w:rPr>
          <w:b/>
          <w:iCs/>
        </w:rPr>
        <w:tab/>
        <w:t>Commencement</w:t>
      </w:r>
    </w:p>
    <w:p w14:paraId="171638B2" w14:textId="77777777" w:rsidR="004230BB" w:rsidRDefault="004230BB" w:rsidP="000634A4">
      <w:pPr>
        <w:rPr>
          <w:iCs/>
        </w:rPr>
      </w:pPr>
      <w:r>
        <w:rPr>
          <w:iCs/>
        </w:rPr>
        <w:t>This clause states that the instrument commences on the day after its notification day.</w:t>
      </w:r>
    </w:p>
    <w:p w14:paraId="4A89BE49" w14:textId="77777777" w:rsidR="004230BB" w:rsidRDefault="004230BB" w:rsidP="000634A4">
      <w:pPr>
        <w:rPr>
          <w:iCs/>
        </w:rPr>
      </w:pPr>
    </w:p>
    <w:p w14:paraId="2155C426" w14:textId="77777777" w:rsidR="004230BB" w:rsidRDefault="004230BB" w:rsidP="000634A4">
      <w:pPr>
        <w:rPr>
          <w:b/>
          <w:iCs/>
        </w:rPr>
      </w:pPr>
      <w:r>
        <w:rPr>
          <w:b/>
          <w:iCs/>
        </w:rPr>
        <w:t>Clause 3</w:t>
      </w:r>
      <w:r>
        <w:rPr>
          <w:b/>
          <w:iCs/>
        </w:rPr>
        <w:tab/>
        <w:t>Determination of method for measuring greenhouse gas emissions</w:t>
      </w:r>
    </w:p>
    <w:p w14:paraId="7252A02C" w14:textId="0862D3DC" w:rsidR="004230BB" w:rsidRDefault="004230BB" w:rsidP="000634A4">
      <w:pPr>
        <w:rPr>
          <w:iCs/>
        </w:rPr>
      </w:pPr>
      <w:r>
        <w:rPr>
          <w:iCs/>
        </w:rPr>
        <w:t>This clause determines the method for measuring the amount of greenhouse gas emission in the Act by reference to the method set out in schedule</w:t>
      </w:r>
      <w:r w:rsidR="00283352">
        <w:rPr>
          <w:iCs/>
        </w:rPr>
        <w:t xml:space="preserve"> 1</w:t>
      </w:r>
      <w:r>
        <w:rPr>
          <w:iCs/>
        </w:rPr>
        <w:t>.</w:t>
      </w:r>
    </w:p>
    <w:p w14:paraId="66D7A4EE" w14:textId="77777777" w:rsidR="004230BB" w:rsidRDefault="004230BB" w:rsidP="000634A4">
      <w:pPr>
        <w:rPr>
          <w:iCs/>
        </w:rPr>
      </w:pPr>
    </w:p>
    <w:p w14:paraId="79DF1C7E" w14:textId="3093D209" w:rsidR="00142400" w:rsidRDefault="00283352" w:rsidP="000634A4">
      <w:pPr>
        <w:rPr>
          <w:iCs/>
        </w:rPr>
      </w:pPr>
      <w:r>
        <w:rPr>
          <w:iCs/>
        </w:rPr>
        <w:t>S</w:t>
      </w:r>
      <w:r w:rsidR="004230BB">
        <w:rPr>
          <w:iCs/>
        </w:rPr>
        <w:t xml:space="preserve">chedule </w:t>
      </w:r>
      <w:r>
        <w:rPr>
          <w:iCs/>
        </w:rPr>
        <w:t xml:space="preserve">1 </w:t>
      </w:r>
      <w:r w:rsidR="004230BB">
        <w:rPr>
          <w:iCs/>
        </w:rPr>
        <w:t xml:space="preserve">contains </w:t>
      </w:r>
      <w:r w:rsidR="004C4701">
        <w:rPr>
          <w:iCs/>
        </w:rPr>
        <w:t>several</w:t>
      </w:r>
      <w:r w:rsidR="004230BB">
        <w:rPr>
          <w:iCs/>
        </w:rPr>
        <w:t xml:space="preserve"> provisions that provide the method for calculating emissions from different energy sources and industries</w:t>
      </w:r>
      <w:r w:rsidR="00360A58">
        <w:rPr>
          <w:iCs/>
        </w:rPr>
        <w:t>, including:</w:t>
      </w:r>
      <w:r w:rsidR="00142400">
        <w:rPr>
          <w:iCs/>
        </w:rPr>
        <w:t xml:space="preserve"> </w:t>
      </w:r>
      <w:r w:rsidR="00360A58">
        <w:rPr>
          <w:iCs/>
        </w:rPr>
        <w:t xml:space="preserve">electricity, natural gas, </w:t>
      </w:r>
      <w:r w:rsidR="00142400">
        <w:rPr>
          <w:iCs/>
        </w:rPr>
        <w:t xml:space="preserve">transport; industrial processes and product use; agriculture; </w:t>
      </w:r>
      <w:r w:rsidR="00F253DB">
        <w:rPr>
          <w:iCs/>
        </w:rPr>
        <w:t>LULUCF</w:t>
      </w:r>
      <w:r w:rsidR="00142400">
        <w:rPr>
          <w:iCs/>
        </w:rPr>
        <w:t>; and waste.</w:t>
      </w:r>
    </w:p>
    <w:p w14:paraId="31ED6A14" w14:textId="77777777" w:rsidR="005B1EBC" w:rsidRDefault="005B1EBC" w:rsidP="000634A4">
      <w:pPr>
        <w:rPr>
          <w:iCs/>
        </w:rPr>
      </w:pPr>
    </w:p>
    <w:p w14:paraId="7CC9A45B" w14:textId="77777777" w:rsidR="00142400" w:rsidRDefault="00142400" w:rsidP="00720932">
      <w:pPr>
        <w:rPr>
          <w:b/>
          <w:iCs/>
        </w:rPr>
      </w:pPr>
      <w:r>
        <w:rPr>
          <w:b/>
          <w:iCs/>
        </w:rPr>
        <w:t>Clause 4</w:t>
      </w:r>
      <w:r>
        <w:rPr>
          <w:b/>
          <w:iCs/>
        </w:rPr>
        <w:tab/>
        <w:t>Revocation</w:t>
      </w:r>
    </w:p>
    <w:p w14:paraId="1A1CF0F4" w14:textId="5D7A8754" w:rsidR="004230BB" w:rsidRPr="004230BB" w:rsidRDefault="00142400" w:rsidP="00F312D1">
      <w:pPr>
        <w:spacing w:after="60"/>
      </w:pPr>
      <w:r>
        <w:rPr>
          <w:iCs/>
        </w:rPr>
        <w:t xml:space="preserve">This clause provides that the previous </w:t>
      </w:r>
      <w:r w:rsidR="00283352">
        <w:rPr>
          <w:iCs/>
        </w:rPr>
        <w:t>determination</w:t>
      </w:r>
      <w:r>
        <w:rPr>
          <w:iCs/>
        </w:rPr>
        <w:t xml:space="preserve">, </w:t>
      </w:r>
      <w:r>
        <w:t>t</w:t>
      </w:r>
      <w:r w:rsidRPr="00080AE7">
        <w:t xml:space="preserve">he </w:t>
      </w:r>
      <w:r w:rsidRPr="00080AE7">
        <w:rPr>
          <w:i/>
        </w:rPr>
        <w:t xml:space="preserve">Climate Change and Greenhouse Gas Reduction (Greenhouse Gas Emissions Measurement Method) Determination </w:t>
      </w:r>
      <w:r w:rsidR="002A058C" w:rsidRPr="00080AE7">
        <w:rPr>
          <w:i/>
        </w:rPr>
        <w:t>20</w:t>
      </w:r>
      <w:r w:rsidR="002A058C">
        <w:rPr>
          <w:i/>
        </w:rPr>
        <w:t>2</w:t>
      </w:r>
      <w:r w:rsidR="00250016">
        <w:rPr>
          <w:i/>
        </w:rPr>
        <w:t>1</w:t>
      </w:r>
      <w:r w:rsidR="002A058C" w:rsidRPr="00080AE7">
        <w:rPr>
          <w:i/>
        </w:rPr>
        <w:t xml:space="preserve"> </w:t>
      </w:r>
      <w:r w:rsidRPr="00080AE7">
        <w:t>(</w:t>
      </w:r>
      <w:r w:rsidR="00616525" w:rsidRPr="00080AE7">
        <w:t>DI20</w:t>
      </w:r>
      <w:r w:rsidR="00616525">
        <w:t>2</w:t>
      </w:r>
      <w:r w:rsidR="00250016">
        <w:t>1-269</w:t>
      </w:r>
      <w:r w:rsidRPr="00080AE7">
        <w:t>)</w:t>
      </w:r>
      <w:r>
        <w:t>,</w:t>
      </w:r>
      <w:r w:rsidRPr="00080AE7">
        <w:t xml:space="preserve"> is revoked.</w:t>
      </w:r>
    </w:p>
    <w:sectPr w:rsidR="004230BB" w:rsidRPr="004230BB" w:rsidSect="004C4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4FC0" w14:textId="77777777" w:rsidR="00114AF1" w:rsidRDefault="00114AF1">
      <w:r>
        <w:separator/>
      </w:r>
    </w:p>
  </w:endnote>
  <w:endnote w:type="continuationSeparator" w:id="0">
    <w:p w14:paraId="7910C56E" w14:textId="77777777" w:rsidR="00114AF1" w:rsidRDefault="0011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CA78" w14:textId="77777777" w:rsidR="00F26F3E" w:rsidRDefault="00F26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CF44" w14:textId="68170B62" w:rsidR="003B4D81" w:rsidRDefault="0008214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400">
      <w:rPr>
        <w:noProof/>
      </w:rPr>
      <w:t>1</w:t>
    </w:r>
    <w:r>
      <w:fldChar w:fldCharType="end"/>
    </w:r>
  </w:p>
  <w:p w14:paraId="571C970D" w14:textId="13F98FBC" w:rsidR="00892F89" w:rsidRPr="00F26F3E" w:rsidRDefault="00F26F3E" w:rsidP="00F26F3E">
    <w:pPr>
      <w:pStyle w:val="Footer"/>
      <w:jc w:val="center"/>
      <w:rPr>
        <w:rFonts w:cs="Arial"/>
        <w:sz w:val="14"/>
      </w:rPr>
    </w:pPr>
    <w:r w:rsidRPr="00F26F3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21C7" w14:textId="77777777" w:rsidR="00F26F3E" w:rsidRDefault="00F2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AAF4" w14:textId="77777777" w:rsidR="00114AF1" w:rsidRDefault="00114AF1">
      <w:r>
        <w:separator/>
      </w:r>
    </w:p>
  </w:footnote>
  <w:footnote w:type="continuationSeparator" w:id="0">
    <w:p w14:paraId="50F0A937" w14:textId="77777777" w:rsidR="00114AF1" w:rsidRDefault="0011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9114" w14:textId="77777777" w:rsidR="00F26F3E" w:rsidRDefault="00F26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4533" w14:textId="77777777" w:rsidR="00F26F3E" w:rsidRDefault="00F26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A833" w14:textId="77777777" w:rsidR="00F26F3E" w:rsidRDefault="00F2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EB27E2"/>
    <w:multiLevelType w:val="hybridMultilevel"/>
    <w:tmpl w:val="A2C87DA4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335872B8"/>
    <w:multiLevelType w:val="hybridMultilevel"/>
    <w:tmpl w:val="394EDCB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A4D3A96"/>
    <w:multiLevelType w:val="hybridMultilevel"/>
    <w:tmpl w:val="7392404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087F6C"/>
    <w:multiLevelType w:val="hybridMultilevel"/>
    <w:tmpl w:val="93046C7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E62F4"/>
    <w:multiLevelType w:val="multilevel"/>
    <w:tmpl w:val="D4BC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E6E7CC9"/>
    <w:multiLevelType w:val="hybridMultilevel"/>
    <w:tmpl w:val="FA564D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7356BB1"/>
    <w:multiLevelType w:val="hybridMultilevel"/>
    <w:tmpl w:val="FB4AD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5AE9"/>
    <w:multiLevelType w:val="hybridMultilevel"/>
    <w:tmpl w:val="EC4A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75F8A"/>
    <w:multiLevelType w:val="hybridMultilevel"/>
    <w:tmpl w:val="D8E8D4E8"/>
    <w:lvl w:ilvl="0" w:tplc="6EB482FE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 w16cid:durableId="1450005034">
    <w:abstractNumId w:val="2"/>
  </w:num>
  <w:num w:numId="2" w16cid:durableId="1602567508">
    <w:abstractNumId w:val="0"/>
  </w:num>
  <w:num w:numId="3" w16cid:durableId="404037990">
    <w:abstractNumId w:val="3"/>
  </w:num>
  <w:num w:numId="4" w16cid:durableId="1535656562">
    <w:abstractNumId w:val="8"/>
  </w:num>
  <w:num w:numId="5" w16cid:durableId="1105733540">
    <w:abstractNumId w:val="13"/>
  </w:num>
  <w:num w:numId="6" w16cid:durableId="1627539113">
    <w:abstractNumId w:val="1"/>
  </w:num>
  <w:num w:numId="7" w16cid:durableId="416633980">
    <w:abstractNumId w:val="6"/>
  </w:num>
  <w:num w:numId="8" w16cid:durableId="180897456">
    <w:abstractNumId w:val="7"/>
  </w:num>
  <w:num w:numId="9" w16cid:durableId="333799940">
    <w:abstractNumId w:val="15"/>
  </w:num>
  <w:num w:numId="10" w16cid:durableId="538083283">
    <w:abstractNumId w:val="14"/>
  </w:num>
  <w:num w:numId="11" w16cid:durableId="254482221">
    <w:abstractNumId w:val="11"/>
  </w:num>
  <w:num w:numId="12" w16cid:durableId="1055659688">
    <w:abstractNumId w:val="9"/>
  </w:num>
  <w:num w:numId="13" w16cid:durableId="1614090463">
    <w:abstractNumId w:val="5"/>
  </w:num>
  <w:num w:numId="14" w16cid:durableId="969557875">
    <w:abstractNumId w:val="10"/>
  </w:num>
  <w:num w:numId="15" w16cid:durableId="707873080">
    <w:abstractNumId w:val="4"/>
  </w:num>
  <w:num w:numId="16" w16cid:durableId="234903796">
    <w:abstractNumId w:val="12"/>
  </w:num>
  <w:num w:numId="17" w16cid:durableId="19296592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2F"/>
    <w:rsid w:val="000009BC"/>
    <w:rsid w:val="000102FD"/>
    <w:rsid w:val="000462EC"/>
    <w:rsid w:val="000634A4"/>
    <w:rsid w:val="00080AE7"/>
    <w:rsid w:val="00081CA7"/>
    <w:rsid w:val="00082141"/>
    <w:rsid w:val="000B0661"/>
    <w:rsid w:val="000B1BA3"/>
    <w:rsid w:val="000B331B"/>
    <w:rsid w:val="000C297F"/>
    <w:rsid w:val="000E08A1"/>
    <w:rsid w:val="000F72A6"/>
    <w:rsid w:val="00114AF1"/>
    <w:rsid w:val="00142400"/>
    <w:rsid w:val="001502E1"/>
    <w:rsid w:val="001560DF"/>
    <w:rsid w:val="001632E1"/>
    <w:rsid w:val="00165D2F"/>
    <w:rsid w:val="001723AE"/>
    <w:rsid w:val="00174EF0"/>
    <w:rsid w:val="00181399"/>
    <w:rsid w:val="001A2AC5"/>
    <w:rsid w:val="001B1CDA"/>
    <w:rsid w:val="001C0B2C"/>
    <w:rsid w:val="001D194D"/>
    <w:rsid w:val="001E728D"/>
    <w:rsid w:val="002237A1"/>
    <w:rsid w:val="0022725F"/>
    <w:rsid w:val="00231EBB"/>
    <w:rsid w:val="00250016"/>
    <w:rsid w:val="00283352"/>
    <w:rsid w:val="002A058C"/>
    <w:rsid w:val="002A577A"/>
    <w:rsid w:val="002A63CD"/>
    <w:rsid w:val="002C11A3"/>
    <w:rsid w:val="002F1A2A"/>
    <w:rsid w:val="00330B9E"/>
    <w:rsid w:val="0033532F"/>
    <w:rsid w:val="0035603A"/>
    <w:rsid w:val="00360A58"/>
    <w:rsid w:val="00380401"/>
    <w:rsid w:val="00386F71"/>
    <w:rsid w:val="00390FD9"/>
    <w:rsid w:val="0039413F"/>
    <w:rsid w:val="003A2B81"/>
    <w:rsid w:val="003B4D81"/>
    <w:rsid w:val="003C253D"/>
    <w:rsid w:val="003C4A53"/>
    <w:rsid w:val="003D203C"/>
    <w:rsid w:val="003D5E11"/>
    <w:rsid w:val="003F381E"/>
    <w:rsid w:val="003F464B"/>
    <w:rsid w:val="004230BB"/>
    <w:rsid w:val="004236F7"/>
    <w:rsid w:val="00424B8A"/>
    <w:rsid w:val="00460519"/>
    <w:rsid w:val="0046126A"/>
    <w:rsid w:val="00471C05"/>
    <w:rsid w:val="00474E92"/>
    <w:rsid w:val="00491A5C"/>
    <w:rsid w:val="00496E04"/>
    <w:rsid w:val="004C4701"/>
    <w:rsid w:val="004C4A40"/>
    <w:rsid w:val="00513992"/>
    <w:rsid w:val="005348DF"/>
    <w:rsid w:val="00536391"/>
    <w:rsid w:val="0053767D"/>
    <w:rsid w:val="00545FF0"/>
    <w:rsid w:val="00550787"/>
    <w:rsid w:val="005917F4"/>
    <w:rsid w:val="005B1EBC"/>
    <w:rsid w:val="005B3942"/>
    <w:rsid w:val="005B6B27"/>
    <w:rsid w:val="005D70F1"/>
    <w:rsid w:val="005E2766"/>
    <w:rsid w:val="005E4F00"/>
    <w:rsid w:val="005F2032"/>
    <w:rsid w:val="00616525"/>
    <w:rsid w:val="00633476"/>
    <w:rsid w:val="006349D9"/>
    <w:rsid w:val="00645E85"/>
    <w:rsid w:val="00664406"/>
    <w:rsid w:val="006E2C20"/>
    <w:rsid w:val="00700905"/>
    <w:rsid w:val="007023B2"/>
    <w:rsid w:val="0070267F"/>
    <w:rsid w:val="00720932"/>
    <w:rsid w:val="00734AAE"/>
    <w:rsid w:val="00740193"/>
    <w:rsid w:val="00742290"/>
    <w:rsid w:val="00751C64"/>
    <w:rsid w:val="00764FD8"/>
    <w:rsid w:val="007650D5"/>
    <w:rsid w:val="00767778"/>
    <w:rsid w:val="00774AC7"/>
    <w:rsid w:val="007772CF"/>
    <w:rsid w:val="00777EE8"/>
    <w:rsid w:val="007869C0"/>
    <w:rsid w:val="007A0566"/>
    <w:rsid w:val="007B3E09"/>
    <w:rsid w:val="007C0B12"/>
    <w:rsid w:val="00802B8F"/>
    <w:rsid w:val="0081548F"/>
    <w:rsid w:val="00871914"/>
    <w:rsid w:val="00880C51"/>
    <w:rsid w:val="00881C95"/>
    <w:rsid w:val="00891901"/>
    <w:rsid w:val="00892F89"/>
    <w:rsid w:val="00894AEB"/>
    <w:rsid w:val="0089696E"/>
    <w:rsid w:val="00896C99"/>
    <w:rsid w:val="008B6407"/>
    <w:rsid w:val="00903777"/>
    <w:rsid w:val="00923086"/>
    <w:rsid w:val="00950548"/>
    <w:rsid w:val="009538F8"/>
    <w:rsid w:val="00957D0D"/>
    <w:rsid w:val="009625A2"/>
    <w:rsid w:val="009A1DAA"/>
    <w:rsid w:val="009D7EE7"/>
    <w:rsid w:val="00A01816"/>
    <w:rsid w:val="00A07C80"/>
    <w:rsid w:val="00A1351F"/>
    <w:rsid w:val="00A33086"/>
    <w:rsid w:val="00A55149"/>
    <w:rsid w:val="00A87FAD"/>
    <w:rsid w:val="00A9368B"/>
    <w:rsid w:val="00AA78CD"/>
    <w:rsid w:val="00AD087B"/>
    <w:rsid w:val="00AD5BF8"/>
    <w:rsid w:val="00B11278"/>
    <w:rsid w:val="00B139A6"/>
    <w:rsid w:val="00B15E01"/>
    <w:rsid w:val="00B338A1"/>
    <w:rsid w:val="00B33B3C"/>
    <w:rsid w:val="00B36DDD"/>
    <w:rsid w:val="00B54842"/>
    <w:rsid w:val="00BA3473"/>
    <w:rsid w:val="00BB11FF"/>
    <w:rsid w:val="00BC17DB"/>
    <w:rsid w:val="00BC432B"/>
    <w:rsid w:val="00BD590D"/>
    <w:rsid w:val="00BE0F6E"/>
    <w:rsid w:val="00C017D1"/>
    <w:rsid w:val="00C11D6D"/>
    <w:rsid w:val="00C27CCE"/>
    <w:rsid w:val="00C317C0"/>
    <w:rsid w:val="00C37261"/>
    <w:rsid w:val="00C4252F"/>
    <w:rsid w:val="00C45FCC"/>
    <w:rsid w:val="00C50609"/>
    <w:rsid w:val="00C53EE2"/>
    <w:rsid w:val="00C5687D"/>
    <w:rsid w:val="00C80C3B"/>
    <w:rsid w:val="00C92011"/>
    <w:rsid w:val="00CC4780"/>
    <w:rsid w:val="00CD4DAB"/>
    <w:rsid w:val="00D05315"/>
    <w:rsid w:val="00D452FC"/>
    <w:rsid w:val="00D475D9"/>
    <w:rsid w:val="00D55D31"/>
    <w:rsid w:val="00D74BE3"/>
    <w:rsid w:val="00D835DC"/>
    <w:rsid w:val="00DB4F80"/>
    <w:rsid w:val="00DC344F"/>
    <w:rsid w:val="00DD73BE"/>
    <w:rsid w:val="00E005EC"/>
    <w:rsid w:val="00E00B28"/>
    <w:rsid w:val="00E25A42"/>
    <w:rsid w:val="00E30832"/>
    <w:rsid w:val="00E45B2E"/>
    <w:rsid w:val="00E532BC"/>
    <w:rsid w:val="00E73741"/>
    <w:rsid w:val="00EB51CE"/>
    <w:rsid w:val="00EB7D10"/>
    <w:rsid w:val="00F016F8"/>
    <w:rsid w:val="00F02FEA"/>
    <w:rsid w:val="00F13994"/>
    <w:rsid w:val="00F22CFC"/>
    <w:rsid w:val="00F2388C"/>
    <w:rsid w:val="00F253DB"/>
    <w:rsid w:val="00F26F3E"/>
    <w:rsid w:val="00F273BE"/>
    <w:rsid w:val="00F312D1"/>
    <w:rsid w:val="00F363E9"/>
    <w:rsid w:val="00F74DCB"/>
    <w:rsid w:val="00F85F7C"/>
    <w:rsid w:val="00F92DBD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31C50"/>
  <w14:defaultImageDpi w14:val="0"/>
  <w15:docId w15:val="{8552E501-CC31-447E-8CA3-BDFF14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011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201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C9201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C9201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141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C9201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9201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9201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92011"/>
    <w:pPr>
      <w:spacing w:before="180" w:after="60"/>
      <w:jc w:val="both"/>
    </w:pPr>
  </w:style>
  <w:style w:type="paragraph" w:customStyle="1" w:styleId="CoverActName">
    <w:name w:val="CoverActNam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92011"/>
    <w:pPr>
      <w:tabs>
        <w:tab w:val="left" w:pos="2880"/>
      </w:tabs>
    </w:pPr>
  </w:style>
  <w:style w:type="paragraph" w:customStyle="1" w:styleId="Apara">
    <w:name w:val="A para"/>
    <w:basedOn w:val="Normal"/>
    <w:rsid w:val="00C92011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92011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92011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9201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C9201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C9201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92011"/>
    <w:rPr>
      <w:rFonts w:cs="Times New Roman"/>
    </w:rPr>
  </w:style>
  <w:style w:type="paragraph" w:customStyle="1" w:styleId="CoverInForce">
    <w:name w:val="CoverInForce"/>
    <w:basedOn w:val="Normal"/>
    <w:rsid w:val="00C9201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9201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9201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C92011"/>
    <w:rPr>
      <w:rFonts w:cs="Times New Roman"/>
    </w:rPr>
  </w:style>
  <w:style w:type="paragraph" w:customStyle="1" w:styleId="Aparabullet">
    <w:name w:val="A para bullet"/>
    <w:basedOn w:val="Normal"/>
    <w:rsid w:val="00C9201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C92011"/>
  </w:style>
  <w:style w:type="paragraph" w:styleId="TOC2">
    <w:name w:val="toc 2"/>
    <w:basedOn w:val="Normal"/>
    <w:next w:val="Normal"/>
    <w:autoRedefine/>
    <w:uiPriority w:val="39"/>
    <w:semiHidden/>
    <w:rsid w:val="00C9201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C9201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C9201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C9201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C9201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C9201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C9201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C92011"/>
    <w:pPr>
      <w:ind w:left="1920"/>
    </w:pPr>
  </w:style>
  <w:style w:type="character" w:styleId="Hyperlink">
    <w:name w:val="Hyperlink"/>
    <w:basedOn w:val="DefaultParagraphFont"/>
    <w:uiPriority w:val="99"/>
    <w:rsid w:val="00C9201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C9201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C9201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9201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9201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C9201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9201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201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C9201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92011"/>
    <w:rPr>
      <w:rFonts w:cs="Times New Roman"/>
    </w:rPr>
  </w:style>
  <w:style w:type="paragraph" w:styleId="ListParagraph">
    <w:name w:val="List Paragraph"/>
    <w:basedOn w:val="Normal"/>
    <w:uiPriority w:val="34"/>
    <w:qFormat/>
    <w:rsid w:val="00063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82141"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rsid w:val="006165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52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1652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16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525"/>
    <w:rPr>
      <w:b/>
      <w:bCs/>
      <w:lang w:eastAsia="en-US"/>
    </w:rPr>
  </w:style>
  <w:style w:type="paragraph" w:styleId="Revision">
    <w:name w:val="Revision"/>
    <w:hidden/>
    <w:uiPriority w:val="99"/>
    <w:semiHidden/>
    <w:rsid w:val="005139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B66C-B3C5-412B-A2BE-37DBC059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4695</Characters>
  <Application>Microsoft Office Word</Application>
  <DocSecurity>0</DocSecurity>
  <Lines>110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dc:description/>
  <cp:lastModifiedBy>PCODCS</cp:lastModifiedBy>
  <cp:revision>4</cp:revision>
  <cp:lastPrinted>2006-03-31T03:28:00Z</cp:lastPrinted>
  <dcterms:created xsi:type="dcterms:W3CDTF">2022-12-06T03:19:00Z</dcterms:created>
  <dcterms:modified xsi:type="dcterms:W3CDTF">2022-12-06T03:19:00Z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A39622609</vt:lpwstr>
  </property>
  <property fmtid="{D5CDD505-2E9C-101B-9397-08002B2CF9AE}" pid="4" name="Objective-Title">
    <vt:lpwstr>Att B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2022-11-08T00:00:40Z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2022-12-06T01:59:34Z</vt:filetime>
  </property>
  <property fmtid="{D5CDD505-2E9C-101B-9397-08002B2CF9AE}" pid="10" name="Objective-ModificationStamp">
    <vt:filetime>2022-12-06T01:59:34Z</vt:filetime>
  </property>
  <property fmtid="{D5CDD505-2E9C-101B-9397-08002B2CF9AE}" pid="11" name="Objective-Owner">
    <vt:lpwstr>Marzi Hamidi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Ministerials:2022 - Ministerial and Chief Ministerial Briefs / Correspondence:Climate Change &amp; Energy:10. October:22/141961 Ministerial Information Brief - Rattenbury - ACT Greenhouse Gas Inventory Report 2021-22:</vt:lpwstr>
  </property>
  <property fmtid="{D5CDD505-2E9C-101B-9397-08002B2CF9AE}" pid="13" name="Objective-Parent">
    <vt:lpwstr>22/141961 Ministerial Information Brief - Rattenbury - ACT Greenhouse Gas Inventory Report 2021-22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1-2022/141961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