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D1C" w:rsidRDefault="00E21D1C">
      <w:pPr>
        <w:spacing w:before="120"/>
        <w:ind w:left="-284"/>
        <w:rPr>
          <w:rFonts w:ascii="Arial" w:hAnsi="Arial" w:cs="Arial"/>
        </w:rPr>
      </w:pPr>
      <w:bookmarkStart w:id="0" w:name="_Toc44738651"/>
      <w:r>
        <w:rPr>
          <w:rFonts w:ascii="Arial" w:hAnsi="Arial" w:cs="Arial"/>
        </w:rPr>
        <w:t>Australian Capital Territory</w:t>
      </w:r>
    </w:p>
    <w:p w:rsidR="00E21D1C" w:rsidRDefault="00E21D1C">
      <w:pPr>
        <w:pStyle w:val="Billname"/>
        <w:spacing w:before="700"/>
        <w:ind w:left="-284" w:right="-198"/>
      </w:pPr>
      <w:r>
        <w:t xml:space="preserve">Adoption (Fees) </w:t>
      </w:r>
      <w:r>
        <w:rPr>
          <w:color w:val="000000"/>
        </w:rPr>
        <w:t>Determination</w:t>
      </w:r>
      <w:r w:rsidR="00B465F7">
        <w:t xml:space="preserve"> 20</w:t>
      </w:r>
      <w:r w:rsidR="00A25A19">
        <w:t>2</w:t>
      </w:r>
      <w:r w:rsidR="0011463D">
        <w:t>2</w:t>
      </w:r>
      <w:r w:rsidR="00A56A88">
        <w:t xml:space="preserve"> (No </w:t>
      </w:r>
      <w:r w:rsidR="006C092B">
        <w:t>1</w:t>
      </w:r>
      <w:r>
        <w:t>)</w:t>
      </w:r>
    </w:p>
    <w:p w:rsidR="00E21D1C" w:rsidRDefault="00E21D1C">
      <w:pPr>
        <w:pStyle w:val="Heading5"/>
        <w:ind w:left="-284"/>
        <w:rPr>
          <w:vertAlign w:val="superscript"/>
        </w:rPr>
      </w:pPr>
      <w:r>
        <w:t>Disallo</w:t>
      </w:r>
      <w:r w:rsidR="009A583D">
        <w:t>wable instrument DI20</w:t>
      </w:r>
      <w:r w:rsidR="00A25A19">
        <w:t>2</w:t>
      </w:r>
      <w:r w:rsidR="0011463D">
        <w:t>2</w:t>
      </w:r>
      <w:r w:rsidR="00FC4B3D">
        <w:t>-</w:t>
      </w:r>
      <w:r w:rsidR="00E735F8">
        <w:t>257</w:t>
      </w:r>
    </w:p>
    <w:p w:rsidR="00E21D1C" w:rsidRDefault="00E21D1C">
      <w:pPr>
        <w:pStyle w:val="madeunder"/>
        <w:spacing w:before="240" w:after="120"/>
        <w:ind w:left="-284"/>
        <w:rPr>
          <w:rFonts w:ascii="Arial Narrow" w:hAnsi="Arial Narrow" w:cs="Arial Narrow"/>
        </w:rPr>
      </w:pPr>
      <w:r>
        <w:rPr>
          <w:rFonts w:ascii="Arial Narrow" w:hAnsi="Arial Narrow" w:cs="Arial Narrow"/>
        </w:rPr>
        <w:t xml:space="preserve">made under the  </w:t>
      </w:r>
    </w:p>
    <w:p w:rsidR="00E21D1C" w:rsidRDefault="00E21D1C">
      <w:pPr>
        <w:pStyle w:val="CoverActName"/>
        <w:ind w:left="-284"/>
        <w:rPr>
          <w:rFonts w:ascii="Arial Narrow" w:hAnsi="Arial Narrow" w:cs="Arial Narrow"/>
          <w:sz w:val="20"/>
          <w:szCs w:val="20"/>
        </w:rPr>
      </w:pPr>
      <w:r>
        <w:rPr>
          <w:rFonts w:ascii="Arial Narrow" w:hAnsi="Arial Narrow" w:cs="Arial Narrow"/>
        </w:rPr>
        <w:t>Adoption Act 1993, section 118 (Determination of Fees)</w:t>
      </w:r>
    </w:p>
    <w:p w:rsidR="00E21D1C" w:rsidRDefault="00E21D1C">
      <w:pPr>
        <w:spacing w:before="360"/>
        <w:ind w:left="-284" w:right="565"/>
        <w:rPr>
          <w:rFonts w:ascii="Arial" w:hAnsi="Arial" w:cs="Arial"/>
          <w:b/>
          <w:bCs/>
          <w:sz w:val="28"/>
          <w:szCs w:val="28"/>
        </w:rPr>
      </w:pPr>
      <w:r>
        <w:rPr>
          <w:rFonts w:ascii="Arial" w:hAnsi="Arial" w:cs="Arial"/>
          <w:b/>
          <w:bCs/>
          <w:sz w:val="28"/>
          <w:szCs w:val="28"/>
        </w:rPr>
        <w:t>EXPLANATORY STATEMENT</w:t>
      </w:r>
    </w:p>
    <w:p w:rsidR="00E21D1C" w:rsidRDefault="00E21D1C">
      <w:pPr>
        <w:pStyle w:val="N-line3"/>
        <w:pBdr>
          <w:bottom w:val="none" w:sz="0" w:space="0" w:color="auto"/>
        </w:pBdr>
        <w:ind w:left="-284"/>
      </w:pPr>
    </w:p>
    <w:bookmarkEnd w:id="0"/>
    <w:p w:rsidR="005B17DC" w:rsidRDefault="005B17DC" w:rsidP="005B17DC">
      <w:pPr>
        <w:pStyle w:val="N-line3"/>
        <w:pBdr>
          <w:top w:val="single" w:sz="12" w:space="1" w:color="auto"/>
          <w:bottom w:val="none" w:sz="0" w:space="0" w:color="auto"/>
        </w:pBdr>
        <w:ind w:left="-284"/>
      </w:pPr>
    </w:p>
    <w:p w:rsidR="005B17DC" w:rsidRPr="002A0412" w:rsidRDefault="005B17DC" w:rsidP="005B17DC">
      <w:pPr>
        <w:ind w:left="-284"/>
        <w:jc w:val="both"/>
      </w:pPr>
      <w:r w:rsidRPr="002A0412">
        <w:t xml:space="preserve">The </w:t>
      </w:r>
      <w:r w:rsidRPr="002A0412">
        <w:rPr>
          <w:i/>
        </w:rPr>
        <w:t>Adoptions Act 1993</w:t>
      </w:r>
      <w:r w:rsidRPr="002A0412">
        <w:t xml:space="preserve"> (the Act) commenced operation on 1 July 1993. The Act provides the legal framework for adoptions in the ACT.</w:t>
      </w:r>
    </w:p>
    <w:p w:rsidR="005B17DC" w:rsidRPr="002A0412" w:rsidRDefault="005B17DC" w:rsidP="005B17DC">
      <w:pPr>
        <w:ind w:left="-284"/>
        <w:jc w:val="both"/>
      </w:pPr>
      <w:r w:rsidRPr="002A0412">
        <w:t xml:space="preserve"> </w:t>
      </w:r>
    </w:p>
    <w:p w:rsidR="005B17DC" w:rsidRPr="002A0412" w:rsidRDefault="005B17DC" w:rsidP="005B17DC">
      <w:pPr>
        <w:ind w:left="-284"/>
        <w:jc w:val="both"/>
      </w:pPr>
      <w:r w:rsidRPr="002A0412">
        <w:t xml:space="preserve">Section 118 of the Act provides for fees to be determined in respect of these services. Fees are charged in respect of Intercountry Adoption as this program is not viewed as a service to children of the ACT community. Fees assist in part reimbursement of the infrastructure necessary to maintain an overseas adoption program.  </w:t>
      </w:r>
    </w:p>
    <w:p w:rsidR="005B17DC" w:rsidRPr="002A0412" w:rsidRDefault="005B17DC" w:rsidP="005B17DC">
      <w:pPr>
        <w:ind w:left="-284"/>
        <w:jc w:val="both"/>
      </w:pPr>
    </w:p>
    <w:p w:rsidR="005B17DC" w:rsidRPr="002A0412" w:rsidRDefault="005B17DC" w:rsidP="005B17DC">
      <w:pPr>
        <w:ind w:left="-284"/>
        <w:jc w:val="both"/>
      </w:pPr>
      <w:r w:rsidRPr="002A0412">
        <w:rPr>
          <w:i/>
          <w:iCs/>
        </w:rPr>
        <w:t>"Known" child adoptions</w:t>
      </w:r>
      <w:r w:rsidRPr="002A0412">
        <w:t xml:space="preserve"> are of children born or permanently residing in Australia who have a pre-existing relationship with the adoptive parent(s), such as step-parents, other relatives and carers.</w:t>
      </w:r>
    </w:p>
    <w:p w:rsidR="005B17DC" w:rsidRPr="002A0412" w:rsidRDefault="005B17DC" w:rsidP="005B17DC">
      <w:pPr>
        <w:ind w:left="-284"/>
        <w:jc w:val="both"/>
      </w:pPr>
    </w:p>
    <w:p w:rsidR="005B17DC" w:rsidRPr="002A0412" w:rsidRDefault="005B17DC" w:rsidP="005B17DC">
      <w:pPr>
        <w:ind w:left="-284"/>
        <w:jc w:val="both"/>
      </w:pPr>
      <w:r w:rsidRPr="002A0412">
        <w:t>Fees are charged for step-parent adoption as these services are viewed as non-essential as a range of alternative options are available to these children through Family Law provisions.</w:t>
      </w:r>
    </w:p>
    <w:p w:rsidR="005B17DC" w:rsidRPr="002A0412" w:rsidRDefault="005B17DC" w:rsidP="005B17DC">
      <w:pPr>
        <w:ind w:left="-284"/>
        <w:jc w:val="both"/>
      </w:pPr>
    </w:p>
    <w:p w:rsidR="005B17DC" w:rsidRPr="002A0412" w:rsidRDefault="005B17DC" w:rsidP="005B17DC">
      <w:pPr>
        <w:ind w:left="-284"/>
        <w:jc w:val="both"/>
      </w:pPr>
      <w:r w:rsidRPr="002A0412">
        <w:t xml:space="preserve">Fees are not charged for known adoptions when the child or young person is in out of home care. </w:t>
      </w:r>
    </w:p>
    <w:p w:rsidR="005B17DC" w:rsidRPr="002A0412" w:rsidRDefault="005B17DC" w:rsidP="005B17DC">
      <w:pPr>
        <w:ind w:left="-284"/>
        <w:jc w:val="both"/>
      </w:pPr>
    </w:p>
    <w:p w:rsidR="005B17DC" w:rsidRPr="002A0412" w:rsidRDefault="005B17DC" w:rsidP="005B17DC">
      <w:pPr>
        <w:ind w:left="-284"/>
        <w:jc w:val="both"/>
      </w:pPr>
      <w:r w:rsidRPr="002A0412">
        <w:t xml:space="preserve">There are five different Adoption fees:  </w:t>
      </w:r>
    </w:p>
    <w:p w:rsidR="005B17DC" w:rsidRPr="002A0412" w:rsidRDefault="005B17DC" w:rsidP="005B17DC">
      <w:pPr>
        <w:ind w:left="-284"/>
        <w:jc w:val="both"/>
      </w:pPr>
    </w:p>
    <w:p w:rsidR="005B17DC" w:rsidRPr="002A0412" w:rsidRDefault="005B17DC" w:rsidP="005B17DC">
      <w:pPr>
        <w:ind w:left="-284"/>
        <w:jc w:val="both"/>
      </w:pPr>
      <w:r w:rsidRPr="002A0412">
        <w:rPr>
          <w:b/>
          <w:bCs/>
          <w:u w:val="single"/>
        </w:rPr>
        <w:t>Intercountry Adoption</w:t>
      </w:r>
      <w:r w:rsidRPr="002A0412">
        <w:t xml:space="preserve"> – this type of adoption is for families residing in the ACT wishing to adopt a child or children born overseas. Intercountry adoption attracts four fees for components at four different stages of the adoptions process:</w:t>
      </w:r>
    </w:p>
    <w:p w:rsidR="005B17DC" w:rsidRPr="002A0412" w:rsidRDefault="005B17DC" w:rsidP="005B17DC">
      <w:pPr>
        <w:ind w:left="-284"/>
      </w:pPr>
    </w:p>
    <w:p w:rsidR="005B17DC" w:rsidRPr="002A0412" w:rsidRDefault="005B17DC" w:rsidP="005B17DC">
      <w:pPr>
        <w:numPr>
          <w:ilvl w:val="0"/>
          <w:numId w:val="12"/>
        </w:numPr>
      </w:pPr>
      <w:r w:rsidRPr="002A0412">
        <w:t>Two-day education seminar</w:t>
      </w:r>
    </w:p>
    <w:p w:rsidR="005B17DC" w:rsidRPr="002A0412" w:rsidRDefault="005B17DC" w:rsidP="005B17DC">
      <w:pPr>
        <w:numPr>
          <w:ilvl w:val="0"/>
          <w:numId w:val="12"/>
        </w:numPr>
      </w:pPr>
      <w:r w:rsidRPr="002A0412">
        <w:t>Intercountry adoption application</w:t>
      </w:r>
    </w:p>
    <w:p w:rsidR="005B17DC" w:rsidRPr="002A0412" w:rsidRDefault="005B17DC" w:rsidP="005B17DC">
      <w:pPr>
        <w:numPr>
          <w:ilvl w:val="0"/>
          <w:numId w:val="12"/>
        </w:numPr>
      </w:pPr>
      <w:r w:rsidRPr="002A0412">
        <w:t>Intercountry adoption private assessor</w:t>
      </w:r>
    </w:p>
    <w:p w:rsidR="005B17DC" w:rsidRPr="002A0412" w:rsidRDefault="005B17DC" w:rsidP="005B17DC">
      <w:pPr>
        <w:numPr>
          <w:ilvl w:val="0"/>
          <w:numId w:val="12"/>
        </w:numPr>
      </w:pPr>
      <w:r w:rsidRPr="002A0412">
        <w:t>Intercountry adoption post placement reports</w:t>
      </w:r>
    </w:p>
    <w:p w:rsidR="005B17DC" w:rsidRPr="002A0412" w:rsidRDefault="005B17DC" w:rsidP="005B17DC">
      <w:pPr>
        <w:ind w:left="-284"/>
      </w:pPr>
    </w:p>
    <w:p w:rsidR="005B17DC" w:rsidRPr="002A0412" w:rsidRDefault="005B17DC" w:rsidP="005B17DC">
      <w:pPr>
        <w:ind w:left="-284"/>
      </w:pPr>
      <w:r w:rsidRPr="002A0412">
        <w:rPr>
          <w:b/>
          <w:bCs/>
          <w:u w:val="single"/>
        </w:rPr>
        <w:lastRenderedPageBreak/>
        <w:t>Step-Parent or known Adoption</w:t>
      </w:r>
      <w:r w:rsidRPr="002A0412">
        <w:t xml:space="preserve"> – this type of adoption is for families residing in the ACT wishing to adopt a relative or known child. Step-parent or known adoption attracts only one fee:</w:t>
      </w:r>
    </w:p>
    <w:p w:rsidR="005B17DC" w:rsidRPr="002A0412" w:rsidRDefault="005B17DC" w:rsidP="005B17DC">
      <w:pPr>
        <w:ind w:left="-284"/>
      </w:pPr>
    </w:p>
    <w:p w:rsidR="005B17DC" w:rsidRPr="002A0412" w:rsidRDefault="005B17DC" w:rsidP="005B17DC">
      <w:pPr>
        <w:numPr>
          <w:ilvl w:val="0"/>
          <w:numId w:val="12"/>
        </w:numPr>
      </w:pPr>
      <w:r w:rsidRPr="002A0412">
        <w:t>Step-parent / known adoption application and assessment</w:t>
      </w:r>
    </w:p>
    <w:p w:rsidR="005B17DC" w:rsidRPr="002A0412" w:rsidRDefault="005B17DC" w:rsidP="005B17DC"/>
    <w:p w:rsidR="005B17DC" w:rsidRPr="002A0412" w:rsidRDefault="005B17DC" w:rsidP="005B17DC">
      <w:pPr>
        <w:ind w:left="-284"/>
      </w:pPr>
      <w:r w:rsidRPr="002A0412">
        <w:t xml:space="preserve">Under Division 81 </w:t>
      </w:r>
      <w:r w:rsidRPr="00E57C0B">
        <w:t>Determinations of the GST</w:t>
      </w:r>
      <w:r w:rsidRPr="002A0412">
        <w:t xml:space="preserve"> legislation, adoption fees do not attract GST.</w:t>
      </w:r>
    </w:p>
    <w:p w:rsidR="005B17DC" w:rsidRPr="002A0412" w:rsidRDefault="005B17DC" w:rsidP="005B17DC">
      <w:pPr>
        <w:ind w:left="-284"/>
        <w:jc w:val="both"/>
      </w:pPr>
    </w:p>
    <w:p w:rsidR="005B17DC" w:rsidRPr="002A0412" w:rsidRDefault="005B17DC" w:rsidP="005B17DC">
      <w:pPr>
        <w:ind w:left="-284"/>
        <w:jc w:val="both"/>
      </w:pPr>
      <w:r w:rsidRPr="002A0412">
        <w:t xml:space="preserve">In accordance with Part 6.3 </w:t>
      </w:r>
      <w:r w:rsidRPr="00E57C0B">
        <w:rPr>
          <w:i/>
          <w:iCs/>
        </w:rPr>
        <w:t>Legislation Act 2001</w:t>
      </w:r>
      <w:r w:rsidRPr="002A0412">
        <w:t xml:space="preserve"> (Making of certain statutory instruments about fees), all mandatory conditions have been met.  Applicable mandatory conditions are: </w:t>
      </w:r>
    </w:p>
    <w:p w:rsidR="005B17DC" w:rsidRPr="00E57C0B" w:rsidRDefault="005B17DC" w:rsidP="005B17DC">
      <w:pPr>
        <w:ind w:left="340"/>
        <w:jc w:val="both"/>
        <w:rPr>
          <w:i/>
          <w:iCs/>
        </w:rPr>
      </w:pPr>
      <w:r w:rsidRPr="00E57C0B">
        <w:rPr>
          <w:i/>
          <w:iCs/>
        </w:rPr>
        <w:t>56 (5) the determination</w:t>
      </w:r>
    </w:p>
    <w:p w:rsidR="005B17DC" w:rsidRPr="00E57C0B" w:rsidRDefault="005B17DC" w:rsidP="005B17DC">
      <w:pPr>
        <w:ind w:left="964"/>
        <w:jc w:val="both"/>
        <w:rPr>
          <w:i/>
          <w:iCs/>
        </w:rPr>
      </w:pPr>
      <w:r w:rsidRPr="00E57C0B">
        <w:rPr>
          <w:i/>
          <w:iCs/>
        </w:rPr>
        <w:t>(a) must provide by whom the fee is payable; (intercountry and step-parent adoption applicants) and</w:t>
      </w:r>
    </w:p>
    <w:p w:rsidR="005B17DC" w:rsidRPr="00E57C0B" w:rsidRDefault="005B17DC" w:rsidP="005B17DC">
      <w:pPr>
        <w:ind w:left="964"/>
        <w:jc w:val="both"/>
        <w:rPr>
          <w:i/>
          <w:iCs/>
        </w:rPr>
      </w:pPr>
      <w:r w:rsidRPr="00E57C0B">
        <w:rPr>
          <w:i/>
          <w:iCs/>
        </w:rPr>
        <w:t>(b) must provide to whom the fee is paid (Child and Youth Protection Services, Community Services Directorate).</w:t>
      </w:r>
    </w:p>
    <w:p w:rsidR="005B17DC" w:rsidRPr="002A0412" w:rsidRDefault="005B17DC" w:rsidP="005B17DC">
      <w:pPr>
        <w:pStyle w:val="BodyTextIndent2"/>
        <w:ind w:left="-284" w:firstLine="0"/>
        <w:rPr>
          <w:rFonts w:ascii="Times New Roman" w:hAnsi="Times New Roman" w:cs="Times New Roman"/>
        </w:rPr>
      </w:pPr>
    </w:p>
    <w:p w:rsidR="005B17DC" w:rsidRPr="002A0412" w:rsidRDefault="005B17DC" w:rsidP="005B17DC">
      <w:pPr>
        <w:pStyle w:val="BodyTextIndent2"/>
        <w:ind w:left="-284" w:firstLine="0"/>
        <w:rPr>
          <w:rFonts w:ascii="Times New Roman" w:hAnsi="Times New Roman" w:cs="Times New Roman"/>
        </w:rPr>
      </w:pPr>
      <w:r w:rsidRPr="002A0412">
        <w:rPr>
          <w:rFonts w:ascii="Times New Roman" w:hAnsi="Times New Roman" w:cs="Times New Roman"/>
        </w:rPr>
        <w:t>Child and Youth Protection Services last increased these ongoing fees and charges for the 2020-2021 financial year by 2 per cent of the previous determination (DI-2019/150)</w:t>
      </w:r>
      <w:r>
        <w:rPr>
          <w:rFonts w:ascii="Times New Roman" w:hAnsi="Times New Roman" w:cs="Times New Roman"/>
        </w:rPr>
        <w:t>, in line with the Wage Price Index (WPI)</w:t>
      </w:r>
      <w:r w:rsidRPr="002A0412">
        <w:rPr>
          <w:rFonts w:ascii="Times New Roman" w:hAnsi="Times New Roman" w:cs="Times New Roman"/>
        </w:rPr>
        <w:t xml:space="preserve">. </w:t>
      </w:r>
    </w:p>
    <w:p w:rsidR="005B17DC" w:rsidRPr="002A0412" w:rsidRDefault="005B17DC" w:rsidP="005B17DC">
      <w:pPr>
        <w:pStyle w:val="BodyTextIndent2"/>
        <w:ind w:left="-284" w:firstLine="0"/>
        <w:rPr>
          <w:rFonts w:ascii="Times New Roman" w:hAnsi="Times New Roman" w:cs="Times New Roman"/>
        </w:rPr>
      </w:pPr>
    </w:p>
    <w:p w:rsidR="005B17DC" w:rsidRPr="002A0412" w:rsidRDefault="005B17DC" w:rsidP="005B17DC">
      <w:pPr>
        <w:pStyle w:val="BodyTextIndent2"/>
        <w:ind w:left="-284" w:firstLine="0"/>
        <w:rPr>
          <w:rFonts w:ascii="Times New Roman" w:hAnsi="Times New Roman" w:cs="Times New Roman"/>
        </w:rPr>
      </w:pPr>
      <w:r w:rsidRPr="002A0412">
        <w:rPr>
          <w:rFonts w:ascii="Times New Roman" w:hAnsi="Times New Roman" w:cs="Times New Roman"/>
        </w:rPr>
        <w:t xml:space="preserve">Child and Youth Protection Services did not increase these fees for the 2021-2022 financial year. </w:t>
      </w:r>
    </w:p>
    <w:p w:rsidR="00D131B4" w:rsidRDefault="00D131B4">
      <w:pPr>
        <w:pStyle w:val="BodyTextIndent2"/>
        <w:ind w:left="-284" w:firstLine="0"/>
      </w:pPr>
    </w:p>
    <w:p w:rsidR="00D131B4" w:rsidRPr="005B17DC" w:rsidRDefault="00D131B4" w:rsidP="00D131B4">
      <w:pPr>
        <w:pStyle w:val="BodyTextIndent2"/>
        <w:ind w:left="-284" w:firstLine="0"/>
        <w:rPr>
          <w:rFonts w:ascii="Times New Roman" w:hAnsi="Times New Roman" w:cs="Times New Roman"/>
        </w:rPr>
      </w:pPr>
      <w:r w:rsidRPr="005B17DC">
        <w:rPr>
          <w:rFonts w:ascii="Times New Roman" w:hAnsi="Times New Roman" w:cs="Times New Roman"/>
        </w:rPr>
        <w:t>Child and Youth Protection Services is increasing these ongoing fees and charges for the 202</w:t>
      </w:r>
      <w:r w:rsidR="00BD767C" w:rsidRPr="005B17DC">
        <w:rPr>
          <w:rFonts w:ascii="Times New Roman" w:hAnsi="Times New Roman" w:cs="Times New Roman"/>
        </w:rPr>
        <w:t>2</w:t>
      </w:r>
      <w:r w:rsidRPr="005B17DC">
        <w:rPr>
          <w:rFonts w:ascii="Times New Roman" w:hAnsi="Times New Roman" w:cs="Times New Roman"/>
        </w:rPr>
        <w:t>-202</w:t>
      </w:r>
      <w:r w:rsidR="00BD767C" w:rsidRPr="005B17DC">
        <w:rPr>
          <w:rFonts w:ascii="Times New Roman" w:hAnsi="Times New Roman" w:cs="Times New Roman"/>
        </w:rPr>
        <w:t>3</w:t>
      </w:r>
      <w:r w:rsidRPr="005B17DC">
        <w:rPr>
          <w:rFonts w:ascii="Times New Roman" w:hAnsi="Times New Roman" w:cs="Times New Roman"/>
        </w:rPr>
        <w:t xml:space="preserve"> financial year by the </w:t>
      </w:r>
      <w:r w:rsidR="005B17DC" w:rsidRPr="005B17DC">
        <w:rPr>
          <w:rFonts w:ascii="Times New Roman" w:hAnsi="Times New Roman" w:cs="Times New Roman"/>
        </w:rPr>
        <w:t>WPI</w:t>
      </w:r>
      <w:r w:rsidRPr="005B17DC">
        <w:rPr>
          <w:rFonts w:ascii="Times New Roman" w:hAnsi="Times New Roman" w:cs="Times New Roman"/>
        </w:rPr>
        <w:t xml:space="preserve"> of </w:t>
      </w:r>
      <w:r w:rsidR="00D82084" w:rsidRPr="005B17DC">
        <w:rPr>
          <w:rFonts w:ascii="Times New Roman" w:hAnsi="Times New Roman" w:cs="Times New Roman"/>
        </w:rPr>
        <w:t>3.25</w:t>
      </w:r>
      <w:r w:rsidRPr="005B17DC">
        <w:rPr>
          <w:rFonts w:ascii="Times New Roman" w:hAnsi="Times New Roman" w:cs="Times New Roman"/>
        </w:rPr>
        <w:t xml:space="preserve"> per</w:t>
      </w:r>
      <w:r w:rsidR="00D82084" w:rsidRPr="005B17DC">
        <w:rPr>
          <w:rFonts w:ascii="Times New Roman" w:hAnsi="Times New Roman" w:cs="Times New Roman"/>
        </w:rPr>
        <w:t xml:space="preserve"> </w:t>
      </w:r>
      <w:r w:rsidRPr="005B17DC">
        <w:rPr>
          <w:rFonts w:ascii="Times New Roman" w:hAnsi="Times New Roman" w:cs="Times New Roman"/>
        </w:rPr>
        <w:t>cent of the previous determination (DI</w:t>
      </w:r>
      <w:r w:rsidR="00821376">
        <w:rPr>
          <w:rFonts w:ascii="Times New Roman" w:hAnsi="Times New Roman" w:cs="Times New Roman"/>
        </w:rPr>
        <w:noBreakHyphen/>
      </w:r>
      <w:r w:rsidRPr="005B17DC">
        <w:rPr>
          <w:rFonts w:ascii="Times New Roman" w:hAnsi="Times New Roman" w:cs="Times New Roman"/>
        </w:rPr>
        <w:t xml:space="preserve">2020/190). </w:t>
      </w:r>
      <w:r w:rsidR="00D82084" w:rsidRPr="005B17DC">
        <w:rPr>
          <w:rFonts w:ascii="Times New Roman" w:hAnsi="Times New Roman" w:cs="Times New Roman"/>
        </w:rPr>
        <w:t>The WPI reflects the minimum increase in the cost of administrating the underlying activity.</w:t>
      </w:r>
    </w:p>
    <w:p w:rsidR="00E21D1C" w:rsidRDefault="00E21D1C" w:rsidP="005B17DC">
      <w:pPr>
        <w:pStyle w:val="BodyTextIndent2"/>
        <w:ind w:hanging="283"/>
      </w:pPr>
    </w:p>
    <w:tbl>
      <w:tblPr>
        <w:tblW w:w="0" w:type="auto"/>
        <w:tblInd w:w="-318" w:type="dxa"/>
        <w:tblLook w:val="04A0" w:firstRow="1" w:lastRow="0" w:firstColumn="1" w:lastColumn="0" w:noHBand="0" w:noVBand="1"/>
      </w:tblPr>
      <w:tblGrid>
        <w:gridCol w:w="4821"/>
        <w:gridCol w:w="1984"/>
        <w:gridCol w:w="2036"/>
      </w:tblGrid>
      <w:tr w:rsidR="005B17DC" w:rsidTr="00690CAA">
        <w:tc>
          <w:tcPr>
            <w:tcW w:w="4821" w:type="dxa"/>
            <w:shd w:val="clear" w:color="auto" w:fill="auto"/>
          </w:tcPr>
          <w:p w:rsidR="005B17DC" w:rsidRPr="0097738E" w:rsidRDefault="005B17DC" w:rsidP="00690CAA">
            <w:pPr>
              <w:pStyle w:val="BodyTextIndent2"/>
              <w:ind w:left="0" w:firstLine="0"/>
              <w:rPr>
                <w:rFonts w:ascii="Times New Roman" w:hAnsi="Times New Roman" w:cs="Times New Roman"/>
              </w:rPr>
            </w:pP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u w:val="single"/>
              </w:rPr>
              <w:t>Old Rate (20/21)</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u w:val="single"/>
              </w:rPr>
              <w:t>New Rate (22/23)</w:t>
            </w:r>
          </w:p>
        </w:tc>
      </w:tr>
      <w:tr w:rsidR="005B17DC" w:rsidTr="00690CAA">
        <w:tc>
          <w:tcPr>
            <w:tcW w:w="4821" w:type="dxa"/>
            <w:shd w:val="clear" w:color="auto" w:fill="auto"/>
          </w:tcPr>
          <w:p w:rsidR="005B17DC" w:rsidRPr="0097738E" w:rsidRDefault="005B17DC" w:rsidP="005B17DC">
            <w:pPr>
              <w:pStyle w:val="BodyTextIndent2"/>
              <w:numPr>
                <w:ilvl w:val="0"/>
                <w:numId w:val="15"/>
              </w:numPr>
              <w:rPr>
                <w:rFonts w:ascii="Times New Roman" w:hAnsi="Times New Roman" w:cs="Times New Roman"/>
              </w:rPr>
            </w:pPr>
            <w:r w:rsidRPr="0097738E">
              <w:rPr>
                <w:rFonts w:ascii="Times New Roman" w:hAnsi="Times New Roman" w:cs="Times New Roman"/>
              </w:rPr>
              <w:t>Two-day education seminar</w:t>
            </w: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$369.00</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$3</w:t>
            </w:r>
            <w:r>
              <w:rPr>
                <w:rFonts w:ascii="Times New Roman" w:hAnsi="Times New Roman" w:cs="Times New Roman"/>
              </w:rPr>
              <w:t>81</w:t>
            </w:r>
            <w:r w:rsidRPr="0097738E">
              <w:rPr>
                <w:rFonts w:ascii="Times New Roman" w:hAnsi="Times New Roman" w:cs="Times New Roman"/>
              </w:rPr>
              <w:t>.00</w:t>
            </w:r>
          </w:p>
        </w:tc>
      </w:tr>
      <w:tr w:rsidR="005B17DC" w:rsidTr="00690CAA">
        <w:tc>
          <w:tcPr>
            <w:tcW w:w="4821" w:type="dxa"/>
            <w:shd w:val="clear" w:color="auto" w:fill="auto"/>
          </w:tcPr>
          <w:p w:rsidR="005B17DC" w:rsidRPr="0097738E" w:rsidRDefault="005B17DC" w:rsidP="005B17DC">
            <w:pPr>
              <w:pStyle w:val="BodyTextIndent2"/>
              <w:numPr>
                <w:ilvl w:val="0"/>
                <w:numId w:val="15"/>
              </w:numPr>
              <w:rPr>
                <w:rFonts w:ascii="Times New Roman" w:hAnsi="Times New Roman" w:cs="Times New Roman"/>
              </w:rPr>
            </w:pPr>
            <w:r w:rsidRPr="0097738E">
              <w:rPr>
                <w:rFonts w:ascii="Times New Roman" w:hAnsi="Times New Roman" w:cs="Times New Roman"/>
              </w:rPr>
              <w:t>Intercountry adoption application</w:t>
            </w: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$1803.00</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$18</w:t>
            </w:r>
            <w:r>
              <w:rPr>
                <w:rFonts w:ascii="Times New Roman" w:hAnsi="Times New Roman" w:cs="Times New Roman"/>
              </w:rPr>
              <w:t>62</w:t>
            </w:r>
            <w:r w:rsidRPr="0097738E">
              <w:rPr>
                <w:rFonts w:ascii="Times New Roman" w:hAnsi="Times New Roman" w:cs="Times New Roman"/>
              </w:rPr>
              <w:t>.00</w:t>
            </w:r>
          </w:p>
        </w:tc>
      </w:tr>
      <w:tr w:rsidR="005B17DC" w:rsidTr="00690CAA">
        <w:tc>
          <w:tcPr>
            <w:tcW w:w="4821" w:type="dxa"/>
            <w:shd w:val="clear" w:color="auto" w:fill="auto"/>
          </w:tcPr>
          <w:p w:rsidR="005B17DC" w:rsidRPr="0097738E" w:rsidRDefault="005B17DC" w:rsidP="005B17DC">
            <w:pPr>
              <w:pStyle w:val="BodyTextIndent2"/>
              <w:numPr>
                <w:ilvl w:val="0"/>
                <w:numId w:val="15"/>
              </w:numPr>
              <w:rPr>
                <w:rFonts w:ascii="Times New Roman" w:hAnsi="Times New Roman" w:cs="Times New Roman"/>
              </w:rPr>
            </w:pPr>
            <w:r w:rsidRPr="0097738E">
              <w:rPr>
                <w:rFonts w:ascii="Times New Roman" w:hAnsi="Times New Roman" w:cs="Times New Roman"/>
              </w:rPr>
              <w:t>Intercountry adoption private assessor</w:t>
            </w: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$3058.00</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$31</w:t>
            </w:r>
            <w:r>
              <w:rPr>
                <w:rFonts w:ascii="Times New Roman" w:hAnsi="Times New Roman" w:cs="Times New Roman"/>
              </w:rPr>
              <w:t>57</w:t>
            </w:r>
            <w:r w:rsidRPr="0097738E">
              <w:rPr>
                <w:rFonts w:ascii="Times New Roman" w:hAnsi="Times New Roman" w:cs="Times New Roman"/>
              </w:rPr>
              <w:t>.00</w:t>
            </w:r>
          </w:p>
        </w:tc>
      </w:tr>
      <w:tr w:rsidR="005B17DC" w:rsidTr="00690CAA">
        <w:tc>
          <w:tcPr>
            <w:tcW w:w="4821" w:type="dxa"/>
            <w:shd w:val="clear" w:color="auto" w:fill="auto"/>
          </w:tcPr>
          <w:p w:rsidR="005B17DC" w:rsidRPr="0097738E" w:rsidRDefault="005B17DC" w:rsidP="005B17DC">
            <w:pPr>
              <w:pStyle w:val="BodyTextIndent2"/>
              <w:numPr>
                <w:ilvl w:val="0"/>
                <w:numId w:val="15"/>
              </w:numPr>
              <w:rPr>
                <w:rFonts w:ascii="Times New Roman" w:hAnsi="Times New Roman" w:cs="Times New Roman"/>
              </w:rPr>
            </w:pPr>
            <w:r w:rsidRPr="0097738E">
              <w:rPr>
                <w:rFonts w:ascii="Times New Roman" w:hAnsi="Times New Roman" w:cs="Times New Roman"/>
              </w:rPr>
              <w:t>Intercountry adoption post placement reports</w:t>
            </w: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$1241.00</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$12</w:t>
            </w:r>
            <w:r>
              <w:rPr>
                <w:rFonts w:ascii="Times New Roman" w:hAnsi="Times New Roman" w:cs="Times New Roman"/>
              </w:rPr>
              <w:t>81</w:t>
            </w:r>
            <w:r w:rsidRPr="0097738E">
              <w:rPr>
                <w:rFonts w:ascii="Times New Roman" w:hAnsi="Times New Roman" w:cs="Times New Roman"/>
              </w:rPr>
              <w:t>.00</w:t>
            </w:r>
          </w:p>
        </w:tc>
      </w:tr>
      <w:tr w:rsidR="005B17DC" w:rsidTr="00690CAA">
        <w:tc>
          <w:tcPr>
            <w:tcW w:w="4821" w:type="dxa"/>
            <w:shd w:val="clear" w:color="auto" w:fill="auto"/>
          </w:tcPr>
          <w:p w:rsidR="005B17DC" w:rsidRPr="0097738E" w:rsidRDefault="005B17DC" w:rsidP="005B17DC">
            <w:pPr>
              <w:pStyle w:val="BodyTextIndent2"/>
              <w:numPr>
                <w:ilvl w:val="0"/>
                <w:numId w:val="15"/>
              </w:numPr>
              <w:rPr>
                <w:rFonts w:ascii="Times New Roman" w:hAnsi="Times New Roman" w:cs="Times New Roman"/>
              </w:rPr>
            </w:pPr>
            <w:r w:rsidRPr="0097738E">
              <w:rPr>
                <w:rFonts w:ascii="Times New Roman" w:hAnsi="Times New Roman" w:cs="Times New Roman"/>
              </w:rPr>
              <w:t>Step-parent / known adoption application and assessment</w:t>
            </w:r>
          </w:p>
        </w:tc>
        <w:tc>
          <w:tcPr>
            <w:tcW w:w="1984"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$1091.00</w:t>
            </w:r>
          </w:p>
        </w:tc>
        <w:tc>
          <w:tcPr>
            <w:tcW w:w="2036" w:type="dxa"/>
            <w:shd w:val="clear" w:color="auto" w:fill="auto"/>
          </w:tcPr>
          <w:p w:rsidR="005B17DC" w:rsidRPr="0097738E" w:rsidRDefault="005B17DC" w:rsidP="00690CAA">
            <w:pPr>
              <w:pStyle w:val="BodyTextIndent2"/>
              <w:ind w:left="0" w:firstLine="0"/>
              <w:rPr>
                <w:rFonts w:ascii="Times New Roman" w:hAnsi="Times New Roman" w:cs="Times New Roman"/>
              </w:rPr>
            </w:pPr>
            <w:r w:rsidRPr="0097738E">
              <w:rPr>
                <w:rFonts w:ascii="Times New Roman" w:hAnsi="Times New Roman" w:cs="Times New Roman"/>
              </w:rPr>
              <w:t>$11</w:t>
            </w:r>
            <w:r>
              <w:rPr>
                <w:rFonts w:ascii="Times New Roman" w:hAnsi="Times New Roman" w:cs="Times New Roman"/>
              </w:rPr>
              <w:t>26</w:t>
            </w:r>
            <w:r w:rsidRPr="0097738E">
              <w:rPr>
                <w:rFonts w:ascii="Times New Roman" w:hAnsi="Times New Roman" w:cs="Times New Roman"/>
              </w:rPr>
              <w:t>.00</w:t>
            </w:r>
          </w:p>
        </w:tc>
      </w:tr>
    </w:tbl>
    <w:p w:rsidR="00E21D1C" w:rsidRPr="00D82084" w:rsidRDefault="00E21D1C" w:rsidP="005B17DC">
      <w:pPr>
        <w:pStyle w:val="BodyTextIndent2"/>
        <w:ind w:hanging="283"/>
        <w:rPr>
          <w:rFonts w:ascii="Times New Roman" w:hAnsi="Times New Roman" w:cs="Times New Roman"/>
        </w:rPr>
      </w:pPr>
    </w:p>
    <w:p w:rsidR="00E21D1C" w:rsidRPr="005B17DC" w:rsidRDefault="00CE0B71" w:rsidP="005B17DC">
      <w:pPr>
        <w:pStyle w:val="BodyTextIndent2"/>
        <w:ind w:left="56" w:firstLine="0"/>
        <w:rPr>
          <w:rFonts w:ascii="Times New Roman" w:hAnsi="Times New Roman" w:cs="Times New Roman"/>
        </w:rPr>
      </w:pPr>
      <w:r w:rsidRPr="00D82084">
        <w:rPr>
          <w:rFonts w:ascii="Times New Roman" w:hAnsi="Times New Roman" w:cs="Times New Roman"/>
        </w:rPr>
        <w:tab/>
      </w:r>
      <w:r w:rsidRPr="00D82084">
        <w:rPr>
          <w:rFonts w:ascii="Times New Roman" w:hAnsi="Times New Roman" w:cs="Times New Roman"/>
        </w:rPr>
        <w:tab/>
      </w:r>
      <w:r w:rsidRPr="00D82084">
        <w:rPr>
          <w:rFonts w:ascii="Times New Roman" w:hAnsi="Times New Roman" w:cs="Times New Roman"/>
        </w:rPr>
        <w:tab/>
      </w:r>
      <w:r w:rsidR="00D51EE7" w:rsidRPr="00D82084">
        <w:rPr>
          <w:rFonts w:ascii="Times New Roman" w:hAnsi="Times New Roman" w:cs="Times New Roman"/>
        </w:rPr>
        <w:tab/>
      </w:r>
      <w:r w:rsidR="00D51EE7" w:rsidRPr="00D82084">
        <w:rPr>
          <w:rFonts w:ascii="Times New Roman" w:hAnsi="Times New Roman" w:cs="Times New Roman"/>
        </w:rPr>
        <w:tab/>
      </w:r>
      <w:r w:rsidR="00D51EE7" w:rsidRPr="00D82084">
        <w:rPr>
          <w:rFonts w:ascii="Times New Roman" w:hAnsi="Times New Roman" w:cs="Times New Roman"/>
        </w:rPr>
        <w:tab/>
      </w:r>
    </w:p>
    <w:p w:rsidR="00D82084" w:rsidRPr="009D2F61" w:rsidRDefault="00D82084" w:rsidP="00D82084">
      <w:pPr>
        <w:pStyle w:val="BodyTextIndent2"/>
        <w:ind w:left="-284" w:firstLine="0"/>
        <w:rPr>
          <w:rFonts w:ascii="Times New Roman" w:hAnsi="Times New Roman" w:cs="Times New Roman"/>
        </w:rPr>
      </w:pPr>
      <w:r w:rsidRPr="0040794B">
        <w:rPr>
          <w:rFonts w:ascii="Times New Roman" w:hAnsi="Times New Roman" w:cs="Times New Roman"/>
          <w:lang w:val="x-none"/>
        </w:rPr>
        <w:t xml:space="preserve">The instrument commences </w:t>
      </w:r>
      <w:r w:rsidR="009D2F61">
        <w:rPr>
          <w:rFonts w:ascii="Times New Roman" w:hAnsi="Times New Roman" w:cs="Times New Roman"/>
        </w:rPr>
        <w:t xml:space="preserve">the day after it is notified. </w:t>
      </w:r>
    </w:p>
    <w:p w:rsidR="00D82084" w:rsidRPr="0040794B" w:rsidRDefault="00D82084" w:rsidP="00D82084">
      <w:pPr>
        <w:pStyle w:val="BodyTextIndent2"/>
        <w:ind w:left="-284" w:firstLine="0"/>
        <w:rPr>
          <w:rFonts w:ascii="Times New Roman" w:hAnsi="Times New Roman" w:cs="Times New Roman"/>
          <w:lang w:val="x-none"/>
        </w:rPr>
      </w:pPr>
    </w:p>
    <w:p w:rsidR="00D82084" w:rsidRPr="0040794B" w:rsidRDefault="00D82084" w:rsidP="00D82084">
      <w:pPr>
        <w:pStyle w:val="BodyTextIndent2"/>
        <w:ind w:left="-284" w:firstLine="0"/>
        <w:rPr>
          <w:rFonts w:ascii="Times New Roman" w:hAnsi="Times New Roman" w:cs="Times New Roman"/>
          <w:i/>
          <w:lang w:val="x-none"/>
        </w:rPr>
      </w:pPr>
      <w:r w:rsidRPr="0040794B">
        <w:rPr>
          <w:rFonts w:ascii="Times New Roman" w:hAnsi="Times New Roman" w:cs="Times New Roman"/>
          <w:lang w:val="x-none"/>
        </w:rPr>
        <w:t xml:space="preserve">This instrument revokes </w:t>
      </w:r>
      <w:r w:rsidRPr="0040794B">
        <w:rPr>
          <w:rFonts w:ascii="Times New Roman" w:hAnsi="Times New Roman" w:cs="Times New Roman"/>
        </w:rPr>
        <w:t xml:space="preserve">the </w:t>
      </w:r>
      <w:r w:rsidRPr="0040794B">
        <w:rPr>
          <w:rFonts w:ascii="Times New Roman" w:hAnsi="Times New Roman" w:cs="Times New Roman"/>
          <w:i/>
        </w:rPr>
        <w:t>Adoption Fees</w:t>
      </w:r>
      <w:r w:rsidRPr="0040794B">
        <w:rPr>
          <w:rFonts w:ascii="Times New Roman" w:hAnsi="Times New Roman" w:cs="Times New Roman"/>
          <w:i/>
          <w:lang w:val="x-none"/>
        </w:rPr>
        <w:t xml:space="preserve"> Determination 20</w:t>
      </w:r>
      <w:r w:rsidRPr="0040794B">
        <w:rPr>
          <w:rFonts w:ascii="Times New Roman" w:hAnsi="Times New Roman" w:cs="Times New Roman"/>
          <w:i/>
          <w:lang w:val="en-US"/>
        </w:rPr>
        <w:t xml:space="preserve">19 </w:t>
      </w:r>
      <w:r w:rsidRPr="0040794B">
        <w:rPr>
          <w:rFonts w:ascii="Times New Roman" w:hAnsi="Times New Roman" w:cs="Times New Roman"/>
          <w:lang w:val="x-none"/>
        </w:rPr>
        <w:t>(DI</w:t>
      </w:r>
      <w:r w:rsidRPr="0040794B">
        <w:rPr>
          <w:rFonts w:ascii="Times New Roman" w:hAnsi="Times New Roman" w:cs="Times New Roman"/>
        </w:rPr>
        <w:t>-</w:t>
      </w:r>
      <w:r w:rsidRPr="0040794B">
        <w:rPr>
          <w:rFonts w:ascii="Times New Roman" w:hAnsi="Times New Roman" w:cs="Times New Roman"/>
          <w:lang w:val="x-none"/>
        </w:rPr>
        <w:t>20</w:t>
      </w:r>
      <w:r w:rsidRPr="0040794B">
        <w:rPr>
          <w:rFonts w:ascii="Times New Roman" w:hAnsi="Times New Roman" w:cs="Times New Roman"/>
          <w:lang w:val="en-US"/>
        </w:rPr>
        <w:t>19/150</w:t>
      </w:r>
      <w:r w:rsidRPr="0040794B">
        <w:rPr>
          <w:rFonts w:ascii="Times New Roman" w:hAnsi="Times New Roman" w:cs="Times New Roman"/>
          <w:lang w:val="x-none"/>
        </w:rPr>
        <w:t>)</w:t>
      </w:r>
      <w:r w:rsidRPr="0040794B">
        <w:rPr>
          <w:rFonts w:ascii="Times New Roman" w:hAnsi="Times New Roman" w:cs="Times New Roman"/>
          <w:i/>
          <w:lang w:val="x-none"/>
        </w:rPr>
        <w:t>.</w:t>
      </w:r>
    </w:p>
    <w:p w:rsidR="00D82084" w:rsidRPr="0040794B" w:rsidRDefault="00D82084" w:rsidP="00D82084">
      <w:pPr>
        <w:pStyle w:val="BodyTextIndent2"/>
        <w:ind w:left="-284" w:firstLine="0"/>
        <w:rPr>
          <w:rFonts w:ascii="Times New Roman" w:hAnsi="Times New Roman" w:cs="Times New Roman"/>
          <w:i/>
          <w:lang w:val="x-none"/>
        </w:rPr>
      </w:pPr>
    </w:p>
    <w:p w:rsidR="00D82084" w:rsidRPr="0040794B" w:rsidRDefault="00D82084" w:rsidP="00D82084">
      <w:pPr>
        <w:pStyle w:val="BodyTextIndent2"/>
        <w:ind w:left="-284" w:firstLine="0"/>
        <w:rPr>
          <w:rFonts w:ascii="Times New Roman" w:hAnsi="Times New Roman" w:cs="Times New Roman"/>
          <w:lang w:eastAsia="en-AU"/>
        </w:rPr>
      </w:pPr>
      <w:r w:rsidRPr="0040794B">
        <w:rPr>
          <w:rFonts w:ascii="Times New Roman" w:hAnsi="Times New Roman" w:cs="Times New Roman"/>
        </w:rPr>
        <w:t xml:space="preserve">A determination under section 118 of the Act is a disallowable instrument </w:t>
      </w:r>
      <w:r w:rsidRPr="0040794B">
        <w:rPr>
          <w:rFonts w:ascii="Times New Roman" w:hAnsi="Times New Roman" w:cs="Times New Roman"/>
          <w:lang w:eastAsia="en-AU"/>
        </w:rPr>
        <w:t xml:space="preserve">and must be presented to the Legislative Assembly within 6 sitting days after its notification pursuant to section 64 of the </w:t>
      </w:r>
      <w:r w:rsidRPr="0040794B">
        <w:rPr>
          <w:rFonts w:ascii="Times New Roman" w:hAnsi="Times New Roman" w:cs="Times New Roman"/>
          <w:i/>
          <w:iCs/>
          <w:lang w:eastAsia="en-AU"/>
        </w:rPr>
        <w:t>Legislation Act 2001</w:t>
      </w:r>
      <w:r w:rsidRPr="0040794B">
        <w:rPr>
          <w:rFonts w:ascii="Times New Roman" w:hAnsi="Times New Roman" w:cs="Times New Roman"/>
          <w:iCs/>
          <w:lang w:eastAsia="en-AU"/>
        </w:rPr>
        <w:t>.</w:t>
      </w:r>
    </w:p>
    <w:p w:rsidR="00D82084" w:rsidRPr="0040794B" w:rsidRDefault="00D82084" w:rsidP="00D82084">
      <w:pPr>
        <w:pStyle w:val="BodyTextIndent2"/>
        <w:ind w:hanging="283"/>
        <w:rPr>
          <w:rFonts w:ascii="Times New Roman" w:hAnsi="Times New Roman" w:cs="Times New Roman"/>
          <w:lang w:eastAsia="en-AU"/>
        </w:rPr>
      </w:pPr>
    </w:p>
    <w:p w:rsidR="00D82084" w:rsidRPr="0040794B" w:rsidRDefault="00D82084" w:rsidP="00D82084">
      <w:pPr>
        <w:pStyle w:val="BodyTextIndent2"/>
        <w:ind w:left="-284" w:firstLine="0"/>
        <w:rPr>
          <w:rFonts w:ascii="Times New Roman" w:hAnsi="Times New Roman" w:cs="Times New Roman"/>
        </w:rPr>
      </w:pPr>
      <w:r w:rsidRPr="0040794B">
        <w:rPr>
          <w:rFonts w:ascii="Times New Roman" w:hAnsi="Times New Roman" w:cs="Times New Roman"/>
          <w:b/>
          <w:color w:val="000000"/>
        </w:rPr>
        <w:lastRenderedPageBreak/>
        <w:t>Human Rights</w:t>
      </w:r>
      <w:r w:rsidRPr="0040794B">
        <w:rPr>
          <w:rFonts w:ascii="Times New Roman" w:hAnsi="Times New Roman" w:cs="Times New Roman"/>
        </w:rPr>
        <w:t xml:space="preserve"> </w:t>
      </w:r>
    </w:p>
    <w:p w:rsidR="00D82084" w:rsidRPr="0040794B" w:rsidRDefault="00D82084" w:rsidP="00D82084">
      <w:pPr>
        <w:pStyle w:val="BodyTextIndent2"/>
        <w:ind w:left="-284" w:firstLine="0"/>
        <w:rPr>
          <w:rFonts w:ascii="Times New Roman" w:hAnsi="Times New Roman" w:cs="Times New Roman"/>
          <w:color w:val="000000"/>
        </w:rPr>
      </w:pPr>
      <w:r>
        <w:rPr>
          <w:rFonts w:ascii="Times New Roman" w:hAnsi="Times New Roman" w:cs="Times New Roman"/>
          <w:color w:val="000000"/>
        </w:rPr>
        <w:t>D</w:t>
      </w:r>
      <w:r w:rsidRPr="0040794B">
        <w:rPr>
          <w:rFonts w:ascii="Times New Roman" w:hAnsi="Times New Roman" w:cs="Times New Roman"/>
          <w:color w:val="000000"/>
        </w:rPr>
        <w:t>eterminations must be compatible with the </w:t>
      </w:r>
      <w:r w:rsidRPr="0040794B">
        <w:rPr>
          <w:rFonts w:ascii="Times New Roman" w:hAnsi="Times New Roman" w:cs="Times New Roman"/>
          <w:i/>
          <w:iCs/>
          <w:color w:val="000000"/>
        </w:rPr>
        <w:t>Human Rights Act 2004 </w:t>
      </w:r>
      <w:r w:rsidRPr="0040794B">
        <w:rPr>
          <w:rFonts w:ascii="Times New Roman" w:hAnsi="Times New Roman" w:cs="Times New Roman"/>
          <w:color w:val="000000"/>
        </w:rPr>
        <w:t>(HRA). The compatibility of this determination with the HRA was considered during its development.</w:t>
      </w:r>
    </w:p>
    <w:p w:rsidR="00D82084" w:rsidRPr="0040794B" w:rsidRDefault="00D82084" w:rsidP="00D82084">
      <w:pPr>
        <w:pStyle w:val="BodyTextIndent2"/>
        <w:ind w:left="-284" w:firstLine="0"/>
        <w:rPr>
          <w:rFonts w:ascii="Times New Roman" w:hAnsi="Times New Roman" w:cs="Times New Roman"/>
          <w:color w:val="000000"/>
        </w:rPr>
      </w:pPr>
    </w:p>
    <w:p w:rsidR="00D82084" w:rsidRPr="0040794B" w:rsidRDefault="00D82084" w:rsidP="00D82084">
      <w:pPr>
        <w:pStyle w:val="BodyTextIndent2"/>
        <w:ind w:left="-284" w:firstLine="0"/>
        <w:rPr>
          <w:rFonts w:ascii="Times New Roman" w:hAnsi="Times New Roman" w:cs="Times New Roman"/>
          <w:color w:val="000000"/>
        </w:rPr>
      </w:pPr>
      <w:r w:rsidRPr="0040794B">
        <w:rPr>
          <w:rFonts w:ascii="Times New Roman" w:hAnsi="Times New Roman" w:cs="Times New Roman"/>
          <w:color w:val="000000"/>
        </w:rPr>
        <w:t>Section 28(1) of the HRA provides that human rights may be subject to reasonable limits set by laws that can be demonstrably justified in a free and democratic society.</w:t>
      </w:r>
    </w:p>
    <w:p w:rsidR="00D82084" w:rsidRPr="0040794B" w:rsidRDefault="00D82084" w:rsidP="00D82084">
      <w:pPr>
        <w:pStyle w:val="BodyTextIndent2"/>
        <w:ind w:left="-284" w:firstLine="0"/>
        <w:rPr>
          <w:rFonts w:ascii="Times New Roman" w:hAnsi="Times New Roman" w:cs="Times New Roman"/>
          <w:color w:val="000000"/>
        </w:rPr>
      </w:pPr>
    </w:p>
    <w:p w:rsidR="00D82084" w:rsidRPr="0040794B" w:rsidRDefault="00D82084" w:rsidP="00D82084">
      <w:pPr>
        <w:pStyle w:val="BodyTextIndent2"/>
        <w:ind w:left="-284" w:firstLine="0"/>
        <w:rPr>
          <w:rFonts w:ascii="Times New Roman" w:hAnsi="Times New Roman" w:cs="Times New Roman"/>
          <w:color w:val="000000"/>
        </w:rPr>
      </w:pPr>
      <w:r w:rsidRPr="0040794B">
        <w:rPr>
          <w:rFonts w:ascii="Times New Roman" w:hAnsi="Times New Roman" w:cs="Times New Roman"/>
          <w:color w:val="000000"/>
        </w:rPr>
        <w:t>Section 28(2) of the HRA contains a framework that is used to determine the acceptable limitations that may be placed on human rights.</w:t>
      </w:r>
    </w:p>
    <w:p w:rsidR="00D82084" w:rsidRPr="0040794B" w:rsidRDefault="00D82084" w:rsidP="00D82084">
      <w:pPr>
        <w:pStyle w:val="BodyTextIndent2"/>
        <w:ind w:left="-284" w:firstLine="0"/>
        <w:rPr>
          <w:rFonts w:ascii="Times New Roman" w:hAnsi="Times New Roman" w:cs="Times New Roman"/>
          <w:color w:val="000000"/>
        </w:rPr>
      </w:pPr>
    </w:p>
    <w:p w:rsidR="00D82084" w:rsidRPr="0040794B" w:rsidRDefault="00D82084" w:rsidP="00D82084">
      <w:pPr>
        <w:pStyle w:val="BodyTextIndent2"/>
        <w:ind w:left="-284" w:firstLine="0"/>
        <w:rPr>
          <w:rFonts w:ascii="Times New Roman" w:hAnsi="Times New Roman" w:cs="Times New Roman"/>
          <w:color w:val="000000"/>
        </w:rPr>
      </w:pPr>
      <w:r w:rsidRPr="0040794B">
        <w:rPr>
          <w:rFonts w:ascii="Times New Roman" w:hAnsi="Times New Roman" w:cs="Times New Roman"/>
          <w:color w:val="000000"/>
        </w:rPr>
        <w:t>The limitations in this </w:t>
      </w:r>
      <w:r>
        <w:rPr>
          <w:rFonts w:ascii="Times New Roman" w:hAnsi="Times New Roman" w:cs="Times New Roman"/>
          <w:color w:val="000000"/>
        </w:rPr>
        <w:t>determination</w:t>
      </w:r>
      <w:r w:rsidRPr="0040794B">
        <w:rPr>
          <w:rFonts w:ascii="Times New Roman" w:hAnsi="Times New Roman" w:cs="Times New Roman"/>
          <w:color w:val="000000"/>
        </w:rPr>
        <w:t> on rights protected in the HRA are considered demonstrably justifiable pursuant to section 28 of the HRA.</w:t>
      </w:r>
    </w:p>
    <w:p w:rsidR="00D82084" w:rsidRPr="0040794B" w:rsidRDefault="00D82084" w:rsidP="00D82084">
      <w:pPr>
        <w:pStyle w:val="BodyTextIndent2"/>
        <w:ind w:left="-284" w:firstLine="0"/>
        <w:rPr>
          <w:rFonts w:ascii="Times New Roman" w:hAnsi="Times New Roman" w:cs="Times New Roman"/>
          <w:b/>
          <w:color w:val="000000"/>
        </w:rPr>
      </w:pPr>
    </w:p>
    <w:p w:rsidR="00D82084" w:rsidRPr="0040794B" w:rsidRDefault="00D82084" w:rsidP="00D82084">
      <w:pPr>
        <w:ind w:left="-284"/>
        <w:jc w:val="both"/>
      </w:pPr>
      <w:r w:rsidRPr="0040794B">
        <w:t>The right to protection of family and children is engaged by</w:t>
      </w:r>
      <w:r>
        <w:t xml:space="preserve"> this determination by</w:t>
      </w:r>
      <w:r w:rsidRPr="0040794B">
        <w:t xml:space="preserve"> virtue of the subject matter being adoption. The fees are considered a reasonable and justifiable limitation </w:t>
      </w:r>
      <w:r>
        <w:t xml:space="preserve">on this right, </w:t>
      </w:r>
      <w:r w:rsidRPr="0040794B">
        <w:t xml:space="preserve">given that the fees are nominal and only partially fund the infrastructure necessary to maintain an overseas adoption program. Further, the fees are not applicable </w:t>
      </w:r>
      <w:r>
        <w:t>to</w:t>
      </w:r>
      <w:r w:rsidRPr="0040794B">
        <w:t xml:space="preserve"> known adoptions</w:t>
      </w:r>
      <w:r>
        <w:t>,</w:t>
      </w:r>
      <w:r w:rsidRPr="0040794B">
        <w:t xml:space="preserve"> when the child or young person is in out of home care and a range of alternative options are available to step-parents of children through Family Law provisions.</w:t>
      </w:r>
    </w:p>
    <w:p w:rsidR="00D82084" w:rsidRDefault="00D82084">
      <w:pPr>
        <w:pStyle w:val="BodyTextIndent2"/>
      </w:pPr>
    </w:p>
    <w:sectPr w:rsidR="00D82084">
      <w:headerReference w:type="even" r:id="rId8"/>
      <w:headerReference w:type="default" r:id="rId9"/>
      <w:footerReference w:type="even" r:id="rId10"/>
      <w:footerReference w:type="default" r:id="rId11"/>
      <w:headerReference w:type="first" r:id="rId12"/>
      <w:footerReference w:type="first" r:id="rId13"/>
      <w:pgSz w:w="11907" w:h="16839" w:code="9"/>
      <w:pgMar w:top="1985" w:right="1800" w:bottom="1440" w:left="1800" w:header="720" w:footer="974"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F10" w:rsidRDefault="00D71F10">
      <w:r>
        <w:separator/>
      </w:r>
    </w:p>
  </w:endnote>
  <w:endnote w:type="continuationSeparator" w:id="0">
    <w:p w:rsidR="00D71F10" w:rsidRDefault="00D7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9B7" w:rsidRDefault="009A4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4C0" w:rsidRPr="009A49B7" w:rsidRDefault="009A49B7" w:rsidP="009A49B7">
    <w:pPr>
      <w:pStyle w:val="Footer"/>
      <w:jc w:val="center"/>
      <w:rPr>
        <w:sz w:val="14"/>
        <w:szCs w:val="14"/>
      </w:rPr>
    </w:pPr>
    <w:r w:rsidRPr="009A49B7">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9B7" w:rsidRDefault="009A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F10" w:rsidRDefault="00D71F10">
      <w:r>
        <w:separator/>
      </w:r>
    </w:p>
  </w:footnote>
  <w:footnote w:type="continuationSeparator" w:id="0">
    <w:p w:rsidR="00D71F10" w:rsidRDefault="00D7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9B7" w:rsidRDefault="009A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4C0" w:rsidRDefault="009744C0" w:rsidP="0006074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9B7" w:rsidRDefault="009A4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lvlText w:val="%5"/>
      <w:lvlJc w:val="left"/>
      <w:pPr>
        <w:tabs>
          <w:tab w:val="num" w:pos="700"/>
        </w:tabs>
        <w:ind w:left="700" w:hanging="700"/>
      </w:pPr>
      <w:rPr>
        <w:rFonts w:ascii="Times New Roman" w:hAnsi="Times New Roman" w:cs="Times New Roman"/>
        <w:b/>
        <w:bCs/>
        <w:i w:val="0"/>
        <w:iCs w:val="0"/>
      </w:rPr>
    </w:lvl>
    <w:lvl w:ilvl="5">
      <w:start w:val="1"/>
      <w:numFmt w:val="decimal"/>
      <w:lvlText w:val="(%6)"/>
      <w:lvlJc w:val="right"/>
      <w:pPr>
        <w:tabs>
          <w:tab w:val="num" w:pos="700"/>
        </w:tabs>
        <w:ind w:left="700" w:hanging="200"/>
      </w:pPr>
      <w:rPr>
        <w:rFonts w:ascii="Times New Roman" w:hAnsi="Times New Roman" w:cs="Times New Roman"/>
        <w:b w:val="0"/>
        <w:bCs w:val="0"/>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lowerRoman"/>
      <w:lvlText w:val="(%8)"/>
      <w:lvlJc w:val="right"/>
      <w:pPr>
        <w:tabs>
          <w:tab w:val="num" w:pos="1740"/>
        </w:tabs>
        <w:ind w:left="1740" w:hanging="200"/>
      </w:pPr>
      <w:rPr>
        <w:rFonts w:ascii="Times New Roman" w:hAnsi="Times New Roman" w:cs="Times New Roman"/>
        <w:b w:val="0"/>
        <w:bCs w:val="0"/>
        <w:i w:val="0"/>
        <w:iCs w:val="0"/>
      </w:rPr>
    </w:lvl>
    <w:lvl w:ilvl="8">
      <w:start w:val="1"/>
      <w:numFmt w:val="upperLetter"/>
      <w:lvlText w:val="(%9)"/>
      <w:lvlJc w:val="right"/>
      <w:pPr>
        <w:tabs>
          <w:tab w:val="num" w:pos="2260"/>
        </w:tabs>
        <w:ind w:left="2260" w:hanging="200"/>
      </w:pPr>
      <w:rPr>
        <w:rFonts w:ascii="Times New Roman" w:hAnsi="Times New Roman" w:cs="Times New Roman"/>
        <w:b w:val="0"/>
        <w:bCs w:val="0"/>
        <w:i w:val="0"/>
        <w:iCs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E5558C"/>
    <w:multiLevelType w:val="hybridMultilevel"/>
    <w:tmpl w:val="AC969EBC"/>
    <w:lvl w:ilvl="0" w:tplc="729AEB34">
      <w:start w:val="1"/>
      <w:numFmt w:val="decimal"/>
      <w:lvlText w:val="%1)"/>
      <w:lvlJc w:val="left"/>
      <w:pPr>
        <w:tabs>
          <w:tab w:val="num" w:pos="76"/>
        </w:tabs>
        <w:ind w:left="76" w:hanging="360"/>
      </w:pPr>
      <w:rPr>
        <w:rFonts w:ascii="Times New Roman" w:hAnsi="Times New Roman" w:cs="Times New Roman" w:hint="default"/>
      </w:rPr>
    </w:lvl>
    <w:lvl w:ilvl="1" w:tplc="04090019">
      <w:start w:val="1"/>
      <w:numFmt w:val="lowerLetter"/>
      <w:lvlText w:val="%2."/>
      <w:lvlJc w:val="left"/>
      <w:pPr>
        <w:tabs>
          <w:tab w:val="num" w:pos="796"/>
        </w:tabs>
        <w:ind w:left="796" w:hanging="360"/>
      </w:pPr>
      <w:rPr>
        <w:rFonts w:ascii="Times New Roman" w:hAnsi="Times New Roman" w:cs="Times New Roman"/>
      </w:rPr>
    </w:lvl>
    <w:lvl w:ilvl="2" w:tplc="0409001B">
      <w:start w:val="1"/>
      <w:numFmt w:val="lowerRoman"/>
      <w:lvlText w:val="%3."/>
      <w:lvlJc w:val="right"/>
      <w:pPr>
        <w:tabs>
          <w:tab w:val="num" w:pos="1516"/>
        </w:tabs>
        <w:ind w:left="1516" w:hanging="180"/>
      </w:pPr>
      <w:rPr>
        <w:rFonts w:ascii="Times New Roman" w:hAnsi="Times New Roman" w:cs="Times New Roman"/>
      </w:rPr>
    </w:lvl>
    <w:lvl w:ilvl="3" w:tplc="0409000F">
      <w:start w:val="1"/>
      <w:numFmt w:val="decimal"/>
      <w:lvlText w:val="%4."/>
      <w:lvlJc w:val="left"/>
      <w:pPr>
        <w:tabs>
          <w:tab w:val="num" w:pos="2236"/>
        </w:tabs>
        <w:ind w:left="2236" w:hanging="360"/>
      </w:pPr>
      <w:rPr>
        <w:rFonts w:ascii="Times New Roman" w:hAnsi="Times New Roman" w:cs="Times New Roman"/>
      </w:rPr>
    </w:lvl>
    <w:lvl w:ilvl="4" w:tplc="04090019">
      <w:start w:val="1"/>
      <w:numFmt w:val="lowerLetter"/>
      <w:lvlText w:val="%5."/>
      <w:lvlJc w:val="left"/>
      <w:pPr>
        <w:tabs>
          <w:tab w:val="num" w:pos="2956"/>
        </w:tabs>
        <w:ind w:left="2956" w:hanging="360"/>
      </w:pPr>
      <w:rPr>
        <w:rFonts w:ascii="Times New Roman" w:hAnsi="Times New Roman" w:cs="Times New Roman"/>
      </w:rPr>
    </w:lvl>
    <w:lvl w:ilvl="5" w:tplc="0409001B">
      <w:start w:val="1"/>
      <w:numFmt w:val="lowerRoman"/>
      <w:lvlText w:val="%6."/>
      <w:lvlJc w:val="right"/>
      <w:pPr>
        <w:tabs>
          <w:tab w:val="num" w:pos="3676"/>
        </w:tabs>
        <w:ind w:left="3676" w:hanging="180"/>
      </w:pPr>
      <w:rPr>
        <w:rFonts w:ascii="Times New Roman" w:hAnsi="Times New Roman" w:cs="Times New Roman"/>
      </w:rPr>
    </w:lvl>
    <w:lvl w:ilvl="6" w:tplc="0409000F">
      <w:start w:val="1"/>
      <w:numFmt w:val="decimal"/>
      <w:lvlText w:val="%7."/>
      <w:lvlJc w:val="left"/>
      <w:pPr>
        <w:tabs>
          <w:tab w:val="num" w:pos="4396"/>
        </w:tabs>
        <w:ind w:left="4396" w:hanging="360"/>
      </w:pPr>
      <w:rPr>
        <w:rFonts w:ascii="Times New Roman" w:hAnsi="Times New Roman" w:cs="Times New Roman"/>
      </w:rPr>
    </w:lvl>
    <w:lvl w:ilvl="7" w:tplc="04090019">
      <w:start w:val="1"/>
      <w:numFmt w:val="lowerLetter"/>
      <w:lvlText w:val="%8."/>
      <w:lvlJc w:val="left"/>
      <w:pPr>
        <w:tabs>
          <w:tab w:val="num" w:pos="5116"/>
        </w:tabs>
        <w:ind w:left="5116" w:hanging="360"/>
      </w:pPr>
      <w:rPr>
        <w:rFonts w:ascii="Times New Roman" w:hAnsi="Times New Roman" w:cs="Times New Roman"/>
      </w:rPr>
    </w:lvl>
    <w:lvl w:ilvl="8" w:tplc="0409001B">
      <w:start w:val="1"/>
      <w:numFmt w:val="lowerRoman"/>
      <w:lvlText w:val="%9."/>
      <w:lvlJc w:val="right"/>
      <w:pPr>
        <w:tabs>
          <w:tab w:val="num" w:pos="5836"/>
        </w:tabs>
        <w:ind w:left="5836" w:hanging="180"/>
      </w:pPr>
      <w:rPr>
        <w:rFonts w:ascii="Times New Roman" w:hAnsi="Times New Roman" w:cs="Times New Roman"/>
      </w:rPr>
    </w:lvl>
  </w:abstractNum>
  <w:abstractNum w:abstractNumId="5" w15:restartNumberingAfterBreak="0">
    <w:nsid w:val="335872B8"/>
    <w:multiLevelType w:val="hybridMultilevel"/>
    <w:tmpl w:val="18F85696"/>
    <w:lvl w:ilvl="0" w:tplc="4BC4282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ascii="Times New Roman" w:hAnsi="Times New Roman" w:cs="Times New Roman" w:hint="default"/>
      </w:rPr>
    </w:lvl>
    <w:lvl w:ilvl="1" w:tplc="04090019">
      <w:start w:val="1"/>
      <w:numFmt w:val="lowerLetter"/>
      <w:lvlText w:val="%2."/>
      <w:lvlJc w:val="left"/>
      <w:pPr>
        <w:tabs>
          <w:tab w:val="num" w:pos="1114"/>
        </w:tabs>
        <w:ind w:left="1114" w:hanging="360"/>
      </w:pPr>
      <w:rPr>
        <w:rFonts w:ascii="Times New Roman" w:hAnsi="Times New Roman" w:cs="Times New Roman"/>
      </w:rPr>
    </w:lvl>
    <w:lvl w:ilvl="2" w:tplc="0409001B">
      <w:start w:val="1"/>
      <w:numFmt w:val="lowerRoman"/>
      <w:lvlText w:val="%3."/>
      <w:lvlJc w:val="right"/>
      <w:pPr>
        <w:tabs>
          <w:tab w:val="num" w:pos="1834"/>
        </w:tabs>
        <w:ind w:left="1834" w:hanging="180"/>
      </w:pPr>
      <w:rPr>
        <w:rFonts w:ascii="Times New Roman" w:hAnsi="Times New Roman" w:cs="Times New Roman"/>
      </w:rPr>
    </w:lvl>
    <w:lvl w:ilvl="3" w:tplc="0409000F">
      <w:start w:val="1"/>
      <w:numFmt w:val="decimal"/>
      <w:lvlText w:val="%4."/>
      <w:lvlJc w:val="left"/>
      <w:pPr>
        <w:tabs>
          <w:tab w:val="num" w:pos="2554"/>
        </w:tabs>
        <w:ind w:left="2554" w:hanging="360"/>
      </w:pPr>
      <w:rPr>
        <w:rFonts w:ascii="Times New Roman" w:hAnsi="Times New Roman" w:cs="Times New Roman"/>
      </w:rPr>
    </w:lvl>
    <w:lvl w:ilvl="4" w:tplc="04090019">
      <w:start w:val="1"/>
      <w:numFmt w:val="lowerLetter"/>
      <w:lvlText w:val="%5."/>
      <w:lvlJc w:val="left"/>
      <w:pPr>
        <w:tabs>
          <w:tab w:val="num" w:pos="3274"/>
        </w:tabs>
        <w:ind w:left="3274" w:hanging="360"/>
      </w:pPr>
      <w:rPr>
        <w:rFonts w:ascii="Times New Roman" w:hAnsi="Times New Roman" w:cs="Times New Roman"/>
      </w:rPr>
    </w:lvl>
    <w:lvl w:ilvl="5" w:tplc="0409001B">
      <w:start w:val="1"/>
      <w:numFmt w:val="lowerRoman"/>
      <w:lvlText w:val="%6."/>
      <w:lvlJc w:val="right"/>
      <w:pPr>
        <w:tabs>
          <w:tab w:val="num" w:pos="3994"/>
        </w:tabs>
        <w:ind w:left="3994" w:hanging="180"/>
      </w:pPr>
      <w:rPr>
        <w:rFonts w:ascii="Times New Roman" w:hAnsi="Times New Roman" w:cs="Times New Roman"/>
      </w:rPr>
    </w:lvl>
    <w:lvl w:ilvl="6" w:tplc="0409000F">
      <w:start w:val="1"/>
      <w:numFmt w:val="decimal"/>
      <w:lvlText w:val="%7."/>
      <w:lvlJc w:val="left"/>
      <w:pPr>
        <w:tabs>
          <w:tab w:val="num" w:pos="4714"/>
        </w:tabs>
        <w:ind w:left="4714" w:hanging="360"/>
      </w:pPr>
      <w:rPr>
        <w:rFonts w:ascii="Times New Roman" w:hAnsi="Times New Roman" w:cs="Times New Roman"/>
      </w:rPr>
    </w:lvl>
    <w:lvl w:ilvl="7" w:tplc="04090019">
      <w:start w:val="1"/>
      <w:numFmt w:val="lowerLetter"/>
      <w:lvlText w:val="%8."/>
      <w:lvlJc w:val="left"/>
      <w:pPr>
        <w:tabs>
          <w:tab w:val="num" w:pos="5434"/>
        </w:tabs>
        <w:ind w:left="5434" w:hanging="360"/>
      </w:pPr>
      <w:rPr>
        <w:rFonts w:ascii="Times New Roman" w:hAnsi="Times New Roman" w:cs="Times New Roman"/>
      </w:rPr>
    </w:lvl>
    <w:lvl w:ilvl="8" w:tplc="0409001B">
      <w:start w:val="1"/>
      <w:numFmt w:val="lowerRoman"/>
      <w:lvlText w:val="%9."/>
      <w:lvlJc w:val="right"/>
      <w:pPr>
        <w:tabs>
          <w:tab w:val="num" w:pos="6154"/>
        </w:tabs>
        <w:ind w:left="6154" w:hanging="180"/>
      </w:pPr>
      <w:rPr>
        <w:rFonts w:ascii="Times New Roman" w:hAnsi="Times New Roman"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07A447A"/>
    <w:multiLevelType w:val="hybridMultilevel"/>
    <w:tmpl w:val="9B603372"/>
    <w:lvl w:ilvl="0" w:tplc="4426D22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329CB"/>
    <w:multiLevelType w:val="hybridMultilevel"/>
    <w:tmpl w:val="F2B6CE84"/>
    <w:lvl w:ilvl="0" w:tplc="4426D22C">
      <w:start w:val="1"/>
      <w:numFmt w:val="bullet"/>
      <w:lvlText w:val=""/>
      <w:lvlJc w:val="left"/>
      <w:pPr>
        <w:tabs>
          <w:tab w:val="num" w:pos="76"/>
        </w:tabs>
        <w:ind w:left="56"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58E33A91"/>
    <w:multiLevelType w:val="hybridMultilevel"/>
    <w:tmpl w:val="0CF448FA"/>
    <w:lvl w:ilvl="0" w:tplc="4426D22C">
      <w:start w:val="1"/>
      <w:numFmt w:val="bullet"/>
      <w:lvlText w:val=""/>
      <w:lvlJc w:val="left"/>
      <w:pPr>
        <w:tabs>
          <w:tab w:val="num" w:pos="76"/>
        </w:tabs>
        <w:ind w:left="56"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7A5859A7"/>
    <w:multiLevelType w:val="hybridMultilevel"/>
    <w:tmpl w:val="2F92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65763B"/>
    <w:multiLevelType w:val="hybridMultilevel"/>
    <w:tmpl w:val="F2CC281E"/>
    <w:lvl w:ilvl="0" w:tplc="4426D22C">
      <w:start w:val="1"/>
      <w:numFmt w:val="bullet"/>
      <w:lvlText w:val=""/>
      <w:lvlJc w:val="left"/>
      <w:pPr>
        <w:tabs>
          <w:tab w:val="num" w:pos="76"/>
        </w:tabs>
        <w:ind w:left="56"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num w:numId="1" w16cid:durableId="2057467355">
    <w:abstractNumId w:val="2"/>
  </w:num>
  <w:num w:numId="2" w16cid:durableId="470287928">
    <w:abstractNumId w:val="0"/>
  </w:num>
  <w:num w:numId="3" w16cid:durableId="975986056">
    <w:abstractNumId w:val="3"/>
  </w:num>
  <w:num w:numId="4" w16cid:durableId="1747652979">
    <w:abstractNumId w:val="8"/>
  </w:num>
  <w:num w:numId="5" w16cid:durableId="423962916">
    <w:abstractNumId w:val="12"/>
  </w:num>
  <w:num w:numId="6" w16cid:durableId="11733261">
    <w:abstractNumId w:val="1"/>
  </w:num>
  <w:num w:numId="7" w16cid:durableId="1838761081">
    <w:abstractNumId w:val="6"/>
  </w:num>
  <w:num w:numId="8" w16cid:durableId="266814533">
    <w:abstractNumId w:val="7"/>
  </w:num>
  <w:num w:numId="9" w16cid:durableId="1201043000">
    <w:abstractNumId w:val="10"/>
  </w:num>
  <w:num w:numId="10" w16cid:durableId="262301024">
    <w:abstractNumId w:val="4"/>
  </w:num>
  <w:num w:numId="11" w16cid:durableId="1814447537">
    <w:abstractNumId w:val="11"/>
  </w:num>
  <w:num w:numId="12" w16cid:durableId="1633822747">
    <w:abstractNumId w:val="14"/>
  </w:num>
  <w:num w:numId="13" w16cid:durableId="1216773792">
    <w:abstractNumId w:val="9"/>
  </w:num>
  <w:num w:numId="14" w16cid:durableId="234049608">
    <w:abstractNumId w:val="5"/>
  </w:num>
  <w:num w:numId="15" w16cid:durableId="667252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A67"/>
    <w:rsid w:val="00004679"/>
    <w:rsid w:val="00004942"/>
    <w:rsid w:val="0003750E"/>
    <w:rsid w:val="00037AF6"/>
    <w:rsid w:val="000446B5"/>
    <w:rsid w:val="00055543"/>
    <w:rsid w:val="00057EDD"/>
    <w:rsid w:val="00060742"/>
    <w:rsid w:val="0006296A"/>
    <w:rsid w:val="000950EB"/>
    <w:rsid w:val="000D714E"/>
    <w:rsid w:val="000E74EE"/>
    <w:rsid w:val="000F01FB"/>
    <w:rsid w:val="00112B89"/>
    <w:rsid w:val="0011463D"/>
    <w:rsid w:val="00117F12"/>
    <w:rsid w:val="00157326"/>
    <w:rsid w:val="00164794"/>
    <w:rsid w:val="001909CE"/>
    <w:rsid w:val="001A69FD"/>
    <w:rsid w:val="001B11D7"/>
    <w:rsid w:val="001F2C94"/>
    <w:rsid w:val="00224568"/>
    <w:rsid w:val="00230674"/>
    <w:rsid w:val="00231134"/>
    <w:rsid w:val="00240DA7"/>
    <w:rsid w:val="00271565"/>
    <w:rsid w:val="002D209A"/>
    <w:rsid w:val="002F0925"/>
    <w:rsid w:val="002F138E"/>
    <w:rsid w:val="002F175B"/>
    <w:rsid w:val="003318EF"/>
    <w:rsid w:val="00347816"/>
    <w:rsid w:val="00390B93"/>
    <w:rsid w:val="00393B14"/>
    <w:rsid w:val="003B6FF8"/>
    <w:rsid w:val="00441FC9"/>
    <w:rsid w:val="0049464B"/>
    <w:rsid w:val="004A3E21"/>
    <w:rsid w:val="00506C3A"/>
    <w:rsid w:val="00511DB5"/>
    <w:rsid w:val="00547762"/>
    <w:rsid w:val="005842B8"/>
    <w:rsid w:val="00586BD8"/>
    <w:rsid w:val="00586CCD"/>
    <w:rsid w:val="005B17DC"/>
    <w:rsid w:val="005D48D7"/>
    <w:rsid w:val="005D7D7C"/>
    <w:rsid w:val="005E62CB"/>
    <w:rsid w:val="00604CC1"/>
    <w:rsid w:val="00616A67"/>
    <w:rsid w:val="00635A74"/>
    <w:rsid w:val="00636584"/>
    <w:rsid w:val="006605FE"/>
    <w:rsid w:val="00690CAA"/>
    <w:rsid w:val="006C092B"/>
    <w:rsid w:val="006C265D"/>
    <w:rsid w:val="006E2D2D"/>
    <w:rsid w:val="00747B07"/>
    <w:rsid w:val="007B6092"/>
    <w:rsid w:val="00821376"/>
    <w:rsid w:val="00826A44"/>
    <w:rsid w:val="0085353B"/>
    <w:rsid w:val="00882FF0"/>
    <w:rsid w:val="00896CC6"/>
    <w:rsid w:val="008B498C"/>
    <w:rsid w:val="0091633E"/>
    <w:rsid w:val="00955129"/>
    <w:rsid w:val="00965A39"/>
    <w:rsid w:val="009744C0"/>
    <w:rsid w:val="009A49B7"/>
    <w:rsid w:val="009A583D"/>
    <w:rsid w:val="009C55B2"/>
    <w:rsid w:val="009D01A2"/>
    <w:rsid w:val="009D2F61"/>
    <w:rsid w:val="009E0AE9"/>
    <w:rsid w:val="009E126B"/>
    <w:rsid w:val="00A25A19"/>
    <w:rsid w:val="00A4101E"/>
    <w:rsid w:val="00A56A88"/>
    <w:rsid w:val="00A75AE3"/>
    <w:rsid w:val="00AB03B4"/>
    <w:rsid w:val="00AC37B9"/>
    <w:rsid w:val="00B01A74"/>
    <w:rsid w:val="00B03E8F"/>
    <w:rsid w:val="00B26415"/>
    <w:rsid w:val="00B465F7"/>
    <w:rsid w:val="00B72DF7"/>
    <w:rsid w:val="00BC60B0"/>
    <w:rsid w:val="00BD767C"/>
    <w:rsid w:val="00C01E9A"/>
    <w:rsid w:val="00C1486E"/>
    <w:rsid w:val="00C329F9"/>
    <w:rsid w:val="00C9270F"/>
    <w:rsid w:val="00CE0B71"/>
    <w:rsid w:val="00D131B4"/>
    <w:rsid w:val="00D51EE7"/>
    <w:rsid w:val="00D71F10"/>
    <w:rsid w:val="00D82084"/>
    <w:rsid w:val="00DE3B14"/>
    <w:rsid w:val="00E02884"/>
    <w:rsid w:val="00E06D8B"/>
    <w:rsid w:val="00E21D1C"/>
    <w:rsid w:val="00E555C5"/>
    <w:rsid w:val="00E735F8"/>
    <w:rsid w:val="00E869C7"/>
    <w:rsid w:val="00EB7C56"/>
    <w:rsid w:val="00EC218D"/>
    <w:rsid w:val="00ED6E92"/>
    <w:rsid w:val="00EF799D"/>
    <w:rsid w:val="00F0390F"/>
    <w:rsid w:val="00F11D85"/>
    <w:rsid w:val="00F15254"/>
    <w:rsid w:val="00F313C7"/>
    <w:rsid w:val="00F33A1C"/>
    <w:rsid w:val="00F46BAB"/>
    <w:rsid w:val="00F77611"/>
    <w:rsid w:val="00F938BD"/>
    <w:rsid w:val="00FB7C30"/>
    <w:rsid w:val="00FC0512"/>
    <w:rsid w:val="00FC21FF"/>
    <w:rsid w:val="00FC4B3D"/>
    <w:rsid w:val="00FD5BA7"/>
    <w:rsid w:val="00FE617F"/>
    <w:rsid w:val="00FF4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5:chartTrackingRefBased/>
  <w15:docId w15:val="{2BE92ABD-F57C-4429-8ADC-8C9B3591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9"/>
    <w:qFormat/>
    <w:pPr>
      <w:keepNext/>
      <w:spacing w:before="240" w:after="60"/>
      <w:outlineLvl w:val="4"/>
    </w:pPr>
    <w:rPr>
      <w:rFonts w:ascii="Arial Narrow" w:hAnsi="Arial Narrow" w:cs="Arial Narrow"/>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cs="Arial"/>
      <w:sz w:val="18"/>
      <w:szCs w:val="18"/>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227"/>
      </w:numPr>
      <w:spacing w:before="80" w:after="60"/>
      <w:jc w:val="both"/>
      <w:outlineLvl w:val="6"/>
    </w:pPr>
  </w:style>
  <w:style w:type="paragraph" w:customStyle="1" w:styleId="Asubpara">
    <w:name w:val="A subpara"/>
    <w:basedOn w:val="Normal"/>
    <w:uiPriority w:val="99"/>
    <w:pPr>
      <w:numPr>
        <w:ilvl w:val="7"/>
        <w:numId w:val="227"/>
      </w:numPr>
      <w:spacing w:before="80" w:after="60"/>
      <w:jc w:val="both"/>
      <w:outlineLvl w:val="7"/>
    </w:pPr>
  </w:style>
  <w:style w:type="paragraph" w:customStyle="1" w:styleId="Asubsubpara">
    <w:name w:val="A subsubpara"/>
    <w:basedOn w:val="Normal"/>
    <w:uiPriority w:val="99"/>
    <w:pPr>
      <w:numPr>
        <w:ilvl w:val="8"/>
        <w:numId w:val="227"/>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US"/>
    </w:rPr>
  </w:style>
  <w:style w:type="paragraph" w:customStyle="1" w:styleId="ref">
    <w:name w:val="ref"/>
    <w:basedOn w:val="Normal"/>
    <w:next w:val="Normal"/>
    <w:uiPriority w:val="99"/>
    <w:pPr>
      <w:spacing w:after="60"/>
      <w:jc w:val="both"/>
    </w:pPr>
    <w:rPr>
      <w:sz w:val="18"/>
      <w:szCs w:val="18"/>
    </w:rPr>
  </w:style>
  <w:style w:type="character" w:customStyle="1" w:styleId="CharDivText">
    <w:name w:val="CharDivText"/>
    <w:uiPriority w:val="99"/>
    <w:rPr>
      <w:rFonts w:ascii="Times New Roman" w:hAnsi="Times New Roman" w:cs="Times New Roman"/>
    </w:rPr>
  </w:style>
  <w:style w:type="paragraph" w:customStyle="1" w:styleId="CoverInForce">
    <w:name w:val="CoverInForce"/>
    <w:basedOn w:val="Normal"/>
    <w:uiPriority w:val="99"/>
    <w:pPr>
      <w:tabs>
        <w:tab w:val="left" w:pos="2600"/>
      </w:tabs>
      <w:spacing w:before="200" w:after="60"/>
      <w:jc w:val="both"/>
    </w:pPr>
    <w:rPr>
      <w:rFonts w:ascii="Arial" w:hAnsi="Arial" w:cs="Arial"/>
    </w:rPr>
  </w:style>
  <w:style w:type="paragraph" w:customStyle="1" w:styleId="AFHdg">
    <w:name w:val="AFHdg"/>
    <w:basedOn w:val="Normal"/>
    <w:uiPriority w:val="99"/>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pPr>
      <w:keepNext/>
      <w:tabs>
        <w:tab w:val="left" w:pos="2600"/>
      </w:tabs>
      <w:spacing w:before="320" w:after="60"/>
      <w:outlineLvl w:val="0"/>
    </w:pPr>
    <w:rPr>
      <w:rFonts w:ascii="Arial" w:hAnsi="Arial" w:cs="Arial"/>
      <w:b/>
      <w:bCs/>
      <w:sz w:val="34"/>
      <w:szCs w:val="34"/>
    </w:rPr>
  </w:style>
  <w:style w:type="character" w:styleId="PageNumber">
    <w:name w:val="page number"/>
    <w:uiPriority w:val="99"/>
    <w:rPr>
      <w:rFonts w:ascii="Times New Roman" w:hAnsi="Times New Roman"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Hyperlink">
    <w:name w:val="Hyperlink"/>
    <w:uiPriority w:val="99"/>
    <w:rPr>
      <w:rFonts w:ascii="Times New Roman" w:hAnsi="Times New Roman" w:cs="Times New Roman"/>
      <w:color w:val="0000FF"/>
      <w:u w:val="single"/>
    </w:rPr>
  </w:style>
  <w:style w:type="paragraph" w:styleId="BodyText2">
    <w:name w:val="Body Text 2"/>
    <w:basedOn w:val="Normal"/>
    <w:link w:val="BodyText2Char"/>
    <w:uiPriority w:val="99"/>
    <w:pPr>
      <w:spacing w:before="120" w:after="60"/>
      <w:ind w:left="709"/>
    </w:pPr>
  </w:style>
  <w:style w:type="character" w:customStyle="1" w:styleId="BodyText2Char">
    <w:name w:val="Body Text 2 Char"/>
    <w:link w:val="BodyText2"/>
    <w:uiPriority w:val="99"/>
    <w:semiHidden/>
    <w:locked/>
    <w:rPr>
      <w:rFonts w:cs="Times New Roman"/>
      <w:sz w:val="24"/>
      <w:szCs w:val="24"/>
      <w:lang w:val="x-none" w:eastAsia="en-US"/>
    </w:rPr>
  </w:style>
  <w:style w:type="paragraph" w:customStyle="1" w:styleId="Minister">
    <w:name w:val="Minister"/>
    <w:basedOn w:val="Normal"/>
    <w:uiPriority w:val="99"/>
    <w:pPr>
      <w:spacing w:before="880" w:after="60"/>
      <w:jc w:val="right"/>
    </w:pPr>
    <w:rPr>
      <w:caps/>
    </w:rPr>
  </w:style>
  <w:style w:type="paragraph" w:customStyle="1" w:styleId="DateLine">
    <w:name w:val="DateLine"/>
    <w:basedOn w:val="Normal"/>
    <w:uiPriority w:val="99"/>
    <w:pPr>
      <w:tabs>
        <w:tab w:val="left" w:pos="4320"/>
      </w:tabs>
      <w:spacing w:before="80" w:after="60"/>
      <w:jc w:val="both"/>
    </w:pPr>
  </w:style>
  <w:style w:type="paragraph" w:customStyle="1" w:styleId="MinisterWord">
    <w:name w:val="MinisterWord"/>
    <w:basedOn w:val="Normal"/>
    <w:uiPriority w:val="99"/>
    <w:pPr>
      <w:tabs>
        <w:tab w:val="left" w:pos="2880"/>
      </w:tabs>
      <w:jc w:val="right"/>
    </w:pPr>
  </w:style>
  <w:style w:type="character" w:styleId="FollowedHyperlink">
    <w:name w:val="FollowedHyperlink"/>
    <w:uiPriority w:val="99"/>
    <w:rPr>
      <w:rFonts w:ascii="Times New Roman" w:hAnsi="Times New Roman" w:cs="Times New Roman"/>
      <w:color w:val="800080"/>
      <w:u w:val="single"/>
    </w:rPr>
  </w:style>
  <w:style w:type="character" w:styleId="FootnoteReference">
    <w:name w:val="footnote reference"/>
    <w:uiPriority w:val="99"/>
    <w:rPr>
      <w:rFonts w:ascii="Times New Roman" w:hAnsi="Times New Roman" w:cs="Times New Roman"/>
      <w:sz w:val="24"/>
      <w:szCs w:val="24"/>
      <w:vertAlign w:val="superscript"/>
    </w:rPr>
  </w:style>
  <w:style w:type="paragraph" w:styleId="FootnoteText">
    <w:name w:val="footnote text"/>
    <w:basedOn w:val="Normal"/>
    <w:link w:val="FootnoteTextChar"/>
    <w:uiPriority w:val="99"/>
    <w:pPr>
      <w:spacing w:before="80" w:after="60"/>
      <w:jc w:val="both"/>
    </w:pPr>
  </w:style>
  <w:style w:type="character" w:customStyle="1" w:styleId="FootnoteTextChar">
    <w:name w:val="Footnote Text Char"/>
    <w:link w:val="FootnoteText"/>
    <w:uiPriority w:val="99"/>
    <w:semiHidden/>
    <w:locked/>
    <w:rPr>
      <w:rFonts w:cs="Times New Roman"/>
      <w:sz w:val="20"/>
      <w:szCs w:val="20"/>
      <w:lang w:val="x-none"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uiPriority w:val="99"/>
    <w:rPr>
      <w:rFonts w:ascii="Times New Roman" w:hAnsi="Times New Roman" w:cs="Times New Roman"/>
    </w:rPr>
  </w:style>
  <w:style w:type="paragraph" w:styleId="BodyTextIndent2">
    <w:name w:val="Body Text Indent 2"/>
    <w:basedOn w:val="Normal"/>
    <w:link w:val="BodyTextIndent2Char"/>
    <w:uiPriority w:val="99"/>
    <w:pPr>
      <w:ind w:left="283" w:hanging="567"/>
    </w:pPr>
    <w:rPr>
      <w:rFonts w:ascii="Arial Narrow" w:hAnsi="Arial Narrow" w:cs="Arial Narrow"/>
    </w:rPr>
  </w:style>
  <w:style w:type="character" w:customStyle="1" w:styleId="BodyTextIndent2Char">
    <w:name w:val="Body Text Indent 2 Char"/>
    <w:link w:val="BodyTextIndent2"/>
    <w:uiPriority w:val="99"/>
    <w:locked/>
    <w:rPr>
      <w:rFonts w:cs="Times New Roman"/>
      <w:sz w:val="24"/>
      <w:szCs w:val="24"/>
      <w:lang w:val="x-none"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semiHidden/>
    <w:unhideWhenUsed/>
    <w:rsid w:val="0006296A"/>
    <w:pPr>
      <w:spacing w:after="120"/>
    </w:pPr>
  </w:style>
  <w:style w:type="character" w:customStyle="1" w:styleId="BodyTextChar">
    <w:name w:val="Body Text Char"/>
    <w:link w:val="BodyText"/>
    <w:uiPriority w:val="99"/>
    <w:semiHidden/>
    <w:rsid w:val="0006296A"/>
    <w:rPr>
      <w:sz w:val="24"/>
      <w:szCs w:val="24"/>
      <w:lang w:eastAsia="en-US"/>
    </w:rPr>
  </w:style>
  <w:style w:type="paragraph" w:styleId="ListParagraph">
    <w:name w:val="List Paragraph"/>
    <w:basedOn w:val="Normal"/>
    <w:uiPriority w:val="34"/>
    <w:qFormat/>
    <w:rsid w:val="0006296A"/>
    <w:pPr>
      <w:widowControl w:val="0"/>
      <w:ind w:left="720"/>
      <w:contextualSpacing/>
    </w:pPr>
    <w:rPr>
      <w:iCs/>
      <w:lang w:val="en-US"/>
    </w:rPr>
  </w:style>
  <w:style w:type="character" w:styleId="Emphasis">
    <w:name w:val="Emphasis"/>
    <w:uiPriority w:val="20"/>
    <w:qFormat/>
    <w:rsid w:val="00347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FD32-F240-44B2-918D-84175330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4043</Characters>
  <Application>Microsoft Office Word</Application>
  <DocSecurity>0</DocSecurity>
  <Lines>119</Lines>
  <Paragraphs>53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Julie Logan</dc:creator>
  <cp:keywords/>
  <cp:lastModifiedBy>PCODCS</cp:lastModifiedBy>
  <cp:revision>4</cp:revision>
  <cp:lastPrinted>2019-05-22T07:20:00Z</cp:lastPrinted>
  <dcterms:created xsi:type="dcterms:W3CDTF">2022-12-08T02:15:00Z</dcterms:created>
  <dcterms:modified xsi:type="dcterms:W3CDTF">2022-12-08T02:15:00Z</dcterms:modified>
</cp:coreProperties>
</file>