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11C8"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95EA97" w14:textId="51A519CC" w:rsidR="00C17FAB" w:rsidRDefault="00E93DBA">
      <w:pPr>
        <w:pStyle w:val="Billname"/>
        <w:spacing w:before="700"/>
      </w:pPr>
      <w:r>
        <w:t>Unit Titles (Management) Certificate Determination 20</w:t>
      </w:r>
      <w:r w:rsidR="00E731FF">
        <w:t>2</w:t>
      </w:r>
      <w:r w:rsidR="002E289C">
        <w:t>3</w:t>
      </w:r>
    </w:p>
    <w:p w14:paraId="225580E5" w14:textId="55BF836A" w:rsidR="00C17FAB" w:rsidRDefault="002D7C60" w:rsidP="00DA3B00">
      <w:pPr>
        <w:spacing w:before="340"/>
        <w:rPr>
          <w:rFonts w:ascii="Arial" w:hAnsi="Arial" w:cs="Arial"/>
          <w:b/>
          <w:bCs/>
        </w:rPr>
      </w:pPr>
      <w:r>
        <w:rPr>
          <w:rFonts w:ascii="Arial" w:hAnsi="Arial" w:cs="Arial"/>
          <w:b/>
          <w:bCs/>
        </w:rPr>
        <w:t>Disallowable instrument DI</w:t>
      </w:r>
      <w:r w:rsidR="00E93DBA">
        <w:rPr>
          <w:rFonts w:ascii="Arial" w:hAnsi="Arial" w:cs="Arial"/>
          <w:b/>
          <w:bCs/>
        </w:rPr>
        <w:t>20</w:t>
      </w:r>
      <w:r w:rsidR="00DC6F97">
        <w:rPr>
          <w:rFonts w:ascii="Arial" w:hAnsi="Arial" w:cs="Arial"/>
          <w:b/>
          <w:bCs/>
        </w:rPr>
        <w:t>2</w:t>
      </w:r>
      <w:r w:rsidR="002E289C">
        <w:rPr>
          <w:rFonts w:ascii="Arial" w:hAnsi="Arial" w:cs="Arial"/>
          <w:b/>
          <w:bCs/>
        </w:rPr>
        <w:t>3</w:t>
      </w:r>
      <w:r w:rsidR="00E93DBA">
        <w:rPr>
          <w:rFonts w:ascii="Arial" w:hAnsi="Arial" w:cs="Arial"/>
          <w:b/>
          <w:bCs/>
        </w:rPr>
        <w:t>-</w:t>
      </w:r>
      <w:r w:rsidR="007C6BB7">
        <w:rPr>
          <w:rFonts w:ascii="Arial" w:hAnsi="Arial" w:cs="Arial"/>
          <w:b/>
          <w:bCs/>
        </w:rPr>
        <w:t>3</w:t>
      </w:r>
    </w:p>
    <w:p w14:paraId="453E8318" w14:textId="77777777" w:rsidR="00C17FAB" w:rsidRDefault="00C17FAB" w:rsidP="00DA3B00">
      <w:pPr>
        <w:pStyle w:val="madeunder"/>
        <w:spacing w:before="300" w:after="0"/>
      </w:pPr>
      <w:r>
        <w:t xml:space="preserve">made under the  </w:t>
      </w:r>
    </w:p>
    <w:p w14:paraId="0A380883" w14:textId="4EAB96B9" w:rsidR="00E93DBA" w:rsidRDefault="00E93DBA" w:rsidP="0043567C">
      <w:pPr>
        <w:pStyle w:val="CoverActName"/>
        <w:spacing w:before="320"/>
        <w:jc w:val="left"/>
        <w:rPr>
          <w:rFonts w:cs="Arial"/>
          <w:sz w:val="20"/>
        </w:rPr>
      </w:pPr>
      <w:r>
        <w:rPr>
          <w:rFonts w:cs="Arial"/>
          <w:sz w:val="20"/>
        </w:rPr>
        <w:t xml:space="preserve">Unit Titles (Management) Act 2011, s 119 (Unit </w:t>
      </w:r>
      <w:r w:rsidR="00FC54C9">
        <w:rPr>
          <w:rFonts w:cs="Arial"/>
          <w:sz w:val="20"/>
        </w:rPr>
        <w:t>t</w:t>
      </w:r>
      <w:r>
        <w:rPr>
          <w:rFonts w:cs="Arial"/>
          <w:sz w:val="20"/>
        </w:rPr>
        <w:t>itle certificate and access to owners corporation records)</w:t>
      </w:r>
    </w:p>
    <w:p w14:paraId="22AB466F" w14:textId="77777777" w:rsidR="00C17FAB" w:rsidRDefault="00C17FAB" w:rsidP="0043567C">
      <w:pPr>
        <w:spacing w:before="360"/>
        <w:rPr>
          <w:rFonts w:ascii="Arial" w:hAnsi="Arial" w:cs="Arial"/>
          <w:b/>
          <w:bCs/>
          <w:sz w:val="28"/>
          <w:szCs w:val="28"/>
        </w:rPr>
      </w:pPr>
      <w:r>
        <w:rPr>
          <w:rFonts w:ascii="Arial" w:hAnsi="Arial" w:cs="Arial"/>
          <w:b/>
          <w:bCs/>
          <w:sz w:val="28"/>
          <w:szCs w:val="28"/>
        </w:rPr>
        <w:t>EXPLANATORY STATEMENT</w:t>
      </w:r>
    </w:p>
    <w:p w14:paraId="1FB9D6AF" w14:textId="77777777" w:rsidR="00C17FAB" w:rsidRDefault="00C17FAB">
      <w:pPr>
        <w:pStyle w:val="N-line3"/>
        <w:pBdr>
          <w:bottom w:val="none" w:sz="0" w:space="0" w:color="auto"/>
        </w:pBdr>
      </w:pPr>
    </w:p>
    <w:p w14:paraId="376DC08E" w14:textId="77777777" w:rsidR="00C17FAB" w:rsidRDefault="00C17FAB">
      <w:pPr>
        <w:pStyle w:val="N-line3"/>
        <w:pBdr>
          <w:top w:val="single" w:sz="12" w:space="1" w:color="auto"/>
          <w:bottom w:val="none" w:sz="0" w:space="0" w:color="auto"/>
        </w:pBdr>
      </w:pPr>
    </w:p>
    <w:bookmarkEnd w:id="0"/>
    <w:p w14:paraId="783CCF24" w14:textId="0551CA99" w:rsidR="009604B9" w:rsidRDefault="007F3FBA" w:rsidP="0043567C">
      <w:pPr>
        <w:spacing w:after="240"/>
      </w:pPr>
      <w:r>
        <w:t xml:space="preserve">The </w:t>
      </w:r>
      <w:r w:rsidR="00E93DBA" w:rsidRPr="000F749B">
        <w:rPr>
          <w:i/>
        </w:rPr>
        <w:t>Unit Titles (Management) Certificate Determination 20</w:t>
      </w:r>
      <w:r w:rsidR="00E731FF">
        <w:rPr>
          <w:i/>
        </w:rPr>
        <w:t>2</w:t>
      </w:r>
      <w:r w:rsidR="002E289C">
        <w:rPr>
          <w:i/>
        </w:rPr>
        <w:t>3</w:t>
      </w:r>
      <w:r w:rsidR="00E93DBA">
        <w:t xml:space="preserve"> prescribes the information that must be provided </w:t>
      </w:r>
      <w:r w:rsidR="00FC54C9">
        <w:t xml:space="preserve">in </w:t>
      </w:r>
      <w:r w:rsidR="00E93DBA">
        <w:t>a unit title certificate issued under section</w:t>
      </w:r>
      <w:r w:rsidR="0043567C">
        <w:t> </w:t>
      </w:r>
      <w:r w:rsidR="00E93DBA">
        <w:t>119</w:t>
      </w:r>
      <w:r w:rsidR="0043567C">
        <w:t> </w:t>
      </w:r>
      <w:r w:rsidR="00E93DBA">
        <w:t>(1)</w:t>
      </w:r>
      <w:r w:rsidR="0043567C">
        <w:t xml:space="preserve"> </w:t>
      </w:r>
      <w:r w:rsidR="00E04474">
        <w:t>(a)</w:t>
      </w:r>
      <w:r w:rsidR="004073CA">
        <w:t xml:space="preserve"> of the </w:t>
      </w:r>
      <w:r w:rsidR="004073CA">
        <w:rPr>
          <w:i/>
          <w:iCs/>
        </w:rPr>
        <w:t xml:space="preserve">Unit Titles (Management) Act 2011 </w:t>
      </w:r>
      <w:r w:rsidR="004073CA">
        <w:t xml:space="preserve">(the </w:t>
      </w:r>
      <w:r w:rsidR="004073CA" w:rsidRPr="008A1B8B">
        <w:rPr>
          <w:b/>
          <w:bCs/>
          <w:i/>
          <w:iCs/>
        </w:rPr>
        <w:t>Act</w:t>
      </w:r>
      <w:r w:rsidR="004073CA">
        <w:t>)</w:t>
      </w:r>
      <w:r w:rsidR="009604B9">
        <w:t>, and in a unit title update certificate under section 119</w:t>
      </w:r>
      <w:r w:rsidR="0043567C">
        <w:t xml:space="preserve"> </w:t>
      </w:r>
      <w:r w:rsidR="009604B9">
        <w:t>(1)</w:t>
      </w:r>
      <w:r w:rsidR="0043567C">
        <w:t xml:space="preserve"> </w:t>
      </w:r>
      <w:r w:rsidR="009604B9">
        <w:t>(b) of the Act</w:t>
      </w:r>
      <w:r w:rsidR="00E93DBA">
        <w:t>.</w:t>
      </w:r>
    </w:p>
    <w:p w14:paraId="3D0CB249" w14:textId="10D33D07" w:rsidR="009604B9" w:rsidRDefault="00076382" w:rsidP="0043567C">
      <w:pPr>
        <w:spacing w:after="240"/>
        <w:rPr>
          <w:szCs w:val="24"/>
        </w:rPr>
      </w:pPr>
      <w:r>
        <w:t>An eligible person</w:t>
      </w:r>
      <w:r w:rsidR="008A1B8B">
        <w:t>,</w:t>
      </w:r>
      <w:r>
        <w:t xml:space="preserve"> for example</w:t>
      </w:r>
      <w:r w:rsidR="008A1B8B">
        <w:t>,</w:t>
      </w:r>
      <w:r>
        <w:t xml:space="preserve"> a unit owner or potential purchaser, can request a unit title certificate</w:t>
      </w:r>
      <w:r w:rsidR="009604B9">
        <w:t xml:space="preserve"> or a unit title update certificate</w:t>
      </w:r>
      <w:r w:rsidR="007E543D">
        <w:t>, which outlines financial and other matters about the unit and the units plan,</w:t>
      </w:r>
      <w:r>
        <w:t xml:space="preserve"> </w:t>
      </w:r>
      <w:r w:rsidRPr="00646C92">
        <w:rPr>
          <w:szCs w:val="24"/>
        </w:rPr>
        <w:t>to assist in determining the current status of the unit and associated costs.</w:t>
      </w:r>
      <w:r w:rsidR="009604B9">
        <w:rPr>
          <w:szCs w:val="24"/>
        </w:rPr>
        <w:t xml:space="preserve"> </w:t>
      </w:r>
    </w:p>
    <w:p w14:paraId="5C0ADFA7" w14:textId="505B687E" w:rsidR="00076382" w:rsidRDefault="009604B9" w:rsidP="0043567C">
      <w:pPr>
        <w:spacing w:after="240"/>
        <w:rPr>
          <w:szCs w:val="24"/>
        </w:rPr>
      </w:pPr>
      <w:r>
        <w:rPr>
          <w:szCs w:val="24"/>
        </w:rPr>
        <w:t>The unit title update certificate must provide an update, if any, on all information provided in the initial certificate, as an owners corporation may have subsequently held meetings and made decisions impacting the</w:t>
      </w:r>
      <w:r w:rsidR="007E543D">
        <w:rPr>
          <w:szCs w:val="24"/>
        </w:rPr>
        <w:t xml:space="preserve"> eligible person</w:t>
      </w:r>
      <w:r>
        <w:rPr>
          <w:szCs w:val="24"/>
        </w:rPr>
        <w:t>.</w:t>
      </w:r>
    </w:p>
    <w:p w14:paraId="4D22A556" w14:textId="1CAC2817" w:rsidR="00097C4D" w:rsidRDefault="00097C4D" w:rsidP="0043567C">
      <w:pPr>
        <w:spacing w:after="240"/>
      </w:pPr>
      <w:r>
        <w:rPr>
          <w:szCs w:val="24"/>
        </w:rPr>
        <w:t xml:space="preserve">This instrument </w:t>
      </w:r>
      <w:r w:rsidR="001C17F0">
        <w:rPr>
          <w:szCs w:val="24"/>
        </w:rPr>
        <w:t>amends the</w:t>
      </w:r>
      <w:r>
        <w:rPr>
          <w:szCs w:val="24"/>
        </w:rPr>
        <w:t xml:space="preserve"> requirement in section 3</w:t>
      </w:r>
      <w:r w:rsidR="0043567C">
        <w:rPr>
          <w:szCs w:val="24"/>
        </w:rPr>
        <w:t xml:space="preserve"> </w:t>
      </w:r>
      <w:r>
        <w:rPr>
          <w:szCs w:val="24"/>
        </w:rPr>
        <w:t xml:space="preserve">(l) to provide </w:t>
      </w:r>
      <w:r w:rsidRPr="00FC0F8D">
        <w:t xml:space="preserve">the </w:t>
      </w:r>
      <w:r w:rsidRPr="00097C4D">
        <w:rPr>
          <w:szCs w:val="24"/>
        </w:rPr>
        <w:t>minutes</w:t>
      </w:r>
      <w:r w:rsidRPr="00FC0F8D">
        <w:t xml:space="preserve"> of meetings of the owners corporation and the executive committee</w:t>
      </w:r>
      <w:r w:rsidR="001C17F0">
        <w:t>,</w:t>
      </w:r>
      <w:r w:rsidRPr="00FC0F8D">
        <w:t xml:space="preserve"> held in the </w:t>
      </w:r>
      <w:r w:rsidR="00921A55">
        <w:t>two</w:t>
      </w:r>
      <w:r w:rsidRPr="00FC0F8D">
        <w:t xml:space="preserve"> years before the day the property was first advertised or offered for sale or listed with an agent.</w:t>
      </w:r>
    </w:p>
    <w:p w14:paraId="2C432831" w14:textId="664A6156" w:rsidR="00060637" w:rsidRDefault="00097C4D" w:rsidP="0043567C">
      <w:pPr>
        <w:spacing w:after="240"/>
      </w:pPr>
      <w:r>
        <w:t xml:space="preserve">This requirement has been </w:t>
      </w:r>
      <w:r w:rsidR="001C17F0">
        <w:t xml:space="preserve">now been </w:t>
      </w:r>
      <w:r w:rsidR="00837640">
        <w:t>clarified to state</w:t>
      </w:r>
      <w:r w:rsidR="001C17F0">
        <w:t xml:space="preserve"> that the unit title certificate must include minutes </w:t>
      </w:r>
      <w:r w:rsidR="001C17F0" w:rsidRPr="00FC0F8D">
        <w:t>of meetings of the owners corporation, and the executive committee</w:t>
      </w:r>
      <w:r w:rsidR="001C17F0">
        <w:t>,</w:t>
      </w:r>
      <w:r w:rsidR="001C17F0" w:rsidRPr="00FC0F8D">
        <w:t xml:space="preserve"> held in the </w:t>
      </w:r>
      <w:r w:rsidR="001C17F0">
        <w:t>two</w:t>
      </w:r>
      <w:r w:rsidR="001C17F0" w:rsidRPr="00FC0F8D">
        <w:t xml:space="preserve"> years before the </w:t>
      </w:r>
      <w:r w:rsidR="00060637">
        <w:t xml:space="preserve">date of </w:t>
      </w:r>
      <w:r w:rsidR="001C17F0">
        <w:t>the</w:t>
      </w:r>
      <w:r w:rsidR="00943479">
        <w:t xml:space="preserve"> unit title</w:t>
      </w:r>
      <w:r w:rsidR="001C17F0">
        <w:t xml:space="preserve"> certificate. It </w:t>
      </w:r>
      <w:r w:rsidR="00060637">
        <w:t>also</w:t>
      </w:r>
      <w:r w:rsidR="001C17F0">
        <w:t xml:space="preserve"> </w:t>
      </w:r>
      <w:r w:rsidR="00943479">
        <w:t xml:space="preserve">clarifies that the unit title update certificate need only provide copies of the minutes for any meetings held </w:t>
      </w:r>
      <w:r w:rsidR="00060637">
        <w:t xml:space="preserve">after </w:t>
      </w:r>
      <w:r w:rsidR="00060637" w:rsidRPr="00FC0F8D">
        <w:t xml:space="preserve">the </w:t>
      </w:r>
      <w:r w:rsidR="00060637">
        <w:t>date of the unit title certificate up to the date of the unit title update certificate.</w:t>
      </w:r>
    </w:p>
    <w:p w14:paraId="6257466E" w14:textId="74FE77F5" w:rsidR="001250BF" w:rsidRDefault="001250BF" w:rsidP="001250BF">
      <w:pPr>
        <w:spacing w:after="240"/>
      </w:pPr>
      <w:r w:rsidRPr="0070500A">
        <w:t xml:space="preserve">Section </w:t>
      </w:r>
      <w:r>
        <w:t>119</w:t>
      </w:r>
      <w:r w:rsidRPr="0070500A">
        <w:t xml:space="preserve"> (7) of the Act provides that th</w:t>
      </w:r>
      <w:r>
        <w:t>e Minister’s determination</w:t>
      </w:r>
      <w:r w:rsidRPr="0070500A">
        <w:t xml:space="preserve"> is </w:t>
      </w:r>
      <w:r>
        <w:t xml:space="preserve">a </w:t>
      </w:r>
      <w:r w:rsidRPr="0070500A">
        <w:t>disallowable</w:t>
      </w:r>
      <w:r>
        <w:t xml:space="preserve"> instrument</w:t>
      </w:r>
      <w:r w:rsidRPr="0070500A">
        <w:t>.</w:t>
      </w:r>
      <w:r w:rsidRPr="009A50D2">
        <w:t xml:space="preserve"> </w:t>
      </w:r>
      <w:r>
        <w:t xml:space="preserve"> </w:t>
      </w:r>
    </w:p>
    <w:p w14:paraId="4935C67F" w14:textId="7E05B02B" w:rsidR="001250BF" w:rsidRPr="005107DF" w:rsidRDefault="001250BF" w:rsidP="001250BF">
      <w:pPr>
        <w:spacing w:after="240"/>
      </w:pPr>
      <w:r>
        <w:t>A r</w:t>
      </w:r>
      <w:r w:rsidRPr="009A50D2">
        <w:t>egulatory impact statement (</w:t>
      </w:r>
      <w:r>
        <w:t xml:space="preserve">a </w:t>
      </w:r>
      <w:r w:rsidRPr="00546005">
        <w:rPr>
          <w:b/>
          <w:bCs/>
          <w:i/>
          <w:iCs/>
        </w:rPr>
        <w:t>RIS</w:t>
      </w:r>
      <w:r w:rsidRPr="009A50D2">
        <w:t xml:space="preserve">) </w:t>
      </w:r>
      <w:r>
        <w:t>is</w:t>
      </w:r>
      <w:r w:rsidRPr="009A50D2">
        <w:t xml:space="preserve"> ordinarily required for disallowable instruments under sect</w:t>
      </w:r>
      <w:r>
        <w:t xml:space="preserve">ion 34 of the </w:t>
      </w:r>
      <w:r w:rsidRPr="00546005">
        <w:rPr>
          <w:i/>
          <w:iCs/>
        </w:rPr>
        <w:t>Legislation Act</w:t>
      </w:r>
      <w:r>
        <w:t xml:space="preserve"> </w:t>
      </w:r>
      <w:r>
        <w:rPr>
          <w:i/>
          <w:iCs/>
        </w:rPr>
        <w:t>2001</w:t>
      </w:r>
      <w:r>
        <w:t xml:space="preserve">. A RIS is not required in this </w:t>
      </w:r>
      <w:r>
        <w:lastRenderedPageBreak/>
        <w:t>instance as this determination is an administrative matter which is not likely to impose appreciable costs on the community.</w:t>
      </w:r>
    </w:p>
    <w:p w14:paraId="1E661012" w14:textId="45944940" w:rsidR="00097C4D" w:rsidRPr="00994015" w:rsidRDefault="001250BF" w:rsidP="00E23AE6">
      <w:pPr>
        <w:rPr>
          <w:szCs w:val="24"/>
        </w:rPr>
      </w:pPr>
      <w:r>
        <w:t>This instrument does not engage any human rights.</w:t>
      </w:r>
    </w:p>
    <w:sectPr w:rsidR="00097C4D" w:rsidRPr="00994015" w:rsidSect="000909D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27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E39C" w14:textId="77777777" w:rsidR="000D36F7" w:rsidRDefault="000D36F7" w:rsidP="00C17FAB">
      <w:r>
        <w:separator/>
      </w:r>
    </w:p>
  </w:endnote>
  <w:endnote w:type="continuationSeparator" w:id="0">
    <w:p w14:paraId="4465C9A1" w14:textId="77777777" w:rsidR="000D36F7" w:rsidRDefault="000D36F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DB13" w14:textId="77777777" w:rsidR="00D639AC" w:rsidRDefault="00D63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A141" w14:textId="2CBCF9AB" w:rsidR="0084104B" w:rsidRPr="00D639AC" w:rsidRDefault="00D639AC" w:rsidP="00D639AC">
    <w:pPr>
      <w:pStyle w:val="Footer"/>
      <w:jc w:val="center"/>
      <w:rPr>
        <w:rFonts w:cs="Arial"/>
        <w:sz w:val="14"/>
      </w:rPr>
    </w:pPr>
    <w:r w:rsidRPr="00D639A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4D57" w14:textId="77777777" w:rsidR="00D639AC" w:rsidRDefault="00D6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8EAF" w14:textId="77777777" w:rsidR="000D36F7" w:rsidRDefault="000D36F7" w:rsidP="00C17FAB">
      <w:r>
        <w:separator/>
      </w:r>
    </w:p>
  </w:footnote>
  <w:footnote w:type="continuationSeparator" w:id="0">
    <w:p w14:paraId="5396A946" w14:textId="77777777" w:rsidR="000D36F7" w:rsidRDefault="000D36F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390B" w14:textId="77777777" w:rsidR="00D639AC" w:rsidRDefault="00D63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77D6" w14:textId="2FD2567B" w:rsidR="001866C2" w:rsidRDefault="00186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D4F6" w14:textId="77777777" w:rsidR="00D639AC" w:rsidRDefault="00D63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443E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7C627DB"/>
    <w:multiLevelType w:val="hybridMultilevel"/>
    <w:tmpl w:val="59B4AB14"/>
    <w:lvl w:ilvl="0" w:tplc="2BD4B7BA">
      <w:start w:val="1"/>
      <w:numFmt w:val="lowerLetter"/>
      <w:lvlText w:val="(%1)"/>
      <w:lvlJc w:val="left"/>
      <w:pPr>
        <w:ind w:left="1080" w:hanging="360"/>
      </w:pPr>
      <w:rPr>
        <w:rFonts w:hint="default"/>
      </w:rPr>
    </w:lvl>
    <w:lvl w:ilvl="1" w:tplc="583C868E">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391734718">
    <w:abstractNumId w:val="2"/>
  </w:num>
  <w:num w:numId="2" w16cid:durableId="1452819425">
    <w:abstractNumId w:val="0"/>
  </w:num>
  <w:num w:numId="3" w16cid:durableId="1976452064">
    <w:abstractNumId w:val="3"/>
  </w:num>
  <w:num w:numId="4" w16cid:durableId="180438570">
    <w:abstractNumId w:val="7"/>
  </w:num>
  <w:num w:numId="5" w16cid:durableId="1769082587">
    <w:abstractNumId w:val="9"/>
  </w:num>
  <w:num w:numId="6" w16cid:durableId="2009286480">
    <w:abstractNumId w:val="1"/>
  </w:num>
  <w:num w:numId="7" w16cid:durableId="613050995">
    <w:abstractNumId w:val="5"/>
  </w:num>
  <w:num w:numId="8" w16cid:durableId="834959780">
    <w:abstractNumId w:val="6"/>
  </w:num>
  <w:num w:numId="9" w16cid:durableId="1789810941">
    <w:abstractNumId w:val="10"/>
  </w:num>
  <w:num w:numId="10" w16cid:durableId="142545042">
    <w:abstractNumId w:val="4"/>
  </w:num>
  <w:num w:numId="11" w16cid:durableId="1922251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0204"/>
    <w:rsid w:val="00043030"/>
    <w:rsid w:val="00060637"/>
    <w:rsid w:val="00076382"/>
    <w:rsid w:val="000909D3"/>
    <w:rsid w:val="00097C4D"/>
    <w:rsid w:val="000D36F7"/>
    <w:rsid w:val="001250BF"/>
    <w:rsid w:val="001776B4"/>
    <w:rsid w:val="00181F3F"/>
    <w:rsid w:val="001866C2"/>
    <w:rsid w:val="001A14D0"/>
    <w:rsid w:val="001C17F0"/>
    <w:rsid w:val="00222819"/>
    <w:rsid w:val="00234700"/>
    <w:rsid w:val="00240EB1"/>
    <w:rsid w:val="00272112"/>
    <w:rsid w:val="00285250"/>
    <w:rsid w:val="002A5988"/>
    <w:rsid w:val="002D7C60"/>
    <w:rsid w:val="002E289C"/>
    <w:rsid w:val="003219D6"/>
    <w:rsid w:val="0033683F"/>
    <w:rsid w:val="00337428"/>
    <w:rsid w:val="00381BD9"/>
    <w:rsid w:val="004058AD"/>
    <w:rsid w:val="004073CA"/>
    <w:rsid w:val="0043567C"/>
    <w:rsid w:val="004515A2"/>
    <w:rsid w:val="004D347B"/>
    <w:rsid w:val="00531D00"/>
    <w:rsid w:val="0055288A"/>
    <w:rsid w:val="00564DAF"/>
    <w:rsid w:val="00583D8B"/>
    <w:rsid w:val="005D0E99"/>
    <w:rsid w:val="005F0493"/>
    <w:rsid w:val="006B3845"/>
    <w:rsid w:val="007346AC"/>
    <w:rsid w:val="00775DD6"/>
    <w:rsid w:val="00795CF8"/>
    <w:rsid w:val="007C6BB7"/>
    <w:rsid w:val="007E1192"/>
    <w:rsid w:val="007E543D"/>
    <w:rsid w:val="007F3FBA"/>
    <w:rsid w:val="00837640"/>
    <w:rsid w:val="0084104B"/>
    <w:rsid w:val="008A1B8B"/>
    <w:rsid w:val="00921A55"/>
    <w:rsid w:val="00943479"/>
    <w:rsid w:val="009508A5"/>
    <w:rsid w:val="009604B9"/>
    <w:rsid w:val="009902BC"/>
    <w:rsid w:val="00994015"/>
    <w:rsid w:val="009B1BF1"/>
    <w:rsid w:val="009C30AD"/>
    <w:rsid w:val="00A20288"/>
    <w:rsid w:val="00A4298B"/>
    <w:rsid w:val="00A7665E"/>
    <w:rsid w:val="00AA22E8"/>
    <w:rsid w:val="00AB4E59"/>
    <w:rsid w:val="00BB0707"/>
    <w:rsid w:val="00C07212"/>
    <w:rsid w:val="00C168FF"/>
    <w:rsid w:val="00C17FAB"/>
    <w:rsid w:val="00CE599C"/>
    <w:rsid w:val="00CE76D7"/>
    <w:rsid w:val="00D2535F"/>
    <w:rsid w:val="00D36573"/>
    <w:rsid w:val="00D639AC"/>
    <w:rsid w:val="00D77D5C"/>
    <w:rsid w:val="00DA3B00"/>
    <w:rsid w:val="00DC1976"/>
    <w:rsid w:val="00DC6F97"/>
    <w:rsid w:val="00DD134F"/>
    <w:rsid w:val="00DE62E6"/>
    <w:rsid w:val="00E04474"/>
    <w:rsid w:val="00E23AE6"/>
    <w:rsid w:val="00E27CAA"/>
    <w:rsid w:val="00E313C9"/>
    <w:rsid w:val="00E3572B"/>
    <w:rsid w:val="00E52AAD"/>
    <w:rsid w:val="00E731FF"/>
    <w:rsid w:val="00E73B96"/>
    <w:rsid w:val="00E93DBA"/>
    <w:rsid w:val="00E97D9F"/>
    <w:rsid w:val="00EB7343"/>
    <w:rsid w:val="00EC19A5"/>
    <w:rsid w:val="00F35C0C"/>
    <w:rsid w:val="00FB0E33"/>
    <w:rsid w:val="00FC54C9"/>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3887F"/>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FC54C9"/>
    <w:rPr>
      <w:sz w:val="16"/>
      <w:szCs w:val="16"/>
    </w:rPr>
  </w:style>
  <w:style w:type="paragraph" w:styleId="CommentText">
    <w:name w:val="annotation text"/>
    <w:basedOn w:val="Normal"/>
    <w:link w:val="CommentTextChar"/>
    <w:uiPriority w:val="99"/>
    <w:semiHidden/>
    <w:unhideWhenUsed/>
    <w:rsid w:val="00FC54C9"/>
    <w:rPr>
      <w:sz w:val="20"/>
    </w:rPr>
  </w:style>
  <w:style w:type="character" w:customStyle="1" w:styleId="CommentTextChar">
    <w:name w:val="Comment Text Char"/>
    <w:basedOn w:val="DefaultParagraphFont"/>
    <w:link w:val="CommentText"/>
    <w:uiPriority w:val="99"/>
    <w:semiHidden/>
    <w:rsid w:val="00FC54C9"/>
    <w:rPr>
      <w:lang w:eastAsia="en-US"/>
    </w:rPr>
  </w:style>
  <w:style w:type="paragraph" w:styleId="CommentSubject">
    <w:name w:val="annotation subject"/>
    <w:basedOn w:val="CommentText"/>
    <w:next w:val="CommentText"/>
    <w:link w:val="CommentSubjectChar"/>
    <w:uiPriority w:val="99"/>
    <w:semiHidden/>
    <w:unhideWhenUsed/>
    <w:rsid w:val="00FC54C9"/>
    <w:rPr>
      <w:b/>
      <w:bCs/>
    </w:rPr>
  </w:style>
  <w:style w:type="character" w:customStyle="1" w:styleId="CommentSubjectChar">
    <w:name w:val="Comment Subject Char"/>
    <w:basedOn w:val="CommentTextChar"/>
    <w:link w:val="CommentSubject"/>
    <w:uiPriority w:val="99"/>
    <w:semiHidden/>
    <w:rsid w:val="00FC54C9"/>
    <w:rPr>
      <w:b/>
      <w:bCs/>
      <w:lang w:eastAsia="en-US"/>
    </w:rPr>
  </w:style>
  <w:style w:type="paragraph" w:styleId="BalloonText">
    <w:name w:val="Balloon Text"/>
    <w:basedOn w:val="Normal"/>
    <w:link w:val="BalloonTextChar"/>
    <w:uiPriority w:val="99"/>
    <w:semiHidden/>
    <w:unhideWhenUsed/>
    <w:rsid w:val="00FC5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4C9"/>
    <w:rPr>
      <w:rFonts w:ascii="Segoe UI" w:hAnsi="Segoe UI" w:cs="Segoe UI"/>
      <w:sz w:val="18"/>
      <w:szCs w:val="18"/>
      <w:lang w:eastAsia="en-US"/>
    </w:rPr>
  </w:style>
  <w:style w:type="character" w:customStyle="1" w:styleId="Calibri12">
    <w:name w:val="Calibri 12"/>
    <w:basedOn w:val="DefaultParagraphFont"/>
    <w:uiPriority w:val="1"/>
    <w:qFormat/>
    <w:rsid w:val="00994015"/>
    <w:rPr>
      <w:rFonts w:ascii="Calibri" w:hAnsi="Calibri"/>
      <w:sz w:val="24"/>
    </w:rPr>
  </w:style>
  <w:style w:type="paragraph" w:styleId="ListParagraph">
    <w:name w:val="List Paragraph"/>
    <w:basedOn w:val="Normal"/>
    <w:uiPriority w:val="34"/>
    <w:qFormat/>
    <w:rsid w:val="00994015"/>
    <w:pPr>
      <w:widowControl w:val="0"/>
      <w:ind w:left="720"/>
      <w:contextualSpacing/>
    </w:pPr>
    <w:rPr>
      <w:i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FC91-0FA3-48AD-83AE-F4377F50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1899</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2023-01-23T05:52:00Z</dcterms:created>
  <dcterms:modified xsi:type="dcterms:W3CDTF">2023-01-23T05:52:00Z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A32719803</vt:lpwstr>
  </property>
  <property fmtid="{D5CDD505-2E9C-101B-9397-08002B2CF9AE}" pid="4" name="Objective-Title">
    <vt:lpwstr>Attachment E - Explanatory Statement - Unit Titles (Management) Certificate Determination 2023</vt:lpwstr>
  </property>
  <property fmtid="{D5CDD505-2E9C-101B-9397-08002B2CF9AE}" pid="5" name="Objective-Comment">
    <vt:lpwstr/>
  </property>
  <property fmtid="{D5CDD505-2E9C-101B-9397-08002B2CF9AE}" pid="6" name="Objective-CreationStamp">
    <vt:filetime>2022-02-01T04:16:22Z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2023-01-18T01:48:43Z</vt:filetime>
  </property>
  <property fmtid="{D5CDD505-2E9C-101B-9397-08002B2CF9AE}" pid="10" name="Objective-ModificationStamp">
    <vt:filetime>2023-01-22T21:55:38Z</vt:filetime>
  </property>
  <property fmtid="{D5CDD505-2E9C-101B-9397-08002B2CF9AE}" pid="11" name="Objective-Owner">
    <vt:lpwstr>Caroline Cogger</vt:lpwstr>
  </property>
  <property fmtid="{D5CDD505-2E9C-101B-9397-08002B2CF9AE}" pid="12" name="Objective-Path">
    <vt:lpwstr>Whole of ACT Government:EPSDD - Environment Planning and Sustainable Development Directorate:07. Ministerial, Cabinet and Government Relations:06. Ministerials:z. 2013 - 2022 Ministerial and Chief Ministerial Correspondence:2022 - Ministerial and Chief Ministerial Briefs / Correspondence:Planning and Urban Policy:01. January:22/10213 Ministerial Information Brief - Gentleman - Unit Titles Reform Project Update - Stage 2:</vt:lpwstr>
  </property>
  <property fmtid="{D5CDD505-2E9C-101B-9397-08002B2CF9AE}" pid="13" name="Objective-Parent">
    <vt:lpwstr>22/10213 Ministerial Information Brief - Gentleman - Unit Titles Reform Project Update - Stage 2</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1-2022/10213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