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0D97" w14:textId="77777777" w:rsidR="00A847D9" w:rsidRDefault="00A847D9" w:rsidP="00A847D9">
      <w:pPr>
        <w:spacing w:before="120"/>
        <w:rPr>
          <w:rFonts w:ascii="Arial" w:hAnsi="Arial" w:cs="Arial"/>
        </w:rPr>
      </w:pPr>
      <w:bookmarkStart w:id="0" w:name="_Toc44738651"/>
      <w:r>
        <w:rPr>
          <w:rFonts w:ascii="Arial" w:hAnsi="Arial" w:cs="Arial"/>
        </w:rPr>
        <w:t>Australian Capital Territory</w:t>
      </w:r>
    </w:p>
    <w:p w14:paraId="080529F5" w14:textId="1E4B25B7" w:rsidR="00A847D9" w:rsidRDefault="00A847D9" w:rsidP="00A847D9">
      <w:pPr>
        <w:pStyle w:val="Billname"/>
        <w:spacing w:before="700"/>
      </w:pPr>
      <w:r>
        <w:t>R</w:t>
      </w:r>
      <w:r w:rsidR="005D618C">
        <w:t>ail Safety National Law (ACT)</w:t>
      </w:r>
      <w:r>
        <w:t xml:space="preserve"> </w:t>
      </w:r>
      <w:r w:rsidR="005D618C">
        <w:br/>
        <w:t xml:space="preserve">Amendment </w:t>
      </w:r>
      <w:r>
        <w:t>Regulation 20</w:t>
      </w:r>
      <w:r w:rsidR="005D618C">
        <w:t>2</w:t>
      </w:r>
      <w:r w:rsidR="005F3C73">
        <w:t>3</w:t>
      </w:r>
      <w:r>
        <w:t xml:space="preserve"> (No</w:t>
      </w:r>
      <w:r w:rsidR="00C9100F">
        <w:t xml:space="preserve"> </w:t>
      </w:r>
      <w:r w:rsidR="00C9100F" w:rsidRPr="001561FD">
        <w:t>1</w:t>
      </w:r>
      <w:r>
        <w:t>)</w:t>
      </w:r>
    </w:p>
    <w:p w14:paraId="49275626" w14:textId="5965DD4F" w:rsidR="00A847D9" w:rsidRDefault="00C9100F" w:rsidP="00A847D9">
      <w:pPr>
        <w:spacing w:before="340"/>
        <w:rPr>
          <w:rFonts w:ascii="Arial" w:hAnsi="Arial" w:cs="Arial"/>
          <w:b/>
          <w:bCs/>
        </w:rPr>
      </w:pPr>
      <w:r>
        <w:rPr>
          <w:rFonts w:ascii="Arial" w:hAnsi="Arial" w:cs="Arial"/>
          <w:b/>
          <w:bCs/>
        </w:rPr>
        <w:t>Subordinate law SL20</w:t>
      </w:r>
      <w:r w:rsidR="005D618C">
        <w:rPr>
          <w:rFonts w:ascii="Arial" w:hAnsi="Arial" w:cs="Arial"/>
          <w:b/>
          <w:bCs/>
        </w:rPr>
        <w:t>2</w:t>
      </w:r>
      <w:r w:rsidR="005F3C73">
        <w:rPr>
          <w:rFonts w:ascii="Arial" w:hAnsi="Arial" w:cs="Arial"/>
          <w:b/>
          <w:bCs/>
        </w:rPr>
        <w:t>3</w:t>
      </w:r>
      <w:r>
        <w:rPr>
          <w:rFonts w:ascii="Arial" w:hAnsi="Arial" w:cs="Arial"/>
          <w:b/>
          <w:bCs/>
        </w:rPr>
        <w:t>-</w:t>
      </w:r>
      <w:r w:rsidR="00DC51F4">
        <w:rPr>
          <w:rFonts w:ascii="Arial" w:hAnsi="Arial" w:cs="Arial"/>
          <w:b/>
          <w:bCs/>
        </w:rPr>
        <w:t>3</w:t>
      </w:r>
    </w:p>
    <w:p w14:paraId="0520C7D9" w14:textId="77777777" w:rsidR="00A847D9" w:rsidRDefault="00A847D9" w:rsidP="00A847D9">
      <w:pPr>
        <w:pStyle w:val="madeunder"/>
        <w:spacing w:before="300" w:after="0"/>
      </w:pPr>
      <w:r>
        <w:t xml:space="preserve">made under the  </w:t>
      </w:r>
    </w:p>
    <w:p w14:paraId="559F93B7" w14:textId="0160675B" w:rsidR="00A847D9" w:rsidRPr="00C9100F" w:rsidRDefault="00A847D9" w:rsidP="00A847D9">
      <w:pPr>
        <w:pStyle w:val="CoverActName"/>
        <w:spacing w:before="320" w:after="0"/>
        <w:rPr>
          <w:rFonts w:ascii="Times New Roman" w:hAnsi="Times New Roman"/>
          <w:b w:val="0"/>
          <w:szCs w:val="24"/>
        </w:rPr>
      </w:pPr>
      <w:r w:rsidRPr="00C9100F">
        <w:rPr>
          <w:rFonts w:ascii="Times New Roman" w:hAnsi="Times New Roman"/>
          <w:i/>
          <w:szCs w:val="24"/>
        </w:rPr>
        <w:t>R</w:t>
      </w:r>
      <w:r w:rsidR="005D618C">
        <w:rPr>
          <w:rFonts w:ascii="Times New Roman" w:hAnsi="Times New Roman"/>
          <w:i/>
          <w:szCs w:val="24"/>
        </w:rPr>
        <w:t>ail Safety National Law</w:t>
      </w:r>
      <w:r w:rsidRPr="00C9100F">
        <w:rPr>
          <w:rFonts w:ascii="Times New Roman" w:hAnsi="Times New Roman"/>
          <w:i/>
          <w:szCs w:val="24"/>
        </w:rPr>
        <w:t xml:space="preserve"> (</w:t>
      </w:r>
      <w:r w:rsidR="005D618C">
        <w:rPr>
          <w:rFonts w:ascii="Times New Roman" w:hAnsi="Times New Roman"/>
          <w:i/>
          <w:szCs w:val="24"/>
        </w:rPr>
        <w:t>ACT</w:t>
      </w:r>
      <w:r w:rsidRPr="00C9100F">
        <w:rPr>
          <w:rFonts w:ascii="Times New Roman" w:hAnsi="Times New Roman"/>
          <w:i/>
          <w:szCs w:val="24"/>
        </w:rPr>
        <w:t xml:space="preserve">) Act </w:t>
      </w:r>
      <w:r w:rsidR="005D618C">
        <w:rPr>
          <w:rFonts w:ascii="Times New Roman" w:hAnsi="Times New Roman"/>
          <w:i/>
          <w:szCs w:val="24"/>
        </w:rPr>
        <w:t>2014</w:t>
      </w:r>
      <w:r w:rsidR="00C9100F" w:rsidRPr="00C9100F">
        <w:rPr>
          <w:rFonts w:ascii="Times New Roman" w:hAnsi="Times New Roman"/>
          <w:i/>
          <w:szCs w:val="24"/>
        </w:rPr>
        <w:t xml:space="preserve">, </w:t>
      </w:r>
      <w:r w:rsidR="00C9100F" w:rsidRPr="00C9100F">
        <w:rPr>
          <w:rFonts w:ascii="Times New Roman" w:hAnsi="Times New Roman"/>
          <w:b w:val="0"/>
          <w:szCs w:val="24"/>
        </w:rPr>
        <w:t xml:space="preserve">section </w:t>
      </w:r>
      <w:r w:rsidR="005D618C">
        <w:rPr>
          <w:rFonts w:ascii="Times New Roman" w:hAnsi="Times New Roman"/>
          <w:b w:val="0"/>
          <w:szCs w:val="24"/>
        </w:rPr>
        <w:t>10</w:t>
      </w:r>
      <w:r w:rsidR="00C9100F" w:rsidRPr="00C9100F">
        <w:rPr>
          <w:rFonts w:ascii="Times New Roman" w:hAnsi="Times New Roman"/>
          <w:b w:val="0"/>
          <w:szCs w:val="24"/>
        </w:rPr>
        <w:t xml:space="preserve"> (</w:t>
      </w:r>
      <w:r w:rsidR="005D618C" w:rsidRPr="005D618C">
        <w:rPr>
          <w:rFonts w:ascii="Times New Roman" w:hAnsi="Times New Roman"/>
          <w:b w:val="0"/>
          <w:bCs/>
          <w:szCs w:val="24"/>
        </w:rPr>
        <w:t xml:space="preserve">def </w:t>
      </w:r>
      <w:r w:rsidR="005D618C" w:rsidRPr="005D618C">
        <w:rPr>
          <w:rFonts w:ascii="Times New Roman" w:hAnsi="Times New Roman"/>
          <w:b w:val="0"/>
          <w:bCs/>
          <w:i/>
          <w:iCs/>
          <w:szCs w:val="24"/>
        </w:rPr>
        <w:t>oral fluid analysis instrument</w:t>
      </w:r>
      <w:r w:rsidR="005D618C" w:rsidRPr="005D618C">
        <w:rPr>
          <w:rFonts w:ascii="Times New Roman" w:hAnsi="Times New Roman"/>
          <w:b w:val="0"/>
          <w:bCs/>
          <w:szCs w:val="24"/>
        </w:rPr>
        <w:t>, par (b)</w:t>
      </w:r>
      <w:r w:rsidR="00C9100F" w:rsidRPr="00C9100F">
        <w:rPr>
          <w:rFonts w:ascii="Times New Roman" w:hAnsi="Times New Roman"/>
          <w:b w:val="0"/>
          <w:szCs w:val="24"/>
        </w:rPr>
        <w:t>)</w:t>
      </w:r>
    </w:p>
    <w:p w14:paraId="65F2C30C" w14:textId="77777777" w:rsidR="00A847D9" w:rsidRDefault="00A847D9" w:rsidP="00A847D9">
      <w:pPr>
        <w:pStyle w:val="Heading3"/>
        <w:ind w:right="567"/>
      </w:pPr>
      <w:r>
        <w:t>EXPLANATORY STATEMENT</w:t>
      </w:r>
    </w:p>
    <w:p w14:paraId="2D318EF5" w14:textId="77777777" w:rsidR="00A847D9" w:rsidRDefault="00A847D9" w:rsidP="00A847D9">
      <w:pPr>
        <w:pStyle w:val="N-line3"/>
        <w:pBdr>
          <w:bottom w:val="none" w:sz="0" w:space="0" w:color="auto"/>
        </w:pBdr>
      </w:pPr>
    </w:p>
    <w:p w14:paraId="6146208C" w14:textId="77777777" w:rsidR="00A847D9" w:rsidRDefault="00A847D9" w:rsidP="00A847D9">
      <w:pPr>
        <w:pStyle w:val="N-line3"/>
        <w:pBdr>
          <w:top w:val="single" w:sz="12" w:space="1" w:color="auto"/>
          <w:bottom w:val="none" w:sz="0" w:space="0" w:color="auto"/>
        </w:pBdr>
      </w:pPr>
    </w:p>
    <w:p w14:paraId="5A5B8901" w14:textId="77777777" w:rsidR="00C9100F" w:rsidRPr="00E47328" w:rsidRDefault="00C9100F" w:rsidP="00C9100F">
      <w:pPr>
        <w:autoSpaceDE w:val="0"/>
        <w:autoSpaceDN w:val="0"/>
        <w:adjustRightInd w:val="0"/>
        <w:spacing w:after="120"/>
        <w:rPr>
          <w:b/>
          <w:sz w:val="28"/>
          <w:szCs w:val="28"/>
        </w:rPr>
      </w:pPr>
      <w:r w:rsidRPr="00E47328">
        <w:rPr>
          <w:b/>
          <w:sz w:val="28"/>
          <w:szCs w:val="28"/>
        </w:rPr>
        <w:t>Introduction</w:t>
      </w:r>
    </w:p>
    <w:p w14:paraId="04A3C5A8" w14:textId="4C6D8A44" w:rsidR="00C9100F" w:rsidRPr="001F5F58" w:rsidRDefault="00C9100F" w:rsidP="00C9100F">
      <w:pPr>
        <w:spacing w:before="120" w:after="200" w:line="276" w:lineRule="auto"/>
        <w:rPr>
          <w:szCs w:val="24"/>
          <w:lang w:eastAsia="en-AU"/>
        </w:rPr>
      </w:pPr>
      <w:r w:rsidRPr="001F5F58">
        <w:rPr>
          <w:szCs w:val="24"/>
          <w:lang w:eastAsia="en-AU"/>
        </w:rPr>
        <w:t xml:space="preserve">This explanatory statement relates to the </w:t>
      </w:r>
      <w:r w:rsidRPr="001F5F58">
        <w:rPr>
          <w:i/>
          <w:szCs w:val="24"/>
          <w:lang w:eastAsia="en-AU"/>
        </w:rPr>
        <w:t>R</w:t>
      </w:r>
      <w:r w:rsidR="00A95AF2">
        <w:rPr>
          <w:i/>
          <w:szCs w:val="24"/>
          <w:lang w:eastAsia="en-AU"/>
        </w:rPr>
        <w:t>ail Safety National Law</w:t>
      </w:r>
      <w:r w:rsidRPr="001F5F58">
        <w:rPr>
          <w:i/>
          <w:szCs w:val="24"/>
          <w:lang w:eastAsia="en-AU"/>
        </w:rPr>
        <w:t xml:space="preserve"> (</w:t>
      </w:r>
      <w:r w:rsidR="00A95AF2">
        <w:rPr>
          <w:i/>
          <w:szCs w:val="24"/>
          <w:lang w:eastAsia="en-AU"/>
        </w:rPr>
        <w:t>ACT</w:t>
      </w:r>
      <w:r>
        <w:rPr>
          <w:i/>
          <w:szCs w:val="24"/>
          <w:lang w:eastAsia="en-AU"/>
        </w:rPr>
        <w:t>) Amendment Regulation 20</w:t>
      </w:r>
      <w:r w:rsidR="00A95AF2">
        <w:rPr>
          <w:i/>
          <w:szCs w:val="24"/>
          <w:lang w:eastAsia="en-AU"/>
        </w:rPr>
        <w:t>2</w:t>
      </w:r>
      <w:r w:rsidR="005F3C73">
        <w:rPr>
          <w:i/>
          <w:szCs w:val="24"/>
          <w:lang w:eastAsia="en-AU"/>
        </w:rPr>
        <w:t>3</w:t>
      </w:r>
      <w:r w:rsidR="00A95AF2">
        <w:rPr>
          <w:i/>
          <w:szCs w:val="24"/>
          <w:lang w:eastAsia="en-AU"/>
        </w:rPr>
        <w:t xml:space="preserve"> </w:t>
      </w:r>
      <w:r w:rsidRPr="001F5F58">
        <w:rPr>
          <w:i/>
          <w:szCs w:val="24"/>
          <w:lang w:eastAsia="en-AU"/>
        </w:rPr>
        <w:t>(</w:t>
      </w:r>
      <w:r w:rsidRPr="001561FD">
        <w:rPr>
          <w:i/>
          <w:szCs w:val="24"/>
          <w:lang w:eastAsia="en-AU"/>
        </w:rPr>
        <w:t>No 1</w:t>
      </w:r>
      <w:r w:rsidRPr="001F5F58">
        <w:rPr>
          <w:i/>
          <w:szCs w:val="24"/>
          <w:lang w:eastAsia="en-AU"/>
        </w:rPr>
        <w:t>)</w:t>
      </w:r>
      <w:r w:rsidRPr="001F5F58">
        <w:rPr>
          <w:szCs w:val="24"/>
          <w:lang w:eastAsia="en-AU"/>
        </w:rPr>
        <w:t xml:space="preserve"> (the regulation) as presented to the Legislative Assembly. It has been prepared in order to assist the reader of the regulation. It does not form part of the legislation and has not been endorsed by the Assembly.</w:t>
      </w:r>
    </w:p>
    <w:p w14:paraId="19E26CCA" w14:textId="77777777" w:rsidR="00C9100F" w:rsidRPr="001F5F58" w:rsidRDefault="00C9100F" w:rsidP="00C9100F">
      <w:pPr>
        <w:spacing w:before="120" w:after="200" w:line="276" w:lineRule="auto"/>
        <w:rPr>
          <w:szCs w:val="24"/>
          <w:lang w:eastAsia="en-AU"/>
        </w:rPr>
      </w:pPr>
      <w:r w:rsidRPr="001F5F58">
        <w:rPr>
          <w:szCs w:val="24"/>
          <w:lang w:eastAsia="en-AU"/>
        </w:rPr>
        <w:t>This explanatory statement must be read in conjunction with the regulation. It is not, and is not meant to be, a comprehensive description of the regulation. What is said about a provision is not taken as an authoritative guide to the meaning of a provision, this being a task for the courts.</w:t>
      </w:r>
    </w:p>
    <w:p w14:paraId="1E74420C" w14:textId="77777777" w:rsidR="00C9100F" w:rsidRPr="00E47328" w:rsidRDefault="00C9100F" w:rsidP="00C9100F">
      <w:pPr>
        <w:autoSpaceDE w:val="0"/>
        <w:autoSpaceDN w:val="0"/>
        <w:adjustRightInd w:val="0"/>
        <w:spacing w:after="120"/>
        <w:rPr>
          <w:b/>
          <w:sz w:val="28"/>
          <w:szCs w:val="28"/>
        </w:rPr>
      </w:pPr>
      <w:r>
        <w:rPr>
          <w:b/>
          <w:sz w:val="28"/>
          <w:szCs w:val="28"/>
        </w:rPr>
        <w:t>Overview</w:t>
      </w:r>
    </w:p>
    <w:p w14:paraId="6D1696D4" w14:textId="4FD6B1CC" w:rsidR="00C9100F" w:rsidRDefault="00C9100F" w:rsidP="00A847D9">
      <w:pPr>
        <w:rPr>
          <w:i/>
        </w:rPr>
      </w:pPr>
      <w:r>
        <w:t xml:space="preserve">This regulation amends the </w:t>
      </w:r>
      <w:r>
        <w:rPr>
          <w:i/>
        </w:rPr>
        <w:t>R</w:t>
      </w:r>
      <w:r w:rsidR="00A95AF2">
        <w:rPr>
          <w:i/>
        </w:rPr>
        <w:t>ail Safety National Law</w:t>
      </w:r>
      <w:r>
        <w:rPr>
          <w:i/>
        </w:rPr>
        <w:t xml:space="preserve"> (</w:t>
      </w:r>
      <w:r w:rsidR="00A95AF2">
        <w:rPr>
          <w:i/>
        </w:rPr>
        <w:t>ACT</w:t>
      </w:r>
      <w:r>
        <w:rPr>
          <w:i/>
        </w:rPr>
        <w:t xml:space="preserve">) Regulation </w:t>
      </w:r>
      <w:r w:rsidRPr="00776CC5">
        <w:rPr>
          <w:i/>
          <w:iCs/>
        </w:rPr>
        <w:t>201</w:t>
      </w:r>
      <w:r w:rsidR="00A95AF2" w:rsidRPr="00776CC5">
        <w:rPr>
          <w:i/>
          <w:iCs/>
        </w:rPr>
        <w:t>4</w:t>
      </w:r>
      <w:r w:rsidRPr="00776CC5">
        <w:rPr>
          <w:i/>
          <w:iCs/>
        </w:rPr>
        <w:t>.</w:t>
      </w:r>
      <w:r>
        <w:t xml:space="preserve"> Section </w:t>
      </w:r>
      <w:r w:rsidR="007E65F1">
        <w:t>55</w:t>
      </w:r>
      <w:r>
        <w:t xml:space="preserve"> of the </w:t>
      </w:r>
      <w:r>
        <w:rPr>
          <w:i/>
        </w:rPr>
        <w:t>R</w:t>
      </w:r>
      <w:r w:rsidR="00A95AF2">
        <w:rPr>
          <w:i/>
        </w:rPr>
        <w:t>ail Safety National Law</w:t>
      </w:r>
      <w:r>
        <w:rPr>
          <w:i/>
        </w:rPr>
        <w:t xml:space="preserve"> (</w:t>
      </w:r>
      <w:r w:rsidR="00A95AF2">
        <w:rPr>
          <w:i/>
        </w:rPr>
        <w:t>ACT</w:t>
      </w:r>
      <w:r>
        <w:rPr>
          <w:i/>
        </w:rPr>
        <w:t xml:space="preserve">) Act </w:t>
      </w:r>
      <w:r w:rsidR="00A95AF2">
        <w:rPr>
          <w:i/>
        </w:rPr>
        <w:t>2014</w:t>
      </w:r>
      <w:r>
        <w:t xml:space="preserve"> gives the Executive the power </w:t>
      </w:r>
      <w:r w:rsidR="00A95AF2">
        <w:t xml:space="preserve">to </w:t>
      </w:r>
      <w:r>
        <w:t xml:space="preserve">make regulations for the </w:t>
      </w:r>
      <w:r>
        <w:rPr>
          <w:i/>
        </w:rPr>
        <w:t>R</w:t>
      </w:r>
      <w:r w:rsidR="00A95AF2">
        <w:rPr>
          <w:i/>
        </w:rPr>
        <w:t>ail Safety National Law</w:t>
      </w:r>
      <w:r>
        <w:rPr>
          <w:i/>
        </w:rPr>
        <w:t xml:space="preserve"> (</w:t>
      </w:r>
      <w:r w:rsidR="00A95AF2">
        <w:rPr>
          <w:i/>
        </w:rPr>
        <w:t>ACT</w:t>
      </w:r>
      <w:r>
        <w:rPr>
          <w:i/>
        </w:rPr>
        <w:t xml:space="preserve">) Act </w:t>
      </w:r>
      <w:r w:rsidR="00A95AF2">
        <w:rPr>
          <w:i/>
        </w:rPr>
        <w:t>2014</w:t>
      </w:r>
      <w:r>
        <w:rPr>
          <w:i/>
        </w:rPr>
        <w:t>.</w:t>
      </w:r>
    </w:p>
    <w:p w14:paraId="16A5465E" w14:textId="77777777" w:rsidR="00051D3E" w:rsidRDefault="00051D3E" w:rsidP="00A847D9">
      <w:pPr>
        <w:rPr>
          <w:i/>
        </w:rPr>
      </w:pPr>
    </w:p>
    <w:p w14:paraId="1B49931D" w14:textId="0A0820EE" w:rsidR="007E65F1" w:rsidRDefault="00051D3E" w:rsidP="00A847D9">
      <w:r>
        <w:t xml:space="preserve">The </w:t>
      </w:r>
      <w:r w:rsidR="007E65F1">
        <w:rPr>
          <w:i/>
        </w:rPr>
        <w:t>Rail Safety National Law (ACT) Act 2014</w:t>
      </w:r>
      <w:r w:rsidR="007E65F1">
        <w:t xml:space="preserve"> </w:t>
      </w:r>
      <w:r w:rsidR="007E65F1" w:rsidRPr="007E65F1">
        <w:t xml:space="preserve">section 10(b) requires oral fluid analysis instruments to be prescribed in the </w:t>
      </w:r>
      <w:r w:rsidR="007E65F1" w:rsidRPr="007E65F1">
        <w:rPr>
          <w:i/>
          <w:iCs/>
        </w:rPr>
        <w:t>Rail Safety National Law (ACT) Regulation 2014</w:t>
      </w:r>
      <w:r w:rsidR="007E65F1">
        <w:rPr>
          <w:i/>
          <w:iCs/>
        </w:rPr>
        <w:t xml:space="preserve"> </w:t>
      </w:r>
      <w:r w:rsidR="007E65F1" w:rsidRPr="007E65F1">
        <w:t>for the purpose of drug analysis in oral fluid</w:t>
      </w:r>
      <w:r w:rsidR="007E65F1" w:rsidRPr="007E65F1">
        <w:rPr>
          <w:i/>
          <w:iCs/>
        </w:rPr>
        <w:t xml:space="preserve"> </w:t>
      </w:r>
      <w:r w:rsidR="007E65F1" w:rsidRPr="007E65F1">
        <w:t>samples.</w:t>
      </w:r>
    </w:p>
    <w:p w14:paraId="66AAA538" w14:textId="77777777" w:rsidR="007E65F1" w:rsidRDefault="007E65F1" w:rsidP="00A847D9"/>
    <w:p w14:paraId="70A461B9" w14:textId="6B85DB5B" w:rsidR="00C60324" w:rsidRDefault="00C9100F" w:rsidP="00F1172B">
      <w:r>
        <w:t xml:space="preserve">This regulation contains an amendment to section </w:t>
      </w:r>
      <w:r w:rsidR="00187515">
        <w:t>5</w:t>
      </w:r>
      <w:r>
        <w:t xml:space="preserve"> of the </w:t>
      </w:r>
      <w:r w:rsidR="00187515" w:rsidRPr="007E65F1">
        <w:rPr>
          <w:i/>
          <w:iCs/>
        </w:rPr>
        <w:t>Rail Safety National Law (ACT) Regulation 2014</w:t>
      </w:r>
      <w:r w:rsidR="00A36D47">
        <w:rPr>
          <w:i/>
          <w:iCs/>
        </w:rPr>
        <w:t xml:space="preserve"> </w:t>
      </w:r>
      <w:r>
        <w:t xml:space="preserve">to </w:t>
      </w:r>
      <w:r w:rsidR="00A36D47">
        <w:t xml:space="preserve">replace the currently prescribed instruments with the </w:t>
      </w:r>
      <w:r w:rsidR="00A36D47" w:rsidRPr="00A36D47">
        <w:t>‘Shimadzu High Performance Liquid Chromatograph Mass Spectrometer LCMS-8060’</w:t>
      </w:r>
      <w:r w:rsidR="00F1172B">
        <w:t xml:space="preserve">. </w:t>
      </w:r>
      <w:r w:rsidR="00A36D47">
        <w:t xml:space="preserve">Replacing the prescribed instruments with the </w:t>
      </w:r>
      <w:r w:rsidR="00A36D47" w:rsidRPr="00212D98">
        <w:t>‘Shimadzu High Performance Liquid Chromatograph Mass Spectrometer LCMS-8060’</w:t>
      </w:r>
      <w:r w:rsidR="00A36D47">
        <w:t xml:space="preserve"> will ensure the instrument currently in use is prescribed in accordance with</w:t>
      </w:r>
      <w:r w:rsidR="00D37861">
        <w:t xml:space="preserve"> </w:t>
      </w:r>
      <w:r w:rsidR="00915376">
        <w:t>section 1</w:t>
      </w:r>
      <w:r w:rsidR="00A36D47">
        <w:t>0</w:t>
      </w:r>
      <w:r w:rsidR="00915376">
        <w:t xml:space="preserve"> of the</w:t>
      </w:r>
      <w:r w:rsidR="00A36D47">
        <w:rPr>
          <w:i/>
        </w:rPr>
        <w:t xml:space="preserve"> Rail Safety National Law (ACT) Act 2014</w:t>
      </w:r>
      <w:r>
        <w:t xml:space="preserve">. </w:t>
      </w:r>
    </w:p>
    <w:p w14:paraId="4412E6E5" w14:textId="77777777" w:rsidR="00133498" w:rsidRDefault="00133498" w:rsidP="00F1172B"/>
    <w:p w14:paraId="6D45F83E" w14:textId="3C675F88" w:rsidR="00C60324" w:rsidRDefault="00133498" w:rsidP="00F1172B">
      <w:pPr>
        <w:rPr>
          <w:i/>
          <w:iCs/>
        </w:rPr>
      </w:pPr>
      <w:r w:rsidRPr="00212D98">
        <w:lastRenderedPageBreak/>
        <w:t>The function and capability of LCMS-8060 is similar to previous instruments used for the purpose of drug analysis in oral fluid samples and is compliant with the requirements of the updated oral fluid standard AS/NZS4760:2019</w:t>
      </w:r>
      <w:r>
        <w:t xml:space="preserve">. This instrument replaces all currently prescribed instruments under Section 5 of </w:t>
      </w:r>
      <w:r w:rsidRPr="007E65F1">
        <w:t xml:space="preserve">the </w:t>
      </w:r>
      <w:r w:rsidRPr="007E65F1">
        <w:rPr>
          <w:i/>
          <w:iCs/>
        </w:rPr>
        <w:t>Rail Safety National Law (ACT) Regulation 2014</w:t>
      </w:r>
      <w:r>
        <w:rPr>
          <w:i/>
          <w:iCs/>
        </w:rPr>
        <w:t>.</w:t>
      </w:r>
    </w:p>
    <w:p w14:paraId="64C8C49D" w14:textId="77777777" w:rsidR="00133498" w:rsidRDefault="00133498" w:rsidP="00F1172B"/>
    <w:p w14:paraId="305158B0" w14:textId="16A323B5" w:rsidR="00C9100F" w:rsidRDefault="00C60324" w:rsidP="00F1172B">
      <w:r>
        <w:t>Approving the</w:t>
      </w:r>
      <w:r w:rsidR="00BA259E">
        <w:t xml:space="preserve"> instrument</w:t>
      </w:r>
      <w:r>
        <w:t xml:space="preserve"> will </w:t>
      </w:r>
      <w:r w:rsidR="00135D7D">
        <w:t>enable</w:t>
      </w:r>
      <w:r w:rsidR="00BA259E">
        <w:t xml:space="preserve"> the Approved Laboratory </w:t>
      </w:r>
      <w:r w:rsidR="00E144CB">
        <w:t xml:space="preserve">to use the </w:t>
      </w:r>
      <w:r w:rsidR="00E144CB" w:rsidRPr="00E144CB">
        <w:t>‘Shimadzu High Performance Liquid Chromatograph Mass Spectrometer LCMS-8060’</w:t>
      </w:r>
      <w:r w:rsidR="00DC0E38">
        <w:t xml:space="preserve"> for the purpose of </w:t>
      </w:r>
      <w:r w:rsidR="00DC0E38" w:rsidRPr="00212D98">
        <w:t>drug analysis in oral fluid samples</w:t>
      </w:r>
      <w:r>
        <w:t>.</w:t>
      </w:r>
    </w:p>
    <w:p w14:paraId="3BC41CA6" w14:textId="77777777" w:rsidR="00C9100F" w:rsidRDefault="00C9100F" w:rsidP="00A847D9"/>
    <w:p w14:paraId="6D8BD56F" w14:textId="77777777" w:rsidR="00C9100F" w:rsidRPr="00E47328" w:rsidRDefault="00C9100F" w:rsidP="00C9100F">
      <w:pPr>
        <w:autoSpaceDE w:val="0"/>
        <w:autoSpaceDN w:val="0"/>
        <w:adjustRightInd w:val="0"/>
        <w:spacing w:after="120"/>
        <w:rPr>
          <w:b/>
          <w:sz w:val="28"/>
          <w:szCs w:val="28"/>
        </w:rPr>
      </w:pPr>
      <w:r w:rsidRPr="00E47328">
        <w:rPr>
          <w:b/>
          <w:sz w:val="28"/>
          <w:szCs w:val="28"/>
        </w:rPr>
        <w:t>Human rights implications</w:t>
      </w:r>
    </w:p>
    <w:p w14:paraId="2887E7F4" w14:textId="77777777" w:rsidR="00C9100F" w:rsidRPr="00415E3C" w:rsidRDefault="00C9100F" w:rsidP="00C9100F">
      <w:pPr>
        <w:tabs>
          <w:tab w:val="left" w:pos="2600"/>
        </w:tabs>
        <w:autoSpaceDE w:val="0"/>
        <w:autoSpaceDN w:val="0"/>
        <w:adjustRightInd w:val="0"/>
        <w:spacing w:after="200"/>
      </w:pPr>
      <w:r>
        <w:t>There are no human rights implications associated with this regulation.</w:t>
      </w:r>
    </w:p>
    <w:p w14:paraId="00DA5363" w14:textId="77777777" w:rsidR="00C9100F" w:rsidRPr="00E47328" w:rsidRDefault="00C9100F" w:rsidP="00C9100F">
      <w:pPr>
        <w:autoSpaceDE w:val="0"/>
        <w:autoSpaceDN w:val="0"/>
        <w:adjustRightInd w:val="0"/>
        <w:spacing w:after="120"/>
        <w:rPr>
          <w:b/>
          <w:sz w:val="28"/>
          <w:szCs w:val="28"/>
        </w:rPr>
      </w:pPr>
      <w:r w:rsidRPr="00E47328">
        <w:rPr>
          <w:b/>
          <w:sz w:val="28"/>
          <w:szCs w:val="28"/>
        </w:rPr>
        <w:t>Climate change implications</w:t>
      </w:r>
    </w:p>
    <w:p w14:paraId="52BDA4FA" w14:textId="77777777" w:rsidR="00C9100F" w:rsidRPr="00415E3C" w:rsidRDefault="00C9100F" w:rsidP="00C9100F">
      <w:pPr>
        <w:tabs>
          <w:tab w:val="left" w:pos="2600"/>
        </w:tabs>
        <w:autoSpaceDE w:val="0"/>
        <w:autoSpaceDN w:val="0"/>
        <w:adjustRightInd w:val="0"/>
        <w:spacing w:after="200"/>
      </w:pPr>
      <w:r>
        <w:t>There are no climate change implications associated with this regulation.</w:t>
      </w:r>
    </w:p>
    <w:p w14:paraId="506EE483" w14:textId="77777777" w:rsidR="00051D3E" w:rsidRDefault="00051D3E">
      <w:pPr>
        <w:spacing w:after="160" w:line="259" w:lineRule="auto"/>
        <w:rPr>
          <w:b/>
        </w:rPr>
      </w:pPr>
      <w:r>
        <w:rPr>
          <w:b/>
        </w:rPr>
        <w:br w:type="page"/>
      </w:r>
    </w:p>
    <w:p w14:paraId="494144CA" w14:textId="77777777" w:rsidR="00C9100F" w:rsidRDefault="00C9100F">
      <w:pPr>
        <w:spacing w:after="160" w:line="259" w:lineRule="auto"/>
        <w:rPr>
          <w:b/>
        </w:rPr>
      </w:pPr>
      <w:r>
        <w:rPr>
          <w:b/>
        </w:rPr>
        <w:lastRenderedPageBreak/>
        <w:t>CLAUSE NOTES</w:t>
      </w:r>
    </w:p>
    <w:p w14:paraId="67F8D2FF" w14:textId="77777777" w:rsidR="00051D3E" w:rsidRDefault="00051D3E" w:rsidP="00051D3E">
      <w:pPr>
        <w:autoSpaceDE w:val="0"/>
        <w:autoSpaceDN w:val="0"/>
        <w:adjustRightInd w:val="0"/>
        <w:spacing w:before="120" w:after="200" w:line="276" w:lineRule="auto"/>
        <w:rPr>
          <w:b/>
          <w:iCs/>
          <w:szCs w:val="24"/>
        </w:rPr>
      </w:pPr>
      <w:r w:rsidRPr="0074057A">
        <w:rPr>
          <w:b/>
          <w:iCs/>
          <w:szCs w:val="24"/>
        </w:rPr>
        <w:t>Clause 1</w:t>
      </w:r>
      <w:r w:rsidRPr="0074057A">
        <w:rPr>
          <w:b/>
          <w:iCs/>
          <w:szCs w:val="24"/>
        </w:rPr>
        <w:tab/>
      </w:r>
      <w:r w:rsidRPr="00C61DFF">
        <w:rPr>
          <w:b/>
          <w:iCs/>
          <w:szCs w:val="24"/>
        </w:rPr>
        <w:tab/>
        <w:t>Name of regulation</w:t>
      </w:r>
    </w:p>
    <w:p w14:paraId="4FC363C4" w14:textId="352A5ECE" w:rsidR="00051D3E" w:rsidRPr="001F5F58" w:rsidRDefault="00051D3E" w:rsidP="00051D3E">
      <w:pPr>
        <w:autoSpaceDE w:val="0"/>
        <w:autoSpaceDN w:val="0"/>
        <w:adjustRightInd w:val="0"/>
        <w:spacing w:before="120" w:after="200" w:line="276" w:lineRule="auto"/>
        <w:rPr>
          <w:i/>
          <w:iCs/>
          <w:szCs w:val="24"/>
        </w:rPr>
      </w:pPr>
      <w:r w:rsidRPr="0074057A">
        <w:rPr>
          <w:iCs/>
          <w:szCs w:val="24"/>
        </w:rPr>
        <w:t>This clause specifies the name of the regulation</w:t>
      </w:r>
      <w:r w:rsidRPr="00C61DFF">
        <w:rPr>
          <w:iCs/>
          <w:szCs w:val="24"/>
        </w:rPr>
        <w:t xml:space="preserve">. This clause provides that the regulation may be cited as </w:t>
      </w:r>
      <w:r w:rsidRPr="001F5F58">
        <w:rPr>
          <w:iCs/>
          <w:szCs w:val="24"/>
        </w:rPr>
        <w:t xml:space="preserve">the </w:t>
      </w:r>
      <w:r w:rsidR="001E50A9">
        <w:rPr>
          <w:i/>
          <w:iCs/>
          <w:szCs w:val="24"/>
        </w:rPr>
        <w:t>Rail Safety National Law (ACT</w:t>
      </w:r>
      <w:r>
        <w:rPr>
          <w:i/>
          <w:iCs/>
          <w:szCs w:val="24"/>
        </w:rPr>
        <w:t>) Amendment Regulation 20</w:t>
      </w:r>
      <w:r w:rsidR="001E50A9">
        <w:rPr>
          <w:i/>
          <w:iCs/>
          <w:szCs w:val="24"/>
        </w:rPr>
        <w:t>2</w:t>
      </w:r>
      <w:r w:rsidR="005F3C73">
        <w:rPr>
          <w:i/>
          <w:iCs/>
          <w:szCs w:val="24"/>
        </w:rPr>
        <w:t>3</w:t>
      </w:r>
      <w:r w:rsidRPr="001F5F58">
        <w:rPr>
          <w:i/>
          <w:iCs/>
          <w:szCs w:val="24"/>
        </w:rPr>
        <w:t xml:space="preserve"> (No </w:t>
      </w:r>
      <w:r w:rsidR="001E50A9" w:rsidRPr="001561FD">
        <w:rPr>
          <w:i/>
          <w:iCs/>
          <w:szCs w:val="24"/>
        </w:rPr>
        <w:t>1</w:t>
      </w:r>
      <w:r w:rsidRPr="001F5F58">
        <w:rPr>
          <w:i/>
          <w:iCs/>
          <w:szCs w:val="24"/>
        </w:rPr>
        <w:t>).</w:t>
      </w:r>
    </w:p>
    <w:p w14:paraId="15D73BF5" w14:textId="77777777" w:rsidR="00051D3E" w:rsidRDefault="00051D3E" w:rsidP="00051D3E">
      <w:pPr>
        <w:autoSpaceDE w:val="0"/>
        <w:autoSpaceDN w:val="0"/>
        <w:adjustRightInd w:val="0"/>
        <w:spacing w:before="120" w:after="200" w:line="276" w:lineRule="auto"/>
        <w:rPr>
          <w:b/>
          <w:iCs/>
          <w:szCs w:val="24"/>
        </w:rPr>
      </w:pPr>
      <w:r w:rsidRPr="001F5F58">
        <w:rPr>
          <w:b/>
          <w:iCs/>
          <w:szCs w:val="24"/>
        </w:rPr>
        <w:t>Clause 2</w:t>
      </w:r>
      <w:r w:rsidRPr="001F5F58">
        <w:rPr>
          <w:b/>
          <w:iCs/>
          <w:szCs w:val="24"/>
        </w:rPr>
        <w:tab/>
      </w:r>
      <w:r w:rsidRPr="001F5F58">
        <w:rPr>
          <w:b/>
          <w:iCs/>
          <w:szCs w:val="24"/>
        </w:rPr>
        <w:tab/>
        <w:t>Commencement</w:t>
      </w:r>
    </w:p>
    <w:p w14:paraId="7D23F31A" w14:textId="77777777" w:rsidR="00051D3E" w:rsidRPr="001F5F58" w:rsidRDefault="00051D3E" w:rsidP="00051D3E">
      <w:pPr>
        <w:autoSpaceDE w:val="0"/>
        <w:autoSpaceDN w:val="0"/>
        <w:adjustRightInd w:val="0"/>
        <w:spacing w:before="120" w:after="200" w:line="276" w:lineRule="auto"/>
        <w:rPr>
          <w:iCs/>
          <w:szCs w:val="24"/>
        </w:rPr>
      </w:pPr>
      <w:r w:rsidRPr="0074057A">
        <w:rPr>
          <w:iCs/>
          <w:szCs w:val="24"/>
        </w:rPr>
        <w:t>This clause provides</w:t>
      </w:r>
      <w:r w:rsidRPr="00C61DFF">
        <w:rPr>
          <w:iCs/>
          <w:szCs w:val="24"/>
        </w:rPr>
        <w:t xml:space="preserve"> for the commencement of the regulation. This </w:t>
      </w:r>
      <w:r w:rsidRPr="001F5F58">
        <w:rPr>
          <w:iCs/>
          <w:szCs w:val="24"/>
        </w:rPr>
        <w:t>regulation will commence the day after this regulation is notified.</w:t>
      </w:r>
    </w:p>
    <w:p w14:paraId="67322920" w14:textId="77777777" w:rsidR="00051D3E" w:rsidRDefault="00051D3E" w:rsidP="00051D3E">
      <w:pPr>
        <w:autoSpaceDE w:val="0"/>
        <w:autoSpaceDN w:val="0"/>
        <w:adjustRightInd w:val="0"/>
        <w:spacing w:before="120" w:after="200" w:line="276" w:lineRule="auto"/>
        <w:rPr>
          <w:b/>
          <w:iCs/>
          <w:szCs w:val="24"/>
        </w:rPr>
      </w:pPr>
      <w:r w:rsidRPr="00C61DFF">
        <w:rPr>
          <w:b/>
          <w:iCs/>
          <w:szCs w:val="24"/>
        </w:rPr>
        <w:t>Clause 3</w:t>
      </w:r>
      <w:r w:rsidRPr="00C61DFF">
        <w:rPr>
          <w:b/>
          <w:iCs/>
          <w:szCs w:val="24"/>
        </w:rPr>
        <w:tab/>
      </w:r>
      <w:r w:rsidRPr="00C61DFF">
        <w:rPr>
          <w:b/>
          <w:iCs/>
          <w:szCs w:val="24"/>
        </w:rPr>
        <w:tab/>
        <w:t>Legislation amended</w:t>
      </w:r>
    </w:p>
    <w:p w14:paraId="0A60940F" w14:textId="1F8BB784" w:rsidR="00051D3E" w:rsidRPr="00C61DFF" w:rsidRDefault="00051D3E" w:rsidP="00051D3E">
      <w:pPr>
        <w:autoSpaceDE w:val="0"/>
        <w:autoSpaceDN w:val="0"/>
        <w:adjustRightInd w:val="0"/>
        <w:spacing w:before="120" w:after="200" w:line="276" w:lineRule="auto"/>
        <w:rPr>
          <w:szCs w:val="24"/>
        </w:rPr>
      </w:pPr>
      <w:r w:rsidRPr="00C61DFF">
        <w:rPr>
          <w:iCs/>
          <w:szCs w:val="24"/>
        </w:rPr>
        <w:t xml:space="preserve">This clause names the regulation that is being amended by this Regulation. This </w:t>
      </w:r>
      <w:r w:rsidRPr="001F5F58">
        <w:rPr>
          <w:iCs/>
          <w:szCs w:val="24"/>
        </w:rPr>
        <w:t xml:space="preserve">regulation </w:t>
      </w:r>
      <w:r w:rsidRPr="00A6540B">
        <w:rPr>
          <w:iCs/>
          <w:szCs w:val="24"/>
        </w:rPr>
        <w:t xml:space="preserve">amends the </w:t>
      </w:r>
      <w:r w:rsidR="001E50A9">
        <w:rPr>
          <w:i/>
          <w:szCs w:val="24"/>
        </w:rPr>
        <w:t>Rail Safety National Law (ACT</w:t>
      </w:r>
      <w:r w:rsidRPr="001F5F58">
        <w:rPr>
          <w:i/>
          <w:szCs w:val="24"/>
        </w:rPr>
        <w:t>) Regulation 20</w:t>
      </w:r>
      <w:r>
        <w:rPr>
          <w:i/>
          <w:szCs w:val="24"/>
        </w:rPr>
        <w:t>1</w:t>
      </w:r>
      <w:r w:rsidR="001E50A9">
        <w:rPr>
          <w:i/>
          <w:szCs w:val="24"/>
        </w:rPr>
        <w:t>4</w:t>
      </w:r>
      <w:r w:rsidRPr="0074057A">
        <w:rPr>
          <w:szCs w:val="24"/>
        </w:rPr>
        <w:t>.</w:t>
      </w:r>
    </w:p>
    <w:p w14:paraId="361CB859" w14:textId="7A73624E" w:rsidR="00051D3E" w:rsidRPr="00051D3E" w:rsidRDefault="00051D3E" w:rsidP="00A4330F">
      <w:pPr>
        <w:autoSpaceDE w:val="0"/>
        <w:autoSpaceDN w:val="0"/>
        <w:adjustRightInd w:val="0"/>
        <w:spacing w:before="120" w:after="200" w:line="276" w:lineRule="auto"/>
        <w:ind w:left="1418" w:hanging="1418"/>
        <w:rPr>
          <w:b/>
          <w:iCs/>
          <w:szCs w:val="24"/>
        </w:rPr>
      </w:pPr>
      <w:r w:rsidRPr="0074057A">
        <w:rPr>
          <w:b/>
          <w:iCs/>
          <w:szCs w:val="24"/>
        </w:rPr>
        <w:t>Clause 4</w:t>
      </w:r>
      <w:r w:rsidRPr="00C61DFF">
        <w:rPr>
          <w:b/>
          <w:iCs/>
          <w:szCs w:val="24"/>
        </w:rPr>
        <w:tab/>
      </w:r>
      <w:r w:rsidRPr="00C61DFF">
        <w:rPr>
          <w:b/>
          <w:iCs/>
          <w:szCs w:val="24"/>
        </w:rPr>
        <w:tab/>
      </w:r>
      <w:r w:rsidR="00A4330F" w:rsidRPr="00A4330F">
        <w:rPr>
          <w:b/>
          <w:bCs/>
          <w:iCs/>
          <w:szCs w:val="24"/>
        </w:rPr>
        <w:t xml:space="preserve">Oral fluid analysis instrument—Act, s 10, def </w:t>
      </w:r>
      <w:r w:rsidR="00A4330F" w:rsidRPr="00A4330F">
        <w:rPr>
          <w:b/>
          <w:bCs/>
          <w:i/>
          <w:iCs/>
          <w:szCs w:val="24"/>
        </w:rPr>
        <w:t>oral fluid analysis instrument</w:t>
      </w:r>
      <w:r w:rsidR="00A4330F" w:rsidRPr="00A4330F">
        <w:rPr>
          <w:b/>
          <w:bCs/>
          <w:iCs/>
          <w:szCs w:val="24"/>
        </w:rPr>
        <w:t>, par (b)</w:t>
      </w:r>
    </w:p>
    <w:p w14:paraId="06D91151" w14:textId="4DA8983B" w:rsidR="00051D3E" w:rsidRPr="00A4330F" w:rsidRDefault="00051D3E" w:rsidP="001561FD">
      <w:r>
        <w:rPr>
          <w:iCs/>
          <w:szCs w:val="24"/>
        </w:rPr>
        <w:t xml:space="preserve">This clause supports the </w:t>
      </w:r>
      <w:r w:rsidR="002749FF">
        <w:rPr>
          <w:iCs/>
          <w:szCs w:val="24"/>
        </w:rPr>
        <w:t>replacement of currently prescribed instruments</w:t>
      </w:r>
      <w:r w:rsidR="00A81B65">
        <w:rPr>
          <w:iCs/>
          <w:szCs w:val="24"/>
        </w:rPr>
        <w:t xml:space="preserve">. </w:t>
      </w:r>
      <w:r w:rsidRPr="00C61DFF">
        <w:rPr>
          <w:iCs/>
          <w:szCs w:val="24"/>
        </w:rPr>
        <w:t xml:space="preserve">The clause </w:t>
      </w:r>
      <w:r>
        <w:rPr>
          <w:szCs w:val="24"/>
          <w:lang w:eastAsia="en-AU"/>
        </w:rPr>
        <w:t xml:space="preserve">contains an amendment to section </w:t>
      </w:r>
      <w:r w:rsidR="00A4330F">
        <w:rPr>
          <w:szCs w:val="24"/>
          <w:lang w:eastAsia="en-AU"/>
        </w:rPr>
        <w:t>5</w:t>
      </w:r>
      <w:r>
        <w:rPr>
          <w:szCs w:val="24"/>
          <w:lang w:eastAsia="en-AU"/>
        </w:rPr>
        <w:t xml:space="preserve"> of the </w:t>
      </w:r>
      <w:r w:rsidR="00A4330F">
        <w:rPr>
          <w:i/>
          <w:szCs w:val="24"/>
          <w:lang w:eastAsia="en-AU"/>
        </w:rPr>
        <w:t>Rail Safety National Law (ACT</w:t>
      </w:r>
      <w:r>
        <w:rPr>
          <w:i/>
          <w:szCs w:val="24"/>
          <w:lang w:eastAsia="en-AU"/>
        </w:rPr>
        <w:t>) Regulation 201</w:t>
      </w:r>
      <w:r w:rsidR="00A4330F">
        <w:rPr>
          <w:i/>
          <w:szCs w:val="24"/>
          <w:lang w:eastAsia="en-AU"/>
        </w:rPr>
        <w:t>4</w:t>
      </w:r>
      <w:r>
        <w:rPr>
          <w:szCs w:val="24"/>
          <w:lang w:eastAsia="en-AU"/>
        </w:rPr>
        <w:t xml:space="preserve"> to </w:t>
      </w:r>
      <w:bookmarkEnd w:id="0"/>
      <w:r w:rsidR="00A4330F">
        <w:t>substitute</w:t>
      </w:r>
      <w:r w:rsidR="00F1172B">
        <w:t xml:space="preserve"> </w:t>
      </w:r>
      <w:r w:rsidR="00A4330F">
        <w:t xml:space="preserve">the currently prescribed instruments with the instrument </w:t>
      </w:r>
      <w:r w:rsidR="00F1172B">
        <w:t xml:space="preserve">known as the </w:t>
      </w:r>
      <w:r w:rsidR="00A4330F" w:rsidRPr="00A4330F">
        <w:t>Shimadzu High Performance Liquid Chromatograph Mass Spectrometer LCMS-8060</w:t>
      </w:r>
      <w:r w:rsidR="00A81B65">
        <w:t>.</w:t>
      </w:r>
    </w:p>
    <w:sectPr w:rsidR="00051D3E" w:rsidRPr="00A4330F" w:rsidSect="00F15AC3">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3094" w14:textId="77777777" w:rsidR="00347724" w:rsidRDefault="00347724" w:rsidP="00347724">
      <w:r>
        <w:separator/>
      </w:r>
    </w:p>
  </w:endnote>
  <w:endnote w:type="continuationSeparator" w:id="0">
    <w:p w14:paraId="7A4E4EEF" w14:textId="77777777" w:rsidR="00347724" w:rsidRDefault="00347724" w:rsidP="0034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14C2" w14:textId="77777777" w:rsidR="00347724" w:rsidRDefault="00347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E5D3" w14:textId="26EBE565" w:rsidR="00347724" w:rsidRPr="00347724" w:rsidRDefault="00347724" w:rsidP="00347724">
    <w:pPr>
      <w:pStyle w:val="Footer"/>
      <w:jc w:val="center"/>
      <w:rPr>
        <w:rFonts w:ascii="Arial" w:hAnsi="Arial" w:cs="Arial"/>
        <w:sz w:val="14"/>
      </w:rPr>
    </w:pPr>
    <w:r w:rsidRPr="0034772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3CDD" w14:textId="77777777" w:rsidR="00347724" w:rsidRDefault="00347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2325" w14:textId="77777777" w:rsidR="00347724" w:rsidRDefault="00347724" w:rsidP="00347724">
      <w:r>
        <w:separator/>
      </w:r>
    </w:p>
  </w:footnote>
  <w:footnote w:type="continuationSeparator" w:id="0">
    <w:p w14:paraId="2D8FA26E" w14:textId="77777777" w:rsidR="00347724" w:rsidRDefault="00347724" w:rsidP="00347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6DBE" w14:textId="77777777" w:rsidR="00347724" w:rsidRDefault="00347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7FA4" w14:textId="77777777" w:rsidR="00347724" w:rsidRDefault="00347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6A3D" w14:textId="77777777" w:rsidR="00347724" w:rsidRDefault="00347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C7F93"/>
    <w:multiLevelType w:val="hybridMultilevel"/>
    <w:tmpl w:val="1E866B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643E6E95"/>
    <w:multiLevelType w:val="hybridMultilevel"/>
    <w:tmpl w:val="519EAEF2"/>
    <w:lvl w:ilvl="0" w:tplc="8236B8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995380331">
    <w:abstractNumId w:val="1"/>
  </w:num>
  <w:num w:numId="2" w16cid:durableId="2000763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089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A6"/>
    <w:rsid w:val="0001138E"/>
    <w:rsid w:val="00051D3E"/>
    <w:rsid w:val="000C51A5"/>
    <w:rsid w:val="000D4ABA"/>
    <w:rsid w:val="00100677"/>
    <w:rsid w:val="00133498"/>
    <w:rsid w:val="00135D7D"/>
    <w:rsid w:val="001561FD"/>
    <w:rsid w:val="00187515"/>
    <w:rsid w:val="001E50A9"/>
    <w:rsid w:val="00212D98"/>
    <w:rsid w:val="0025616C"/>
    <w:rsid w:val="002749FF"/>
    <w:rsid w:val="00347724"/>
    <w:rsid w:val="00444A6D"/>
    <w:rsid w:val="0048060A"/>
    <w:rsid w:val="004C57C0"/>
    <w:rsid w:val="005546EB"/>
    <w:rsid w:val="00574358"/>
    <w:rsid w:val="005D618C"/>
    <w:rsid w:val="005F3C73"/>
    <w:rsid w:val="006F35AA"/>
    <w:rsid w:val="0071053B"/>
    <w:rsid w:val="00776CC5"/>
    <w:rsid w:val="007E65F1"/>
    <w:rsid w:val="00817F73"/>
    <w:rsid w:val="00822584"/>
    <w:rsid w:val="008C5F89"/>
    <w:rsid w:val="00915376"/>
    <w:rsid w:val="009E2AD7"/>
    <w:rsid w:val="00A36D47"/>
    <w:rsid w:val="00A4104E"/>
    <w:rsid w:val="00A4330F"/>
    <w:rsid w:val="00A81B65"/>
    <w:rsid w:val="00A847D9"/>
    <w:rsid w:val="00A95AF2"/>
    <w:rsid w:val="00B516B7"/>
    <w:rsid w:val="00BA259E"/>
    <w:rsid w:val="00C067D2"/>
    <w:rsid w:val="00C54E02"/>
    <w:rsid w:val="00C60324"/>
    <w:rsid w:val="00C9100F"/>
    <w:rsid w:val="00CA40EF"/>
    <w:rsid w:val="00CD4745"/>
    <w:rsid w:val="00CE4DA6"/>
    <w:rsid w:val="00D37861"/>
    <w:rsid w:val="00D5199B"/>
    <w:rsid w:val="00DC0E38"/>
    <w:rsid w:val="00DC1455"/>
    <w:rsid w:val="00DC51F4"/>
    <w:rsid w:val="00E144CB"/>
    <w:rsid w:val="00E432FB"/>
    <w:rsid w:val="00E71658"/>
    <w:rsid w:val="00ED7139"/>
    <w:rsid w:val="00F1172B"/>
    <w:rsid w:val="00F11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1EF5A"/>
  <w15:chartTrackingRefBased/>
  <w15:docId w15:val="{26019551-836A-42C1-97B6-792DE36A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A6"/>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A847D9"/>
    <w:pPr>
      <w:spacing w:before="360"/>
      <w:ind w:right="565"/>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name">
    <w:name w:val="Billname"/>
    <w:basedOn w:val="Normal"/>
    <w:rsid w:val="00CE4DA6"/>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CE4DA6"/>
    <w:pPr>
      <w:pBdr>
        <w:bottom w:val="single" w:sz="12" w:space="1" w:color="auto"/>
      </w:pBdr>
      <w:jc w:val="both"/>
    </w:pPr>
  </w:style>
  <w:style w:type="paragraph" w:customStyle="1" w:styleId="madeunder">
    <w:name w:val="made under"/>
    <w:basedOn w:val="Normal"/>
    <w:rsid w:val="00CE4DA6"/>
    <w:pPr>
      <w:spacing w:before="180" w:after="60"/>
      <w:jc w:val="both"/>
    </w:pPr>
  </w:style>
  <w:style w:type="paragraph" w:customStyle="1" w:styleId="CoverActName">
    <w:name w:val="CoverActName"/>
    <w:basedOn w:val="Normal"/>
    <w:rsid w:val="00CE4DA6"/>
    <w:pPr>
      <w:tabs>
        <w:tab w:val="left" w:pos="2600"/>
      </w:tabs>
      <w:spacing w:before="200" w:after="60"/>
      <w:jc w:val="both"/>
    </w:pPr>
    <w:rPr>
      <w:rFonts w:ascii="Arial" w:hAnsi="Arial"/>
      <w:b/>
    </w:rPr>
  </w:style>
  <w:style w:type="paragraph" w:styleId="ListParagraph">
    <w:name w:val="List Paragraph"/>
    <w:basedOn w:val="Normal"/>
    <w:uiPriority w:val="34"/>
    <w:qFormat/>
    <w:rsid w:val="00CE4DA6"/>
    <w:pPr>
      <w:ind w:left="720"/>
      <w:contextualSpacing/>
    </w:pPr>
  </w:style>
  <w:style w:type="character" w:customStyle="1" w:styleId="Heading3Char">
    <w:name w:val="Heading 3 Char"/>
    <w:basedOn w:val="DefaultParagraphFont"/>
    <w:link w:val="Heading3"/>
    <w:semiHidden/>
    <w:rsid w:val="00A847D9"/>
    <w:rPr>
      <w:rFonts w:ascii="Arial" w:eastAsia="Times New Roman" w:hAnsi="Arial" w:cs="Arial"/>
      <w:b/>
      <w:bCs/>
      <w:sz w:val="28"/>
      <w:szCs w:val="28"/>
    </w:rPr>
  </w:style>
  <w:style w:type="paragraph" w:styleId="BodyText">
    <w:name w:val="Body Text"/>
    <w:basedOn w:val="Normal"/>
    <w:link w:val="BodyTextChar"/>
    <w:uiPriority w:val="99"/>
    <w:semiHidden/>
    <w:unhideWhenUsed/>
    <w:rsid w:val="00A847D9"/>
    <w:pPr>
      <w:spacing w:after="120"/>
    </w:pPr>
  </w:style>
  <w:style w:type="character" w:customStyle="1" w:styleId="BodyTextChar">
    <w:name w:val="Body Text Char"/>
    <w:basedOn w:val="DefaultParagraphFont"/>
    <w:link w:val="BodyText"/>
    <w:uiPriority w:val="99"/>
    <w:semiHidden/>
    <w:rsid w:val="00A847D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378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86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60324"/>
    <w:rPr>
      <w:sz w:val="16"/>
      <w:szCs w:val="16"/>
    </w:rPr>
  </w:style>
  <w:style w:type="paragraph" w:styleId="CommentText">
    <w:name w:val="annotation text"/>
    <w:basedOn w:val="Normal"/>
    <w:link w:val="CommentTextChar"/>
    <w:uiPriority w:val="99"/>
    <w:semiHidden/>
    <w:unhideWhenUsed/>
    <w:rsid w:val="00C60324"/>
    <w:rPr>
      <w:sz w:val="20"/>
    </w:rPr>
  </w:style>
  <w:style w:type="character" w:customStyle="1" w:styleId="CommentTextChar">
    <w:name w:val="Comment Text Char"/>
    <w:basedOn w:val="DefaultParagraphFont"/>
    <w:link w:val="CommentText"/>
    <w:uiPriority w:val="99"/>
    <w:semiHidden/>
    <w:rsid w:val="00C603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0324"/>
    <w:rPr>
      <w:b/>
      <w:bCs/>
    </w:rPr>
  </w:style>
  <w:style w:type="character" w:customStyle="1" w:styleId="CommentSubjectChar">
    <w:name w:val="Comment Subject Char"/>
    <w:basedOn w:val="CommentTextChar"/>
    <w:link w:val="CommentSubject"/>
    <w:uiPriority w:val="99"/>
    <w:semiHidden/>
    <w:rsid w:val="00C60324"/>
    <w:rPr>
      <w:rFonts w:ascii="Times New Roman" w:eastAsia="Times New Roman" w:hAnsi="Times New Roman" w:cs="Times New Roman"/>
      <w:b/>
      <w:bCs/>
      <w:sz w:val="20"/>
      <w:szCs w:val="20"/>
    </w:rPr>
  </w:style>
  <w:style w:type="paragraph" w:styleId="Revision">
    <w:name w:val="Revision"/>
    <w:hidden/>
    <w:uiPriority w:val="99"/>
    <w:semiHidden/>
    <w:rsid w:val="00C54E02"/>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47724"/>
    <w:pPr>
      <w:tabs>
        <w:tab w:val="center" w:pos="4513"/>
        <w:tab w:val="right" w:pos="9026"/>
      </w:tabs>
    </w:pPr>
  </w:style>
  <w:style w:type="character" w:customStyle="1" w:styleId="HeaderChar">
    <w:name w:val="Header Char"/>
    <w:basedOn w:val="DefaultParagraphFont"/>
    <w:link w:val="Header"/>
    <w:uiPriority w:val="99"/>
    <w:rsid w:val="0034772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47724"/>
    <w:pPr>
      <w:tabs>
        <w:tab w:val="center" w:pos="4513"/>
        <w:tab w:val="right" w:pos="9026"/>
      </w:tabs>
    </w:pPr>
  </w:style>
  <w:style w:type="character" w:customStyle="1" w:styleId="FooterChar">
    <w:name w:val="Footer Char"/>
    <w:basedOn w:val="DefaultParagraphFont"/>
    <w:link w:val="Footer"/>
    <w:uiPriority w:val="99"/>
    <w:rsid w:val="0034772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3044</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Sarah-Anne</dc:creator>
  <cp:keywords/>
  <dc:description/>
  <cp:lastModifiedBy>PCODCS</cp:lastModifiedBy>
  <cp:revision>4</cp:revision>
  <dcterms:created xsi:type="dcterms:W3CDTF">2023-02-08T04:00:00Z</dcterms:created>
  <dcterms:modified xsi:type="dcterms:W3CDTF">2023-02-08T04:00:00Z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A40035725</vt:lpwstr>
  </property>
  <property fmtid="{D5CDD505-2E9C-101B-9397-08002B2CF9AE}" pid="4" name="Objective-Title">
    <vt:lpwstr>Attachment B - Explanatory Statement - Amendment Regulation - Final</vt:lpwstr>
  </property>
  <property fmtid="{D5CDD505-2E9C-101B-9397-08002B2CF9AE}" pid="5" name="Objective-Comment">
    <vt:lpwstr/>
  </property>
  <property fmtid="{D5CDD505-2E9C-101B-9397-08002B2CF9AE}" pid="6" name="Objective-CreationStamp">
    <vt:filetime>2022-12-14T03:00:05Z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2022-12-19T23:26:52Z</vt:filetime>
  </property>
  <property fmtid="{D5CDD505-2E9C-101B-9397-08002B2CF9AE}" pid="10" name="Objective-ModificationStamp">
    <vt:filetime>2022-12-19T23:26:52Z</vt:filetime>
  </property>
  <property fmtid="{D5CDD505-2E9C-101B-9397-08002B2CF9AE}" pid="11" name="Objective-Owner">
    <vt:lpwstr>Gregory Mirenda</vt:lpwstr>
  </property>
  <property fmtid="{D5CDD505-2E9C-101B-9397-08002B2CF9AE}" pid="12" name="Objective-Path">
    <vt:lpwstr>Whole of ACT Government:TCCS STRUCTURE - Content Restriction Hierarchy:01. Assembly, Cabinet, Ministerial:03. Ministerials:02. Active:Minister Brief:TCBS - MIN S2022/02562 - Rail Safety National Law (ACT) Amendment Regulation 2022 - Oral Fluid Analysis Instrument amendment - Minister Brief:</vt:lpwstr>
  </property>
  <property fmtid="{D5CDD505-2E9C-101B-9397-08002B2CF9AE}" pid="13" name="Objective-Parent">
    <vt:lpwstr>TCBS - MIN S2022/02562 - Rail Safety National Law (ACT) Amendment Regulation 2022 - Oral Fluid Analysis Instrument amendment - Minister Brief</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Updated to Amendment Regulation 2023</vt:lpwstr>
  </property>
  <property fmtid="{D5CDD505-2E9C-101B-9397-08002B2CF9AE}" pid="18" name="Objective-FileNumber">
    <vt:lpwstr>qA734792</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ies>
</file>