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1986"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2A709AA" w14:textId="32B6A575" w:rsidR="00C17FAB" w:rsidRDefault="009E49EE">
      <w:pPr>
        <w:pStyle w:val="Billname"/>
        <w:spacing w:before="700"/>
      </w:pPr>
      <w:r>
        <w:t>Utilities (ACT Retail Electricity</w:t>
      </w:r>
      <w:r w:rsidR="007403ED">
        <w:t xml:space="preserve"> </w:t>
      </w:r>
      <w:r w:rsidR="005C42FB">
        <w:rPr>
          <w:rFonts w:cs="Arial"/>
          <w:bCs/>
        </w:rPr>
        <w:t>–</w:t>
      </w:r>
      <w:r>
        <w:t>Transparency and Comparability Code) Variation 202</w:t>
      </w:r>
      <w:r w:rsidR="001E283A">
        <w:t>3</w:t>
      </w:r>
      <w:r w:rsidR="005C42FB">
        <w:t xml:space="preserve"> </w:t>
      </w:r>
    </w:p>
    <w:p w14:paraId="7D2A8C61" w14:textId="350399E9" w:rsidR="00C17FAB" w:rsidRDefault="002D7C60" w:rsidP="00DA3B00">
      <w:pPr>
        <w:spacing w:before="340"/>
        <w:rPr>
          <w:rFonts w:ascii="Arial" w:hAnsi="Arial" w:cs="Arial"/>
          <w:b/>
          <w:bCs/>
        </w:rPr>
      </w:pPr>
      <w:r>
        <w:rPr>
          <w:rFonts w:ascii="Arial" w:hAnsi="Arial" w:cs="Arial"/>
          <w:b/>
          <w:bCs/>
        </w:rPr>
        <w:t>Disallowable instrument DI</w:t>
      </w:r>
      <w:r w:rsidR="009E49EE">
        <w:rPr>
          <w:rFonts w:ascii="Arial" w:hAnsi="Arial" w:cs="Arial"/>
          <w:b/>
          <w:bCs/>
        </w:rPr>
        <w:t>202</w:t>
      </w:r>
      <w:r w:rsidR="001E283A">
        <w:rPr>
          <w:rFonts w:ascii="Arial" w:hAnsi="Arial" w:cs="Arial"/>
          <w:b/>
          <w:bCs/>
        </w:rPr>
        <w:t>3</w:t>
      </w:r>
      <w:r w:rsidR="00C17FAB">
        <w:rPr>
          <w:rFonts w:ascii="Arial" w:hAnsi="Arial" w:cs="Arial"/>
          <w:b/>
          <w:bCs/>
        </w:rPr>
        <w:t>–</w:t>
      </w:r>
      <w:r w:rsidR="00E546C0">
        <w:rPr>
          <w:rFonts w:ascii="Arial" w:hAnsi="Arial" w:cs="Arial"/>
          <w:b/>
          <w:bCs/>
        </w:rPr>
        <w:t>14</w:t>
      </w:r>
    </w:p>
    <w:p w14:paraId="64586C55" w14:textId="77777777" w:rsidR="00C17FAB" w:rsidRDefault="00C17FAB" w:rsidP="00DA3B00">
      <w:pPr>
        <w:pStyle w:val="madeunder"/>
        <w:spacing w:before="300" w:after="0"/>
      </w:pPr>
      <w:r>
        <w:t xml:space="preserve">made under the  </w:t>
      </w:r>
    </w:p>
    <w:p w14:paraId="2F40E5E7" w14:textId="2E098441" w:rsidR="00C17FAB" w:rsidRDefault="009E49EE" w:rsidP="00DA3B00">
      <w:pPr>
        <w:pStyle w:val="CoverActName"/>
        <w:spacing w:before="320" w:after="0"/>
        <w:rPr>
          <w:rFonts w:cs="Arial"/>
          <w:sz w:val="20"/>
        </w:rPr>
      </w:pPr>
      <w:r>
        <w:rPr>
          <w:rFonts w:cs="Arial"/>
          <w:sz w:val="20"/>
        </w:rPr>
        <w:t>Utilities Act 2000, section 61 (Variation) and section 63 (Public access)</w:t>
      </w:r>
    </w:p>
    <w:p w14:paraId="67C08D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0FDBB5A" w14:textId="77777777" w:rsidR="00C17FAB" w:rsidRDefault="00C17FAB">
      <w:pPr>
        <w:pStyle w:val="N-line3"/>
        <w:pBdr>
          <w:bottom w:val="none" w:sz="0" w:space="0" w:color="auto"/>
        </w:pBdr>
      </w:pPr>
    </w:p>
    <w:p w14:paraId="01094D1B" w14:textId="77777777" w:rsidR="00C17FAB" w:rsidRDefault="00C17FAB">
      <w:pPr>
        <w:pStyle w:val="N-line3"/>
        <w:pBdr>
          <w:top w:val="single" w:sz="12" w:space="1" w:color="auto"/>
          <w:bottom w:val="none" w:sz="0" w:space="0" w:color="auto"/>
        </w:pBdr>
      </w:pPr>
    </w:p>
    <w:bookmarkEnd w:id="0"/>
    <w:p w14:paraId="2262A198" w14:textId="77777777" w:rsidR="009E49EE" w:rsidRPr="003D4B05" w:rsidRDefault="009E49EE" w:rsidP="009E49EE">
      <w:pPr>
        <w:keepNext/>
        <w:spacing w:after="120"/>
        <w:rPr>
          <w:b/>
          <w:bCs/>
        </w:rPr>
      </w:pPr>
      <w:r>
        <w:rPr>
          <w:b/>
          <w:bCs/>
        </w:rPr>
        <w:t>Variation</w:t>
      </w:r>
      <w:r w:rsidRPr="003D4B05">
        <w:rPr>
          <w:b/>
          <w:bCs/>
        </w:rPr>
        <w:t xml:space="preserve"> of the </w:t>
      </w:r>
      <w:r w:rsidRPr="003D4B05">
        <w:rPr>
          <w:b/>
          <w:bCs/>
          <w:i/>
          <w:iCs/>
        </w:rPr>
        <w:t>ACT Retail Electricity (Transparency and Comparability) Code 2021</w:t>
      </w:r>
    </w:p>
    <w:p w14:paraId="3CDDFE37" w14:textId="4F4C251E" w:rsidR="009E49EE" w:rsidRDefault="009E49EE" w:rsidP="009E49EE">
      <w:pPr>
        <w:spacing w:before="120" w:after="120"/>
      </w:pPr>
      <w:r>
        <w:t xml:space="preserve">On 31 March 2022, the Australian Energy Regulator (AER) published its Better Bills Guideline (AER Guideline). The AER Guideline imposes obligations on retailers that standardise the messaging consumers will see on their energy bills to help customers understand the plan they are on and whether it is the best plan for their circumstances. The AER Guideline </w:t>
      </w:r>
      <w:r w:rsidR="004D39CA">
        <w:t xml:space="preserve">is </w:t>
      </w:r>
      <w:r w:rsidR="001E283A">
        <w:t>like</w:t>
      </w:r>
      <w:r>
        <w:t xml:space="preserve"> the better offer obligation contained in the </w:t>
      </w:r>
      <w:bookmarkStart w:id="1" w:name="_Hlk75527602"/>
      <w:r w:rsidRPr="003D4B05">
        <w:rPr>
          <w:i/>
          <w:iCs/>
        </w:rPr>
        <w:t>ACT Retail Electricity (Transparency and Comparability) Code 2021</w:t>
      </w:r>
      <w:bookmarkEnd w:id="1"/>
      <w:r>
        <w:t xml:space="preserve"> (Code). </w:t>
      </w:r>
    </w:p>
    <w:p w14:paraId="2B6E4E16" w14:textId="5F4E49AA" w:rsidR="009E49EE" w:rsidRDefault="009E49EE" w:rsidP="009E49EE">
      <w:pPr>
        <w:spacing w:before="120" w:after="120"/>
      </w:pPr>
      <w:r>
        <w:t xml:space="preserve">The Independent Competition and Regulatory Commission determined that the implementation of the AER Guideline met the requirements of </w:t>
      </w:r>
      <w:r>
        <w:rPr>
          <w:bCs/>
          <w:iCs/>
        </w:rPr>
        <w:t>section 61(2)(iii) of the</w:t>
      </w:r>
      <w:r>
        <w:t xml:space="preserve"> </w:t>
      </w:r>
      <w:r w:rsidRPr="004F58E3">
        <w:rPr>
          <w:i/>
          <w:iCs/>
        </w:rPr>
        <w:t>Utilities Act 2000</w:t>
      </w:r>
      <w:r>
        <w:t xml:space="preserve"> (the Act), and therefore it </w:t>
      </w:r>
      <w:r w:rsidR="001E283A">
        <w:t>wa</w:t>
      </w:r>
      <w:r>
        <w:t xml:space="preserve">s appropriate to vary the Code under the section 61(3) of the Act. This </w:t>
      </w:r>
      <w:r w:rsidR="001E283A">
        <w:t>amendment</w:t>
      </w:r>
      <w:r>
        <w:t xml:space="preserve"> minimise</w:t>
      </w:r>
      <w:r w:rsidR="001E283A">
        <w:t>d</w:t>
      </w:r>
      <w:r>
        <w:t xml:space="preserve"> the administrative costs to National Energy Retail Law (NERL) retailers</w:t>
      </w:r>
      <w:r w:rsidR="001E283A">
        <w:t xml:space="preserve"> which</w:t>
      </w:r>
      <w:r>
        <w:t xml:space="preserve"> would likely be passed onto ACT consumers. </w:t>
      </w:r>
    </w:p>
    <w:p w14:paraId="41B66E1F" w14:textId="43C06916" w:rsidR="009E49EE" w:rsidRDefault="009E49EE" w:rsidP="009E49EE">
      <w:pPr>
        <w:spacing w:before="120" w:after="120"/>
      </w:pPr>
      <w:r w:rsidRPr="00B7312D">
        <w:t xml:space="preserve">The </w:t>
      </w:r>
      <w:r>
        <w:t xml:space="preserve">variation to the </w:t>
      </w:r>
      <w:r w:rsidRPr="00B7312D">
        <w:t xml:space="preserve">Code </w:t>
      </w:r>
      <w:r>
        <w:t>re</w:t>
      </w:r>
      <w:r w:rsidR="004D39CA">
        <w:t>move</w:t>
      </w:r>
      <w:r w:rsidR="001E283A">
        <w:t>d</w:t>
      </w:r>
      <w:r>
        <w:t xml:space="preserve"> clauses 3.3 to 3.4 of part 3 of the Code.</w:t>
      </w:r>
    </w:p>
    <w:p w14:paraId="0EAB63B9" w14:textId="0E2CE1A3" w:rsidR="009E49EE" w:rsidRDefault="009E49EE" w:rsidP="009E49EE">
      <w:pPr>
        <w:spacing w:before="120" w:after="120"/>
      </w:pPr>
      <w:r>
        <w:t>The AER Guideline c</w:t>
      </w:r>
      <w:r w:rsidR="001E283A">
        <w:t>a</w:t>
      </w:r>
      <w:r>
        <w:t xml:space="preserve">me into effect from 4 August 2022 with transitional </w:t>
      </w:r>
      <w:r w:rsidRPr="004D39CA">
        <w:t xml:space="preserve">arrangements </w:t>
      </w:r>
      <w:r w:rsidR="00C3448F">
        <w:t xml:space="preserve">originally </w:t>
      </w:r>
      <w:r w:rsidRPr="004D39CA">
        <w:t>in place until 31 March 2023.</w:t>
      </w:r>
      <w:r>
        <w:t xml:space="preserve"> </w:t>
      </w:r>
      <w:bookmarkStart w:id="2" w:name="_Hlk125120590"/>
      <w:r>
        <w:t>To ensure that consumers in the ACT continue</w:t>
      </w:r>
      <w:r w:rsidR="001E283A">
        <w:t>d</w:t>
      </w:r>
      <w:r>
        <w:t xml:space="preserve"> to receive the benefits of part 3 of the Code until the AER Guideline comes fully into effect, the transitional arrangements at clause 3.5 of the Code w</w:t>
      </w:r>
      <w:r w:rsidR="001E283A">
        <w:t xml:space="preserve">ere </w:t>
      </w:r>
      <w:r>
        <w:t>continue</w:t>
      </w:r>
      <w:r w:rsidR="001E283A">
        <w:t>d</w:t>
      </w:r>
      <w:r>
        <w:t xml:space="preserve"> until the earlier of a NERL retailer becoming compliant with the AER Guideline or </w:t>
      </w:r>
      <w:r w:rsidRPr="004D39CA">
        <w:t>31 March 2023.</w:t>
      </w:r>
    </w:p>
    <w:bookmarkEnd w:id="2"/>
    <w:p w14:paraId="244E147E" w14:textId="27A4EA8A" w:rsidR="00F724ED" w:rsidRDefault="00F724ED" w:rsidP="00F724ED">
      <w:pPr>
        <w:spacing w:before="120" w:after="120"/>
      </w:pPr>
      <w:r>
        <w:t xml:space="preserve">The Australian Energy Market Commission has ruled that the implementation date of the AER Guideline should be extended to 30 September 2023. To ensure that consumers in the ACT continue to receive the benefits of part 3 of the Code until the AER Guideline comes fully into effect, the transitional arrangements at clause 3.5 of the Code will continue until the earlier of a NERL retailer becoming compliant with the AER Guideline or </w:t>
      </w:r>
      <w:r w:rsidRPr="004D39CA">
        <w:t>3</w:t>
      </w:r>
      <w:r>
        <w:t xml:space="preserve">0 September </w:t>
      </w:r>
      <w:r w:rsidRPr="004D39CA">
        <w:t>2023.</w:t>
      </w:r>
    </w:p>
    <w:p w14:paraId="0E0A2218" w14:textId="3FC10E18" w:rsidR="001E283A" w:rsidRPr="00C8606E" w:rsidRDefault="00940B75" w:rsidP="009E49EE">
      <w:pPr>
        <w:spacing w:before="120" w:after="120"/>
      </w:pPr>
      <w:r>
        <w:lastRenderedPageBreak/>
        <w:t>This instrument revokes the</w:t>
      </w:r>
      <w:r w:rsidRPr="00004330">
        <w:rPr>
          <w:i/>
          <w:iCs/>
        </w:rPr>
        <w:t xml:space="preserve"> Utilities (ACT Retail Elec</w:t>
      </w:r>
      <w:r w:rsidR="00C65598" w:rsidRPr="00004330">
        <w:rPr>
          <w:i/>
          <w:iCs/>
        </w:rPr>
        <w:t>tricity-Transparency and Comparability Code) Variation 2022</w:t>
      </w:r>
      <w:r w:rsidR="00C65598">
        <w:t xml:space="preserve"> DI2022-103 and remakes that Variation to include the new date of 30 September 2023. </w:t>
      </w:r>
    </w:p>
    <w:p w14:paraId="601D561E" w14:textId="77777777" w:rsidR="009E49EE" w:rsidRPr="003D4B05" w:rsidRDefault="009E49EE" w:rsidP="009E49EE">
      <w:pPr>
        <w:keepNext/>
        <w:spacing w:before="120" w:after="120"/>
        <w:rPr>
          <w:b/>
          <w:bCs/>
        </w:rPr>
      </w:pPr>
      <w:r w:rsidRPr="003D4B05">
        <w:rPr>
          <w:b/>
          <w:bCs/>
        </w:rPr>
        <w:t>Regulatory impact statement</w:t>
      </w:r>
    </w:p>
    <w:p w14:paraId="6BF2A47E" w14:textId="226BA4E6" w:rsidR="009E49EE" w:rsidRPr="003D4B05" w:rsidRDefault="009E49EE" w:rsidP="009E49EE">
      <w:pPr>
        <w:spacing w:before="120" w:after="120"/>
      </w:pPr>
      <w:r w:rsidRPr="003D4B05">
        <w:t>A regulatory impact statement is not required as this instrument does not impose appreciable costs on the community or a part of the community</w:t>
      </w:r>
      <w:r>
        <w:t xml:space="preserve"> —</w:t>
      </w:r>
      <w:r w:rsidRPr="003D4B05">
        <w:t xml:space="preserve"> section 34 (1) of the </w:t>
      </w:r>
      <w:r w:rsidRPr="002D0FA9">
        <w:rPr>
          <w:i/>
          <w:iCs/>
        </w:rPr>
        <w:t>Legislation Act 2001</w:t>
      </w:r>
      <w:r>
        <w:rPr>
          <w:i/>
          <w:iCs/>
        </w:rPr>
        <w:t xml:space="preserve"> </w:t>
      </w:r>
      <w:r w:rsidRPr="002D0FA9">
        <w:t>(ACT)</w:t>
      </w:r>
      <w:r w:rsidRPr="003D4B05">
        <w:t>. Further, th</w:t>
      </w:r>
      <w:r>
        <w:t xml:space="preserve">e variation of the Code </w:t>
      </w:r>
      <w:r w:rsidRPr="003D4B05">
        <w:t>does not operate to</w:t>
      </w:r>
      <w:r w:rsidRPr="009E49EE">
        <w:t xml:space="preserve"> </w:t>
      </w:r>
      <w:r w:rsidRPr="003D4B05">
        <w:t>the disadvantage of anyone by adversely affecting their rights or imposing liabilities on the person</w:t>
      </w:r>
      <w:r>
        <w:t xml:space="preserve"> — </w:t>
      </w:r>
      <w:r w:rsidRPr="003D4B05">
        <w:t xml:space="preserve">section 36 (1) of the </w:t>
      </w:r>
      <w:r w:rsidRPr="002D0FA9">
        <w:rPr>
          <w:i/>
          <w:iCs/>
        </w:rPr>
        <w:t>Legislation Act 2001</w:t>
      </w:r>
      <w:r>
        <w:rPr>
          <w:i/>
          <w:iCs/>
        </w:rPr>
        <w:t xml:space="preserve"> </w:t>
      </w:r>
      <w:r w:rsidRPr="002D0FA9">
        <w:t>(ACT)</w:t>
      </w:r>
      <w:r>
        <w:t>.</w:t>
      </w:r>
    </w:p>
    <w:p w14:paraId="569D5C93" w14:textId="77777777" w:rsidR="009E49EE" w:rsidRPr="003D4B05" w:rsidRDefault="009E49EE" w:rsidP="009E49EE">
      <w:pPr>
        <w:keepNext/>
        <w:spacing w:before="120" w:after="120"/>
        <w:rPr>
          <w:b/>
          <w:bCs/>
        </w:rPr>
      </w:pPr>
      <w:r w:rsidRPr="003D4B05">
        <w:rPr>
          <w:b/>
          <w:bCs/>
        </w:rPr>
        <w:t xml:space="preserve">Human </w:t>
      </w:r>
      <w:r>
        <w:rPr>
          <w:b/>
          <w:bCs/>
        </w:rPr>
        <w:t>r</w:t>
      </w:r>
      <w:r w:rsidRPr="003D4B05">
        <w:rPr>
          <w:b/>
          <w:bCs/>
        </w:rPr>
        <w:t>ights</w:t>
      </w:r>
    </w:p>
    <w:p w14:paraId="6DF55555" w14:textId="77777777" w:rsidR="009E49EE" w:rsidRPr="003D4B05" w:rsidRDefault="009E49EE" w:rsidP="009E49EE">
      <w:pPr>
        <w:spacing w:before="120" w:after="120"/>
      </w:pPr>
      <w:r w:rsidRPr="003D4B05">
        <w:t xml:space="preserve">There are no human rights implications arising from this instrument. The instrument does not engage any rights under the </w:t>
      </w:r>
      <w:r w:rsidRPr="002D0FA9">
        <w:rPr>
          <w:i/>
          <w:iCs/>
        </w:rPr>
        <w:t>Human Rights Act 2004</w:t>
      </w:r>
      <w:r>
        <w:t xml:space="preserve"> (ACT)</w:t>
      </w:r>
      <w:r w:rsidRPr="003D4B05">
        <w:t>.</w:t>
      </w:r>
    </w:p>
    <w:p w14:paraId="5CDFBD61" w14:textId="77D7873A" w:rsidR="00C17FAB" w:rsidRDefault="00C17FAB" w:rsidP="009E49EE"/>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42A5" w14:textId="77777777" w:rsidR="00E108FC" w:rsidRDefault="00E108FC" w:rsidP="00C17FAB">
      <w:r>
        <w:separator/>
      </w:r>
    </w:p>
  </w:endnote>
  <w:endnote w:type="continuationSeparator" w:id="0">
    <w:p w14:paraId="28EED094" w14:textId="77777777" w:rsidR="00E108FC" w:rsidRDefault="00E108F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29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1E17" w14:textId="671FC54C" w:rsidR="00DA3B00" w:rsidRPr="0095131D" w:rsidRDefault="0095131D" w:rsidP="0095131D">
    <w:pPr>
      <w:pStyle w:val="Footer"/>
      <w:jc w:val="center"/>
      <w:rPr>
        <w:rFonts w:cs="Arial"/>
        <w:sz w:val="14"/>
      </w:rPr>
    </w:pPr>
    <w:r w:rsidRPr="0095131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1C6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66A6" w14:textId="77777777" w:rsidR="00E108FC" w:rsidRDefault="00E108FC" w:rsidP="00C17FAB">
      <w:r>
        <w:separator/>
      </w:r>
    </w:p>
  </w:footnote>
  <w:footnote w:type="continuationSeparator" w:id="0">
    <w:p w14:paraId="45134CAC" w14:textId="77777777" w:rsidR="00E108FC" w:rsidRDefault="00E108F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51E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1F3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4B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4977885">
    <w:abstractNumId w:val="2"/>
  </w:num>
  <w:num w:numId="2" w16cid:durableId="1250040551">
    <w:abstractNumId w:val="0"/>
  </w:num>
  <w:num w:numId="3" w16cid:durableId="132873650">
    <w:abstractNumId w:val="3"/>
  </w:num>
  <w:num w:numId="4" w16cid:durableId="1899823718">
    <w:abstractNumId w:val="6"/>
  </w:num>
  <w:num w:numId="5" w16cid:durableId="1130904315">
    <w:abstractNumId w:val="7"/>
  </w:num>
  <w:num w:numId="6" w16cid:durableId="1429816666">
    <w:abstractNumId w:val="1"/>
  </w:num>
  <w:num w:numId="7" w16cid:durableId="1647276481">
    <w:abstractNumId w:val="4"/>
  </w:num>
  <w:num w:numId="8" w16cid:durableId="1917282346">
    <w:abstractNumId w:val="5"/>
  </w:num>
  <w:num w:numId="9" w16cid:durableId="788932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4330"/>
    <w:rsid w:val="000B7D75"/>
    <w:rsid w:val="000E6F1C"/>
    <w:rsid w:val="001E283A"/>
    <w:rsid w:val="00212C13"/>
    <w:rsid w:val="002B6591"/>
    <w:rsid w:val="002D7C60"/>
    <w:rsid w:val="004D39CA"/>
    <w:rsid w:val="00531C15"/>
    <w:rsid w:val="005C42FB"/>
    <w:rsid w:val="006374D4"/>
    <w:rsid w:val="00676CDD"/>
    <w:rsid w:val="007346AC"/>
    <w:rsid w:val="007403ED"/>
    <w:rsid w:val="00794FDD"/>
    <w:rsid w:val="00940B75"/>
    <w:rsid w:val="009508A5"/>
    <w:rsid w:val="0095131D"/>
    <w:rsid w:val="009B53C0"/>
    <w:rsid w:val="009E49EE"/>
    <w:rsid w:val="00A57C24"/>
    <w:rsid w:val="00A63F32"/>
    <w:rsid w:val="00BE0C50"/>
    <w:rsid w:val="00C17FAB"/>
    <w:rsid w:val="00C3448F"/>
    <w:rsid w:val="00C65598"/>
    <w:rsid w:val="00CE599C"/>
    <w:rsid w:val="00D36623"/>
    <w:rsid w:val="00DA3B00"/>
    <w:rsid w:val="00E108FC"/>
    <w:rsid w:val="00E546C0"/>
    <w:rsid w:val="00F724E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CA3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940B75"/>
    <w:rPr>
      <w:sz w:val="24"/>
      <w:lang w:eastAsia="en-US"/>
    </w:rPr>
  </w:style>
  <w:style w:type="character" w:styleId="CommentReference">
    <w:name w:val="annotation reference"/>
    <w:basedOn w:val="DefaultParagraphFont"/>
    <w:uiPriority w:val="99"/>
    <w:semiHidden/>
    <w:unhideWhenUsed/>
    <w:rsid w:val="005C42FB"/>
    <w:rPr>
      <w:sz w:val="16"/>
      <w:szCs w:val="16"/>
    </w:rPr>
  </w:style>
  <w:style w:type="paragraph" w:styleId="CommentText">
    <w:name w:val="annotation text"/>
    <w:basedOn w:val="Normal"/>
    <w:link w:val="CommentTextChar"/>
    <w:uiPriority w:val="99"/>
    <w:semiHidden/>
    <w:unhideWhenUsed/>
    <w:rsid w:val="005C42FB"/>
    <w:rPr>
      <w:sz w:val="20"/>
    </w:rPr>
  </w:style>
  <w:style w:type="character" w:customStyle="1" w:styleId="CommentTextChar">
    <w:name w:val="Comment Text Char"/>
    <w:basedOn w:val="DefaultParagraphFont"/>
    <w:link w:val="CommentText"/>
    <w:uiPriority w:val="99"/>
    <w:semiHidden/>
    <w:rsid w:val="005C42FB"/>
    <w:rPr>
      <w:lang w:eastAsia="en-US"/>
    </w:rPr>
  </w:style>
  <w:style w:type="paragraph" w:styleId="CommentSubject">
    <w:name w:val="annotation subject"/>
    <w:basedOn w:val="CommentText"/>
    <w:next w:val="CommentText"/>
    <w:link w:val="CommentSubjectChar"/>
    <w:uiPriority w:val="99"/>
    <w:semiHidden/>
    <w:unhideWhenUsed/>
    <w:rsid w:val="005C42FB"/>
    <w:rPr>
      <w:b/>
      <w:bCs/>
    </w:rPr>
  </w:style>
  <w:style w:type="character" w:customStyle="1" w:styleId="CommentSubjectChar">
    <w:name w:val="Comment Subject Char"/>
    <w:basedOn w:val="CommentTextChar"/>
    <w:link w:val="CommentSubject"/>
    <w:uiPriority w:val="99"/>
    <w:semiHidden/>
    <w:rsid w:val="005C42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2534</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2023-02-15T04:14:00Z</dcterms:created>
  <dcterms:modified xsi:type="dcterms:W3CDTF">2023-02-15T04:14:00Z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A40470025</vt:lpwstr>
  </property>
  <property fmtid="{D5CDD505-2E9C-101B-9397-08002B2CF9AE}" pid="4" name="Objective-Title">
    <vt:lpwstr>Utilities (ACT Retail Electricity (Transparency and Comparability) Code) Variation 2023 Explanatory Statement</vt:lpwstr>
  </property>
  <property fmtid="{D5CDD505-2E9C-101B-9397-08002B2CF9AE}" pid="5" name="Objective-Comment">
    <vt:lpwstr/>
  </property>
  <property fmtid="{D5CDD505-2E9C-101B-9397-08002B2CF9AE}" pid="6" name="Objective-CreationStamp">
    <vt:filetime>2023-01-25T01:36:19Z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2023-02-14T01:46:04Z</vt:filetime>
  </property>
  <property fmtid="{D5CDD505-2E9C-101B-9397-08002B2CF9AE}" pid="10" name="Objective-ModificationStamp">
    <vt:filetime>2023-02-14T01:46:04Z</vt:filetime>
  </property>
  <property fmtid="{D5CDD505-2E9C-101B-9397-08002B2CF9AE}" pid="11" name="Objective-Owner">
    <vt:lpwstr>Christopher Adkins</vt:lpwstr>
  </property>
  <property fmtid="{D5CDD505-2E9C-101B-9397-08002B2CF9AE}" pid="12" name="Objective-Path">
    <vt:lpwstr>Whole of ACT Government:ICRC - Independent Competition and Regulatory Commission:04. PROJECTS:01. Energy:ACT Retail Electricity (Transparency and Comparability) Code:14 Code variation:2023:</vt:lpwstr>
  </property>
  <property fmtid="{D5CDD505-2E9C-101B-9397-08002B2CF9AE}" pid="13" name="Objective-Parent">
    <vt:lpwstr>2023</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1-2021/28481</vt:lpwstr>
  </property>
  <property fmtid="{D5CDD505-2E9C-101B-9397-08002B2CF9AE}" pid="19" name="Objective-Classification">
    <vt:lpwstr>[Inherited - Unclassified (beige file cover)]</vt:lpwstr>
  </property>
  <property fmtid="{D5CDD505-2E9C-101B-9397-08002B2CF9AE}" pid="20" name="Objective-Caveats">
    <vt:lpwstr/>
  </property>
  <property fmtid="{D5CDD505-2E9C-101B-9397-08002B2CF9AE}" pid="21" name="Objective-Owner Agency">
    <vt:lpwstr>ICRC</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