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4DE3D"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3BFEA8DF" w14:textId="1B4578C8" w:rsidR="00D848CC" w:rsidRDefault="00D848CC" w:rsidP="00D848CC">
      <w:pPr>
        <w:pStyle w:val="Billname"/>
        <w:spacing w:before="700"/>
      </w:pPr>
      <w:r>
        <w:t>Medicines, Poisons and Therapeutic Goods (Vaccination</w:t>
      </w:r>
      <w:r w:rsidR="00842394">
        <w:t>s by Pharmacists) Direction </w:t>
      </w:r>
      <w:r w:rsidR="005A2374">
        <w:t xml:space="preserve">2023 </w:t>
      </w:r>
      <w:r>
        <w:t xml:space="preserve">(No </w:t>
      </w:r>
      <w:r w:rsidR="008A346F">
        <w:t>1</w:t>
      </w:r>
      <w:r>
        <w:t>)</w:t>
      </w:r>
    </w:p>
    <w:p w14:paraId="33A13D44" w14:textId="45AC5B41" w:rsidR="00C17FAB" w:rsidRDefault="002D7C60" w:rsidP="00DA3B00">
      <w:pPr>
        <w:spacing w:before="340"/>
        <w:rPr>
          <w:rFonts w:ascii="Arial" w:hAnsi="Arial" w:cs="Arial"/>
          <w:b/>
          <w:bCs/>
        </w:rPr>
      </w:pPr>
      <w:r>
        <w:rPr>
          <w:rFonts w:ascii="Arial" w:hAnsi="Arial" w:cs="Arial"/>
          <w:b/>
          <w:bCs/>
        </w:rPr>
        <w:t xml:space="preserve">Disallowable instrument </w:t>
      </w:r>
      <w:r w:rsidR="005A2374">
        <w:rPr>
          <w:rFonts w:ascii="Arial" w:hAnsi="Arial" w:cs="Arial"/>
          <w:b/>
          <w:bCs/>
        </w:rPr>
        <w:t>DI2023</w:t>
      </w:r>
      <w:r w:rsidR="009533C4">
        <w:rPr>
          <w:rFonts w:ascii="Arial" w:hAnsi="Arial" w:cs="Arial"/>
          <w:b/>
          <w:bCs/>
        </w:rPr>
        <w:t>-</w:t>
      </w:r>
      <w:r w:rsidR="002E5FB9">
        <w:rPr>
          <w:rFonts w:ascii="Arial" w:hAnsi="Arial" w:cs="Arial"/>
          <w:b/>
          <w:bCs/>
        </w:rPr>
        <w:t>20</w:t>
      </w:r>
    </w:p>
    <w:p w14:paraId="4BB833C4" w14:textId="77777777" w:rsidR="00C17FAB" w:rsidRDefault="00C17FAB" w:rsidP="00DA3B00">
      <w:pPr>
        <w:pStyle w:val="madeunder"/>
        <w:spacing w:before="300" w:after="0"/>
      </w:pPr>
      <w:r>
        <w:t xml:space="preserve">made under the  </w:t>
      </w:r>
    </w:p>
    <w:p w14:paraId="74A6CCC7" w14:textId="6C894475" w:rsidR="00D848CC" w:rsidRPr="00D848CC" w:rsidRDefault="00D848CC" w:rsidP="00D848CC">
      <w:pPr>
        <w:pStyle w:val="CoverActName"/>
        <w:spacing w:before="320" w:after="100" w:afterAutospacing="1"/>
        <w:jc w:val="left"/>
        <w:rPr>
          <w:rFonts w:cs="Arial"/>
          <w:sz w:val="20"/>
        </w:rPr>
      </w:pPr>
      <w:r w:rsidRPr="00D848CC">
        <w:rPr>
          <w:rFonts w:cs="Arial"/>
          <w:sz w:val="20"/>
        </w:rPr>
        <w:t>Medicines, Poisons and Therapeutic Goods Regulation 2008, section 352</w:t>
      </w:r>
      <w:r w:rsidR="00DA4724">
        <w:rPr>
          <w:rFonts w:cs="Arial"/>
          <w:sz w:val="20"/>
        </w:rPr>
        <w:t xml:space="preserve"> </w:t>
      </w:r>
      <w:r w:rsidRPr="00D848CC">
        <w:rPr>
          <w:rFonts w:cs="Arial"/>
          <w:sz w:val="20"/>
        </w:rPr>
        <w:t xml:space="preserve">(Authorisation for pharmacist and intern pharmacist to administer vaccine without prescription - Act, s 37 (1)(b)) </w:t>
      </w:r>
    </w:p>
    <w:p w14:paraId="3E0AE1AF"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4280C5EC" w14:textId="77777777" w:rsidR="00C17FAB" w:rsidRDefault="00C17FAB">
      <w:pPr>
        <w:pStyle w:val="N-line3"/>
        <w:pBdr>
          <w:bottom w:val="none" w:sz="0" w:space="0" w:color="auto"/>
        </w:pBdr>
      </w:pPr>
    </w:p>
    <w:p w14:paraId="6135D649" w14:textId="77777777" w:rsidR="00C17FAB" w:rsidRDefault="00C17FAB">
      <w:pPr>
        <w:pStyle w:val="N-line3"/>
        <w:pBdr>
          <w:top w:val="single" w:sz="12" w:space="1" w:color="auto"/>
          <w:bottom w:val="none" w:sz="0" w:space="0" w:color="auto"/>
        </w:pBdr>
      </w:pPr>
    </w:p>
    <w:bookmarkEnd w:id="0"/>
    <w:p w14:paraId="51A35394" w14:textId="2E2E3A0F" w:rsidR="00D848CC" w:rsidRPr="00126033" w:rsidRDefault="00046987" w:rsidP="00D848CC">
      <w:pPr>
        <w:autoSpaceDE w:val="0"/>
        <w:autoSpaceDN w:val="0"/>
        <w:adjustRightInd w:val="0"/>
        <w:rPr>
          <w:szCs w:val="24"/>
        </w:rPr>
      </w:pPr>
      <w:r w:rsidRPr="00126033">
        <w:rPr>
          <w:szCs w:val="24"/>
        </w:rPr>
        <w:t>Section 352</w:t>
      </w:r>
      <w:r w:rsidR="007F4E27">
        <w:rPr>
          <w:szCs w:val="24"/>
        </w:rPr>
        <w:t xml:space="preserve"> </w:t>
      </w:r>
      <w:r w:rsidR="007F4E27" w:rsidRPr="00126033">
        <w:rPr>
          <w:szCs w:val="24"/>
        </w:rPr>
        <w:t>of the Medicines, Poisons and Therapeutic Goods Regulation 2008 (the MPTG</w:t>
      </w:r>
      <w:r w:rsidR="00F44E7D">
        <w:rPr>
          <w:szCs w:val="24"/>
        </w:rPr>
        <w:t xml:space="preserve"> </w:t>
      </w:r>
      <w:r w:rsidR="007F4E27" w:rsidRPr="00126033">
        <w:rPr>
          <w:szCs w:val="24"/>
        </w:rPr>
        <w:t>R</w:t>
      </w:r>
      <w:r w:rsidR="00F44E7D">
        <w:rPr>
          <w:szCs w:val="24"/>
        </w:rPr>
        <w:t>egulation</w:t>
      </w:r>
      <w:r w:rsidR="007F4E27" w:rsidRPr="00126033">
        <w:rPr>
          <w:szCs w:val="24"/>
        </w:rPr>
        <w:t>)</w:t>
      </w:r>
      <w:r w:rsidRPr="00126033">
        <w:rPr>
          <w:szCs w:val="24"/>
        </w:rPr>
        <w:t xml:space="preserve"> provides </w:t>
      </w:r>
      <w:r w:rsidR="00D848CC" w:rsidRPr="00126033">
        <w:rPr>
          <w:szCs w:val="24"/>
        </w:rPr>
        <w:t>that the Chief Health Officer</w:t>
      </w:r>
      <w:r w:rsidR="00F44E7D">
        <w:rPr>
          <w:szCs w:val="24"/>
        </w:rPr>
        <w:t xml:space="preserve"> (CHO)</w:t>
      </w:r>
      <w:r w:rsidR="00D848CC" w:rsidRPr="00126033">
        <w:rPr>
          <w:szCs w:val="24"/>
        </w:rPr>
        <w:t xml:space="preserve"> may, by disallowable instrument, give directions for the administration of a vaccine to a </w:t>
      </w:r>
      <w:r w:rsidR="0097603D" w:rsidRPr="00126033">
        <w:rPr>
          <w:szCs w:val="24"/>
        </w:rPr>
        <w:t xml:space="preserve">person </w:t>
      </w:r>
      <w:r w:rsidR="00D848CC" w:rsidRPr="00126033">
        <w:rPr>
          <w:szCs w:val="24"/>
        </w:rPr>
        <w:t xml:space="preserve">without prescription by a pharmacist (or intern pharmacist). </w:t>
      </w:r>
    </w:p>
    <w:p w14:paraId="7ED73ADB" w14:textId="77777777" w:rsidR="007F4E27" w:rsidRDefault="007F4E27" w:rsidP="00D848CC">
      <w:pPr>
        <w:autoSpaceDE w:val="0"/>
        <w:autoSpaceDN w:val="0"/>
        <w:adjustRightInd w:val="0"/>
        <w:rPr>
          <w:szCs w:val="24"/>
        </w:rPr>
      </w:pPr>
    </w:p>
    <w:p w14:paraId="6A649A50" w14:textId="131D26E3" w:rsidR="007F4E27" w:rsidRPr="00126033" w:rsidRDefault="007F4E27" w:rsidP="00D848CC">
      <w:pPr>
        <w:autoSpaceDE w:val="0"/>
        <w:autoSpaceDN w:val="0"/>
        <w:adjustRightInd w:val="0"/>
        <w:rPr>
          <w:szCs w:val="24"/>
        </w:rPr>
      </w:pPr>
      <w:r w:rsidRPr="00126033">
        <w:rPr>
          <w:szCs w:val="24"/>
        </w:rPr>
        <w:t xml:space="preserve">This instrument is a direction of the </w:t>
      </w:r>
      <w:r w:rsidR="00F44E7D">
        <w:rPr>
          <w:szCs w:val="24"/>
        </w:rPr>
        <w:t>CHO</w:t>
      </w:r>
      <w:r w:rsidRPr="00126033">
        <w:rPr>
          <w:szCs w:val="24"/>
        </w:rPr>
        <w:t xml:space="preserve"> issued under section 352 of the MPTG</w:t>
      </w:r>
      <w:r w:rsidR="00F44E7D">
        <w:rPr>
          <w:szCs w:val="24"/>
        </w:rPr>
        <w:t xml:space="preserve"> </w:t>
      </w:r>
      <w:r w:rsidRPr="00126033">
        <w:rPr>
          <w:szCs w:val="24"/>
        </w:rPr>
        <w:t>R</w:t>
      </w:r>
      <w:r w:rsidR="00F44E7D">
        <w:rPr>
          <w:szCs w:val="24"/>
        </w:rPr>
        <w:t>egulation</w:t>
      </w:r>
      <w:r w:rsidRPr="00126033">
        <w:rPr>
          <w:szCs w:val="24"/>
        </w:rPr>
        <w:t xml:space="preserve">. The direction instructs that a pharmacist or intern pharmacist may administer a vaccine without prescription if they comply with the Pharmacist Vaccination Standards (Vaccination Standards) imposed by the </w:t>
      </w:r>
      <w:r w:rsidR="00F44E7D">
        <w:rPr>
          <w:szCs w:val="24"/>
        </w:rPr>
        <w:t>CHO</w:t>
      </w:r>
      <w:r w:rsidRPr="00126033">
        <w:rPr>
          <w:szCs w:val="24"/>
        </w:rPr>
        <w:t xml:space="preserve"> at Schedule 1 of this instrument.</w:t>
      </w:r>
      <w:r w:rsidR="0073291B">
        <w:rPr>
          <w:szCs w:val="24"/>
        </w:rPr>
        <w:t xml:space="preserve"> The Vaccinations Standards </w:t>
      </w:r>
      <w:r w:rsidR="00D3479D">
        <w:rPr>
          <w:szCs w:val="24"/>
        </w:rPr>
        <w:t xml:space="preserve">have a delayed </w:t>
      </w:r>
      <w:r w:rsidR="0073291B">
        <w:rPr>
          <w:szCs w:val="24"/>
        </w:rPr>
        <w:t>commence</w:t>
      </w:r>
      <w:r w:rsidR="00D3479D">
        <w:rPr>
          <w:szCs w:val="24"/>
        </w:rPr>
        <w:t>ment date of 17 March 2023</w:t>
      </w:r>
      <w:r w:rsidR="0073291B">
        <w:rPr>
          <w:szCs w:val="24"/>
        </w:rPr>
        <w:t xml:space="preserve"> in order to allow pharmacists and other immunisation providers sufficient time to review and make any necessary changes to their business such as ordering of additional vaccines, updating public communications or ICT systems.   </w:t>
      </w:r>
    </w:p>
    <w:p w14:paraId="1693D120" w14:textId="77777777" w:rsidR="00D26BB0" w:rsidRPr="00126033" w:rsidRDefault="00D26BB0" w:rsidP="00D848CC">
      <w:pPr>
        <w:autoSpaceDE w:val="0"/>
        <w:autoSpaceDN w:val="0"/>
        <w:adjustRightInd w:val="0"/>
        <w:rPr>
          <w:szCs w:val="24"/>
        </w:rPr>
      </w:pPr>
    </w:p>
    <w:p w14:paraId="1214C371" w14:textId="67EE8811" w:rsidR="00742E29" w:rsidRPr="00126033" w:rsidRDefault="00D848CC" w:rsidP="00D848CC">
      <w:pPr>
        <w:autoSpaceDE w:val="0"/>
        <w:autoSpaceDN w:val="0"/>
        <w:adjustRightInd w:val="0"/>
        <w:rPr>
          <w:szCs w:val="24"/>
        </w:rPr>
      </w:pPr>
      <w:r w:rsidRPr="00126033">
        <w:rPr>
          <w:szCs w:val="24"/>
        </w:rPr>
        <w:t xml:space="preserve">These Vaccination Standards are made for the purposes of establishing conditions and criteria under which registered pharmacists may initiate </w:t>
      </w:r>
      <w:r w:rsidR="00D1402A" w:rsidRPr="00126033">
        <w:rPr>
          <w:szCs w:val="24"/>
        </w:rPr>
        <w:t xml:space="preserve">the </w:t>
      </w:r>
      <w:r w:rsidRPr="00126033">
        <w:rPr>
          <w:szCs w:val="24"/>
        </w:rPr>
        <w:t>administr</w:t>
      </w:r>
      <w:r w:rsidR="00D1402A" w:rsidRPr="00126033">
        <w:rPr>
          <w:szCs w:val="24"/>
        </w:rPr>
        <w:t xml:space="preserve">ation </w:t>
      </w:r>
      <w:r w:rsidRPr="00126033">
        <w:rPr>
          <w:szCs w:val="24"/>
        </w:rPr>
        <w:t xml:space="preserve">of </w:t>
      </w:r>
      <w:r w:rsidR="00B256E8" w:rsidRPr="00126033">
        <w:rPr>
          <w:szCs w:val="24"/>
        </w:rPr>
        <w:t>a</w:t>
      </w:r>
      <w:r w:rsidRPr="00126033">
        <w:rPr>
          <w:szCs w:val="24"/>
        </w:rPr>
        <w:t xml:space="preserve"> vaccine</w:t>
      </w:r>
      <w:r w:rsidR="00BD7E6A" w:rsidRPr="00126033">
        <w:rPr>
          <w:szCs w:val="24"/>
        </w:rPr>
        <w:t xml:space="preserve"> to </w:t>
      </w:r>
      <w:r w:rsidR="00AF1B82" w:rsidRPr="00126033">
        <w:rPr>
          <w:szCs w:val="24"/>
        </w:rPr>
        <w:t>a person in</w:t>
      </w:r>
      <w:r w:rsidRPr="00126033">
        <w:rPr>
          <w:szCs w:val="24"/>
        </w:rPr>
        <w:t xml:space="preserve"> absence of a su</w:t>
      </w:r>
      <w:r w:rsidR="00842394" w:rsidRPr="00126033">
        <w:rPr>
          <w:szCs w:val="24"/>
        </w:rPr>
        <w:t xml:space="preserve">pply authority (prescription). </w:t>
      </w:r>
    </w:p>
    <w:p w14:paraId="5D96E8D4" w14:textId="77777777" w:rsidR="00742E29" w:rsidRPr="00126033" w:rsidRDefault="00742E29" w:rsidP="00D848CC">
      <w:pPr>
        <w:autoSpaceDE w:val="0"/>
        <w:autoSpaceDN w:val="0"/>
        <w:adjustRightInd w:val="0"/>
        <w:rPr>
          <w:szCs w:val="24"/>
        </w:rPr>
      </w:pPr>
    </w:p>
    <w:p w14:paraId="742829FE" w14:textId="7F32A90B" w:rsidR="00377C3A" w:rsidRPr="00126033" w:rsidRDefault="00D848CC" w:rsidP="00D848CC">
      <w:pPr>
        <w:autoSpaceDE w:val="0"/>
        <w:autoSpaceDN w:val="0"/>
        <w:adjustRightInd w:val="0"/>
        <w:rPr>
          <w:szCs w:val="24"/>
        </w:rPr>
      </w:pPr>
      <w:r w:rsidRPr="00126033">
        <w:t xml:space="preserve">The Vaccination Standards outline the need for administering pharmacists to comply with the following three components: </w:t>
      </w:r>
    </w:p>
    <w:p w14:paraId="6F96E680" w14:textId="2D0EABBF" w:rsidR="00D848CC" w:rsidRPr="00126033" w:rsidRDefault="00D848CC" w:rsidP="00D848CC">
      <w:pPr>
        <w:pStyle w:val="ListParagraph"/>
        <w:numPr>
          <w:ilvl w:val="0"/>
          <w:numId w:val="10"/>
        </w:numPr>
        <w:autoSpaceDE w:val="0"/>
        <w:autoSpaceDN w:val="0"/>
        <w:adjustRightInd w:val="0"/>
        <w:rPr>
          <w:rFonts w:ascii="Times New Roman" w:hAnsi="Times New Roman"/>
          <w:szCs w:val="24"/>
        </w:rPr>
      </w:pPr>
      <w:r w:rsidRPr="00126033">
        <w:rPr>
          <w:rFonts w:ascii="Times New Roman" w:hAnsi="Times New Roman"/>
          <w:szCs w:val="24"/>
        </w:rPr>
        <w:t xml:space="preserve">Completion of appropriate training to administer </w:t>
      </w:r>
      <w:r w:rsidR="00D1402A" w:rsidRPr="00126033">
        <w:rPr>
          <w:rFonts w:ascii="Times New Roman" w:hAnsi="Times New Roman"/>
          <w:szCs w:val="24"/>
        </w:rPr>
        <w:t xml:space="preserve">an approved </w:t>
      </w:r>
      <w:r w:rsidRPr="00126033">
        <w:rPr>
          <w:rFonts w:ascii="Times New Roman" w:hAnsi="Times New Roman"/>
          <w:szCs w:val="24"/>
        </w:rPr>
        <w:t>vaccin</w:t>
      </w:r>
      <w:r w:rsidR="00D1402A" w:rsidRPr="00126033">
        <w:rPr>
          <w:rFonts w:ascii="Times New Roman" w:hAnsi="Times New Roman"/>
          <w:szCs w:val="24"/>
        </w:rPr>
        <w:t>e</w:t>
      </w:r>
      <w:r w:rsidRPr="00126033">
        <w:rPr>
          <w:rFonts w:ascii="Times New Roman" w:hAnsi="Times New Roman"/>
          <w:szCs w:val="24"/>
        </w:rPr>
        <w:t xml:space="preserve">; </w:t>
      </w:r>
    </w:p>
    <w:p w14:paraId="0B15B0F1" w14:textId="6692CC46" w:rsidR="00D848CC" w:rsidRPr="00126033" w:rsidRDefault="00D848CC" w:rsidP="00D848CC">
      <w:pPr>
        <w:pStyle w:val="ListParagraph"/>
        <w:numPr>
          <w:ilvl w:val="0"/>
          <w:numId w:val="10"/>
        </w:numPr>
        <w:autoSpaceDE w:val="0"/>
        <w:autoSpaceDN w:val="0"/>
        <w:adjustRightInd w:val="0"/>
        <w:rPr>
          <w:rFonts w:ascii="Times New Roman" w:hAnsi="Times New Roman"/>
          <w:szCs w:val="24"/>
        </w:rPr>
      </w:pPr>
      <w:r w:rsidRPr="00126033">
        <w:rPr>
          <w:rFonts w:ascii="Times New Roman" w:hAnsi="Times New Roman"/>
          <w:szCs w:val="24"/>
        </w:rPr>
        <w:t xml:space="preserve">Practice standards; and </w:t>
      </w:r>
    </w:p>
    <w:p w14:paraId="5A31CB84" w14:textId="4D6E8AD4" w:rsidR="00D848CC" w:rsidRPr="00126033" w:rsidRDefault="00D1402A" w:rsidP="00D848CC">
      <w:pPr>
        <w:pStyle w:val="ListParagraph"/>
        <w:numPr>
          <w:ilvl w:val="0"/>
          <w:numId w:val="10"/>
        </w:numPr>
        <w:autoSpaceDE w:val="0"/>
        <w:autoSpaceDN w:val="0"/>
        <w:adjustRightInd w:val="0"/>
        <w:rPr>
          <w:rFonts w:ascii="Times New Roman" w:hAnsi="Times New Roman"/>
          <w:szCs w:val="24"/>
        </w:rPr>
      </w:pPr>
      <w:r w:rsidRPr="00126033">
        <w:rPr>
          <w:rFonts w:ascii="Times New Roman" w:hAnsi="Times New Roman"/>
          <w:szCs w:val="24"/>
        </w:rPr>
        <w:t>R</w:t>
      </w:r>
      <w:r w:rsidR="00D848CC" w:rsidRPr="00126033">
        <w:rPr>
          <w:rFonts w:ascii="Times New Roman" w:hAnsi="Times New Roman"/>
          <w:szCs w:val="24"/>
        </w:rPr>
        <w:t>ecord keeping</w:t>
      </w:r>
      <w:r w:rsidRPr="00126033">
        <w:rPr>
          <w:rFonts w:ascii="Times New Roman" w:hAnsi="Times New Roman"/>
          <w:szCs w:val="24"/>
        </w:rPr>
        <w:t xml:space="preserve"> requirements</w:t>
      </w:r>
      <w:r w:rsidR="00D848CC" w:rsidRPr="00126033">
        <w:rPr>
          <w:rFonts w:ascii="Times New Roman" w:hAnsi="Times New Roman"/>
          <w:szCs w:val="24"/>
        </w:rPr>
        <w:t xml:space="preserve">. </w:t>
      </w:r>
    </w:p>
    <w:p w14:paraId="4359691C" w14:textId="24D0BA90" w:rsidR="00D848CC" w:rsidRPr="00C70893" w:rsidRDefault="00D848CC" w:rsidP="00D848CC">
      <w:pPr>
        <w:pStyle w:val="ListParagraph"/>
        <w:autoSpaceDE w:val="0"/>
        <w:autoSpaceDN w:val="0"/>
        <w:adjustRightInd w:val="0"/>
        <w:rPr>
          <w:rFonts w:ascii="Times New Roman" w:hAnsi="Times New Roman"/>
          <w:szCs w:val="24"/>
        </w:rPr>
      </w:pPr>
    </w:p>
    <w:p w14:paraId="32745520" w14:textId="3FAFC9CE" w:rsidR="00D1402A" w:rsidRPr="00126033" w:rsidRDefault="00D848CC" w:rsidP="00D848CC">
      <w:pPr>
        <w:autoSpaceDE w:val="0"/>
        <w:autoSpaceDN w:val="0"/>
        <w:adjustRightInd w:val="0"/>
        <w:rPr>
          <w:szCs w:val="24"/>
        </w:rPr>
      </w:pPr>
      <w:r w:rsidRPr="00126033">
        <w:rPr>
          <w:szCs w:val="24"/>
        </w:rPr>
        <w:t xml:space="preserve">Part A of the Vaccination Standards specifies the training requirements for pharmacists to be authorised to administer </w:t>
      </w:r>
      <w:r w:rsidR="00137522">
        <w:rPr>
          <w:szCs w:val="24"/>
        </w:rPr>
        <w:t xml:space="preserve">an </w:t>
      </w:r>
      <w:r w:rsidR="00D1402A" w:rsidRPr="00126033">
        <w:rPr>
          <w:szCs w:val="24"/>
        </w:rPr>
        <w:t>approved substance (</w:t>
      </w:r>
      <w:r w:rsidRPr="00126033">
        <w:rPr>
          <w:szCs w:val="24"/>
        </w:rPr>
        <w:t>vaccine</w:t>
      </w:r>
      <w:r w:rsidR="00D1402A" w:rsidRPr="00126033">
        <w:rPr>
          <w:szCs w:val="24"/>
        </w:rPr>
        <w:t>)</w:t>
      </w:r>
      <w:r w:rsidRPr="00126033">
        <w:rPr>
          <w:szCs w:val="24"/>
        </w:rPr>
        <w:t xml:space="preserve"> in the ACT.</w:t>
      </w:r>
      <w:r w:rsidR="00D1402A" w:rsidRPr="00126033">
        <w:rPr>
          <w:szCs w:val="24"/>
        </w:rPr>
        <w:t xml:space="preserve"> </w:t>
      </w:r>
    </w:p>
    <w:p w14:paraId="7427C7AF" w14:textId="30AE37C8" w:rsidR="00701D1D" w:rsidRPr="00126033" w:rsidRDefault="00D848CC" w:rsidP="00D848CC">
      <w:pPr>
        <w:autoSpaceDE w:val="0"/>
        <w:autoSpaceDN w:val="0"/>
        <w:adjustRightInd w:val="0"/>
        <w:rPr>
          <w:szCs w:val="24"/>
        </w:rPr>
      </w:pPr>
      <w:r w:rsidRPr="00126033">
        <w:rPr>
          <w:szCs w:val="24"/>
        </w:rPr>
        <w:lastRenderedPageBreak/>
        <w:t>These training requirements are considered to be consistent with the minimum training standards required i</w:t>
      </w:r>
      <w:r w:rsidR="00D1402A" w:rsidRPr="00126033">
        <w:rPr>
          <w:szCs w:val="24"/>
        </w:rPr>
        <w:t>n other Australian jurisdiction</w:t>
      </w:r>
      <w:r w:rsidR="00046987" w:rsidRPr="00126033">
        <w:rPr>
          <w:szCs w:val="24"/>
        </w:rPr>
        <w:t>s</w:t>
      </w:r>
      <w:r w:rsidR="00D1402A" w:rsidRPr="00126033">
        <w:rPr>
          <w:szCs w:val="24"/>
        </w:rPr>
        <w:t xml:space="preserve">, being the completion of a training course that accords with the </w:t>
      </w:r>
      <w:r w:rsidRPr="00126033">
        <w:rPr>
          <w:szCs w:val="24"/>
        </w:rPr>
        <w:t xml:space="preserve">Australian Pharmacy Council </w:t>
      </w:r>
      <w:r w:rsidRPr="00126033">
        <w:rPr>
          <w:i/>
          <w:szCs w:val="24"/>
        </w:rPr>
        <w:t>Standards for the Accreditation of Programs to Support Pharmacist Administration of Vaccines</w:t>
      </w:r>
      <w:r w:rsidRPr="00126033">
        <w:rPr>
          <w:szCs w:val="24"/>
        </w:rPr>
        <w:t>.</w:t>
      </w:r>
    </w:p>
    <w:p w14:paraId="181F07F3" w14:textId="0C5925AC" w:rsidR="00F16A3E" w:rsidRPr="00AC32F1" w:rsidRDefault="00B3173B" w:rsidP="00DA4724">
      <w:pPr>
        <w:autoSpaceDE w:val="0"/>
        <w:autoSpaceDN w:val="0"/>
        <w:adjustRightInd w:val="0"/>
      </w:pPr>
      <w:r w:rsidRPr="00126033">
        <w:rPr>
          <w:szCs w:val="24"/>
        </w:rPr>
        <w:t xml:space="preserve">Part B of the Vaccination Standards provides an outline of general administration; premises, staffing and equipment; and administration area requirements. </w:t>
      </w:r>
    </w:p>
    <w:p w14:paraId="2BC83F0F" w14:textId="77777777" w:rsidR="00F44E7D" w:rsidRDefault="00F44E7D" w:rsidP="009A5B11">
      <w:pPr>
        <w:autoSpaceDE w:val="0"/>
        <w:autoSpaceDN w:val="0"/>
        <w:adjustRightInd w:val="0"/>
        <w:rPr>
          <w:szCs w:val="24"/>
        </w:rPr>
      </w:pPr>
    </w:p>
    <w:p w14:paraId="41B5CC25" w14:textId="7ACDD78A" w:rsidR="00B427D8" w:rsidRDefault="005D6F07" w:rsidP="005D6F07">
      <w:pPr>
        <w:autoSpaceDE w:val="0"/>
        <w:autoSpaceDN w:val="0"/>
        <w:adjustRightInd w:val="0"/>
      </w:pPr>
      <w:r w:rsidRPr="00C70893">
        <w:t>Part C of the Vaccination Standards sets out record keeping requirements for pharmacists and pharmacies. This section requires pharmacists to consult and record all vaccination events on the Australian Immunisation Register (AIR)</w:t>
      </w:r>
      <w:r w:rsidR="005D4761">
        <w:t xml:space="preserve"> consistent with requirements of the </w:t>
      </w:r>
      <w:r w:rsidR="005D4761" w:rsidRPr="00DA4724">
        <w:rPr>
          <w:i/>
          <w:iCs/>
        </w:rPr>
        <w:t>Australian Immunisation Register Act 2015 (Cwth)</w:t>
      </w:r>
      <w:r w:rsidR="00B427D8">
        <w:rPr>
          <w:i/>
          <w:iCs/>
        </w:rPr>
        <w:t xml:space="preserve"> (AIR Act)</w:t>
      </w:r>
      <w:r w:rsidRPr="00DA4724">
        <w:rPr>
          <w:i/>
          <w:iCs/>
        </w:rPr>
        <w:t>.</w:t>
      </w:r>
      <w:r w:rsidR="00B427D8">
        <w:t xml:space="preserve">This instrument updates Part C of the Vaccination Standards to remove the requirement that pharmacists report vaccination records to the CHO. Removal of this requirement decreases regulatory burden on pharmacies in the handling and reporting of health information. The AIR Act and Public Health Regulation 2000 </w:t>
      </w:r>
      <w:r w:rsidR="00A14535">
        <w:t xml:space="preserve">collectively </w:t>
      </w:r>
      <w:r w:rsidR="00B427D8">
        <w:t>authorise the CHO to access and use data on the AIR</w:t>
      </w:r>
      <w:r w:rsidR="00137522">
        <w:t xml:space="preserve"> when consistent with a defined purpose of the AIR Act, which includes monitoring vaccination coverage across Australia and the effectiveness of vaccination programs. </w:t>
      </w:r>
      <w:r w:rsidR="00F13E76">
        <w:t>The</w:t>
      </w:r>
      <w:r w:rsidR="00B427D8">
        <w:t xml:space="preserve"> omission of </w:t>
      </w:r>
      <w:r w:rsidR="00F13E76">
        <w:t>pharmacist reporting</w:t>
      </w:r>
      <w:r w:rsidR="00B427D8">
        <w:t xml:space="preserve"> requirement</w:t>
      </w:r>
      <w:r w:rsidR="00F13E76">
        <w:t>s to ACT Health</w:t>
      </w:r>
      <w:r w:rsidR="00B427D8">
        <w:t xml:space="preserve"> </w:t>
      </w:r>
      <w:r w:rsidR="00137522">
        <w:t xml:space="preserve">therefore </w:t>
      </w:r>
      <w:r w:rsidR="00B427D8">
        <w:t xml:space="preserve">do not </w:t>
      </w:r>
      <w:r w:rsidR="00F13E76">
        <w:t xml:space="preserve">adversely </w:t>
      </w:r>
      <w:r w:rsidR="00B427D8">
        <w:t xml:space="preserve">impact the collection and use of </w:t>
      </w:r>
      <w:r w:rsidR="00F13E76">
        <w:t>vaccination</w:t>
      </w:r>
      <w:r w:rsidR="00B427D8">
        <w:t xml:space="preserve"> data for public health policy or planning purposes. </w:t>
      </w:r>
    </w:p>
    <w:p w14:paraId="293470FE" w14:textId="4EAF6EA1" w:rsidR="00977961" w:rsidRDefault="00977961" w:rsidP="000133F1">
      <w:pPr>
        <w:autoSpaceDE w:val="0"/>
        <w:autoSpaceDN w:val="0"/>
        <w:adjustRightInd w:val="0"/>
        <w:rPr>
          <w:color w:val="000000"/>
          <w:szCs w:val="24"/>
          <w:lang w:eastAsia="en-AU"/>
        </w:rPr>
      </w:pPr>
    </w:p>
    <w:p w14:paraId="706AD929" w14:textId="691D0383" w:rsidR="00170C2B" w:rsidRDefault="00977961" w:rsidP="00B11600">
      <w:pPr>
        <w:autoSpaceDE w:val="0"/>
        <w:autoSpaceDN w:val="0"/>
        <w:adjustRightInd w:val="0"/>
        <w:rPr>
          <w:color w:val="000000"/>
          <w:shd w:val="clear" w:color="auto" w:fill="FFFFFF"/>
        </w:rPr>
      </w:pPr>
      <w:r w:rsidRPr="00170C2B">
        <w:rPr>
          <w:i/>
          <w:iCs/>
          <w:color w:val="000000"/>
          <w:shd w:val="clear" w:color="auto" w:fill="FFFFFF"/>
        </w:rPr>
        <w:t xml:space="preserve">Appendix 1 </w:t>
      </w:r>
      <w:r w:rsidR="00170C2B" w:rsidRPr="00170C2B">
        <w:rPr>
          <w:i/>
          <w:iCs/>
          <w:color w:val="000000"/>
          <w:shd w:val="clear" w:color="auto" w:fill="FFFFFF"/>
        </w:rPr>
        <w:t xml:space="preserve">– Approved </w:t>
      </w:r>
      <w:r w:rsidR="005D4761">
        <w:rPr>
          <w:i/>
          <w:iCs/>
          <w:color w:val="000000"/>
          <w:shd w:val="clear" w:color="auto" w:fill="FFFFFF"/>
        </w:rPr>
        <w:t>Vaccines</w:t>
      </w:r>
      <w:r w:rsidR="00170C2B">
        <w:rPr>
          <w:color w:val="000000"/>
          <w:shd w:val="clear" w:color="auto" w:fill="FFFFFF"/>
        </w:rPr>
        <w:t xml:space="preserve"> </w:t>
      </w:r>
      <w:r>
        <w:rPr>
          <w:color w:val="000000"/>
          <w:shd w:val="clear" w:color="auto" w:fill="FFFFFF"/>
        </w:rPr>
        <w:t>describes the vaccines approved to be administered by pharmacists</w:t>
      </w:r>
      <w:r w:rsidR="00170C2B">
        <w:rPr>
          <w:color w:val="000000"/>
          <w:shd w:val="clear" w:color="auto" w:fill="FFFFFF"/>
        </w:rPr>
        <w:t xml:space="preserve"> and </w:t>
      </w:r>
      <w:r>
        <w:rPr>
          <w:color w:val="000000"/>
          <w:shd w:val="clear" w:color="auto" w:fill="FFFFFF"/>
        </w:rPr>
        <w:t xml:space="preserve">associated </w:t>
      </w:r>
      <w:r w:rsidR="00170C2B">
        <w:rPr>
          <w:color w:val="000000"/>
          <w:shd w:val="clear" w:color="auto" w:fill="FFFFFF"/>
        </w:rPr>
        <w:t xml:space="preserve">administration </w:t>
      </w:r>
      <w:r>
        <w:rPr>
          <w:color w:val="000000"/>
          <w:shd w:val="clear" w:color="auto" w:fill="FFFFFF"/>
        </w:rPr>
        <w:t>conditions</w:t>
      </w:r>
      <w:r w:rsidR="00170C2B">
        <w:rPr>
          <w:color w:val="000000"/>
          <w:shd w:val="clear" w:color="auto" w:fill="FFFFFF"/>
        </w:rPr>
        <w:t xml:space="preserve"> including patient age, not elsewhere stated in the Vaccination Standards. </w:t>
      </w:r>
      <w:r w:rsidR="00B11600">
        <w:rPr>
          <w:color w:val="000000"/>
          <w:shd w:val="clear" w:color="auto" w:fill="FFFFFF"/>
        </w:rPr>
        <w:t>This instrument updates the list of</w:t>
      </w:r>
      <w:r w:rsidR="00170C2B">
        <w:rPr>
          <w:color w:val="000000"/>
          <w:shd w:val="clear" w:color="auto" w:fill="FFFFFF"/>
        </w:rPr>
        <w:t xml:space="preserve"> </w:t>
      </w:r>
      <w:r w:rsidR="00B11600">
        <w:rPr>
          <w:color w:val="000000"/>
          <w:shd w:val="clear" w:color="auto" w:fill="FFFFFF"/>
        </w:rPr>
        <w:t xml:space="preserve">approved </w:t>
      </w:r>
      <w:r w:rsidR="00170C2B">
        <w:rPr>
          <w:color w:val="000000"/>
          <w:shd w:val="clear" w:color="auto" w:fill="FFFFFF"/>
        </w:rPr>
        <w:t>vaccin</w:t>
      </w:r>
      <w:r w:rsidR="00B11600">
        <w:rPr>
          <w:color w:val="000000"/>
          <w:shd w:val="clear" w:color="auto" w:fill="FFFFFF"/>
        </w:rPr>
        <w:t xml:space="preserve">es that may be supplied and </w:t>
      </w:r>
      <w:r w:rsidR="00170C2B">
        <w:rPr>
          <w:color w:val="000000"/>
          <w:shd w:val="clear" w:color="auto" w:fill="FFFFFF"/>
        </w:rPr>
        <w:t>administered by pharmacists to include:</w:t>
      </w:r>
    </w:p>
    <w:p w14:paraId="211CE3A1" w14:textId="05057DE5" w:rsidR="00B11600" w:rsidRPr="00DA4724" w:rsidRDefault="00B11600" w:rsidP="00DA4724">
      <w:pPr>
        <w:pStyle w:val="ListParagraph"/>
        <w:numPr>
          <w:ilvl w:val="0"/>
          <w:numId w:val="12"/>
        </w:numPr>
        <w:autoSpaceDE w:val="0"/>
        <w:autoSpaceDN w:val="0"/>
        <w:adjustRightInd w:val="0"/>
        <w:rPr>
          <w:rFonts w:ascii="Times New Roman" w:hAnsi="Times New Roman"/>
          <w:color w:val="000000"/>
          <w:shd w:val="clear" w:color="auto" w:fill="FFFFFF"/>
        </w:rPr>
      </w:pPr>
      <w:r w:rsidRPr="00DA4724">
        <w:rPr>
          <w:rFonts w:ascii="Times New Roman" w:hAnsi="Times New Roman"/>
          <w:color w:val="000000"/>
          <w:shd w:val="clear" w:color="auto" w:fill="FFFFFF"/>
        </w:rPr>
        <w:t xml:space="preserve">Hepatitis A </w:t>
      </w:r>
      <w:r w:rsidR="00F13E76" w:rsidRPr="00DA4724">
        <w:rPr>
          <w:rFonts w:ascii="Times New Roman" w:hAnsi="Times New Roman"/>
          <w:color w:val="000000"/>
          <w:shd w:val="clear" w:color="auto" w:fill="FFFFFF"/>
        </w:rPr>
        <w:t>vaccine</w:t>
      </w:r>
      <w:r w:rsidRPr="00DA4724">
        <w:rPr>
          <w:rFonts w:ascii="Times New Roman" w:hAnsi="Times New Roman"/>
          <w:color w:val="000000"/>
          <w:shd w:val="clear" w:color="auto" w:fill="FFFFFF"/>
        </w:rPr>
        <w:t xml:space="preserve"> </w:t>
      </w:r>
    </w:p>
    <w:p w14:paraId="66F2DE63" w14:textId="3D84129E" w:rsidR="00B11600" w:rsidRPr="00DA4724" w:rsidRDefault="00B11600" w:rsidP="00DA4724">
      <w:pPr>
        <w:pStyle w:val="ListParagraph"/>
        <w:numPr>
          <w:ilvl w:val="0"/>
          <w:numId w:val="12"/>
        </w:numPr>
        <w:autoSpaceDE w:val="0"/>
        <w:autoSpaceDN w:val="0"/>
        <w:adjustRightInd w:val="0"/>
        <w:rPr>
          <w:rFonts w:ascii="Times New Roman" w:hAnsi="Times New Roman"/>
          <w:color w:val="000000"/>
          <w:shd w:val="clear" w:color="auto" w:fill="FFFFFF"/>
        </w:rPr>
      </w:pPr>
      <w:r w:rsidRPr="00DA4724">
        <w:rPr>
          <w:rFonts w:ascii="Times New Roman" w:hAnsi="Times New Roman"/>
          <w:color w:val="000000"/>
          <w:shd w:val="clear" w:color="auto" w:fill="FFFFFF"/>
        </w:rPr>
        <w:t xml:space="preserve">Hepatitis B </w:t>
      </w:r>
      <w:r w:rsidR="00F13E76" w:rsidRPr="00DA4724">
        <w:rPr>
          <w:rFonts w:ascii="Times New Roman" w:hAnsi="Times New Roman"/>
          <w:color w:val="000000"/>
          <w:shd w:val="clear" w:color="auto" w:fill="FFFFFF"/>
        </w:rPr>
        <w:t>vaccine</w:t>
      </w:r>
    </w:p>
    <w:p w14:paraId="42904A36" w14:textId="3388F1DD" w:rsidR="00B11600" w:rsidRPr="00DA4724" w:rsidRDefault="00B11600" w:rsidP="00DA4724">
      <w:pPr>
        <w:pStyle w:val="ListParagraph"/>
        <w:numPr>
          <w:ilvl w:val="0"/>
          <w:numId w:val="12"/>
        </w:numPr>
        <w:autoSpaceDE w:val="0"/>
        <w:autoSpaceDN w:val="0"/>
        <w:adjustRightInd w:val="0"/>
        <w:rPr>
          <w:rFonts w:ascii="Times New Roman" w:hAnsi="Times New Roman"/>
          <w:color w:val="000000"/>
          <w:shd w:val="clear" w:color="auto" w:fill="FFFFFF"/>
        </w:rPr>
      </w:pPr>
      <w:r w:rsidRPr="00DA4724">
        <w:rPr>
          <w:rFonts w:ascii="Times New Roman" w:hAnsi="Times New Roman"/>
          <w:color w:val="000000"/>
          <w:shd w:val="clear" w:color="auto" w:fill="FFFFFF"/>
        </w:rPr>
        <w:t>Human Papillomavirus</w:t>
      </w:r>
      <w:r w:rsidR="00F13E76" w:rsidRPr="00DA4724">
        <w:rPr>
          <w:rFonts w:ascii="Times New Roman" w:hAnsi="Times New Roman"/>
          <w:color w:val="000000"/>
          <w:shd w:val="clear" w:color="auto" w:fill="FFFFFF"/>
        </w:rPr>
        <w:t xml:space="preserve"> vaccine</w:t>
      </w:r>
    </w:p>
    <w:p w14:paraId="76691F40" w14:textId="0BA6F7AE" w:rsidR="00B11600" w:rsidRPr="00DA4724" w:rsidRDefault="00B11600" w:rsidP="00DA4724">
      <w:pPr>
        <w:pStyle w:val="ListParagraph"/>
        <w:numPr>
          <w:ilvl w:val="0"/>
          <w:numId w:val="12"/>
        </w:numPr>
        <w:autoSpaceDE w:val="0"/>
        <w:autoSpaceDN w:val="0"/>
        <w:adjustRightInd w:val="0"/>
        <w:rPr>
          <w:rFonts w:ascii="Times New Roman" w:hAnsi="Times New Roman"/>
          <w:color w:val="000000"/>
          <w:shd w:val="clear" w:color="auto" w:fill="FFFFFF"/>
        </w:rPr>
      </w:pPr>
      <w:r w:rsidRPr="00DA4724">
        <w:rPr>
          <w:rFonts w:ascii="Times New Roman" w:hAnsi="Times New Roman"/>
          <w:color w:val="000000"/>
          <w:shd w:val="clear" w:color="auto" w:fill="FFFFFF"/>
        </w:rPr>
        <w:t xml:space="preserve">Meningococcal </w:t>
      </w:r>
      <w:r w:rsidR="00F13E76" w:rsidRPr="00DA4724">
        <w:rPr>
          <w:rFonts w:ascii="Times New Roman" w:hAnsi="Times New Roman"/>
          <w:color w:val="000000"/>
          <w:shd w:val="clear" w:color="auto" w:fill="FFFFFF"/>
        </w:rPr>
        <w:t>vaccine</w:t>
      </w:r>
    </w:p>
    <w:p w14:paraId="6CE195C4" w14:textId="615F1A35" w:rsidR="00B11600" w:rsidRPr="00DA4724" w:rsidRDefault="00B11600" w:rsidP="00DA4724">
      <w:pPr>
        <w:pStyle w:val="ListParagraph"/>
        <w:numPr>
          <w:ilvl w:val="0"/>
          <w:numId w:val="12"/>
        </w:numPr>
        <w:autoSpaceDE w:val="0"/>
        <w:autoSpaceDN w:val="0"/>
        <w:adjustRightInd w:val="0"/>
        <w:rPr>
          <w:rFonts w:ascii="Times New Roman" w:hAnsi="Times New Roman"/>
          <w:color w:val="000000"/>
          <w:shd w:val="clear" w:color="auto" w:fill="FFFFFF"/>
        </w:rPr>
      </w:pPr>
      <w:r w:rsidRPr="00DA4724">
        <w:rPr>
          <w:rFonts w:ascii="Times New Roman" w:hAnsi="Times New Roman"/>
          <w:color w:val="000000"/>
          <w:shd w:val="clear" w:color="auto" w:fill="FFFFFF"/>
        </w:rPr>
        <w:t>Poliomyelitis vaccine</w:t>
      </w:r>
    </w:p>
    <w:p w14:paraId="187D4CC1" w14:textId="039FDD80" w:rsidR="00B11600" w:rsidRPr="00DA4724" w:rsidRDefault="00B11600" w:rsidP="00DA4724">
      <w:pPr>
        <w:pStyle w:val="ListParagraph"/>
        <w:numPr>
          <w:ilvl w:val="0"/>
          <w:numId w:val="12"/>
        </w:numPr>
        <w:autoSpaceDE w:val="0"/>
        <w:autoSpaceDN w:val="0"/>
        <w:adjustRightInd w:val="0"/>
        <w:rPr>
          <w:rFonts w:ascii="Times New Roman" w:hAnsi="Times New Roman"/>
          <w:color w:val="000000"/>
          <w:shd w:val="clear" w:color="auto" w:fill="FFFFFF"/>
        </w:rPr>
      </w:pPr>
      <w:r w:rsidRPr="00DA4724">
        <w:rPr>
          <w:rFonts w:ascii="Times New Roman" w:hAnsi="Times New Roman"/>
          <w:color w:val="000000"/>
          <w:shd w:val="clear" w:color="auto" w:fill="FFFFFF"/>
        </w:rPr>
        <w:t xml:space="preserve">Typhoid </w:t>
      </w:r>
      <w:r w:rsidR="00F13E76" w:rsidRPr="00DA4724">
        <w:rPr>
          <w:rFonts w:ascii="Times New Roman" w:hAnsi="Times New Roman"/>
          <w:color w:val="000000"/>
          <w:shd w:val="clear" w:color="auto" w:fill="FFFFFF"/>
        </w:rPr>
        <w:t>vaccine</w:t>
      </w:r>
    </w:p>
    <w:p w14:paraId="01EB2CA3" w14:textId="12D218F2" w:rsidR="00B11600" w:rsidRDefault="00B11600" w:rsidP="00F13E76">
      <w:pPr>
        <w:pStyle w:val="ListParagraph"/>
        <w:numPr>
          <w:ilvl w:val="0"/>
          <w:numId w:val="12"/>
        </w:numPr>
        <w:autoSpaceDE w:val="0"/>
        <w:autoSpaceDN w:val="0"/>
        <w:adjustRightInd w:val="0"/>
        <w:rPr>
          <w:rFonts w:ascii="Times New Roman" w:hAnsi="Times New Roman"/>
          <w:color w:val="000000"/>
          <w:shd w:val="clear" w:color="auto" w:fill="FFFFFF"/>
        </w:rPr>
      </w:pPr>
      <w:r w:rsidRPr="00DA4724">
        <w:rPr>
          <w:rFonts w:ascii="Times New Roman" w:hAnsi="Times New Roman"/>
          <w:color w:val="000000"/>
          <w:shd w:val="clear" w:color="auto" w:fill="FFFFFF"/>
        </w:rPr>
        <w:t>Varicella zoster virus</w:t>
      </w:r>
      <w:r w:rsidR="00F13E76" w:rsidRPr="00DA4724">
        <w:rPr>
          <w:rFonts w:ascii="Times New Roman" w:hAnsi="Times New Roman"/>
          <w:color w:val="000000"/>
          <w:shd w:val="clear" w:color="auto" w:fill="FFFFFF"/>
        </w:rPr>
        <w:t xml:space="preserve"> vaccine</w:t>
      </w:r>
      <w:r w:rsidR="00137522">
        <w:rPr>
          <w:rFonts w:ascii="Times New Roman" w:hAnsi="Times New Roman"/>
          <w:color w:val="000000"/>
          <w:shd w:val="clear" w:color="auto" w:fill="FFFFFF"/>
        </w:rPr>
        <w:t xml:space="preserve"> (Shingrix only)</w:t>
      </w:r>
    </w:p>
    <w:p w14:paraId="46670D6C" w14:textId="7A0CDA90" w:rsidR="00AD1BFC" w:rsidRPr="00B47BE7" w:rsidRDefault="00F13E76" w:rsidP="00F13E76">
      <w:pPr>
        <w:autoSpaceDE w:val="0"/>
        <w:autoSpaceDN w:val="0"/>
        <w:adjustRightInd w:val="0"/>
        <w:rPr>
          <w:color w:val="000000"/>
          <w:shd w:val="clear" w:color="auto" w:fill="FFFFFF"/>
        </w:rPr>
      </w:pPr>
      <w:r>
        <w:rPr>
          <w:color w:val="000000"/>
          <w:shd w:val="clear" w:color="auto" w:fill="FFFFFF"/>
        </w:rPr>
        <w:br/>
      </w:r>
      <w:r>
        <w:rPr>
          <w:color w:val="000000"/>
          <w:szCs w:val="24"/>
          <w:shd w:val="clear" w:color="auto" w:fill="FFFFFF"/>
        </w:rPr>
        <w:t xml:space="preserve">All additional </w:t>
      </w:r>
      <w:r w:rsidRPr="00526F37">
        <w:rPr>
          <w:color w:val="000000"/>
          <w:szCs w:val="24"/>
          <w:shd w:val="clear" w:color="auto" w:fill="FFFFFF"/>
        </w:rPr>
        <w:t xml:space="preserve">vaccines </w:t>
      </w:r>
      <w:r>
        <w:rPr>
          <w:color w:val="000000"/>
          <w:szCs w:val="24"/>
          <w:shd w:val="clear" w:color="auto" w:fill="FFFFFF"/>
        </w:rPr>
        <w:t xml:space="preserve">added to Appendix 1 are </w:t>
      </w:r>
      <w:r w:rsidRPr="00526F37">
        <w:rPr>
          <w:color w:val="000000"/>
          <w:szCs w:val="24"/>
          <w:shd w:val="clear" w:color="auto" w:fill="FFFFFF"/>
        </w:rPr>
        <w:t>inactivated</w:t>
      </w:r>
      <w:r>
        <w:rPr>
          <w:color w:val="000000"/>
          <w:szCs w:val="24"/>
          <w:shd w:val="clear" w:color="auto" w:fill="FFFFFF"/>
        </w:rPr>
        <w:t xml:space="preserve"> vaccines</w:t>
      </w:r>
      <w:r w:rsidRPr="00526F37">
        <w:rPr>
          <w:color w:val="000000"/>
          <w:szCs w:val="24"/>
          <w:shd w:val="clear" w:color="auto" w:fill="FFFFFF"/>
        </w:rPr>
        <w:t xml:space="preserve">, meaning they do not contain any live virus and </w:t>
      </w:r>
      <w:r w:rsidR="00494BEF">
        <w:rPr>
          <w:color w:val="000000"/>
          <w:szCs w:val="24"/>
          <w:shd w:val="clear" w:color="auto" w:fill="FFFFFF"/>
        </w:rPr>
        <w:t xml:space="preserve">represent a lower vaccination risk. </w:t>
      </w:r>
      <w:r w:rsidRPr="00526F37">
        <w:rPr>
          <w:color w:val="000000"/>
          <w:szCs w:val="24"/>
          <w:shd w:val="clear" w:color="auto" w:fill="FFFFFF"/>
        </w:rPr>
        <w:t xml:space="preserve">Inclusion of these vaccines </w:t>
      </w:r>
      <w:r w:rsidRPr="00526F37">
        <w:rPr>
          <w:color w:val="000000"/>
          <w:szCs w:val="24"/>
          <w:lang w:eastAsia="en-AU"/>
        </w:rPr>
        <w:t>aligns pharmacist vaccination arrangements with NSW</w:t>
      </w:r>
      <w:r w:rsidR="00137522">
        <w:rPr>
          <w:color w:val="000000"/>
          <w:szCs w:val="24"/>
          <w:lang w:eastAsia="en-AU"/>
        </w:rPr>
        <w:t xml:space="preserve"> Health</w:t>
      </w:r>
      <w:r w:rsidRPr="00526F37">
        <w:rPr>
          <w:color w:val="000000"/>
          <w:szCs w:val="24"/>
          <w:lang w:eastAsia="en-AU"/>
        </w:rPr>
        <w:t xml:space="preserve"> and promotes equitable cross-border access to immunisation services and choice of service provider.</w:t>
      </w:r>
      <w:r w:rsidR="00AD1BFC">
        <w:rPr>
          <w:color w:val="000000"/>
          <w:szCs w:val="24"/>
          <w:lang w:eastAsia="en-AU"/>
        </w:rPr>
        <w:t xml:space="preserve"> Pharmacists are well placed to provide comprehensive information to patients about vaccine safety including advice on the risks and benefits of vaccination, side-effects and referral to other primary health care providers. Where a person receives a vaccine </w:t>
      </w:r>
      <w:r w:rsidR="00AD1BFC" w:rsidRPr="00B47BE7">
        <w:rPr>
          <w:color w:val="000000"/>
          <w:shd w:val="clear" w:color="auto" w:fill="FFFFFF"/>
        </w:rPr>
        <w:t>for travel purposes, pharmacists are also well equipped to provide general information about other related health conditions and may refer people to a medical practitioner as appropriate.</w:t>
      </w:r>
      <w:r w:rsidR="00B47BE7" w:rsidRPr="00B47BE7">
        <w:rPr>
          <w:color w:val="000000"/>
          <w:shd w:val="clear" w:color="auto" w:fill="FFFFFF"/>
        </w:rPr>
        <w:t xml:space="preserve"> </w:t>
      </w:r>
      <w:r w:rsidR="00B47BE7">
        <w:rPr>
          <w:color w:val="000000"/>
          <w:shd w:val="clear" w:color="auto" w:fill="FFFFFF"/>
        </w:rPr>
        <w:t>Administering pharmacists are required to undertake an a</w:t>
      </w:r>
      <w:r w:rsidR="00B47BE7" w:rsidRPr="00B47BE7">
        <w:rPr>
          <w:color w:val="000000"/>
          <w:shd w:val="clear" w:color="auto" w:fill="FFFFFF"/>
        </w:rPr>
        <w:t xml:space="preserve">ppropriate clinical evaluation and </w:t>
      </w:r>
      <w:r w:rsidR="00B47BE7">
        <w:rPr>
          <w:color w:val="000000"/>
          <w:shd w:val="clear" w:color="auto" w:fill="FFFFFF"/>
        </w:rPr>
        <w:t xml:space="preserve">provide additional </w:t>
      </w:r>
      <w:r w:rsidR="00B47BE7" w:rsidRPr="00B47BE7">
        <w:rPr>
          <w:color w:val="000000"/>
          <w:shd w:val="clear" w:color="auto" w:fill="FFFFFF"/>
        </w:rPr>
        <w:t>advice and/or referral</w:t>
      </w:r>
      <w:r w:rsidR="00B47BE7">
        <w:rPr>
          <w:color w:val="000000"/>
          <w:shd w:val="clear" w:color="auto" w:fill="FFFFFF"/>
        </w:rPr>
        <w:t xml:space="preserve"> to people </w:t>
      </w:r>
      <w:r w:rsidR="00B47BE7" w:rsidRPr="00B47BE7">
        <w:rPr>
          <w:color w:val="000000"/>
          <w:shd w:val="clear" w:color="auto" w:fill="FFFFFF"/>
        </w:rPr>
        <w:t>as part of a vaccine consultation</w:t>
      </w:r>
      <w:r w:rsidR="00B47BE7">
        <w:rPr>
          <w:color w:val="000000"/>
          <w:shd w:val="clear" w:color="auto" w:fill="FFFFFF"/>
        </w:rPr>
        <w:t>.</w:t>
      </w:r>
      <w:r w:rsidR="00B47BE7" w:rsidRPr="00B47BE7">
        <w:rPr>
          <w:color w:val="000000"/>
          <w:shd w:val="clear" w:color="auto" w:fill="FFFFFF"/>
        </w:rPr>
        <w:t xml:space="preserve"> </w:t>
      </w:r>
    </w:p>
    <w:p w14:paraId="5151D1A3" w14:textId="77777777" w:rsidR="00AD1BFC" w:rsidRDefault="00AD1BFC" w:rsidP="00F13E76">
      <w:pPr>
        <w:autoSpaceDE w:val="0"/>
        <w:autoSpaceDN w:val="0"/>
        <w:adjustRightInd w:val="0"/>
        <w:rPr>
          <w:color w:val="000000"/>
          <w:shd w:val="clear" w:color="auto" w:fill="FFFFFF"/>
        </w:rPr>
      </w:pPr>
    </w:p>
    <w:p w14:paraId="4FE5467A" w14:textId="4AF7A91C" w:rsidR="00494BEF" w:rsidRDefault="00494BEF" w:rsidP="00F13E76">
      <w:pPr>
        <w:autoSpaceDE w:val="0"/>
        <w:autoSpaceDN w:val="0"/>
        <w:adjustRightInd w:val="0"/>
        <w:rPr>
          <w:color w:val="000000"/>
          <w:shd w:val="clear" w:color="auto" w:fill="FFFFFF"/>
        </w:rPr>
      </w:pPr>
      <w:r>
        <w:rPr>
          <w:color w:val="000000"/>
          <w:shd w:val="clear" w:color="auto" w:fill="FFFFFF"/>
        </w:rPr>
        <w:t>A</w:t>
      </w:r>
      <w:r w:rsidR="00CF46B2">
        <w:rPr>
          <w:color w:val="000000"/>
          <w:shd w:val="clear" w:color="auto" w:fill="FFFFFF"/>
        </w:rPr>
        <w:t>CT Health has determined that inclusion of these additional vaccines in the Vaccination Standards</w:t>
      </w:r>
      <w:r w:rsidR="00CF46B2" w:rsidRPr="00CF46B2">
        <w:rPr>
          <w:color w:val="000000"/>
          <w:shd w:val="clear" w:color="auto" w:fill="FFFFFF"/>
        </w:rPr>
        <w:t xml:space="preserve"> </w:t>
      </w:r>
      <w:r w:rsidR="00CF46B2" w:rsidRPr="00DA4724">
        <w:rPr>
          <w:color w:val="000000"/>
          <w:shd w:val="clear" w:color="auto" w:fill="FFFFFF"/>
        </w:rPr>
        <w:t>do</w:t>
      </w:r>
      <w:r w:rsidR="00CF46B2">
        <w:rPr>
          <w:color w:val="000000"/>
          <w:shd w:val="clear" w:color="auto" w:fill="FFFFFF"/>
        </w:rPr>
        <w:t xml:space="preserve"> not pose an increased risk to patient safety or public health</w:t>
      </w:r>
      <w:r w:rsidR="00AD1BFC">
        <w:rPr>
          <w:color w:val="000000"/>
          <w:shd w:val="clear" w:color="auto" w:fill="FFFFFF"/>
        </w:rPr>
        <w:t xml:space="preserve">. </w:t>
      </w:r>
      <w:r>
        <w:rPr>
          <w:color w:val="000000"/>
          <w:shd w:val="clear" w:color="auto" w:fill="FFFFFF"/>
        </w:rPr>
        <w:t xml:space="preserve"> </w:t>
      </w:r>
      <w:r w:rsidR="00CF46B2">
        <w:rPr>
          <w:color w:val="000000"/>
          <w:shd w:val="clear" w:color="auto" w:fill="FFFFFF"/>
        </w:rPr>
        <w:t xml:space="preserve"> </w:t>
      </w:r>
    </w:p>
    <w:p w14:paraId="5FF469CB" w14:textId="5A29C936" w:rsidR="00170C2B" w:rsidRDefault="00170C2B" w:rsidP="000133F1">
      <w:pPr>
        <w:autoSpaceDE w:val="0"/>
        <w:autoSpaceDN w:val="0"/>
        <w:adjustRightInd w:val="0"/>
        <w:rPr>
          <w:color w:val="000000"/>
          <w:shd w:val="clear" w:color="auto" w:fill="FFFFFF"/>
        </w:rPr>
      </w:pPr>
    </w:p>
    <w:p w14:paraId="1019030C" w14:textId="77777777" w:rsidR="00B47BE7" w:rsidRDefault="00B47BE7" w:rsidP="000133F1">
      <w:pPr>
        <w:autoSpaceDE w:val="0"/>
        <w:autoSpaceDN w:val="0"/>
        <w:adjustRightInd w:val="0"/>
        <w:rPr>
          <w:color w:val="000000"/>
          <w:shd w:val="clear" w:color="auto" w:fill="FFFFFF"/>
        </w:rPr>
      </w:pPr>
    </w:p>
    <w:p w14:paraId="0238B339" w14:textId="4853FF2D" w:rsidR="00EC36E6" w:rsidRPr="00F83CD8" w:rsidRDefault="00EC36E6" w:rsidP="00EC36E6">
      <w:pPr>
        <w:pStyle w:val="Default"/>
        <w:rPr>
          <w:rFonts w:asciiTheme="minorHAnsi" w:hAnsiTheme="minorHAnsi" w:cstheme="minorHAnsi"/>
          <w:b/>
          <w:bCs/>
          <w:sz w:val="22"/>
          <w:szCs w:val="22"/>
          <w:u w:val="single"/>
        </w:rPr>
      </w:pPr>
      <w:r w:rsidRPr="00F83CD8">
        <w:rPr>
          <w:rFonts w:asciiTheme="minorHAnsi" w:hAnsiTheme="minorHAnsi" w:cstheme="minorHAnsi"/>
          <w:b/>
          <w:bCs/>
          <w:sz w:val="22"/>
          <w:szCs w:val="22"/>
          <w:u w:val="single"/>
        </w:rPr>
        <w:lastRenderedPageBreak/>
        <w:t>Regulatory Impact Statement</w:t>
      </w:r>
    </w:p>
    <w:p w14:paraId="76733D63" w14:textId="6089DC79" w:rsidR="003E754C" w:rsidRDefault="00EC36E6" w:rsidP="00EC36E6">
      <w:pPr>
        <w:rPr>
          <w:szCs w:val="24"/>
        </w:rPr>
      </w:pPr>
      <w:r w:rsidRPr="00DA4724">
        <w:rPr>
          <w:szCs w:val="24"/>
        </w:rPr>
        <w:t xml:space="preserve">In accordance with the </w:t>
      </w:r>
      <w:r w:rsidRPr="00DA4724">
        <w:rPr>
          <w:i/>
          <w:iCs/>
          <w:szCs w:val="24"/>
        </w:rPr>
        <w:t xml:space="preserve">Legislation Act 2001, </w:t>
      </w:r>
      <w:r w:rsidRPr="00DA4724">
        <w:rPr>
          <w:szCs w:val="24"/>
        </w:rPr>
        <w:t xml:space="preserve">a regulatory impact statement was not required to be presented with the </w:t>
      </w:r>
      <w:r w:rsidR="00343750" w:rsidRPr="00DA4724">
        <w:rPr>
          <w:szCs w:val="24"/>
        </w:rPr>
        <w:t>Vaccination Standards</w:t>
      </w:r>
      <w:r w:rsidRPr="00DA4724">
        <w:rPr>
          <w:szCs w:val="24"/>
        </w:rPr>
        <w:t xml:space="preserve"> as the amendments do not impose </w:t>
      </w:r>
      <w:r w:rsidR="003E754C">
        <w:rPr>
          <w:szCs w:val="24"/>
        </w:rPr>
        <w:t xml:space="preserve">any new </w:t>
      </w:r>
      <w:r w:rsidRPr="00DA4724">
        <w:rPr>
          <w:szCs w:val="24"/>
        </w:rPr>
        <w:t>appreciable costs or regulatory burden on the community</w:t>
      </w:r>
      <w:r w:rsidR="003E754C">
        <w:rPr>
          <w:szCs w:val="24"/>
        </w:rPr>
        <w:t xml:space="preserve"> or subsection of the community</w:t>
      </w:r>
      <w:r w:rsidRPr="00DA4724">
        <w:rPr>
          <w:szCs w:val="24"/>
        </w:rPr>
        <w:t>.</w:t>
      </w:r>
    </w:p>
    <w:p w14:paraId="0BABC238" w14:textId="77777777" w:rsidR="003E754C" w:rsidRDefault="003E754C" w:rsidP="00EC36E6">
      <w:pPr>
        <w:rPr>
          <w:szCs w:val="24"/>
        </w:rPr>
      </w:pPr>
    </w:p>
    <w:p w14:paraId="48C53FF8" w14:textId="003BF067" w:rsidR="003E754C" w:rsidRDefault="00EC36E6" w:rsidP="00EC36E6">
      <w:pPr>
        <w:rPr>
          <w:szCs w:val="24"/>
        </w:rPr>
      </w:pPr>
      <w:r w:rsidRPr="00DA4724">
        <w:rPr>
          <w:szCs w:val="24"/>
        </w:rPr>
        <w:t xml:space="preserve">This instrument enables pharmacists to administer additional vaccines that have been previously </w:t>
      </w:r>
      <w:r w:rsidR="003E754C">
        <w:rPr>
          <w:szCs w:val="24"/>
        </w:rPr>
        <w:t>prohibited. The instrument also makes minor structural and grammatical updates to assist readers in understanding the Vaccination Standards</w:t>
      </w:r>
      <w:r w:rsidRPr="00DA4724">
        <w:rPr>
          <w:szCs w:val="24"/>
        </w:rPr>
        <w:t>.</w:t>
      </w:r>
    </w:p>
    <w:p w14:paraId="16823F31" w14:textId="77777777" w:rsidR="003A5639" w:rsidRDefault="003A5639" w:rsidP="00EC36E6">
      <w:pPr>
        <w:rPr>
          <w:szCs w:val="24"/>
        </w:rPr>
      </w:pPr>
    </w:p>
    <w:p w14:paraId="5440348C" w14:textId="05FE1A19" w:rsidR="00EC36E6" w:rsidRPr="00DA4724" w:rsidRDefault="00EC36E6" w:rsidP="00EC36E6">
      <w:pPr>
        <w:rPr>
          <w:szCs w:val="24"/>
        </w:rPr>
      </w:pPr>
      <w:r w:rsidRPr="00DA4724">
        <w:rPr>
          <w:szCs w:val="24"/>
        </w:rPr>
        <w:t>Changes imposed by this instrument create greater harmonisation with neighbouring jurisdictions, promote</w:t>
      </w:r>
      <w:r w:rsidR="00D85FAE" w:rsidRPr="00DA4724">
        <w:rPr>
          <w:szCs w:val="24"/>
        </w:rPr>
        <w:t>s</w:t>
      </w:r>
      <w:r w:rsidRPr="00DA4724">
        <w:rPr>
          <w:szCs w:val="24"/>
        </w:rPr>
        <w:t xml:space="preserve"> consumer access to health services </w:t>
      </w:r>
      <w:r w:rsidR="00D85FAE" w:rsidRPr="00DA4724">
        <w:rPr>
          <w:szCs w:val="24"/>
        </w:rPr>
        <w:t>and related health service competition</w:t>
      </w:r>
      <w:r w:rsidR="003E754C">
        <w:rPr>
          <w:szCs w:val="24"/>
        </w:rPr>
        <w:t>. This instrument</w:t>
      </w:r>
      <w:r w:rsidR="00D85FAE" w:rsidRPr="00DA4724">
        <w:rPr>
          <w:szCs w:val="24"/>
        </w:rPr>
        <w:t xml:space="preserve"> </w:t>
      </w:r>
      <w:r w:rsidRPr="00DA4724">
        <w:rPr>
          <w:szCs w:val="24"/>
        </w:rPr>
        <w:t>do</w:t>
      </w:r>
      <w:r w:rsidR="00D85FAE" w:rsidRPr="00DA4724">
        <w:rPr>
          <w:szCs w:val="24"/>
        </w:rPr>
        <w:t>es</w:t>
      </w:r>
      <w:r w:rsidRPr="00DA4724">
        <w:rPr>
          <w:szCs w:val="24"/>
        </w:rPr>
        <w:t xml:space="preserve"> not operate to the disadvantage of any person or impose additional liabilities on a person. </w:t>
      </w:r>
    </w:p>
    <w:p w14:paraId="2BCD6D9E" w14:textId="77777777" w:rsidR="00DA4724" w:rsidRDefault="00DA4724" w:rsidP="000133F1">
      <w:pPr>
        <w:autoSpaceDE w:val="0"/>
        <w:autoSpaceDN w:val="0"/>
        <w:adjustRightInd w:val="0"/>
        <w:rPr>
          <w:color w:val="000000"/>
          <w:shd w:val="clear" w:color="auto" w:fill="FFFFFF"/>
        </w:rPr>
      </w:pPr>
    </w:p>
    <w:p w14:paraId="3F6F9C2C" w14:textId="77777777" w:rsidR="00343750" w:rsidRPr="00F83CD8" w:rsidRDefault="00343750" w:rsidP="00343750">
      <w:pPr>
        <w:rPr>
          <w:rFonts w:asciiTheme="minorHAnsi" w:hAnsiTheme="minorHAnsi" w:cstheme="minorHAnsi"/>
          <w:b/>
          <w:bCs/>
          <w:sz w:val="22"/>
          <w:szCs w:val="22"/>
          <w:u w:val="single"/>
        </w:rPr>
      </w:pPr>
      <w:r w:rsidRPr="00F83CD8">
        <w:rPr>
          <w:rFonts w:asciiTheme="minorHAnsi" w:hAnsiTheme="minorHAnsi" w:cstheme="minorHAnsi"/>
          <w:b/>
          <w:bCs/>
          <w:sz w:val="22"/>
          <w:szCs w:val="22"/>
          <w:u w:val="single"/>
        </w:rPr>
        <w:t>Human rights considerations</w:t>
      </w:r>
    </w:p>
    <w:p w14:paraId="37C70A6B" w14:textId="660E4BC4" w:rsidR="00343750" w:rsidRPr="00DA4724" w:rsidRDefault="00343750" w:rsidP="00343750">
      <w:pPr>
        <w:rPr>
          <w:szCs w:val="24"/>
        </w:rPr>
      </w:pPr>
      <w:r w:rsidRPr="00DA4724">
        <w:rPr>
          <w:szCs w:val="24"/>
        </w:rPr>
        <w:t xml:space="preserve">During the development of the Vaccination Standards, due regard was given to its compatibility with the </w:t>
      </w:r>
      <w:r w:rsidRPr="00DA4724">
        <w:rPr>
          <w:i/>
          <w:iCs/>
          <w:szCs w:val="24"/>
        </w:rPr>
        <w:t>Human Rights Act 2004</w:t>
      </w:r>
      <w:r w:rsidRPr="00DA4724">
        <w:rPr>
          <w:szCs w:val="24"/>
        </w:rPr>
        <w:t xml:space="preserve"> (HR Act).</w:t>
      </w:r>
    </w:p>
    <w:p w14:paraId="69E77AD1" w14:textId="777CF3DB" w:rsidR="00343750" w:rsidRPr="00DA4724" w:rsidRDefault="00343750" w:rsidP="00343750">
      <w:pPr>
        <w:autoSpaceDE w:val="0"/>
        <w:autoSpaceDN w:val="0"/>
        <w:adjustRightInd w:val="0"/>
        <w:spacing w:before="240"/>
        <w:rPr>
          <w:bCs/>
          <w:szCs w:val="24"/>
        </w:rPr>
      </w:pPr>
      <w:r w:rsidRPr="00DA4724">
        <w:rPr>
          <w:bCs/>
          <w:szCs w:val="24"/>
        </w:rPr>
        <w:t xml:space="preserve">The Vaccination Standards are considered to engage the following HR Act rights: </w:t>
      </w:r>
    </w:p>
    <w:p w14:paraId="705F9CDB" w14:textId="5BDEFCBD" w:rsidR="00343750" w:rsidRDefault="00343750" w:rsidP="00343750">
      <w:pPr>
        <w:numPr>
          <w:ilvl w:val="0"/>
          <w:numId w:val="11"/>
        </w:numPr>
        <w:autoSpaceDE w:val="0"/>
        <w:autoSpaceDN w:val="0"/>
        <w:adjustRightInd w:val="0"/>
        <w:spacing w:before="120"/>
        <w:ind w:left="714" w:hanging="357"/>
        <w:rPr>
          <w:bCs/>
          <w:szCs w:val="24"/>
        </w:rPr>
      </w:pPr>
      <w:r w:rsidRPr="00DA4724">
        <w:rPr>
          <w:bCs/>
          <w:szCs w:val="24"/>
        </w:rPr>
        <w:t>Section 9 – Right to life</w:t>
      </w:r>
    </w:p>
    <w:p w14:paraId="1492BE92" w14:textId="19AAA33B" w:rsidR="003F3682" w:rsidRPr="00DA4724" w:rsidRDefault="00C17702" w:rsidP="00343750">
      <w:pPr>
        <w:numPr>
          <w:ilvl w:val="0"/>
          <w:numId w:val="11"/>
        </w:numPr>
        <w:autoSpaceDE w:val="0"/>
        <w:autoSpaceDN w:val="0"/>
        <w:adjustRightInd w:val="0"/>
        <w:spacing w:before="120"/>
        <w:ind w:left="714" w:hanging="357"/>
        <w:rPr>
          <w:bCs/>
          <w:szCs w:val="24"/>
        </w:rPr>
      </w:pPr>
      <w:r>
        <w:rPr>
          <w:bCs/>
          <w:szCs w:val="24"/>
        </w:rPr>
        <w:t xml:space="preserve">Section 12 - </w:t>
      </w:r>
      <w:r w:rsidR="003F3682">
        <w:rPr>
          <w:bCs/>
          <w:szCs w:val="24"/>
        </w:rPr>
        <w:t xml:space="preserve">Right to Privacy </w:t>
      </w:r>
    </w:p>
    <w:p w14:paraId="1F118435" w14:textId="77777777" w:rsidR="00343750" w:rsidRPr="00DA4724" w:rsidRDefault="00343750" w:rsidP="00343750">
      <w:pPr>
        <w:rPr>
          <w:szCs w:val="24"/>
        </w:rPr>
      </w:pPr>
    </w:p>
    <w:p w14:paraId="7351A54B" w14:textId="77777777" w:rsidR="00C17702" w:rsidRPr="00DA4724" w:rsidRDefault="00C17702" w:rsidP="003F3682">
      <w:pPr>
        <w:rPr>
          <w:szCs w:val="24"/>
          <w:u w:val="single"/>
        </w:rPr>
      </w:pPr>
      <w:r w:rsidRPr="00DA4724">
        <w:rPr>
          <w:szCs w:val="24"/>
          <w:u w:val="single"/>
        </w:rPr>
        <w:t xml:space="preserve">Right to Life </w:t>
      </w:r>
    </w:p>
    <w:p w14:paraId="0A7983C5" w14:textId="0E56DBE4" w:rsidR="00DA4724" w:rsidRPr="00DA4724" w:rsidRDefault="00343750" w:rsidP="003F3682">
      <w:pPr>
        <w:rPr>
          <w:szCs w:val="24"/>
        </w:rPr>
      </w:pPr>
      <w:r w:rsidRPr="00DA4724">
        <w:rPr>
          <w:szCs w:val="24"/>
        </w:rPr>
        <w:t xml:space="preserve">The right to life is concerned with preventing the arbitrary deprivation of life and is relevant to the delivery of medical treatment, including immunisation services. </w:t>
      </w:r>
      <w:r w:rsidR="003F3682">
        <w:rPr>
          <w:szCs w:val="24"/>
        </w:rPr>
        <w:t>As this</w:t>
      </w:r>
      <w:r w:rsidRPr="00DA4724">
        <w:rPr>
          <w:szCs w:val="24"/>
        </w:rPr>
        <w:t xml:space="preserve"> instrument</w:t>
      </w:r>
      <w:r w:rsidR="00CF46B2">
        <w:rPr>
          <w:szCs w:val="24"/>
        </w:rPr>
        <w:t xml:space="preserve"> enables</w:t>
      </w:r>
      <w:r w:rsidR="003F3682">
        <w:rPr>
          <w:szCs w:val="24"/>
        </w:rPr>
        <w:t xml:space="preserve"> consumer access to vaccination services, this instrument is considered to </w:t>
      </w:r>
      <w:r w:rsidRPr="00DA4724">
        <w:rPr>
          <w:szCs w:val="24"/>
        </w:rPr>
        <w:t>engage and promote</w:t>
      </w:r>
      <w:r w:rsidR="003F3682">
        <w:rPr>
          <w:szCs w:val="24"/>
        </w:rPr>
        <w:t xml:space="preserve"> </w:t>
      </w:r>
      <w:r w:rsidRPr="00DA4724">
        <w:rPr>
          <w:szCs w:val="24"/>
        </w:rPr>
        <w:t xml:space="preserve">the right to life under the HR Act. </w:t>
      </w:r>
      <w:r w:rsidR="00DA4724">
        <w:rPr>
          <w:szCs w:val="24"/>
        </w:rPr>
        <w:t xml:space="preserve">The Vaccination Standards are not considered to impose any new limitations on an individual’s right to life as described by the HR Act.  </w:t>
      </w:r>
    </w:p>
    <w:p w14:paraId="5390B472" w14:textId="77777777" w:rsidR="00343750" w:rsidRPr="00DA4724" w:rsidRDefault="00343750" w:rsidP="00343750">
      <w:pPr>
        <w:rPr>
          <w:szCs w:val="24"/>
        </w:rPr>
      </w:pPr>
    </w:p>
    <w:p w14:paraId="6E7AB7E8" w14:textId="34FE8705" w:rsidR="00C17702" w:rsidRPr="00445610" w:rsidRDefault="00C17702" w:rsidP="00C17702">
      <w:pPr>
        <w:rPr>
          <w:szCs w:val="24"/>
          <w:u w:val="single"/>
        </w:rPr>
      </w:pPr>
      <w:r w:rsidRPr="00445610">
        <w:rPr>
          <w:szCs w:val="24"/>
          <w:u w:val="single"/>
        </w:rPr>
        <w:t xml:space="preserve">Right to </w:t>
      </w:r>
      <w:r>
        <w:rPr>
          <w:szCs w:val="24"/>
          <w:u w:val="single"/>
        </w:rPr>
        <w:t xml:space="preserve">Privacy </w:t>
      </w:r>
      <w:r w:rsidRPr="00445610">
        <w:rPr>
          <w:szCs w:val="24"/>
          <w:u w:val="single"/>
        </w:rPr>
        <w:t xml:space="preserve"> </w:t>
      </w:r>
    </w:p>
    <w:p w14:paraId="45653ED4" w14:textId="77777777" w:rsidR="0004072D" w:rsidRDefault="00C17702" w:rsidP="000662E4">
      <w:pPr>
        <w:autoSpaceDE w:val="0"/>
        <w:autoSpaceDN w:val="0"/>
        <w:adjustRightInd w:val="0"/>
        <w:rPr>
          <w:color w:val="000000"/>
          <w:szCs w:val="24"/>
          <w:lang w:eastAsia="en-AU"/>
        </w:rPr>
      </w:pPr>
      <w:r>
        <w:rPr>
          <w:color w:val="000000"/>
          <w:szCs w:val="24"/>
          <w:lang w:eastAsia="en-AU"/>
        </w:rPr>
        <w:t>The right to privacy and reputation protects against unlawful or arbitrary interference with personal information.</w:t>
      </w:r>
    </w:p>
    <w:p w14:paraId="5938941A" w14:textId="77777777" w:rsidR="0004072D" w:rsidRDefault="0004072D" w:rsidP="000662E4">
      <w:pPr>
        <w:autoSpaceDE w:val="0"/>
        <w:autoSpaceDN w:val="0"/>
        <w:adjustRightInd w:val="0"/>
        <w:rPr>
          <w:color w:val="000000"/>
          <w:szCs w:val="24"/>
          <w:lang w:eastAsia="en-AU"/>
        </w:rPr>
      </w:pPr>
    </w:p>
    <w:p w14:paraId="60EC8797" w14:textId="46AA8ECA" w:rsidR="003A5639" w:rsidRDefault="00C17702" w:rsidP="000662E4">
      <w:pPr>
        <w:autoSpaceDE w:val="0"/>
        <w:autoSpaceDN w:val="0"/>
        <w:adjustRightInd w:val="0"/>
        <w:rPr>
          <w:color w:val="000000"/>
          <w:szCs w:val="24"/>
          <w:lang w:eastAsia="en-AU"/>
        </w:rPr>
      </w:pPr>
      <w:r>
        <w:rPr>
          <w:color w:val="000000"/>
          <w:szCs w:val="24"/>
          <w:lang w:eastAsia="en-AU"/>
        </w:rPr>
        <w:t xml:space="preserve">Part C of the Vaccination Standards require immunising pharmacists to collect and maintain up to date records and patient information regarding administered vaccines and report information about administered vaccines to the </w:t>
      </w:r>
      <w:r w:rsidR="003A5639">
        <w:rPr>
          <w:color w:val="000000"/>
          <w:szCs w:val="24"/>
          <w:lang w:eastAsia="en-AU"/>
        </w:rPr>
        <w:t>AIR</w:t>
      </w:r>
      <w:r>
        <w:rPr>
          <w:color w:val="000000"/>
          <w:szCs w:val="24"/>
          <w:lang w:eastAsia="en-AU"/>
        </w:rPr>
        <w:t>.</w:t>
      </w:r>
      <w:r w:rsidR="00CB5CE0">
        <w:rPr>
          <w:color w:val="000000"/>
          <w:szCs w:val="24"/>
          <w:lang w:eastAsia="en-AU"/>
        </w:rPr>
        <w:t xml:space="preserve"> </w:t>
      </w:r>
      <w:r w:rsidR="0004072D">
        <w:rPr>
          <w:color w:val="000000"/>
          <w:szCs w:val="24"/>
          <w:lang w:eastAsia="en-AU"/>
        </w:rPr>
        <w:t xml:space="preserve">The collection, storage and use of </w:t>
      </w:r>
      <w:r w:rsidR="0004072D" w:rsidRPr="00145646">
        <w:rPr>
          <w:color w:val="000000"/>
          <w:szCs w:val="24"/>
          <w:lang w:eastAsia="en-AU"/>
        </w:rPr>
        <w:t>sensitive personal health information, such as vaccine history, medical conditions, and contact details</w:t>
      </w:r>
      <w:r w:rsidR="0004072D">
        <w:rPr>
          <w:color w:val="000000"/>
          <w:szCs w:val="24"/>
          <w:lang w:eastAsia="en-AU"/>
        </w:rPr>
        <w:t xml:space="preserve"> engages the right to privacy. </w:t>
      </w:r>
      <w:r w:rsidR="003A5639">
        <w:rPr>
          <w:color w:val="000000"/>
          <w:szCs w:val="24"/>
          <w:lang w:eastAsia="en-AU"/>
        </w:rPr>
        <w:t>Any</w:t>
      </w:r>
      <w:r w:rsidR="0004072D">
        <w:rPr>
          <w:color w:val="000000"/>
          <w:szCs w:val="24"/>
          <w:lang w:eastAsia="en-AU"/>
        </w:rPr>
        <w:t xml:space="preserve"> engagement </w:t>
      </w:r>
      <w:r w:rsidR="003A5639">
        <w:rPr>
          <w:color w:val="000000"/>
          <w:szCs w:val="24"/>
          <w:lang w:eastAsia="en-AU"/>
        </w:rPr>
        <w:t>with the right to privacy as it relates to health records is already limited by</w:t>
      </w:r>
      <w:r w:rsidR="0004072D">
        <w:rPr>
          <w:color w:val="000000"/>
          <w:szCs w:val="24"/>
          <w:lang w:eastAsia="en-AU"/>
        </w:rPr>
        <w:t xml:space="preserve"> </w:t>
      </w:r>
      <w:r w:rsidR="003A5639">
        <w:rPr>
          <w:color w:val="000000"/>
          <w:szCs w:val="24"/>
          <w:lang w:eastAsia="en-AU"/>
        </w:rPr>
        <w:t xml:space="preserve">the </w:t>
      </w:r>
      <w:r w:rsidR="0004072D">
        <w:rPr>
          <w:i/>
          <w:iCs/>
          <w:color w:val="000000"/>
          <w:szCs w:val="24"/>
          <w:lang w:eastAsia="en-AU"/>
        </w:rPr>
        <w:t xml:space="preserve">Health Records (Privacy and Access) Act 1997 (ACT), Information Privacy Act </w:t>
      </w:r>
      <w:r w:rsidR="00DA4724">
        <w:rPr>
          <w:i/>
          <w:iCs/>
          <w:color w:val="000000"/>
          <w:szCs w:val="24"/>
          <w:lang w:eastAsia="en-AU"/>
        </w:rPr>
        <w:t xml:space="preserve">2014 </w:t>
      </w:r>
      <w:r w:rsidR="0004072D">
        <w:rPr>
          <w:i/>
          <w:iCs/>
          <w:color w:val="000000"/>
          <w:szCs w:val="24"/>
          <w:lang w:eastAsia="en-AU"/>
        </w:rPr>
        <w:t xml:space="preserve">(ACT) and </w:t>
      </w:r>
      <w:r w:rsidR="0004072D" w:rsidRPr="00445610">
        <w:rPr>
          <w:i/>
          <w:iCs/>
        </w:rPr>
        <w:t>Australian Immunisation Register Act 2015</w:t>
      </w:r>
      <w:r w:rsidR="00DA4724">
        <w:rPr>
          <w:i/>
          <w:iCs/>
        </w:rPr>
        <w:t xml:space="preserve"> </w:t>
      </w:r>
      <w:r w:rsidR="0004072D" w:rsidRPr="00445610">
        <w:rPr>
          <w:i/>
          <w:iCs/>
        </w:rPr>
        <w:t>(Cwth</w:t>
      </w:r>
      <w:r w:rsidR="0004072D">
        <w:rPr>
          <w:i/>
          <w:iCs/>
        </w:rPr>
        <w:t xml:space="preserve">) </w:t>
      </w:r>
      <w:r w:rsidR="0004072D" w:rsidRPr="00DA4724">
        <w:t xml:space="preserve">which establish </w:t>
      </w:r>
      <w:r w:rsidR="0004072D">
        <w:t xml:space="preserve">clear </w:t>
      </w:r>
      <w:r w:rsidR="0004072D" w:rsidRPr="00DA4724">
        <w:t xml:space="preserve">rules and limitations on the collection, use and </w:t>
      </w:r>
      <w:r w:rsidR="0004072D" w:rsidRPr="0004072D">
        <w:rPr>
          <w:color w:val="000000"/>
          <w:szCs w:val="24"/>
          <w:lang w:eastAsia="en-AU"/>
        </w:rPr>
        <w:t>disclosure of personal information</w:t>
      </w:r>
      <w:r w:rsidR="00DA4724">
        <w:rPr>
          <w:color w:val="000000"/>
          <w:szCs w:val="24"/>
          <w:lang w:eastAsia="en-AU"/>
        </w:rPr>
        <w:t>,</w:t>
      </w:r>
      <w:r w:rsidR="0004072D">
        <w:rPr>
          <w:color w:val="000000"/>
          <w:szCs w:val="24"/>
          <w:lang w:eastAsia="en-AU"/>
        </w:rPr>
        <w:t xml:space="preserve"> including how a person can access</w:t>
      </w:r>
      <w:r w:rsidR="00DA4724">
        <w:rPr>
          <w:color w:val="000000"/>
          <w:szCs w:val="24"/>
          <w:lang w:eastAsia="en-AU"/>
        </w:rPr>
        <w:t xml:space="preserve"> their</w:t>
      </w:r>
      <w:r w:rsidR="0004072D">
        <w:rPr>
          <w:color w:val="000000"/>
          <w:szCs w:val="24"/>
          <w:lang w:eastAsia="en-AU"/>
        </w:rPr>
        <w:t xml:space="preserve"> personal information stored by a</w:t>
      </w:r>
      <w:r w:rsidR="00DA4724">
        <w:rPr>
          <w:color w:val="000000"/>
          <w:szCs w:val="24"/>
          <w:lang w:eastAsia="en-AU"/>
        </w:rPr>
        <w:t>n</w:t>
      </w:r>
      <w:r w:rsidR="0004072D">
        <w:rPr>
          <w:color w:val="000000"/>
          <w:szCs w:val="24"/>
          <w:lang w:eastAsia="en-AU"/>
        </w:rPr>
        <w:t xml:space="preserve"> immunisation service provider</w:t>
      </w:r>
      <w:r w:rsidR="0004072D" w:rsidRPr="0004072D">
        <w:rPr>
          <w:color w:val="000000"/>
          <w:szCs w:val="24"/>
          <w:lang w:eastAsia="en-AU"/>
        </w:rPr>
        <w:t>.</w:t>
      </w:r>
      <w:r w:rsidR="003A5639">
        <w:rPr>
          <w:color w:val="000000"/>
          <w:szCs w:val="24"/>
          <w:lang w:eastAsia="en-AU"/>
        </w:rPr>
        <w:t xml:space="preserve"> </w:t>
      </w:r>
      <w:r w:rsidR="003A5639">
        <w:rPr>
          <w:color w:val="000000"/>
          <w:szCs w:val="24"/>
          <w:lang w:eastAsia="en-AU"/>
        </w:rPr>
        <w:br/>
      </w:r>
    </w:p>
    <w:p w14:paraId="0887DFB1" w14:textId="77777777" w:rsidR="000D0D19" w:rsidRDefault="000D0D19" w:rsidP="000662E4">
      <w:pPr>
        <w:autoSpaceDE w:val="0"/>
        <w:autoSpaceDN w:val="0"/>
        <w:adjustRightInd w:val="0"/>
        <w:rPr>
          <w:color w:val="000000"/>
          <w:szCs w:val="24"/>
          <w:lang w:eastAsia="en-AU"/>
        </w:rPr>
      </w:pPr>
    </w:p>
    <w:p w14:paraId="63D18C8F" w14:textId="3A53C8B1" w:rsidR="002E4A85" w:rsidRDefault="000D0D19" w:rsidP="000662E4">
      <w:pPr>
        <w:autoSpaceDE w:val="0"/>
        <w:autoSpaceDN w:val="0"/>
        <w:adjustRightInd w:val="0"/>
        <w:rPr>
          <w:color w:val="000000"/>
          <w:szCs w:val="24"/>
          <w:lang w:eastAsia="en-AU"/>
        </w:rPr>
      </w:pPr>
      <w:r>
        <w:rPr>
          <w:color w:val="000000"/>
          <w:szCs w:val="24"/>
          <w:lang w:eastAsia="en-AU"/>
        </w:rPr>
        <w:lastRenderedPageBreak/>
        <w:t xml:space="preserve">The Vaccination Standards have also removed an obligation that a pharmacist </w:t>
      </w:r>
      <w:r>
        <w:rPr>
          <w:i/>
          <w:iCs/>
          <w:color w:val="000000"/>
          <w:szCs w:val="24"/>
          <w:lang w:eastAsia="en-AU"/>
        </w:rPr>
        <w:t>must</w:t>
      </w:r>
      <w:r>
        <w:rPr>
          <w:color w:val="000000"/>
          <w:szCs w:val="24"/>
          <w:lang w:eastAsia="en-AU"/>
        </w:rPr>
        <w:t xml:space="preserve"> obtain and report on a person’s Aboriginal and Torres Strait Islander status as a condition of their authorisation to supply and administer vaccinations without a prescription. While all health service providers are</w:t>
      </w:r>
      <w:r w:rsidR="0008692E">
        <w:rPr>
          <w:color w:val="000000"/>
          <w:szCs w:val="24"/>
          <w:lang w:eastAsia="en-AU"/>
        </w:rPr>
        <w:t xml:space="preserve"> </w:t>
      </w:r>
      <w:r>
        <w:rPr>
          <w:color w:val="000000"/>
          <w:szCs w:val="24"/>
          <w:lang w:eastAsia="en-AU"/>
        </w:rPr>
        <w:t xml:space="preserve">strongly encouraged to </w:t>
      </w:r>
      <w:r w:rsidR="0008692E">
        <w:rPr>
          <w:color w:val="000000"/>
          <w:szCs w:val="24"/>
          <w:lang w:eastAsia="en-AU"/>
        </w:rPr>
        <w:t xml:space="preserve">ask if a </w:t>
      </w:r>
      <w:r w:rsidR="00AD1BFC">
        <w:rPr>
          <w:color w:val="000000"/>
          <w:szCs w:val="24"/>
          <w:lang w:eastAsia="en-AU"/>
        </w:rPr>
        <w:t>person</w:t>
      </w:r>
      <w:r w:rsidR="0008692E">
        <w:rPr>
          <w:color w:val="000000"/>
          <w:szCs w:val="24"/>
          <w:lang w:eastAsia="en-AU"/>
        </w:rPr>
        <w:t xml:space="preserve"> self-identif</w:t>
      </w:r>
      <w:r w:rsidR="00AD1BFC">
        <w:rPr>
          <w:color w:val="000000"/>
          <w:szCs w:val="24"/>
          <w:lang w:eastAsia="en-AU"/>
        </w:rPr>
        <w:t>ies</w:t>
      </w:r>
      <w:r w:rsidR="0008692E">
        <w:rPr>
          <w:color w:val="000000"/>
          <w:szCs w:val="24"/>
          <w:lang w:eastAsia="en-AU"/>
        </w:rPr>
        <w:t xml:space="preserve"> as Aboriginal or Torres Strait Islander</w:t>
      </w:r>
      <w:r>
        <w:rPr>
          <w:color w:val="000000"/>
          <w:szCs w:val="24"/>
          <w:lang w:eastAsia="en-AU"/>
        </w:rPr>
        <w:t xml:space="preserve"> </w:t>
      </w:r>
      <w:r w:rsidR="00AD1BFC">
        <w:rPr>
          <w:color w:val="000000"/>
          <w:szCs w:val="24"/>
          <w:lang w:eastAsia="en-AU"/>
        </w:rPr>
        <w:t xml:space="preserve">in </w:t>
      </w:r>
      <w:r w:rsidR="0008692E">
        <w:rPr>
          <w:color w:val="000000"/>
          <w:szCs w:val="24"/>
          <w:lang w:eastAsia="en-AU"/>
        </w:rPr>
        <w:t xml:space="preserve">origin, the reporting of this information </w:t>
      </w:r>
      <w:r w:rsidR="002E4A85">
        <w:rPr>
          <w:color w:val="000000"/>
          <w:szCs w:val="24"/>
          <w:lang w:eastAsia="en-AU"/>
        </w:rPr>
        <w:t xml:space="preserve">should </w:t>
      </w:r>
      <w:r w:rsidR="0008692E">
        <w:rPr>
          <w:color w:val="000000"/>
          <w:szCs w:val="24"/>
          <w:lang w:eastAsia="en-AU"/>
        </w:rPr>
        <w:t>remain voluntary and not be linked to a pharmacists’ authority to supply and administer vaccines.</w:t>
      </w:r>
      <w:r w:rsidR="002E4A85">
        <w:rPr>
          <w:color w:val="000000"/>
          <w:szCs w:val="24"/>
          <w:lang w:eastAsia="en-AU"/>
        </w:rPr>
        <w:t xml:space="preserve"> </w:t>
      </w:r>
    </w:p>
    <w:p w14:paraId="1A41920D" w14:textId="77777777" w:rsidR="002E4A85" w:rsidRDefault="002E4A85" w:rsidP="000662E4">
      <w:pPr>
        <w:autoSpaceDE w:val="0"/>
        <w:autoSpaceDN w:val="0"/>
        <w:adjustRightInd w:val="0"/>
        <w:rPr>
          <w:color w:val="000000"/>
          <w:szCs w:val="24"/>
          <w:lang w:eastAsia="en-AU"/>
        </w:rPr>
      </w:pPr>
    </w:p>
    <w:p w14:paraId="2C1E538B" w14:textId="2A10C8F1" w:rsidR="00CE4B2E" w:rsidRDefault="0008692E" w:rsidP="00CE4B2E">
      <w:pPr>
        <w:autoSpaceDE w:val="0"/>
        <w:autoSpaceDN w:val="0"/>
        <w:adjustRightInd w:val="0"/>
        <w:rPr>
          <w:color w:val="000000"/>
          <w:szCs w:val="24"/>
          <w:lang w:eastAsia="en-AU"/>
        </w:rPr>
      </w:pPr>
      <w:r>
        <w:rPr>
          <w:color w:val="000000"/>
          <w:szCs w:val="24"/>
          <w:lang w:eastAsia="en-AU"/>
        </w:rPr>
        <w:t xml:space="preserve">Removal of this </w:t>
      </w:r>
      <w:r w:rsidR="00776FD7">
        <w:rPr>
          <w:color w:val="000000"/>
          <w:szCs w:val="24"/>
          <w:lang w:eastAsia="en-AU"/>
        </w:rPr>
        <w:t xml:space="preserve">mandatory record keeping </w:t>
      </w:r>
      <w:r>
        <w:rPr>
          <w:color w:val="000000"/>
          <w:szCs w:val="24"/>
          <w:lang w:eastAsia="en-AU"/>
        </w:rPr>
        <w:t xml:space="preserve">requirement supports a </w:t>
      </w:r>
      <w:r w:rsidR="002E4A85">
        <w:rPr>
          <w:color w:val="000000"/>
          <w:szCs w:val="24"/>
          <w:lang w:eastAsia="en-AU"/>
        </w:rPr>
        <w:t>person’s</w:t>
      </w:r>
      <w:r>
        <w:rPr>
          <w:color w:val="000000"/>
          <w:szCs w:val="24"/>
          <w:lang w:eastAsia="en-AU"/>
        </w:rPr>
        <w:t xml:space="preserve"> right to privacy </w:t>
      </w:r>
      <w:r w:rsidR="00776FD7">
        <w:rPr>
          <w:color w:val="000000"/>
          <w:szCs w:val="24"/>
          <w:lang w:eastAsia="en-AU"/>
        </w:rPr>
        <w:t xml:space="preserve">and right to life </w:t>
      </w:r>
      <w:r>
        <w:rPr>
          <w:color w:val="000000"/>
          <w:szCs w:val="24"/>
          <w:lang w:eastAsia="en-AU"/>
        </w:rPr>
        <w:t xml:space="preserve">under the HRA </w:t>
      </w:r>
      <w:r w:rsidR="002E4A85">
        <w:rPr>
          <w:color w:val="000000"/>
          <w:szCs w:val="24"/>
          <w:lang w:eastAsia="en-AU"/>
        </w:rPr>
        <w:t>by</w:t>
      </w:r>
      <w:r>
        <w:rPr>
          <w:color w:val="000000"/>
          <w:szCs w:val="24"/>
          <w:lang w:eastAsia="en-AU"/>
        </w:rPr>
        <w:t xml:space="preserve"> </w:t>
      </w:r>
      <w:r w:rsidR="002E4A85">
        <w:rPr>
          <w:color w:val="000000"/>
          <w:szCs w:val="24"/>
          <w:lang w:eastAsia="en-AU"/>
        </w:rPr>
        <w:t xml:space="preserve">ensuring health consumers can access pharmacist-led </w:t>
      </w:r>
      <w:r w:rsidR="00776FD7">
        <w:rPr>
          <w:color w:val="000000"/>
          <w:szCs w:val="24"/>
          <w:lang w:eastAsia="en-AU"/>
        </w:rPr>
        <w:t>immunisation</w:t>
      </w:r>
      <w:r w:rsidR="002E4A85">
        <w:rPr>
          <w:color w:val="000000"/>
          <w:szCs w:val="24"/>
          <w:lang w:eastAsia="en-AU"/>
        </w:rPr>
        <w:t xml:space="preserve"> services</w:t>
      </w:r>
      <w:r w:rsidR="00776FD7">
        <w:rPr>
          <w:color w:val="000000"/>
          <w:szCs w:val="24"/>
          <w:lang w:eastAsia="en-AU"/>
        </w:rPr>
        <w:t xml:space="preserve"> without the need to disclose if they identify as Aboriginal and Torres Strait Islander in origin. </w:t>
      </w:r>
      <w:r>
        <w:rPr>
          <w:color w:val="000000"/>
          <w:szCs w:val="24"/>
          <w:lang w:eastAsia="en-AU"/>
        </w:rPr>
        <w:t>ACT Health will continue to promote</w:t>
      </w:r>
      <w:r w:rsidR="002E4A85">
        <w:rPr>
          <w:color w:val="000000"/>
          <w:szCs w:val="24"/>
          <w:lang w:eastAsia="en-AU"/>
        </w:rPr>
        <w:t xml:space="preserve"> the voluntary collection of information relating to </w:t>
      </w:r>
      <w:r w:rsidR="002E4A85" w:rsidRPr="002E4A85">
        <w:rPr>
          <w:color w:val="000000"/>
          <w:szCs w:val="24"/>
          <w:lang w:eastAsia="en-AU"/>
        </w:rPr>
        <w:t xml:space="preserve">Aboriginal and Torres Strait Islander health to </w:t>
      </w:r>
      <w:r w:rsidR="002E4A85">
        <w:rPr>
          <w:color w:val="000000"/>
          <w:szCs w:val="24"/>
          <w:lang w:eastAsia="en-AU"/>
        </w:rPr>
        <w:t>assist</w:t>
      </w:r>
      <w:r w:rsidR="002E4A85" w:rsidRPr="002E4A85">
        <w:rPr>
          <w:color w:val="000000"/>
          <w:szCs w:val="24"/>
          <w:lang w:eastAsia="en-AU"/>
        </w:rPr>
        <w:t xml:space="preserve"> </w:t>
      </w:r>
      <w:r w:rsidR="002E4A85">
        <w:rPr>
          <w:color w:val="000000"/>
          <w:szCs w:val="24"/>
          <w:lang w:eastAsia="en-AU"/>
        </w:rPr>
        <w:t>in the</w:t>
      </w:r>
      <w:r w:rsidR="002E4A85" w:rsidRPr="002E4A85">
        <w:rPr>
          <w:color w:val="000000"/>
          <w:szCs w:val="24"/>
          <w:lang w:eastAsia="en-AU"/>
        </w:rPr>
        <w:t xml:space="preserve"> deliver</w:t>
      </w:r>
      <w:r w:rsidR="002E4A85">
        <w:rPr>
          <w:color w:val="000000"/>
          <w:szCs w:val="24"/>
          <w:lang w:eastAsia="en-AU"/>
        </w:rPr>
        <w:t>y of</w:t>
      </w:r>
      <w:r w:rsidR="002E4A85" w:rsidRPr="002E4A85">
        <w:rPr>
          <w:color w:val="000000"/>
          <w:szCs w:val="24"/>
          <w:lang w:eastAsia="en-AU"/>
        </w:rPr>
        <w:t xml:space="preserve"> culturally specific and appropriate health, social, emotional and wellbeing service</w:t>
      </w:r>
      <w:r w:rsidR="002E4A85">
        <w:rPr>
          <w:color w:val="000000"/>
          <w:szCs w:val="24"/>
          <w:lang w:eastAsia="en-AU"/>
        </w:rPr>
        <w:t>s.</w:t>
      </w:r>
      <w:r w:rsidR="00776FD7" w:rsidRPr="00776FD7">
        <w:rPr>
          <w:color w:val="000000"/>
          <w:szCs w:val="24"/>
          <w:lang w:eastAsia="en-AU"/>
        </w:rPr>
        <w:t xml:space="preserve"> </w:t>
      </w:r>
      <w:r w:rsidR="00776FD7">
        <w:rPr>
          <w:color w:val="000000"/>
          <w:szCs w:val="24"/>
          <w:lang w:eastAsia="en-AU"/>
        </w:rPr>
        <w:t xml:space="preserve">Immunising pharmacists are also prompted record if patients self-identify as Aboriginal or Torres Strait Islander origin as part of submitting data to the AIR and using pharmacy software systems.  </w:t>
      </w:r>
      <w:r w:rsidR="00DA4724">
        <w:rPr>
          <w:color w:val="000000"/>
          <w:szCs w:val="24"/>
          <w:lang w:eastAsia="en-AU"/>
        </w:rPr>
        <w:br/>
      </w:r>
      <w:r w:rsidR="00DA4724">
        <w:rPr>
          <w:color w:val="000000"/>
          <w:szCs w:val="24"/>
          <w:lang w:eastAsia="en-AU"/>
        </w:rPr>
        <w:br/>
      </w:r>
      <w:r w:rsidR="00CE4B2E">
        <w:rPr>
          <w:color w:val="000000"/>
          <w:szCs w:val="24"/>
          <w:lang w:eastAsia="en-AU"/>
        </w:rPr>
        <w:t xml:space="preserve">Health consumers are also reasonably made aware of their human rights with regard to pharmacy services. In accordance with section 95 of the </w:t>
      </w:r>
      <w:r w:rsidR="00CE4B2E" w:rsidRPr="003A5639">
        <w:rPr>
          <w:i/>
          <w:iCs/>
          <w:color w:val="000000"/>
          <w:szCs w:val="24"/>
          <w:lang w:eastAsia="en-AU"/>
        </w:rPr>
        <w:t>Human Rights Commission Act</w:t>
      </w:r>
      <w:r w:rsidR="00CE4B2E">
        <w:rPr>
          <w:i/>
          <w:iCs/>
          <w:color w:val="000000"/>
          <w:szCs w:val="24"/>
          <w:lang w:eastAsia="en-AU"/>
        </w:rPr>
        <w:t> </w:t>
      </w:r>
      <w:r w:rsidR="00CE4B2E" w:rsidRPr="003A5639">
        <w:rPr>
          <w:i/>
          <w:iCs/>
          <w:color w:val="000000"/>
          <w:szCs w:val="24"/>
          <w:lang w:eastAsia="en-AU"/>
        </w:rPr>
        <w:t>200</w:t>
      </w:r>
      <w:r w:rsidR="00CE4B2E">
        <w:rPr>
          <w:i/>
          <w:iCs/>
          <w:color w:val="000000"/>
          <w:szCs w:val="24"/>
          <w:lang w:eastAsia="en-AU"/>
        </w:rPr>
        <w:t>5 (ACT),</w:t>
      </w:r>
      <w:r w:rsidR="00CE4B2E">
        <w:rPr>
          <w:color w:val="000000"/>
          <w:szCs w:val="24"/>
          <w:lang w:eastAsia="en-AU"/>
        </w:rPr>
        <w:t xml:space="preserve"> all health service providers are required to prominently display information about how complaints may be made to the ACT Human Rights Commission or appropriate regulatory agency.</w:t>
      </w:r>
    </w:p>
    <w:p w14:paraId="36E21993" w14:textId="77777777" w:rsidR="00CE4B2E" w:rsidRDefault="00CE4B2E" w:rsidP="000662E4">
      <w:pPr>
        <w:autoSpaceDE w:val="0"/>
        <w:autoSpaceDN w:val="0"/>
        <w:adjustRightInd w:val="0"/>
        <w:rPr>
          <w:color w:val="000000"/>
          <w:szCs w:val="24"/>
          <w:lang w:eastAsia="en-AU"/>
        </w:rPr>
      </w:pPr>
    </w:p>
    <w:p w14:paraId="54FA17F2" w14:textId="5F00A5B6" w:rsidR="00AD1BFC" w:rsidRDefault="0004072D" w:rsidP="000662E4">
      <w:pPr>
        <w:autoSpaceDE w:val="0"/>
        <w:autoSpaceDN w:val="0"/>
        <w:adjustRightInd w:val="0"/>
        <w:rPr>
          <w:b/>
          <w:bCs/>
          <w:color w:val="000000"/>
          <w:szCs w:val="24"/>
          <w:highlight w:val="yellow"/>
          <w:lang w:eastAsia="en-AU"/>
        </w:rPr>
      </w:pPr>
      <w:r>
        <w:rPr>
          <w:color w:val="000000"/>
          <w:szCs w:val="24"/>
          <w:lang w:eastAsia="en-AU"/>
        </w:rPr>
        <w:t xml:space="preserve">The Vaccination Standards are </w:t>
      </w:r>
      <w:r w:rsidR="00DA4724">
        <w:rPr>
          <w:color w:val="000000"/>
          <w:szCs w:val="24"/>
          <w:lang w:eastAsia="en-AU"/>
        </w:rPr>
        <w:t xml:space="preserve">therefore </w:t>
      </w:r>
      <w:r>
        <w:rPr>
          <w:color w:val="000000"/>
          <w:szCs w:val="24"/>
          <w:lang w:eastAsia="en-AU"/>
        </w:rPr>
        <w:t xml:space="preserve">considered to engage with the right to privacy under the HRA, but do not operate </w:t>
      </w:r>
      <w:r w:rsidR="0070216D">
        <w:rPr>
          <w:color w:val="000000"/>
          <w:szCs w:val="24"/>
          <w:lang w:eastAsia="en-AU"/>
        </w:rPr>
        <w:t>as to</w:t>
      </w:r>
      <w:r>
        <w:rPr>
          <w:color w:val="000000"/>
          <w:szCs w:val="24"/>
          <w:lang w:eastAsia="en-AU"/>
        </w:rPr>
        <w:t xml:space="preserve"> </w:t>
      </w:r>
      <w:r w:rsidR="0070216D">
        <w:rPr>
          <w:color w:val="000000"/>
          <w:szCs w:val="24"/>
          <w:lang w:eastAsia="en-AU"/>
        </w:rPr>
        <w:t xml:space="preserve">arbitrarily or unlawfully interfere </w:t>
      </w:r>
      <w:r w:rsidR="00DA4724">
        <w:rPr>
          <w:color w:val="000000"/>
          <w:szCs w:val="24"/>
          <w:lang w:eastAsia="en-AU"/>
        </w:rPr>
        <w:t xml:space="preserve">or otherwise limit </w:t>
      </w:r>
      <w:r w:rsidR="0070216D">
        <w:rPr>
          <w:color w:val="000000"/>
          <w:szCs w:val="24"/>
          <w:lang w:eastAsia="en-AU"/>
        </w:rPr>
        <w:t xml:space="preserve">an individual’s right </w:t>
      </w:r>
      <w:r>
        <w:rPr>
          <w:color w:val="000000"/>
          <w:szCs w:val="24"/>
          <w:lang w:eastAsia="en-AU"/>
        </w:rPr>
        <w:t>to privacy or reputation</w:t>
      </w:r>
      <w:r w:rsidR="00DA4724" w:rsidRPr="00DA4724">
        <w:rPr>
          <w:szCs w:val="24"/>
        </w:rPr>
        <w:t xml:space="preserve"> </w:t>
      </w:r>
      <w:r w:rsidR="00DA4724">
        <w:rPr>
          <w:szCs w:val="24"/>
        </w:rPr>
        <w:t>as described by the HR Act.</w:t>
      </w:r>
      <w:r w:rsidR="004F0946">
        <w:rPr>
          <w:color w:val="000000"/>
          <w:szCs w:val="24"/>
          <w:lang w:eastAsia="en-AU"/>
        </w:rPr>
        <w:t xml:space="preserve"> </w:t>
      </w:r>
      <w:r w:rsidR="000D0D19">
        <w:rPr>
          <w:b/>
          <w:bCs/>
          <w:color w:val="000000"/>
          <w:szCs w:val="24"/>
          <w:highlight w:val="yellow"/>
          <w:lang w:eastAsia="en-AU"/>
        </w:rPr>
        <w:br/>
      </w:r>
    </w:p>
    <w:sectPr w:rsidR="00AD1BFC"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A112E" w14:textId="77777777" w:rsidR="00A87668" w:rsidRDefault="00A87668" w:rsidP="00C17FAB">
      <w:r>
        <w:separator/>
      </w:r>
    </w:p>
  </w:endnote>
  <w:endnote w:type="continuationSeparator" w:id="0">
    <w:p w14:paraId="64A0476F" w14:textId="77777777" w:rsidR="00A87668" w:rsidRDefault="00A87668"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82EC" w14:textId="77777777" w:rsidR="00372895" w:rsidRDefault="003728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35CB" w14:textId="2F1D969C" w:rsidR="00372895" w:rsidRPr="00372895" w:rsidRDefault="00372895" w:rsidP="00372895">
    <w:pPr>
      <w:pStyle w:val="Footer"/>
      <w:jc w:val="center"/>
      <w:rPr>
        <w:rFonts w:cs="Arial"/>
        <w:sz w:val="14"/>
      </w:rPr>
    </w:pPr>
    <w:r w:rsidRPr="0037289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9D9F" w14:textId="77777777" w:rsidR="00372895" w:rsidRDefault="00372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028BA" w14:textId="77777777" w:rsidR="00A87668" w:rsidRDefault="00A87668" w:rsidP="00C17FAB">
      <w:r>
        <w:separator/>
      </w:r>
    </w:p>
  </w:footnote>
  <w:footnote w:type="continuationSeparator" w:id="0">
    <w:p w14:paraId="31C7523F" w14:textId="77777777" w:rsidR="00A87668" w:rsidRDefault="00A87668"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D6BC" w14:textId="77777777" w:rsidR="00372895" w:rsidRDefault="003728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51AD4" w14:textId="77777777" w:rsidR="00372895" w:rsidRDefault="003728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B0A7" w14:textId="77777777" w:rsidR="00372895" w:rsidRDefault="00372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EC2585D"/>
    <w:multiLevelType w:val="hybridMultilevel"/>
    <w:tmpl w:val="67966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4DCF3B9D"/>
    <w:multiLevelType w:val="hybridMultilevel"/>
    <w:tmpl w:val="8A9E73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66046F48"/>
    <w:multiLevelType w:val="hybridMultilevel"/>
    <w:tmpl w:val="821876C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70717259"/>
    <w:multiLevelType w:val="hybridMultilevel"/>
    <w:tmpl w:val="2D906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802582522">
    <w:abstractNumId w:val="2"/>
  </w:num>
  <w:num w:numId="2" w16cid:durableId="2099713822">
    <w:abstractNumId w:val="0"/>
  </w:num>
  <w:num w:numId="3" w16cid:durableId="1106117653">
    <w:abstractNumId w:val="4"/>
  </w:num>
  <w:num w:numId="4" w16cid:durableId="1607810493">
    <w:abstractNumId w:val="7"/>
  </w:num>
  <w:num w:numId="5" w16cid:durableId="47456098">
    <w:abstractNumId w:val="10"/>
  </w:num>
  <w:num w:numId="6" w16cid:durableId="1846818648">
    <w:abstractNumId w:val="1"/>
  </w:num>
  <w:num w:numId="7" w16cid:durableId="763258718">
    <w:abstractNumId w:val="5"/>
  </w:num>
  <w:num w:numId="8" w16cid:durableId="1160803437">
    <w:abstractNumId w:val="6"/>
  </w:num>
  <w:num w:numId="9" w16cid:durableId="408040367">
    <w:abstractNumId w:val="12"/>
  </w:num>
  <w:num w:numId="10" w16cid:durableId="1134835363">
    <w:abstractNumId w:val="11"/>
  </w:num>
  <w:num w:numId="11" w16cid:durableId="610093924">
    <w:abstractNumId w:val="9"/>
  </w:num>
  <w:num w:numId="12" w16cid:durableId="90470661">
    <w:abstractNumId w:val="3"/>
  </w:num>
  <w:num w:numId="13" w16cid:durableId="7146255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60"/>
    <w:rsid w:val="000068A2"/>
    <w:rsid w:val="00012996"/>
    <w:rsid w:val="000133F1"/>
    <w:rsid w:val="00031B52"/>
    <w:rsid w:val="00037C00"/>
    <w:rsid w:val="0004072D"/>
    <w:rsid w:val="00046987"/>
    <w:rsid w:val="00056B1B"/>
    <w:rsid w:val="000615D2"/>
    <w:rsid w:val="00064DEB"/>
    <w:rsid w:val="000662E4"/>
    <w:rsid w:val="000667E5"/>
    <w:rsid w:val="00071675"/>
    <w:rsid w:val="000747BD"/>
    <w:rsid w:val="000808C4"/>
    <w:rsid w:val="0008692E"/>
    <w:rsid w:val="000951C6"/>
    <w:rsid w:val="000A1240"/>
    <w:rsid w:val="000C22A8"/>
    <w:rsid w:val="000D0D19"/>
    <w:rsid w:val="000D21F5"/>
    <w:rsid w:val="000F0135"/>
    <w:rsid w:val="00126033"/>
    <w:rsid w:val="0013170D"/>
    <w:rsid w:val="00137522"/>
    <w:rsid w:val="0014578A"/>
    <w:rsid w:val="001475FA"/>
    <w:rsid w:val="00150C95"/>
    <w:rsid w:val="00170C2B"/>
    <w:rsid w:val="0018140E"/>
    <w:rsid w:val="001874E1"/>
    <w:rsid w:val="001B4E55"/>
    <w:rsid w:val="001C1FFF"/>
    <w:rsid w:val="001C2110"/>
    <w:rsid w:val="001C5EB9"/>
    <w:rsid w:val="001C745F"/>
    <w:rsid w:val="001E335E"/>
    <w:rsid w:val="001E4C33"/>
    <w:rsid w:val="001F7619"/>
    <w:rsid w:val="002132FD"/>
    <w:rsid w:val="0023305A"/>
    <w:rsid w:val="00235DF9"/>
    <w:rsid w:val="00245F97"/>
    <w:rsid w:val="002644E5"/>
    <w:rsid w:val="002B0550"/>
    <w:rsid w:val="002C183B"/>
    <w:rsid w:val="002D7C60"/>
    <w:rsid w:val="002E4A85"/>
    <w:rsid w:val="002E5FB9"/>
    <w:rsid w:val="002F78BA"/>
    <w:rsid w:val="00310F7E"/>
    <w:rsid w:val="0031723D"/>
    <w:rsid w:val="00317AAC"/>
    <w:rsid w:val="00322BDA"/>
    <w:rsid w:val="00327AD8"/>
    <w:rsid w:val="00343750"/>
    <w:rsid w:val="00372895"/>
    <w:rsid w:val="00373376"/>
    <w:rsid w:val="003773FF"/>
    <w:rsid w:val="00377C3A"/>
    <w:rsid w:val="003A5639"/>
    <w:rsid w:val="003A736A"/>
    <w:rsid w:val="003B197A"/>
    <w:rsid w:val="003C5F9A"/>
    <w:rsid w:val="003D35AD"/>
    <w:rsid w:val="003D42EA"/>
    <w:rsid w:val="003D7D18"/>
    <w:rsid w:val="003E01E9"/>
    <w:rsid w:val="003E754C"/>
    <w:rsid w:val="003F3682"/>
    <w:rsid w:val="003F7DBC"/>
    <w:rsid w:val="00406903"/>
    <w:rsid w:val="0042243C"/>
    <w:rsid w:val="00432069"/>
    <w:rsid w:val="00444156"/>
    <w:rsid w:val="004505DB"/>
    <w:rsid w:val="0045152E"/>
    <w:rsid w:val="00470C91"/>
    <w:rsid w:val="004767A6"/>
    <w:rsid w:val="00494BEF"/>
    <w:rsid w:val="004B55DA"/>
    <w:rsid w:val="004F0946"/>
    <w:rsid w:val="004F33C8"/>
    <w:rsid w:val="004F35EA"/>
    <w:rsid w:val="004F3F71"/>
    <w:rsid w:val="00512270"/>
    <w:rsid w:val="00526F37"/>
    <w:rsid w:val="005559EB"/>
    <w:rsid w:val="005757EF"/>
    <w:rsid w:val="005946E5"/>
    <w:rsid w:val="005A2374"/>
    <w:rsid w:val="005A47EC"/>
    <w:rsid w:val="005C20F0"/>
    <w:rsid w:val="005C3500"/>
    <w:rsid w:val="005D26DB"/>
    <w:rsid w:val="005D4761"/>
    <w:rsid w:val="005D4ACC"/>
    <w:rsid w:val="005D6F07"/>
    <w:rsid w:val="005E629B"/>
    <w:rsid w:val="005F3815"/>
    <w:rsid w:val="00603DA0"/>
    <w:rsid w:val="00605972"/>
    <w:rsid w:val="00606F26"/>
    <w:rsid w:val="00610A6E"/>
    <w:rsid w:val="006113CF"/>
    <w:rsid w:val="00615059"/>
    <w:rsid w:val="00624976"/>
    <w:rsid w:val="00627EEC"/>
    <w:rsid w:val="00670414"/>
    <w:rsid w:val="00685E91"/>
    <w:rsid w:val="00692BC6"/>
    <w:rsid w:val="006A25B3"/>
    <w:rsid w:val="006A5174"/>
    <w:rsid w:val="006B27AD"/>
    <w:rsid w:val="006B4D99"/>
    <w:rsid w:val="006E27B9"/>
    <w:rsid w:val="006E7B78"/>
    <w:rsid w:val="00700F5F"/>
    <w:rsid w:val="00701D1D"/>
    <w:rsid w:val="0070216D"/>
    <w:rsid w:val="00730622"/>
    <w:rsid w:val="00731093"/>
    <w:rsid w:val="0073291B"/>
    <w:rsid w:val="00733952"/>
    <w:rsid w:val="007346AC"/>
    <w:rsid w:val="0073733E"/>
    <w:rsid w:val="00742E29"/>
    <w:rsid w:val="00755A90"/>
    <w:rsid w:val="007769B0"/>
    <w:rsid w:val="00776FD7"/>
    <w:rsid w:val="00780A08"/>
    <w:rsid w:val="00797235"/>
    <w:rsid w:val="007A07C1"/>
    <w:rsid w:val="007A4DF8"/>
    <w:rsid w:val="007B2EBE"/>
    <w:rsid w:val="007B4240"/>
    <w:rsid w:val="007B7060"/>
    <w:rsid w:val="007C1E4B"/>
    <w:rsid w:val="007C6628"/>
    <w:rsid w:val="007C7300"/>
    <w:rsid w:val="007D0AF0"/>
    <w:rsid w:val="007D0FBB"/>
    <w:rsid w:val="007D4339"/>
    <w:rsid w:val="007D734A"/>
    <w:rsid w:val="007F0A39"/>
    <w:rsid w:val="007F31EC"/>
    <w:rsid w:val="007F4E27"/>
    <w:rsid w:val="00823EBD"/>
    <w:rsid w:val="0082798B"/>
    <w:rsid w:val="0083722D"/>
    <w:rsid w:val="00841A7F"/>
    <w:rsid w:val="008420B7"/>
    <w:rsid w:val="00842394"/>
    <w:rsid w:val="00854B37"/>
    <w:rsid w:val="00891CF3"/>
    <w:rsid w:val="00897B7F"/>
    <w:rsid w:val="008A1BCF"/>
    <w:rsid w:val="008A346F"/>
    <w:rsid w:val="008E125F"/>
    <w:rsid w:val="008F7700"/>
    <w:rsid w:val="00902BCE"/>
    <w:rsid w:val="009167D5"/>
    <w:rsid w:val="0093785D"/>
    <w:rsid w:val="009533C4"/>
    <w:rsid w:val="0096288B"/>
    <w:rsid w:val="0097603D"/>
    <w:rsid w:val="00977961"/>
    <w:rsid w:val="00981FC7"/>
    <w:rsid w:val="00990654"/>
    <w:rsid w:val="00994458"/>
    <w:rsid w:val="009A5B11"/>
    <w:rsid w:val="009C68C6"/>
    <w:rsid w:val="009D7703"/>
    <w:rsid w:val="009E0882"/>
    <w:rsid w:val="00A14535"/>
    <w:rsid w:val="00A4655A"/>
    <w:rsid w:val="00A5567A"/>
    <w:rsid w:val="00A6149A"/>
    <w:rsid w:val="00A61B71"/>
    <w:rsid w:val="00A65320"/>
    <w:rsid w:val="00A801F6"/>
    <w:rsid w:val="00A8538A"/>
    <w:rsid w:val="00A87668"/>
    <w:rsid w:val="00A93965"/>
    <w:rsid w:val="00AA4EE9"/>
    <w:rsid w:val="00AB2F80"/>
    <w:rsid w:val="00AB33BA"/>
    <w:rsid w:val="00AB4FE6"/>
    <w:rsid w:val="00AC32F1"/>
    <w:rsid w:val="00AC78C8"/>
    <w:rsid w:val="00AD1BFC"/>
    <w:rsid w:val="00AF1B82"/>
    <w:rsid w:val="00AF3990"/>
    <w:rsid w:val="00AF3FCC"/>
    <w:rsid w:val="00B00631"/>
    <w:rsid w:val="00B0278A"/>
    <w:rsid w:val="00B029AE"/>
    <w:rsid w:val="00B05C3A"/>
    <w:rsid w:val="00B11600"/>
    <w:rsid w:val="00B12607"/>
    <w:rsid w:val="00B201C5"/>
    <w:rsid w:val="00B256E8"/>
    <w:rsid w:val="00B3173B"/>
    <w:rsid w:val="00B427D8"/>
    <w:rsid w:val="00B42AB2"/>
    <w:rsid w:val="00B47BE7"/>
    <w:rsid w:val="00B57987"/>
    <w:rsid w:val="00B63C27"/>
    <w:rsid w:val="00B65738"/>
    <w:rsid w:val="00BD7E6A"/>
    <w:rsid w:val="00BE4F95"/>
    <w:rsid w:val="00C17702"/>
    <w:rsid w:val="00C17FAB"/>
    <w:rsid w:val="00C21F06"/>
    <w:rsid w:val="00C47AF4"/>
    <w:rsid w:val="00C67D02"/>
    <w:rsid w:val="00C70893"/>
    <w:rsid w:val="00C8282E"/>
    <w:rsid w:val="00C85242"/>
    <w:rsid w:val="00C90153"/>
    <w:rsid w:val="00C92631"/>
    <w:rsid w:val="00C9587B"/>
    <w:rsid w:val="00CB0BD7"/>
    <w:rsid w:val="00CB56F0"/>
    <w:rsid w:val="00CB5CE0"/>
    <w:rsid w:val="00CB669A"/>
    <w:rsid w:val="00CC0159"/>
    <w:rsid w:val="00CC5DBF"/>
    <w:rsid w:val="00CD0086"/>
    <w:rsid w:val="00CE4B2E"/>
    <w:rsid w:val="00CE599C"/>
    <w:rsid w:val="00CF46B2"/>
    <w:rsid w:val="00D03F98"/>
    <w:rsid w:val="00D1402A"/>
    <w:rsid w:val="00D17C5E"/>
    <w:rsid w:val="00D2272E"/>
    <w:rsid w:val="00D23AAD"/>
    <w:rsid w:val="00D24CA3"/>
    <w:rsid w:val="00D269BC"/>
    <w:rsid w:val="00D26BB0"/>
    <w:rsid w:val="00D3479D"/>
    <w:rsid w:val="00D517A9"/>
    <w:rsid w:val="00D53DC2"/>
    <w:rsid w:val="00D6556D"/>
    <w:rsid w:val="00D76A0B"/>
    <w:rsid w:val="00D77186"/>
    <w:rsid w:val="00D848CC"/>
    <w:rsid w:val="00D85FAE"/>
    <w:rsid w:val="00D913E3"/>
    <w:rsid w:val="00D9241D"/>
    <w:rsid w:val="00DA2BB6"/>
    <w:rsid w:val="00DA3B00"/>
    <w:rsid w:val="00DA4724"/>
    <w:rsid w:val="00DA5729"/>
    <w:rsid w:val="00DB2CC7"/>
    <w:rsid w:val="00DB42C5"/>
    <w:rsid w:val="00DB5BB6"/>
    <w:rsid w:val="00DD3A87"/>
    <w:rsid w:val="00DD4E8C"/>
    <w:rsid w:val="00DF678A"/>
    <w:rsid w:val="00E21E3F"/>
    <w:rsid w:val="00E343C1"/>
    <w:rsid w:val="00E54EDF"/>
    <w:rsid w:val="00E55938"/>
    <w:rsid w:val="00E637FA"/>
    <w:rsid w:val="00E6436C"/>
    <w:rsid w:val="00E8741A"/>
    <w:rsid w:val="00E962E1"/>
    <w:rsid w:val="00EA30DF"/>
    <w:rsid w:val="00EA420A"/>
    <w:rsid w:val="00EB7122"/>
    <w:rsid w:val="00EC3067"/>
    <w:rsid w:val="00EC36E6"/>
    <w:rsid w:val="00EF148A"/>
    <w:rsid w:val="00EF6097"/>
    <w:rsid w:val="00F01602"/>
    <w:rsid w:val="00F0574F"/>
    <w:rsid w:val="00F06436"/>
    <w:rsid w:val="00F13DF8"/>
    <w:rsid w:val="00F13E76"/>
    <w:rsid w:val="00F15E20"/>
    <w:rsid w:val="00F16A3E"/>
    <w:rsid w:val="00F3400C"/>
    <w:rsid w:val="00F36F27"/>
    <w:rsid w:val="00F44E7D"/>
    <w:rsid w:val="00F51E0D"/>
    <w:rsid w:val="00F66FFB"/>
    <w:rsid w:val="00F718BE"/>
    <w:rsid w:val="00F72D74"/>
    <w:rsid w:val="00F835C0"/>
    <w:rsid w:val="00F86042"/>
    <w:rsid w:val="00FA65C8"/>
    <w:rsid w:val="00FC33EF"/>
    <w:rsid w:val="00FC3FD5"/>
    <w:rsid w:val="00FD48E0"/>
    <w:rsid w:val="00FD75CE"/>
    <w:rsid w:val="00FE1C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D92470"/>
  <w15:docId w15:val="{C82C7DB2-4244-418A-8824-C98234AD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D848CC"/>
    <w:pPr>
      <w:ind w:left="720"/>
      <w:contextualSpacing/>
    </w:pPr>
    <w:rPr>
      <w:rFonts w:ascii="Arial Narrow" w:hAnsi="Arial Narrow"/>
    </w:rPr>
  </w:style>
  <w:style w:type="character" w:customStyle="1" w:styleId="Calibri12">
    <w:name w:val="Calibri 12"/>
    <w:basedOn w:val="DefaultParagraphFont"/>
    <w:uiPriority w:val="1"/>
    <w:qFormat/>
    <w:rsid w:val="0018140E"/>
    <w:rPr>
      <w:rFonts w:ascii="Calibri" w:hAnsi="Calibri"/>
      <w:sz w:val="24"/>
    </w:rPr>
  </w:style>
  <w:style w:type="character" w:styleId="CommentReference">
    <w:name w:val="annotation reference"/>
    <w:basedOn w:val="DefaultParagraphFont"/>
    <w:uiPriority w:val="99"/>
    <w:semiHidden/>
    <w:unhideWhenUsed/>
    <w:rsid w:val="001C1FFF"/>
    <w:rPr>
      <w:sz w:val="16"/>
      <w:szCs w:val="16"/>
    </w:rPr>
  </w:style>
  <w:style w:type="paragraph" w:styleId="CommentText">
    <w:name w:val="annotation text"/>
    <w:basedOn w:val="Normal"/>
    <w:link w:val="CommentTextChar"/>
    <w:uiPriority w:val="99"/>
    <w:semiHidden/>
    <w:unhideWhenUsed/>
    <w:rsid w:val="001C1FFF"/>
    <w:rPr>
      <w:sz w:val="20"/>
    </w:rPr>
  </w:style>
  <w:style w:type="character" w:customStyle="1" w:styleId="CommentTextChar">
    <w:name w:val="Comment Text Char"/>
    <w:basedOn w:val="DefaultParagraphFont"/>
    <w:link w:val="CommentText"/>
    <w:uiPriority w:val="99"/>
    <w:semiHidden/>
    <w:rsid w:val="001C1FFF"/>
    <w:rPr>
      <w:lang w:eastAsia="en-US"/>
    </w:rPr>
  </w:style>
  <w:style w:type="paragraph" w:styleId="CommentSubject">
    <w:name w:val="annotation subject"/>
    <w:basedOn w:val="CommentText"/>
    <w:next w:val="CommentText"/>
    <w:link w:val="CommentSubjectChar"/>
    <w:uiPriority w:val="99"/>
    <w:semiHidden/>
    <w:unhideWhenUsed/>
    <w:rsid w:val="001C1FFF"/>
    <w:rPr>
      <w:b/>
      <w:bCs/>
    </w:rPr>
  </w:style>
  <w:style w:type="character" w:customStyle="1" w:styleId="CommentSubjectChar">
    <w:name w:val="Comment Subject Char"/>
    <w:basedOn w:val="CommentTextChar"/>
    <w:link w:val="CommentSubject"/>
    <w:uiPriority w:val="99"/>
    <w:semiHidden/>
    <w:rsid w:val="001C1FFF"/>
    <w:rPr>
      <w:b/>
      <w:bCs/>
      <w:lang w:eastAsia="en-US"/>
    </w:rPr>
  </w:style>
  <w:style w:type="paragraph" w:styleId="BalloonText">
    <w:name w:val="Balloon Text"/>
    <w:basedOn w:val="Normal"/>
    <w:link w:val="BalloonTextChar"/>
    <w:uiPriority w:val="99"/>
    <w:semiHidden/>
    <w:unhideWhenUsed/>
    <w:rsid w:val="001C1F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FFF"/>
    <w:rPr>
      <w:rFonts w:ascii="Segoe UI" w:hAnsi="Segoe UI" w:cs="Segoe UI"/>
      <w:sz w:val="18"/>
      <w:szCs w:val="18"/>
      <w:lang w:eastAsia="en-US"/>
    </w:rPr>
  </w:style>
  <w:style w:type="character" w:styleId="Emphasis">
    <w:name w:val="Emphasis"/>
    <w:basedOn w:val="DefaultParagraphFont"/>
    <w:uiPriority w:val="20"/>
    <w:qFormat/>
    <w:rsid w:val="00D03F98"/>
    <w:rPr>
      <w:i/>
      <w:iCs/>
    </w:rPr>
  </w:style>
  <w:style w:type="paragraph" w:customStyle="1" w:styleId="Default">
    <w:name w:val="Default"/>
    <w:rsid w:val="00B3173B"/>
    <w:pPr>
      <w:autoSpaceDE w:val="0"/>
      <w:autoSpaceDN w:val="0"/>
      <w:adjustRightInd w:val="0"/>
    </w:pPr>
    <w:rPr>
      <w:color w:val="000000"/>
      <w:sz w:val="24"/>
      <w:szCs w:val="24"/>
    </w:rPr>
  </w:style>
  <w:style w:type="paragraph" w:styleId="Revision">
    <w:name w:val="Revision"/>
    <w:hidden/>
    <w:uiPriority w:val="99"/>
    <w:semiHidden/>
    <w:rsid w:val="008F770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24221">
      <w:bodyDiv w:val="1"/>
      <w:marLeft w:val="0"/>
      <w:marRight w:val="0"/>
      <w:marTop w:val="0"/>
      <w:marBottom w:val="0"/>
      <w:divBdr>
        <w:top w:val="none" w:sz="0" w:space="0" w:color="auto"/>
        <w:left w:val="none" w:sz="0" w:space="0" w:color="auto"/>
        <w:bottom w:val="none" w:sz="0" w:space="0" w:color="auto"/>
        <w:right w:val="none" w:sz="0" w:space="0" w:color="auto"/>
      </w:divBdr>
    </w:div>
    <w:div w:id="447236269">
      <w:bodyDiv w:val="1"/>
      <w:marLeft w:val="0"/>
      <w:marRight w:val="0"/>
      <w:marTop w:val="0"/>
      <w:marBottom w:val="0"/>
      <w:divBdr>
        <w:top w:val="none" w:sz="0" w:space="0" w:color="auto"/>
        <w:left w:val="none" w:sz="0" w:space="0" w:color="auto"/>
        <w:bottom w:val="none" w:sz="0" w:space="0" w:color="auto"/>
        <w:right w:val="none" w:sz="0" w:space="0" w:color="auto"/>
      </w:divBdr>
      <w:divsChild>
        <w:div w:id="567882911">
          <w:marLeft w:val="0"/>
          <w:marRight w:val="0"/>
          <w:marTop w:val="0"/>
          <w:marBottom w:val="0"/>
          <w:divBdr>
            <w:top w:val="none" w:sz="0" w:space="0" w:color="auto"/>
            <w:left w:val="none" w:sz="0" w:space="0" w:color="auto"/>
            <w:bottom w:val="none" w:sz="0" w:space="0" w:color="auto"/>
            <w:right w:val="none" w:sz="0" w:space="0" w:color="auto"/>
          </w:divBdr>
        </w:div>
        <w:div w:id="1645771496">
          <w:marLeft w:val="0"/>
          <w:marRight w:val="0"/>
          <w:marTop w:val="0"/>
          <w:marBottom w:val="0"/>
          <w:divBdr>
            <w:top w:val="none" w:sz="0" w:space="0" w:color="auto"/>
            <w:left w:val="none" w:sz="0" w:space="0" w:color="auto"/>
            <w:bottom w:val="none" w:sz="0" w:space="0" w:color="auto"/>
            <w:right w:val="none" w:sz="0" w:space="0" w:color="auto"/>
          </w:divBdr>
        </w:div>
        <w:div w:id="1302810121">
          <w:marLeft w:val="0"/>
          <w:marRight w:val="0"/>
          <w:marTop w:val="0"/>
          <w:marBottom w:val="0"/>
          <w:divBdr>
            <w:top w:val="none" w:sz="0" w:space="0" w:color="auto"/>
            <w:left w:val="none" w:sz="0" w:space="0" w:color="auto"/>
            <w:bottom w:val="none" w:sz="0" w:space="0" w:color="auto"/>
            <w:right w:val="none" w:sz="0" w:space="0" w:color="auto"/>
          </w:divBdr>
        </w:div>
        <w:div w:id="1142846459">
          <w:marLeft w:val="0"/>
          <w:marRight w:val="0"/>
          <w:marTop w:val="0"/>
          <w:marBottom w:val="0"/>
          <w:divBdr>
            <w:top w:val="none" w:sz="0" w:space="0" w:color="auto"/>
            <w:left w:val="none" w:sz="0" w:space="0" w:color="auto"/>
            <w:bottom w:val="none" w:sz="0" w:space="0" w:color="auto"/>
            <w:right w:val="none" w:sz="0" w:space="0" w:color="auto"/>
          </w:divBdr>
        </w:div>
        <w:div w:id="2074966362">
          <w:marLeft w:val="0"/>
          <w:marRight w:val="0"/>
          <w:marTop w:val="0"/>
          <w:marBottom w:val="0"/>
          <w:divBdr>
            <w:top w:val="none" w:sz="0" w:space="0" w:color="auto"/>
            <w:left w:val="none" w:sz="0" w:space="0" w:color="auto"/>
            <w:bottom w:val="none" w:sz="0" w:space="0" w:color="auto"/>
            <w:right w:val="none" w:sz="0" w:space="0" w:color="auto"/>
          </w:divBdr>
        </w:div>
        <w:div w:id="780027025">
          <w:marLeft w:val="0"/>
          <w:marRight w:val="0"/>
          <w:marTop w:val="0"/>
          <w:marBottom w:val="0"/>
          <w:divBdr>
            <w:top w:val="none" w:sz="0" w:space="0" w:color="auto"/>
            <w:left w:val="none" w:sz="0" w:space="0" w:color="auto"/>
            <w:bottom w:val="none" w:sz="0" w:space="0" w:color="auto"/>
            <w:right w:val="none" w:sz="0" w:space="0" w:color="auto"/>
          </w:divBdr>
        </w:div>
      </w:divsChild>
    </w:div>
    <w:div w:id="1175420422">
      <w:bodyDiv w:val="1"/>
      <w:marLeft w:val="0"/>
      <w:marRight w:val="0"/>
      <w:marTop w:val="0"/>
      <w:marBottom w:val="0"/>
      <w:divBdr>
        <w:top w:val="none" w:sz="0" w:space="0" w:color="auto"/>
        <w:left w:val="none" w:sz="0" w:space="0" w:color="auto"/>
        <w:bottom w:val="none" w:sz="0" w:space="0" w:color="auto"/>
        <w:right w:val="none" w:sz="0" w:space="0" w:color="auto"/>
      </w:divBdr>
    </w:div>
    <w:div w:id="1618830256">
      <w:bodyDiv w:val="1"/>
      <w:marLeft w:val="0"/>
      <w:marRight w:val="0"/>
      <w:marTop w:val="0"/>
      <w:marBottom w:val="0"/>
      <w:divBdr>
        <w:top w:val="none" w:sz="0" w:space="0" w:color="auto"/>
        <w:left w:val="none" w:sz="0" w:space="0" w:color="auto"/>
        <w:bottom w:val="none" w:sz="0" w:space="0" w:color="auto"/>
        <w:right w:val="none" w:sz="0" w:space="0" w:color="auto"/>
      </w:divBdr>
    </w:div>
    <w:div w:id="1729374890">
      <w:bodyDiv w:val="1"/>
      <w:marLeft w:val="0"/>
      <w:marRight w:val="0"/>
      <w:marTop w:val="0"/>
      <w:marBottom w:val="0"/>
      <w:divBdr>
        <w:top w:val="none" w:sz="0" w:space="0" w:color="auto"/>
        <w:left w:val="none" w:sz="0" w:space="0" w:color="auto"/>
        <w:bottom w:val="none" w:sz="0" w:space="0" w:color="auto"/>
        <w:right w:val="none" w:sz="0" w:space="0" w:color="auto"/>
      </w:divBdr>
      <w:divsChild>
        <w:div w:id="1951737064">
          <w:marLeft w:val="0"/>
          <w:marRight w:val="0"/>
          <w:marTop w:val="0"/>
          <w:marBottom w:val="0"/>
          <w:divBdr>
            <w:top w:val="none" w:sz="0" w:space="0" w:color="auto"/>
            <w:left w:val="none" w:sz="0" w:space="0" w:color="auto"/>
            <w:bottom w:val="none" w:sz="0" w:space="0" w:color="auto"/>
            <w:right w:val="none" w:sz="0" w:space="0" w:color="auto"/>
          </w:divBdr>
        </w:div>
      </w:divsChild>
    </w:div>
    <w:div w:id="193431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614B221-B19C-4480-AFB1-D19EBDF3F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1390</Words>
  <Characters>8229</Characters>
  <Application>Microsoft Office Word</Application>
  <DocSecurity>0</DocSecurity>
  <Lines>164</Lines>
  <Paragraphs>43</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Anna Anderberg-Hewitt</dc:creator>
  <cp:keywords>2</cp:keywords>
  <cp:lastModifiedBy>PCODCS</cp:lastModifiedBy>
  <cp:revision>4</cp:revision>
  <cp:lastPrinted>2006-03-31T04:28:00Z</cp:lastPrinted>
  <dcterms:created xsi:type="dcterms:W3CDTF">2023-03-02T05:49:00Z</dcterms:created>
  <dcterms:modified xsi:type="dcterms:W3CDTF">2023-03-02T05:49:00Z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10223805</vt:lpwstr>
  </property>
  <property fmtid="{D5CDD505-2E9C-101B-9397-08002B2CF9AE}" pid="3" name="CHECKEDOUTFROMJMS">
    <vt:lpwstr/>
  </property>
  <property fmtid="{D5CDD505-2E9C-101B-9397-08002B2CF9AE}" pid="4" name="JMSREQUIREDCHECKIN">
    <vt:lpwstr/>
  </property>
  <property fmtid="{D5CDD505-2E9C-101B-9397-08002B2CF9AE}" pid="5" name="Objective-Id">
    <vt:lpwstr>A40685229</vt:lpwstr>
  </property>
  <property fmtid="{D5CDD505-2E9C-101B-9397-08002B2CF9AE}" pid="6" name="Objective-Title">
    <vt:lpwstr>Explanatory Statement PVS (2023)</vt:lpwstr>
  </property>
  <property fmtid="{D5CDD505-2E9C-101B-9397-08002B2CF9AE}" pid="7" name="Objective-Comment">
    <vt:lpwstr/>
  </property>
  <property fmtid="{D5CDD505-2E9C-101B-9397-08002B2CF9AE}" pid="8" name="Objective-CreationStamp">
    <vt:filetime>2023-02-06T05:30:08Z</vt:filetime>
  </property>
  <property fmtid="{D5CDD505-2E9C-101B-9397-08002B2CF9AE}" pid="9" name="Objective-IsApproved">
    <vt:bool>false</vt:bool>
  </property>
  <property fmtid="{D5CDD505-2E9C-101B-9397-08002B2CF9AE}" pid="10" name="Objective-IsPublished">
    <vt:bool>false</vt:bool>
  </property>
  <property fmtid="{D5CDD505-2E9C-101B-9397-08002B2CF9AE}" pid="11" name="Objective-DatePublished">
    <vt:lpwstr/>
  </property>
  <property fmtid="{D5CDD505-2E9C-101B-9397-08002B2CF9AE}" pid="12" name="Objective-ModificationStamp">
    <vt:filetime>2023-03-01T23:35:33Z</vt:filetime>
  </property>
  <property fmtid="{D5CDD505-2E9C-101B-9397-08002B2CF9AE}" pid="13" name="Objective-Owner">
    <vt:lpwstr>Adam Duffy</vt:lpwstr>
  </property>
  <property fmtid="{D5CDD505-2E9C-101B-9397-08002B2CF9AE}" pid="14" name="Objective-Path">
    <vt:lpwstr>Whole of ACT Government:ACTHD - ACT Health:GROUP: Population Health GROUP (PH):09.  Health Protection Services (HPS):10. Pharmaceutical Services:POLICY AND PROJECTS:Pharmacist Vaccination:2023 Pharmacist Vaccination Changes:</vt:lpwstr>
  </property>
  <property fmtid="{D5CDD505-2E9C-101B-9397-08002B2CF9AE}" pid="15" name="Objective-Parent">
    <vt:lpwstr>2023 Pharmacist Vaccination Changes</vt:lpwstr>
  </property>
  <property fmtid="{D5CDD505-2E9C-101B-9397-08002B2CF9AE}" pid="16" name="Objective-State">
    <vt:lpwstr>Being Drafted</vt:lpwstr>
  </property>
  <property fmtid="{D5CDD505-2E9C-101B-9397-08002B2CF9AE}" pid="17" name="Objective-Version">
    <vt:lpwstr>0.10</vt:lpwstr>
  </property>
  <property fmtid="{D5CDD505-2E9C-101B-9397-08002B2CF9AE}" pid="18" name="Objective-VersionNumber">
    <vt:r8>10</vt:r8>
  </property>
  <property fmtid="{D5CDD505-2E9C-101B-9397-08002B2CF9AE}" pid="19" name="Objective-VersionComment">
    <vt:lpwstr/>
  </property>
  <property fmtid="{D5CDD505-2E9C-101B-9397-08002B2CF9AE}" pid="20" name="Objective-FileNumber">
    <vt:lpwstr/>
  </property>
  <property fmtid="{D5CDD505-2E9C-101B-9397-08002B2CF9AE}" pid="21" name="Objective-Classification">
    <vt:lpwstr>[Inherited - none]</vt:lpwstr>
  </property>
  <property fmtid="{D5CDD505-2E9C-101B-9397-08002B2CF9AE}" pid="22" name="Objective-Caveats">
    <vt:lpwstr/>
  </property>
  <property fmtid="{D5CDD505-2E9C-101B-9397-08002B2CF9AE}" pid="23" name="Objective-Owner Agency">
    <vt:lpwstr>ACTHD - ACT Health Directorate</vt:lpwstr>
  </property>
  <property fmtid="{D5CDD505-2E9C-101B-9397-08002B2CF9AE}" pid="24" name="Objective-Document Type">
    <vt:lpwstr>0-Document</vt:lpwstr>
  </property>
  <property fmtid="{D5CDD505-2E9C-101B-9397-08002B2CF9AE}" pid="25" name="Objective-Language">
    <vt:lpwstr>English (en)</vt:lpwstr>
  </property>
  <property fmtid="{D5CDD505-2E9C-101B-9397-08002B2CF9AE}" pid="26" name="Objective-Jurisdiction">
    <vt:lpwstr>ACT</vt:lpwstr>
  </property>
  <property fmtid="{D5CDD505-2E9C-101B-9397-08002B2CF9AE}" pid="27" name="Objective-Customers">
    <vt:lpwstr/>
  </property>
  <property fmtid="{D5CDD505-2E9C-101B-9397-08002B2CF9AE}" pid="28" name="Objective-Places">
    <vt:lpwstr/>
  </property>
  <property fmtid="{D5CDD505-2E9C-101B-9397-08002B2CF9AE}" pid="29" name="Objective-Transaction Reference">
    <vt:lpwstr/>
  </property>
  <property fmtid="{D5CDD505-2E9C-101B-9397-08002B2CF9AE}" pid="30" name="Objective-Document Created By">
    <vt:lpwstr/>
  </property>
  <property fmtid="{D5CDD505-2E9C-101B-9397-08002B2CF9AE}" pid="31" name="Objective-Document Created On">
    <vt:lpwstr/>
  </property>
  <property fmtid="{D5CDD505-2E9C-101B-9397-08002B2CF9AE}" pid="32" name="Objective-Covers Period From">
    <vt:lpwstr/>
  </property>
  <property fmtid="{D5CDD505-2E9C-101B-9397-08002B2CF9AE}" pid="33" name="Objective-Covers Period To">
    <vt:lpwstr/>
  </property>
</Properties>
</file>