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0791" w14:textId="1754D693" w:rsidR="00AF0D54" w:rsidRPr="00050F68" w:rsidRDefault="00AF0D54">
      <w:pPr>
        <w:spacing w:after="0" w:line="240" w:lineRule="auto"/>
        <w:rPr>
          <w:rFonts w:ascii="Arial" w:hAnsi="Arial" w:cs="Arial"/>
          <w:b/>
          <w:bCs/>
          <w:szCs w:val="24"/>
        </w:rPr>
      </w:pPr>
    </w:p>
    <w:p w14:paraId="179C0BD0" w14:textId="77777777" w:rsidR="00AF0D54" w:rsidRPr="00050F68" w:rsidRDefault="00AF0D54" w:rsidP="00AF0D54">
      <w:pPr>
        <w:autoSpaceDE w:val="0"/>
        <w:autoSpaceDN w:val="0"/>
        <w:adjustRightInd w:val="0"/>
        <w:spacing w:before="240" w:after="120"/>
        <w:jc w:val="center"/>
        <w:rPr>
          <w:rFonts w:ascii="Arial" w:hAnsi="Arial" w:cs="Arial"/>
          <w:b/>
          <w:bCs/>
          <w:szCs w:val="24"/>
        </w:rPr>
      </w:pPr>
    </w:p>
    <w:p w14:paraId="587DDEA3" w14:textId="70A7B50E"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1C2705">
        <w:rPr>
          <w:rFonts w:ascii="Arial" w:hAnsi="Arial" w:cs="Arial"/>
          <w:b/>
          <w:bCs/>
          <w:szCs w:val="24"/>
        </w:rPr>
        <w:t>3</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7B0195DA" w:rsidR="007326EC" w:rsidRDefault="001C2705" w:rsidP="00A363CB">
      <w:pPr>
        <w:spacing w:before="240" w:after="120"/>
        <w:jc w:val="center"/>
        <w:rPr>
          <w:rFonts w:ascii="Arial" w:hAnsi="Arial" w:cs="Arial"/>
          <w:b/>
          <w:bCs/>
          <w:caps/>
          <w:szCs w:val="24"/>
        </w:rPr>
      </w:pPr>
      <w:r>
        <w:rPr>
          <w:rFonts w:ascii="Arial" w:hAnsi="Arial" w:cs="Arial"/>
          <w:b/>
          <w:bCs/>
          <w:caps/>
          <w:szCs w:val="24"/>
        </w:rPr>
        <w:t>Justice (Age of criminal responsibility) legislation amendment bill 2023</w:t>
      </w:r>
    </w:p>
    <w:p w14:paraId="06DEBA32" w14:textId="2999B628" w:rsidR="001C2705" w:rsidRDefault="001C2705" w:rsidP="00A363CB">
      <w:pPr>
        <w:spacing w:before="240" w:after="120"/>
        <w:jc w:val="center"/>
        <w:rPr>
          <w:rFonts w:ascii="Arial" w:hAnsi="Arial" w:cs="Arial"/>
          <w:b/>
          <w:bCs/>
          <w:caps/>
          <w:szCs w:val="24"/>
        </w:rPr>
      </w:pPr>
    </w:p>
    <w:p w14:paraId="08EDD388" w14:textId="701085D0" w:rsidR="001C2705" w:rsidRPr="00050F68" w:rsidRDefault="001C2705" w:rsidP="00A363CB">
      <w:pPr>
        <w:spacing w:before="240" w:after="120"/>
        <w:jc w:val="center"/>
        <w:rPr>
          <w:rFonts w:ascii="Arial" w:hAnsi="Arial" w:cs="Arial"/>
          <w:b/>
          <w:bCs/>
          <w:caps/>
          <w:szCs w:val="24"/>
        </w:rPr>
      </w:pPr>
      <w:r>
        <w:rPr>
          <w:rFonts w:ascii="Arial" w:hAnsi="Arial" w:cs="Arial"/>
          <w:b/>
          <w:bCs/>
          <w:caps/>
          <w:szCs w:val="24"/>
        </w:rPr>
        <w:t xml:space="preserve">Government amendments </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6C1B7185" w:rsidR="0030585F" w:rsidRPr="00050F68" w:rsidRDefault="001C2705" w:rsidP="00050F68">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SUPPLEMENTARY </w:t>
      </w:r>
      <w:r w:rsidR="0030585F" w:rsidRPr="00050F68">
        <w:rPr>
          <w:rFonts w:ascii="Arial" w:hAnsi="Arial" w:cs="Arial"/>
          <w:b/>
          <w:bCs/>
          <w:szCs w:val="24"/>
        </w:rPr>
        <w:t>EXPLANATORY STATEMENT</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425F9646" w:rsidR="0030585F" w:rsidRPr="00050F68" w:rsidRDefault="00822EB4"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To be moved</w:t>
      </w:r>
      <w:r w:rsidR="0030585F" w:rsidRPr="00050F68">
        <w:rPr>
          <w:rFonts w:ascii="Arial" w:hAnsi="Arial" w:cs="Arial"/>
          <w:b/>
          <w:bCs/>
          <w:szCs w:val="24"/>
        </w:rPr>
        <w:t xml:space="preserve"> by</w:t>
      </w:r>
    </w:p>
    <w:p w14:paraId="10094C4E" w14:textId="51605AD8" w:rsidR="0030585F" w:rsidRPr="00050F68" w:rsidRDefault="001C2705"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Shane Rattenbury</w:t>
      </w:r>
      <w:r w:rsidR="0030585F" w:rsidRPr="00050F68">
        <w:rPr>
          <w:rFonts w:ascii="Arial" w:hAnsi="Arial" w:cs="Arial"/>
          <w:b/>
          <w:bCs/>
          <w:szCs w:val="24"/>
        </w:rPr>
        <w:t xml:space="preserve"> MLA</w:t>
      </w:r>
    </w:p>
    <w:p w14:paraId="3A423ED0" w14:textId="72390F95" w:rsidR="00EE32FF" w:rsidRPr="00050F68" w:rsidRDefault="006F6B6C" w:rsidP="00F53DA3">
      <w:pPr>
        <w:spacing w:after="0" w:line="240" w:lineRule="auto"/>
        <w:jc w:val="right"/>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r w:rsidR="001C2705">
            <w:rPr>
              <w:rFonts w:ascii="Arial" w:hAnsi="Arial" w:cs="Arial"/>
              <w:b/>
              <w:bCs/>
              <w:szCs w:val="24"/>
            </w:rPr>
            <w:t>Attorney-General</w:t>
          </w:r>
        </w:sdtContent>
      </w:sdt>
      <w:r w:rsidR="009428EA" w:rsidRPr="00050F68">
        <w:rPr>
          <w:rFonts w:ascii="Arial" w:hAnsi="Arial" w:cs="Arial"/>
          <w:b/>
          <w:bCs/>
          <w:szCs w:val="24"/>
        </w:rPr>
        <w:br w:type="page"/>
      </w:r>
    </w:p>
    <w:p w14:paraId="5671B9AA" w14:textId="5940322A" w:rsidR="0051718C" w:rsidRPr="00651CC0" w:rsidRDefault="001C2705" w:rsidP="0051718C">
      <w:pPr>
        <w:pStyle w:val="Heading2"/>
        <w:spacing w:after="120"/>
        <w:jc w:val="center"/>
        <w:rPr>
          <w:rFonts w:ascii="Arial" w:hAnsi="Arial" w:cs="Arial"/>
          <w:caps/>
          <w:szCs w:val="24"/>
          <w:u w:val="none"/>
        </w:rPr>
      </w:pPr>
      <w:bookmarkStart w:id="0" w:name="_Toc146808591"/>
      <w:bookmarkStart w:id="1" w:name="_Toc426711259"/>
      <w:bookmarkStart w:id="2" w:name="_Toc429052822"/>
      <w:r w:rsidRPr="00651CC0">
        <w:rPr>
          <w:rFonts w:ascii="Arial" w:hAnsi="Arial" w:cs="Arial"/>
          <w:caps/>
          <w:szCs w:val="24"/>
          <w:u w:val="none"/>
        </w:rPr>
        <w:lastRenderedPageBreak/>
        <w:t>Justice (Age of Criminal responsibility) Legislation Amendment Bill 2023</w:t>
      </w:r>
      <w:bookmarkEnd w:id="0"/>
    </w:p>
    <w:p w14:paraId="0ED15073" w14:textId="57A796AD" w:rsidR="001C2705" w:rsidRPr="00651CC0" w:rsidRDefault="001C2705" w:rsidP="00651CC0">
      <w:pPr>
        <w:pStyle w:val="Heading2"/>
        <w:spacing w:after="120"/>
        <w:jc w:val="center"/>
        <w:rPr>
          <w:rFonts w:ascii="Arial" w:hAnsi="Arial" w:cs="Arial"/>
          <w:szCs w:val="24"/>
          <w:u w:val="none"/>
        </w:rPr>
      </w:pPr>
      <w:bookmarkStart w:id="3" w:name="_Toc146808592"/>
      <w:r w:rsidRPr="00651CC0">
        <w:rPr>
          <w:rFonts w:ascii="Arial" w:hAnsi="Arial" w:cs="Arial"/>
          <w:szCs w:val="24"/>
          <w:u w:val="none"/>
        </w:rPr>
        <w:t>Government Amendments</w:t>
      </w:r>
      <w:bookmarkEnd w:id="3"/>
    </w:p>
    <w:p w14:paraId="6DC40F1C" w14:textId="58E0B5C9" w:rsidR="001C2705" w:rsidRDefault="001C2705" w:rsidP="00651CC0">
      <w:pPr>
        <w:pStyle w:val="Heading2"/>
        <w:spacing w:after="120"/>
        <w:rPr>
          <w:rFonts w:ascii="Arial" w:hAnsi="Arial" w:cs="Arial"/>
          <w:szCs w:val="24"/>
          <w:u w:val="none"/>
        </w:rPr>
      </w:pPr>
      <w:bookmarkStart w:id="4" w:name="_Toc146808593"/>
      <w:r w:rsidRPr="00651CC0">
        <w:rPr>
          <w:rFonts w:ascii="Arial" w:hAnsi="Arial" w:cs="Arial"/>
          <w:szCs w:val="24"/>
          <w:u w:val="none"/>
        </w:rPr>
        <w:t>Outline of Government Amendments</w:t>
      </w:r>
      <w:bookmarkEnd w:id="4"/>
    </w:p>
    <w:p w14:paraId="3FAAD030" w14:textId="689C8496" w:rsidR="00651CC0" w:rsidRDefault="00822EB4" w:rsidP="00651CC0">
      <w:pPr>
        <w:rPr>
          <w:rFonts w:ascii="Arial" w:hAnsi="Arial" w:cs="Arial"/>
        </w:rPr>
      </w:pPr>
      <w:r w:rsidRPr="00822EB4">
        <w:rPr>
          <w:rFonts w:ascii="Arial" w:hAnsi="Arial" w:cs="Arial"/>
        </w:rPr>
        <w:t xml:space="preserve">On 9 May </w:t>
      </w:r>
      <w:r>
        <w:rPr>
          <w:rFonts w:ascii="Arial" w:hAnsi="Arial" w:cs="Arial"/>
        </w:rPr>
        <w:t>2023, the Justice (Age of Criminal Responsibility) Legislation Amendment Bill 202</w:t>
      </w:r>
      <w:r w:rsidR="00E421B6">
        <w:rPr>
          <w:rFonts w:ascii="Arial" w:hAnsi="Arial" w:cs="Arial"/>
        </w:rPr>
        <w:t>3</w:t>
      </w:r>
      <w:r>
        <w:rPr>
          <w:rFonts w:ascii="Arial" w:hAnsi="Arial" w:cs="Arial"/>
        </w:rPr>
        <w:t xml:space="preserve"> (the Bill) was introduced to the Legislative Assembly. The </w:t>
      </w:r>
      <w:r w:rsidR="00F764CA">
        <w:rPr>
          <w:rFonts w:ascii="Arial" w:hAnsi="Arial" w:cs="Arial"/>
        </w:rPr>
        <w:t>policy objective of the Bill is to raise the minimum age of criminal responsibility (MACR) in the ACT from 10 to 14 years, to ensure that children under the age of 14 years, except for those aged 12 and 13 years who commit certain exceptionally serious and intentionally violent offences, cannot be held criminally responsible.</w:t>
      </w:r>
    </w:p>
    <w:p w14:paraId="0484F73F" w14:textId="458BF099" w:rsidR="00822EB4" w:rsidRDefault="00822EB4" w:rsidP="00651CC0">
      <w:pPr>
        <w:rPr>
          <w:rFonts w:ascii="Arial" w:hAnsi="Arial" w:cs="Arial"/>
        </w:rPr>
      </w:pPr>
      <w:r>
        <w:rPr>
          <w:rFonts w:ascii="Arial" w:hAnsi="Arial" w:cs="Arial"/>
        </w:rPr>
        <w:t>The explanatory statement accompanying the Bill provides a detailed account of the provisions contained in the Bill.</w:t>
      </w:r>
    </w:p>
    <w:p w14:paraId="3CFF342A" w14:textId="4A9D82F6" w:rsidR="0056220B" w:rsidRDefault="00822EB4" w:rsidP="00050F68">
      <w:pPr>
        <w:rPr>
          <w:rFonts w:ascii="Arial" w:hAnsi="Arial" w:cs="Arial"/>
        </w:rPr>
      </w:pPr>
      <w:r>
        <w:rPr>
          <w:rFonts w:ascii="Arial" w:hAnsi="Arial" w:cs="Arial"/>
        </w:rPr>
        <w:t xml:space="preserve">The Government amendments make changes to the Bill </w:t>
      </w:r>
      <w:r w:rsidR="00F764CA">
        <w:rPr>
          <w:rFonts w:ascii="Arial" w:hAnsi="Arial" w:cs="Arial"/>
        </w:rPr>
        <w:t>in response to recommendations of th</w:t>
      </w:r>
      <w:r w:rsidR="00F536EF">
        <w:rPr>
          <w:rFonts w:ascii="Arial" w:hAnsi="Arial" w:cs="Arial"/>
        </w:rPr>
        <w:t xml:space="preserve">e Inquiry into the Bill by the Standing Committee on Justice and Community Safety in </w:t>
      </w:r>
      <w:r w:rsidR="00F536EF">
        <w:rPr>
          <w:rFonts w:ascii="Arial" w:hAnsi="Arial" w:cs="Arial"/>
          <w:i/>
          <w:iCs/>
        </w:rPr>
        <w:t>Report No. 18 Inquiry into Justice (Age of Criminal Responsibility) Legislation Amendment Bill 2023</w:t>
      </w:r>
      <w:r w:rsidR="00E421B6">
        <w:rPr>
          <w:rFonts w:ascii="Arial" w:hAnsi="Arial" w:cs="Arial"/>
        </w:rPr>
        <w:t>,</w:t>
      </w:r>
      <w:r w:rsidR="00F764CA">
        <w:rPr>
          <w:rFonts w:ascii="Arial" w:hAnsi="Arial" w:cs="Arial"/>
          <w:i/>
          <w:iCs/>
        </w:rPr>
        <w:t xml:space="preserve"> </w:t>
      </w:r>
      <w:r>
        <w:rPr>
          <w:rFonts w:ascii="Arial" w:hAnsi="Arial" w:cs="Arial"/>
        </w:rPr>
        <w:t xml:space="preserve">and </w:t>
      </w:r>
      <w:r w:rsidR="00E421B6">
        <w:rPr>
          <w:rFonts w:ascii="Arial" w:hAnsi="Arial" w:cs="Arial"/>
        </w:rPr>
        <w:t xml:space="preserve">as identified by the Justice and Community Safety Directorate (JACS) and Community Services Directorate (CSD). </w:t>
      </w:r>
      <w:r>
        <w:rPr>
          <w:rFonts w:ascii="Arial" w:hAnsi="Arial" w:cs="Arial"/>
        </w:rPr>
        <w:t>These Government amendments are necessary to ensure the Bill achieves its intended objectives and that any limitations on human rights are proportionate and justified.</w:t>
      </w:r>
      <w:bookmarkEnd w:id="1"/>
      <w:bookmarkEnd w:id="2"/>
    </w:p>
    <w:p w14:paraId="3A664AC1" w14:textId="77777777" w:rsidR="00A72422" w:rsidRPr="00A72422" w:rsidRDefault="00A72422" w:rsidP="00A72422">
      <w:pPr>
        <w:rPr>
          <w:rFonts w:ascii="Arial" w:hAnsi="Arial" w:cs="Arial"/>
          <w:b/>
          <w:bCs/>
          <w:szCs w:val="24"/>
        </w:rPr>
      </w:pPr>
      <w:r w:rsidRPr="00A72422">
        <w:rPr>
          <w:rFonts w:ascii="Arial" w:hAnsi="Arial" w:cs="Arial"/>
          <w:b/>
          <w:bCs/>
          <w:szCs w:val="24"/>
        </w:rPr>
        <w:t xml:space="preserve">Consistency with Human Rights </w:t>
      </w:r>
    </w:p>
    <w:p w14:paraId="7CF76C1F" w14:textId="77777777" w:rsidR="00C71929" w:rsidRPr="00674F8C" w:rsidRDefault="00C71929" w:rsidP="00C71929">
      <w:pPr>
        <w:autoSpaceDE w:val="0"/>
        <w:autoSpaceDN w:val="0"/>
        <w:adjustRightInd w:val="0"/>
        <w:spacing w:before="240" w:after="120"/>
        <w:rPr>
          <w:rFonts w:ascii="Arial" w:hAnsi="Arial" w:cs="Arial"/>
          <w:b/>
          <w:bCs/>
          <w:szCs w:val="24"/>
        </w:rPr>
      </w:pPr>
      <w:r w:rsidRPr="00674F8C">
        <w:rPr>
          <w:rFonts w:ascii="Arial" w:hAnsi="Arial" w:cs="Arial"/>
          <w:b/>
          <w:bCs/>
          <w:szCs w:val="24"/>
        </w:rPr>
        <w:t>Rights Promoted</w:t>
      </w:r>
      <w:r w:rsidRPr="00674F8C">
        <w:rPr>
          <w:rFonts w:ascii="Arial" w:hAnsi="Arial" w:cs="Arial"/>
          <w:b/>
          <w:bCs/>
          <w:szCs w:val="24"/>
        </w:rPr>
        <w:tab/>
      </w:r>
    </w:p>
    <w:p w14:paraId="014E9C1E" w14:textId="6F85D4FC" w:rsidR="00A72422" w:rsidRPr="00A72422" w:rsidRDefault="00A72422" w:rsidP="00A72422">
      <w:pPr>
        <w:rPr>
          <w:rFonts w:ascii="Arial" w:hAnsi="Arial" w:cs="Arial"/>
        </w:rPr>
      </w:pPr>
      <w:r w:rsidRPr="00A72422">
        <w:rPr>
          <w:rFonts w:ascii="Arial" w:hAnsi="Arial" w:cs="Arial"/>
        </w:rPr>
        <w:t xml:space="preserve">The Government amendments engage and </w:t>
      </w:r>
      <w:r w:rsidR="00C71929">
        <w:rPr>
          <w:rFonts w:ascii="Arial" w:hAnsi="Arial" w:cs="Arial"/>
        </w:rPr>
        <w:t xml:space="preserve">may </w:t>
      </w:r>
      <w:r w:rsidRPr="00A72422">
        <w:rPr>
          <w:rFonts w:ascii="Arial" w:hAnsi="Arial" w:cs="Arial"/>
        </w:rPr>
        <w:t xml:space="preserve">promote the following rights in the </w:t>
      </w:r>
      <w:r w:rsidRPr="00A72422">
        <w:rPr>
          <w:rFonts w:ascii="Arial" w:hAnsi="Arial" w:cs="Arial"/>
          <w:i/>
          <w:iCs/>
        </w:rPr>
        <w:t>Human Rights Act 2004</w:t>
      </w:r>
      <w:r w:rsidRPr="00A72422">
        <w:rPr>
          <w:rFonts w:ascii="Arial" w:hAnsi="Arial" w:cs="Arial"/>
        </w:rPr>
        <w:t xml:space="preserve"> (HRA): </w:t>
      </w:r>
    </w:p>
    <w:p w14:paraId="3FC7E1BF" w14:textId="77777777" w:rsidR="00A72422" w:rsidRPr="00BF2C3C" w:rsidRDefault="00A72422" w:rsidP="00A72422">
      <w:pPr>
        <w:pStyle w:val="ListParagraph"/>
        <w:numPr>
          <w:ilvl w:val="0"/>
          <w:numId w:val="36"/>
        </w:numPr>
        <w:spacing w:after="160" w:line="259" w:lineRule="auto"/>
        <w:contextualSpacing/>
        <w:rPr>
          <w:rFonts w:ascii="Arial" w:hAnsi="Arial" w:cs="Arial"/>
          <w:sz w:val="24"/>
          <w:szCs w:val="24"/>
        </w:rPr>
      </w:pPr>
      <w:r w:rsidRPr="00BF2C3C">
        <w:rPr>
          <w:rFonts w:ascii="Arial" w:hAnsi="Arial" w:cs="Arial"/>
          <w:sz w:val="24"/>
          <w:szCs w:val="24"/>
        </w:rPr>
        <w:t xml:space="preserve">Section 8(3) – recognition and equality before the law </w:t>
      </w:r>
    </w:p>
    <w:p w14:paraId="722C34BA" w14:textId="77777777" w:rsidR="00A72422" w:rsidRDefault="00A72422" w:rsidP="00A72422">
      <w:pPr>
        <w:pStyle w:val="ListParagraph"/>
        <w:numPr>
          <w:ilvl w:val="0"/>
          <w:numId w:val="36"/>
        </w:numPr>
        <w:spacing w:after="160" w:line="259" w:lineRule="auto"/>
        <w:contextualSpacing/>
        <w:rPr>
          <w:rFonts w:ascii="Arial" w:hAnsi="Arial" w:cs="Arial"/>
          <w:sz w:val="24"/>
          <w:szCs w:val="24"/>
        </w:rPr>
      </w:pPr>
      <w:r w:rsidRPr="00BF2C3C">
        <w:rPr>
          <w:rFonts w:ascii="Arial" w:hAnsi="Arial" w:cs="Arial"/>
          <w:sz w:val="24"/>
          <w:szCs w:val="24"/>
        </w:rPr>
        <w:t xml:space="preserve">Section 9 – right to life </w:t>
      </w:r>
    </w:p>
    <w:p w14:paraId="36CD2B4E" w14:textId="71B24720" w:rsidR="00C71929" w:rsidRPr="00BF2C3C" w:rsidRDefault="00C71929" w:rsidP="00A72422">
      <w:pPr>
        <w:pStyle w:val="ListParagraph"/>
        <w:numPr>
          <w:ilvl w:val="0"/>
          <w:numId w:val="36"/>
        </w:numPr>
        <w:spacing w:after="160" w:line="259" w:lineRule="auto"/>
        <w:contextualSpacing/>
        <w:rPr>
          <w:rFonts w:ascii="Arial" w:hAnsi="Arial" w:cs="Arial"/>
          <w:sz w:val="24"/>
          <w:szCs w:val="24"/>
        </w:rPr>
      </w:pPr>
      <w:r>
        <w:rPr>
          <w:rFonts w:ascii="Arial" w:hAnsi="Arial" w:cs="Arial"/>
          <w:sz w:val="24"/>
          <w:szCs w:val="24"/>
        </w:rPr>
        <w:t>Section 11 – protection of the family and children</w:t>
      </w:r>
    </w:p>
    <w:p w14:paraId="682C5DF5" w14:textId="01DAA1AC" w:rsidR="00C71929" w:rsidRPr="00BF2C3C" w:rsidRDefault="00C71929" w:rsidP="00A72422">
      <w:pPr>
        <w:pStyle w:val="ListParagraph"/>
        <w:numPr>
          <w:ilvl w:val="0"/>
          <w:numId w:val="36"/>
        </w:numPr>
        <w:spacing w:after="160" w:line="259" w:lineRule="auto"/>
        <w:contextualSpacing/>
        <w:rPr>
          <w:rFonts w:ascii="Arial" w:hAnsi="Arial" w:cs="Arial"/>
          <w:sz w:val="24"/>
          <w:szCs w:val="24"/>
        </w:rPr>
      </w:pPr>
      <w:r>
        <w:rPr>
          <w:rFonts w:ascii="Arial" w:hAnsi="Arial" w:cs="Arial"/>
          <w:sz w:val="24"/>
          <w:szCs w:val="24"/>
        </w:rPr>
        <w:t>Section 12 – privacy and reputation</w:t>
      </w:r>
    </w:p>
    <w:p w14:paraId="1A1178E4" w14:textId="29F4D510" w:rsidR="00A72422" w:rsidRPr="00BF2C3C" w:rsidRDefault="00A72422" w:rsidP="00A72422">
      <w:pPr>
        <w:pStyle w:val="ListParagraph"/>
        <w:numPr>
          <w:ilvl w:val="0"/>
          <w:numId w:val="36"/>
        </w:numPr>
        <w:spacing w:after="160" w:line="259" w:lineRule="auto"/>
        <w:contextualSpacing/>
        <w:rPr>
          <w:rFonts w:ascii="Arial" w:hAnsi="Arial" w:cs="Arial"/>
          <w:sz w:val="24"/>
          <w:szCs w:val="24"/>
        </w:rPr>
      </w:pPr>
      <w:r w:rsidRPr="00BF2C3C">
        <w:rPr>
          <w:rFonts w:ascii="Arial" w:hAnsi="Arial" w:cs="Arial"/>
          <w:sz w:val="24"/>
          <w:szCs w:val="24"/>
        </w:rPr>
        <w:t xml:space="preserve">Section 19(1) – </w:t>
      </w:r>
      <w:r w:rsidR="00C71929">
        <w:rPr>
          <w:rFonts w:ascii="Arial" w:hAnsi="Arial" w:cs="Arial"/>
          <w:sz w:val="24"/>
          <w:szCs w:val="24"/>
        </w:rPr>
        <w:t>humane treatment when deprived of liberty</w:t>
      </w:r>
      <w:r w:rsidRPr="00BF2C3C">
        <w:rPr>
          <w:rFonts w:ascii="Arial" w:hAnsi="Arial" w:cs="Arial"/>
          <w:sz w:val="24"/>
          <w:szCs w:val="24"/>
        </w:rPr>
        <w:t xml:space="preserve"> </w:t>
      </w:r>
    </w:p>
    <w:p w14:paraId="2B577FD2" w14:textId="77777777" w:rsidR="00A72422" w:rsidRPr="00BF2C3C" w:rsidRDefault="00A72422" w:rsidP="00A72422">
      <w:pPr>
        <w:pStyle w:val="ListParagraph"/>
        <w:numPr>
          <w:ilvl w:val="0"/>
          <w:numId w:val="36"/>
        </w:numPr>
        <w:spacing w:after="160" w:line="259" w:lineRule="auto"/>
        <w:contextualSpacing/>
        <w:rPr>
          <w:rFonts w:ascii="Arial" w:hAnsi="Arial" w:cs="Arial"/>
          <w:sz w:val="24"/>
          <w:szCs w:val="24"/>
        </w:rPr>
      </w:pPr>
      <w:r w:rsidRPr="00BF2C3C">
        <w:rPr>
          <w:rFonts w:ascii="Arial" w:hAnsi="Arial" w:cs="Arial"/>
          <w:sz w:val="24"/>
          <w:szCs w:val="24"/>
        </w:rPr>
        <w:t xml:space="preserve">Section 27(1) – cultural and other rights of Aboriginal and Torres Strait Islander peoples and other minorities. </w:t>
      </w:r>
    </w:p>
    <w:p w14:paraId="4B0B982F" w14:textId="24F9C064" w:rsidR="00F76588" w:rsidRDefault="00A72422" w:rsidP="00F76588">
      <w:pPr>
        <w:rPr>
          <w:rFonts w:ascii="Arial" w:hAnsi="Arial" w:cs="Arial"/>
        </w:rPr>
      </w:pPr>
      <w:r w:rsidRPr="00A72422">
        <w:rPr>
          <w:rFonts w:ascii="Arial" w:hAnsi="Arial" w:cs="Arial"/>
        </w:rPr>
        <w:t>Section 8(3) of the HRA states ‘[e]veryone is…entitled to the equal protection of the law without discrimination’. Discrimination includes differential treatment based on place of residence.</w:t>
      </w:r>
      <w:r w:rsidRPr="00A72422">
        <w:rPr>
          <w:rStyle w:val="FootnoteReference"/>
          <w:rFonts w:ascii="Arial" w:hAnsi="Arial" w:cs="Arial"/>
        </w:rPr>
        <w:footnoteReference w:id="1"/>
      </w:r>
      <w:r w:rsidRPr="00A72422">
        <w:rPr>
          <w:rFonts w:ascii="Arial" w:hAnsi="Arial" w:cs="Arial"/>
        </w:rPr>
        <w:t xml:space="preserve"> The Government amendments clarify that the ACT will not make </w:t>
      </w:r>
      <w:r w:rsidRPr="00A72422">
        <w:rPr>
          <w:rFonts w:ascii="Arial" w:hAnsi="Arial" w:cs="Arial"/>
        </w:rPr>
        <w:lastRenderedPageBreak/>
        <w:t xml:space="preserve">transfer arrangements with other jurisdictions for individuals who are subject to orders in relation to an offence they committed in another jurisdiction when under the MACR. </w:t>
      </w:r>
      <w:r w:rsidR="00F76588">
        <w:rPr>
          <w:rFonts w:ascii="Arial" w:hAnsi="Arial" w:cs="Arial"/>
        </w:rPr>
        <w:t xml:space="preserve">Where an individual subject to such an order in another jurisdiction seeks to move to the ACT, there are two possible outcomes: </w:t>
      </w:r>
    </w:p>
    <w:p w14:paraId="16DA1F77" w14:textId="74E6E344" w:rsidR="00F76588" w:rsidRPr="00BF2C3C" w:rsidRDefault="00F76588" w:rsidP="00F76588">
      <w:pPr>
        <w:pStyle w:val="ListParagraph"/>
        <w:numPr>
          <w:ilvl w:val="0"/>
          <w:numId w:val="44"/>
        </w:numPr>
        <w:rPr>
          <w:rFonts w:ascii="Arial" w:hAnsi="Arial" w:cs="Arial"/>
          <w:sz w:val="24"/>
          <w:szCs w:val="24"/>
        </w:rPr>
      </w:pPr>
      <w:r w:rsidRPr="00BF2C3C">
        <w:rPr>
          <w:rFonts w:ascii="Arial" w:hAnsi="Arial" w:cs="Arial"/>
          <w:sz w:val="24"/>
          <w:szCs w:val="24"/>
        </w:rPr>
        <w:t>The original jurisdiction agrees to the move and continues to provide the individual with supervision (e.g. via phone or personal visits)</w:t>
      </w:r>
      <w:r>
        <w:rPr>
          <w:rFonts w:ascii="Arial" w:hAnsi="Arial" w:cs="Arial"/>
          <w:sz w:val="24"/>
          <w:szCs w:val="24"/>
        </w:rPr>
        <w:t>.</w:t>
      </w:r>
    </w:p>
    <w:p w14:paraId="48F5CA48" w14:textId="77777777" w:rsidR="00F76588" w:rsidRPr="00BF2C3C" w:rsidRDefault="00F76588" w:rsidP="00F76588">
      <w:pPr>
        <w:pStyle w:val="ListParagraph"/>
        <w:numPr>
          <w:ilvl w:val="0"/>
          <w:numId w:val="44"/>
        </w:numPr>
        <w:rPr>
          <w:rFonts w:ascii="Arial" w:hAnsi="Arial" w:cs="Arial"/>
          <w:sz w:val="24"/>
          <w:szCs w:val="24"/>
        </w:rPr>
      </w:pPr>
      <w:r w:rsidRPr="00BF2C3C">
        <w:rPr>
          <w:rFonts w:ascii="Arial" w:hAnsi="Arial" w:cs="Arial"/>
          <w:sz w:val="24"/>
          <w:szCs w:val="24"/>
        </w:rPr>
        <w:t xml:space="preserve">The original jurisdiction does not agree to the move and the person is prevented from moving to the ACT. </w:t>
      </w:r>
    </w:p>
    <w:p w14:paraId="185E12E3" w14:textId="77777777" w:rsidR="00F76588" w:rsidRPr="00A72422" w:rsidRDefault="00F76588" w:rsidP="00F76588">
      <w:pPr>
        <w:rPr>
          <w:rFonts w:ascii="Arial" w:hAnsi="Arial" w:cs="Arial"/>
        </w:rPr>
      </w:pPr>
      <w:r>
        <w:rPr>
          <w:rFonts w:ascii="Arial" w:hAnsi="Arial" w:cs="Arial"/>
        </w:rPr>
        <w:t>This decision is a matter for the original jurisdiction, not the ACT. Further, if a person under the MACR in this situation does move to the ACT and then engages in harmful behaviour, they will be supported through the MACR service response, not the ACT youth justice system. This will ensure there is no gap in service provision and</w:t>
      </w:r>
      <w:r w:rsidRPr="00A72422">
        <w:rPr>
          <w:rFonts w:ascii="Arial" w:hAnsi="Arial" w:cs="Arial"/>
        </w:rPr>
        <w:t xml:space="preserve"> young people who enter the ACT </w:t>
      </w:r>
      <w:r>
        <w:rPr>
          <w:rFonts w:ascii="Arial" w:hAnsi="Arial" w:cs="Arial"/>
        </w:rPr>
        <w:t>are</w:t>
      </w:r>
      <w:r w:rsidRPr="00A72422">
        <w:rPr>
          <w:rFonts w:ascii="Arial" w:hAnsi="Arial" w:cs="Arial"/>
        </w:rPr>
        <w:t xml:space="preserve"> treated equally with those who are residents. </w:t>
      </w:r>
    </w:p>
    <w:p w14:paraId="6EF88E3A" w14:textId="7CC06179" w:rsidR="00A72422" w:rsidRDefault="00A72422" w:rsidP="00A72422">
      <w:pPr>
        <w:rPr>
          <w:rFonts w:ascii="Arial" w:hAnsi="Arial" w:cs="Arial"/>
        </w:rPr>
      </w:pPr>
      <w:r w:rsidRPr="00A72422">
        <w:rPr>
          <w:rFonts w:ascii="Arial" w:hAnsi="Arial" w:cs="Arial"/>
        </w:rPr>
        <w:t xml:space="preserve"> Section 9 of the HRA protects the right to life. This right includes a duty on the State to provide medical care and regularly monitor the health of individuals deprived of liberty.</w:t>
      </w:r>
      <w:r w:rsidRPr="00A72422">
        <w:rPr>
          <w:rStyle w:val="FootnoteReference"/>
          <w:rFonts w:ascii="Arial" w:hAnsi="Arial" w:cs="Arial"/>
        </w:rPr>
        <w:footnoteReference w:id="2"/>
      </w:r>
      <w:r w:rsidRPr="00A72422">
        <w:rPr>
          <w:rFonts w:ascii="Arial" w:hAnsi="Arial" w:cs="Arial"/>
        </w:rPr>
        <w:t xml:space="preserve"> The Government amendments ensure a child or young person’s health professional can visit them in an intensive therapy place. The amendments also ensure the Senior Practitioner can enter an intensive therapy place to oversee and monitor any use of restrictive practices. </w:t>
      </w:r>
      <w:r w:rsidR="00F76588">
        <w:rPr>
          <w:rFonts w:ascii="Arial" w:hAnsi="Arial" w:cs="Arial"/>
        </w:rPr>
        <w:t xml:space="preserve">This is relevant where an intensive therapy place is also a provider, within the meaning of section 8(1) of the </w:t>
      </w:r>
      <w:r w:rsidR="00F76588" w:rsidRPr="009E1D22">
        <w:rPr>
          <w:rFonts w:ascii="Arial" w:hAnsi="Arial" w:cs="Arial"/>
          <w:i/>
          <w:iCs/>
        </w:rPr>
        <w:t>Senior Practitioner Act 2018</w:t>
      </w:r>
      <w:r w:rsidR="00F76588">
        <w:rPr>
          <w:rFonts w:ascii="Arial" w:hAnsi="Arial" w:cs="Arial"/>
          <w:i/>
          <w:iCs/>
        </w:rPr>
        <w:t>,</w:t>
      </w:r>
      <w:r w:rsidR="00F76588">
        <w:rPr>
          <w:rFonts w:ascii="Arial" w:hAnsi="Arial" w:cs="Arial"/>
        </w:rPr>
        <w:t xml:space="preserve"> which is authorised to use restrictive practices. </w:t>
      </w:r>
      <w:r w:rsidRPr="00A72422">
        <w:rPr>
          <w:rFonts w:ascii="Arial" w:hAnsi="Arial" w:cs="Arial"/>
        </w:rPr>
        <w:t xml:space="preserve">These amendments will help support the health and wellbeing of children and young people who are deprived of their liberty for the purpose of intensive therapy. </w:t>
      </w:r>
    </w:p>
    <w:p w14:paraId="55B5239B" w14:textId="54D25593" w:rsidR="00015A60" w:rsidRDefault="004B41EF" w:rsidP="00A72422">
      <w:pPr>
        <w:rPr>
          <w:rFonts w:ascii="Arial" w:hAnsi="Arial" w:cs="Arial"/>
        </w:rPr>
      </w:pPr>
      <w:r>
        <w:rPr>
          <w:rFonts w:ascii="Arial" w:hAnsi="Arial" w:cs="Arial"/>
        </w:rPr>
        <w:t>Section 11</w:t>
      </w:r>
      <w:r w:rsidR="00F23427">
        <w:rPr>
          <w:rFonts w:ascii="Arial" w:hAnsi="Arial" w:cs="Arial"/>
        </w:rPr>
        <w:t xml:space="preserve"> </w:t>
      </w:r>
      <w:r>
        <w:rPr>
          <w:rFonts w:ascii="Arial" w:hAnsi="Arial" w:cs="Arial"/>
        </w:rPr>
        <w:t>of the HRA states that</w:t>
      </w:r>
      <w:r w:rsidR="00015A60">
        <w:rPr>
          <w:rFonts w:ascii="Arial" w:hAnsi="Arial" w:cs="Arial"/>
        </w:rPr>
        <w:t>:</w:t>
      </w:r>
    </w:p>
    <w:p w14:paraId="5EFCEFE6" w14:textId="77777777" w:rsidR="00015A60" w:rsidRDefault="00015A60" w:rsidP="00BF2C3C">
      <w:pPr>
        <w:pStyle w:val="ListParagraph"/>
        <w:numPr>
          <w:ilvl w:val="0"/>
          <w:numId w:val="41"/>
        </w:numPr>
        <w:ind w:left="993"/>
        <w:rPr>
          <w:rFonts w:ascii="Arial" w:hAnsi="Arial" w:cs="Arial"/>
          <w:sz w:val="24"/>
          <w:szCs w:val="24"/>
        </w:rPr>
      </w:pPr>
      <w:r w:rsidRPr="00BF2C3C">
        <w:rPr>
          <w:rFonts w:ascii="Arial" w:hAnsi="Arial" w:cs="Arial"/>
          <w:sz w:val="24"/>
          <w:szCs w:val="24"/>
        </w:rPr>
        <w:t>T</w:t>
      </w:r>
      <w:r w:rsidR="004B41EF" w:rsidRPr="00BF2C3C">
        <w:rPr>
          <w:rFonts w:ascii="Arial" w:hAnsi="Arial" w:cs="Arial"/>
          <w:sz w:val="24"/>
          <w:szCs w:val="24"/>
        </w:rPr>
        <w:t>he family is the natural and basic group unit of society and is entitled to be protected by society</w:t>
      </w:r>
      <w:r w:rsidRPr="00BF2C3C">
        <w:rPr>
          <w:rFonts w:ascii="Arial" w:hAnsi="Arial" w:cs="Arial"/>
          <w:sz w:val="24"/>
          <w:szCs w:val="24"/>
        </w:rPr>
        <w:t xml:space="preserve">. </w:t>
      </w:r>
    </w:p>
    <w:p w14:paraId="68B3EB74" w14:textId="77777777" w:rsidR="00015A60" w:rsidRPr="00BF2C3C" w:rsidRDefault="00015A60" w:rsidP="00BF2C3C">
      <w:pPr>
        <w:pStyle w:val="ListParagraph"/>
        <w:numPr>
          <w:ilvl w:val="0"/>
          <w:numId w:val="41"/>
        </w:numPr>
        <w:ind w:left="993"/>
        <w:rPr>
          <w:rFonts w:ascii="Arial" w:hAnsi="Arial" w:cs="Arial"/>
          <w:sz w:val="24"/>
          <w:szCs w:val="24"/>
        </w:rPr>
      </w:pPr>
      <w:r w:rsidRPr="00BF2C3C">
        <w:rPr>
          <w:rFonts w:ascii="Arial" w:hAnsi="Arial" w:cs="Arial"/>
          <w:sz w:val="24"/>
          <w:szCs w:val="24"/>
        </w:rPr>
        <w:t>Every child has the right to the protection needed by the child because of being a child.</w:t>
      </w:r>
    </w:p>
    <w:p w14:paraId="6F566A74" w14:textId="77777777" w:rsidR="002A0674" w:rsidRDefault="00015A60" w:rsidP="00015A60">
      <w:pPr>
        <w:rPr>
          <w:rFonts w:ascii="Arial" w:hAnsi="Arial" w:cs="Arial"/>
        </w:rPr>
      </w:pPr>
      <w:r w:rsidRPr="00BF2C3C">
        <w:rPr>
          <w:rFonts w:ascii="Arial" w:hAnsi="Arial" w:cs="Arial"/>
        </w:rPr>
        <w:t xml:space="preserve">The Government amendments promote this right as they support a reform that raises the MACR to prevent children from engaging with the criminal justice system. This recognises the significant developmental differences between children or young people and adults and ensures that when children and young people engage in harmful behaviour, it is addressed by a system that better responds to their stage of development and needs. </w:t>
      </w:r>
    </w:p>
    <w:p w14:paraId="32210251" w14:textId="77777777" w:rsidR="002A0674" w:rsidRDefault="00015A60" w:rsidP="00015A60">
      <w:pPr>
        <w:rPr>
          <w:rFonts w:ascii="Arial" w:hAnsi="Arial" w:cs="Arial"/>
          <w:szCs w:val="24"/>
        </w:rPr>
      </w:pPr>
      <w:r w:rsidRPr="00BF2C3C">
        <w:rPr>
          <w:rFonts w:ascii="Arial" w:hAnsi="Arial" w:cs="Arial"/>
          <w:szCs w:val="24"/>
        </w:rPr>
        <w:t>Specifically, th</w:t>
      </w:r>
      <w:r w:rsidR="002A0674" w:rsidRPr="002A0674">
        <w:rPr>
          <w:rFonts w:ascii="Arial" w:hAnsi="Arial" w:cs="Arial"/>
          <w:szCs w:val="24"/>
        </w:rPr>
        <w:t>is right will be promoted by:</w:t>
      </w:r>
    </w:p>
    <w:p w14:paraId="6CC871AA" w14:textId="51CEF9AA" w:rsidR="00F76588" w:rsidRDefault="00F76588" w:rsidP="00F76588">
      <w:pPr>
        <w:pStyle w:val="ListParagraph"/>
        <w:numPr>
          <w:ilvl w:val="0"/>
          <w:numId w:val="43"/>
        </w:numPr>
        <w:rPr>
          <w:rFonts w:ascii="Arial" w:hAnsi="Arial" w:cs="Arial"/>
          <w:sz w:val="24"/>
          <w:szCs w:val="24"/>
        </w:rPr>
      </w:pPr>
      <w:r>
        <w:rPr>
          <w:rFonts w:ascii="Arial" w:hAnsi="Arial" w:cs="Arial"/>
          <w:sz w:val="24"/>
          <w:szCs w:val="24"/>
        </w:rPr>
        <w:lastRenderedPageBreak/>
        <w:t xml:space="preserve">amendments to expand the grounds for a referral to the Therapeutic Support Panel to cover circumstances where a child or young person is at risk of engaging in, or has engaged in, serious damage to property or the environment, cruelty to an animal, or any other serious or destructive behaviour; </w:t>
      </w:r>
    </w:p>
    <w:p w14:paraId="2B9A6ABC" w14:textId="46F855F6" w:rsidR="002A0674" w:rsidRPr="00BF2C3C" w:rsidRDefault="00015A60" w:rsidP="00FD5AD7">
      <w:pPr>
        <w:pStyle w:val="ListParagraph"/>
        <w:numPr>
          <w:ilvl w:val="0"/>
          <w:numId w:val="43"/>
        </w:numPr>
        <w:rPr>
          <w:rFonts w:ascii="Arial" w:hAnsi="Arial" w:cs="Arial"/>
          <w:sz w:val="24"/>
          <w:szCs w:val="24"/>
        </w:rPr>
      </w:pPr>
      <w:r w:rsidRPr="00BF2C3C">
        <w:rPr>
          <w:rFonts w:ascii="Arial" w:hAnsi="Arial" w:cs="Arial"/>
          <w:sz w:val="24"/>
          <w:szCs w:val="24"/>
        </w:rPr>
        <w:t xml:space="preserve">amendments </w:t>
      </w:r>
      <w:r w:rsidR="002A0674" w:rsidRPr="00BF2C3C">
        <w:rPr>
          <w:rFonts w:ascii="Arial" w:hAnsi="Arial" w:cs="Arial"/>
          <w:sz w:val="24"/>
          <w:szCs w:val="24"/>
        </w:rPr>
        <w:t xml:space="preserve">to the offence of incitement, by ensuring that a person who incites a child under the </w:t>
      </w:r>
      <w:r w:rsidR="00E35F72">
        <w:rPr>
          <w:rFonts w:ascii="Arial" w:hAnsi="Arial" w:cs="Arial"/>
          <w:sz w:val="24"/>
          <w:szCs w:val="24"/>
        </w:rPr>
        <w:t>MACR</w:t>
      </w:r>
      <w:r w:rsidR="002A0674" w:rsidRPr="00BF2C3C">
        <w:rPr>
          <w:rFonts w:ascii="Arial" w:hAnsi="Arial" w:cs="Arial"/>
          <w:sz w:val="24"/>
          <w:szCs w:val="24"/>
        </w:rPr>
        <w:t xml:space="preserve"> to commit an offence can still be found guilty of committing the offence of incitement, even when the child incited cannot be held criminally responsible for committing the offence because they are under the </w:t>
      </w:r>
      <w:r w:rsidR="00E35F72">
        <w:rPr>
          <w:rFonts w:ascii="Arial" w:hAnsi="Arial" w:cs="Arial"/>
          <w:sz w:val="24"/>
          <w:szCs w:val="24"/>
        </w:rPr>
        <w:t>MACR</w:t>
      </w:r>
      <w:r w:rsidR="00A93F01">
        <w:rPr>
          <w:rFonts w:ascii="Arial" w:hAnsi="Arial" w:cs="Arial"/>
          <w:sz w:val="24"/>
          <w:szCs w:val="24"/>
        </w:rPr>
        <w:t xml:space="preserve">. </w:t>
      </w:r>
      <w:r w:rsidR="00A93F01" w:rsidRPr="00BF2C3C">
        <w:rPr>
          <w:rFonts w:ascii="Arial" w:hAnsi="Arial" w:cs="Arial"/>
          <w:sz w:val="24"/>
          <w:szCs w:val="24"/>
        </w:rPr>
        <w:t>This amendment will provide</w:t>
      </w:r>
      <w:r w:rsidR="00A93F01" w:rsidRPr="00BF2C3C">
        <w:rPr>
          <w:rFonts w:ascii="Arial" w:hAnsi="Arial" w:cs="Arial"/>
          <w:szCs w:val="24"/>
        </w:rPr>
        <w:t xml:space="preserve"> </w:t>
      </w:r>
      <w:r w:rsidR="00A93F01" w:rsidRPr="00BF2C3C">
        <w:rPr>
          <w:rFonts w:ascii="Arial" w:hAnsi="Arial" w:cs="Arial"/>
          <w:sz w:val="24"/>
          <w:szCs w:val="24"/>
        </w:rPr>
        <w:t>a protective mechanism by providing an avenue for adults to be prosecuted of committing the offence of incitement involving children and young people under the MACR</w:t>
      </w:r>
      <w:r w:rsidR="00AD6D02" w:rsidRPr="00BF2C3C">
        <w:rPr>
          <w:rFonts w:ascii="Arial" w:hAnsi="Arial" w:cs="Arial"/>
          <w:szCs w:val="24"/>
        </w:rPr>
        <w:t xml:space="preserve">; </w:t>
      </w:r>
    </w:p>
    <w:p w14:paraId="7C0DFF80" w14:textId="1EBACBED" w:rsidR="00015A60" w:rsidRDefault="002A0674" w:rsidP="002A0674">
      <w:pPr>
        <w:pStyle w:val="ListParagraph"/>
        <w:numPr>
          <w:ilvl w:val="0"/>
          <w:numId w:val="43"/>
        </w:numPr>
        <w:rPr>
          <w:rFonts w:ascii="Arial" w:hAnsi="Arial" w:cs="Arial"/>
          <w:sz w:val="24"/>
          <w:szCs w:val="24"/>
        </w:rPr>
      </w:pPr>
      <w:r w:rsidRPr="00BF2C3C">
        <w:rPr>
          <w:rFonts w:ascii="Arial" w:hAnsi="Arial" w:cs="Arial"/>
          <w:sz w:val="24"/>
          <w:szCs w:val="24"/>
        </w:rPr>
        <w:t>amendment</w:t>
      </w:r>
      <w:r w:rsidR="00E35F72">
        <w:rPr>
          <w:rFonts w:ascii="Arial" w:hAnsi="Arial" w:cs="Arial"/>
          <w:sz w:val="24"/>
          <w:szCs w:val="24"/>
        </w:rPr>
        <w:t>s</w:t>
      </w:r>
      <w:r w:rsidRPr="00BF2C3C">
        <w:rPr>
          <w:rFonts w:ascii="Arial" w:hAnsi="Arial" w:cs="Arial"/>
          <w:sz w:val="24"/>
          <w:szCs w:val="24"/>
        </w:rPr>
        <w:t xml:space="preserve"> to the offence of recruiting a child to engage in criminal activity</w:t>
      </w:r>
      <w:r w:rsidR="00630A5B">
        <w:rPr>
          <w:rFonts w:ascii="Arial" w:hAnsi="Arial" w:cs="Arial"/>
          <w:sz w:val="24"/>
          <w:szCs w:val="24"/>
        </w:rPr>
        <w:t>,</w:t>
      </w:r>
      <w:r w:rsidRPr="00BF2C3C">
        <w:rPr>
          <w:rFonts w:ascii="Arial" w:hAnsi="Arial" w:cs="Arial"/>
          <w:sz w:val="24"/>
          <w:szCs w:val="24"/>
        </w:rPr>
        <w:t xml:space="preserve"> by clarifying that a person who recruits a child under the </w:t>
      </w:r>
      <w:r w:rsidR="00E35F72">
        <w:rPr>
          <w:rFonts w:ascii="Arial" w:hAnsi="Arial" w:cs="Arial"/>
          <w:sz w:val="24"/>
          <w:szCs w:val="24"/>
        </w:rPr>
        <w:t>MACR</w:t>
      </w:r>
      <w:r w:rsidRPr="00BF2C3C">
        <w:rPr>
          <w:rFonts w:ascii="Arial" w:hAnsi="Arial" w:cs="Arial"/>
          <w:sz w:val="24"/>
          <w:szCs w:val="24"/>
        </w:rPr>
        <w:t xml:space="preserve"> to commit an indictable offence can still be found guilty of committing an offence, even when the child recruited cannot be held criminally responsible for committing the offence because they are under the </w:t>
      </w:r>
      <w:r w:rsidR="00E35F72">
        <w:rPr>
          <w:rFonts w:ascii="Arial" w:hAnsi="Arial" w:cs="Arial"/>
          <w:sz w:val="24"/>
          <w:szCs w:val="24"/>
        </w:rPr>
        <w:t>MACR</w:t>
      </w:r>
      <w:r w:rsidR="00A93F01">
        <w:rPr>
          <w:rFonts w:ascii="Arial" w:hAnsi="Arial" w:cs="Arial"/>
          <w:sz w:val="24"/>
          <w:szCs w:val="24"/>
        </w:rPr>
        <w:t xml:space="preserve">. </w:t>
      </w:r>
      <w:r w:rsidR="00A93F01" w:rsidRPr="00BF2C3C">
        <w:rPr>
          <w:rFonts w:ascii="Arial" w:hAnsi="Arial" w:cs="Arial"/>
          <w:sz w:val="24"/>
          <w:szCs w:val="24"/>
        </w:rPr>
        <w:t>This amendment will provide</w:t>
      </w:r>
      <w:r w:rsidR="00A93F01" w:rsidRPr="00BF2C3C">
        <w:rPr>
          <w:rFonts w:ascii="Arial" w:hAnsi="Arial" w:cs="Arial"/>
          <w:szCs w:val="24"/>
        </w:rPr>
        <w:t xml:space="preserve"> </w:t>
      </w:r>
      <w:r w:rsidR="00A93F01" w:rsidRPr="00BF2C3C">
        <w:rPr>
          <w:rFonts w:ascii="Arial" w:hAnsi="Arial" w:cs="Arial"/>
          <w:sz w:val="24"/>
          <w:szCs w:val="24"/>
        </w:rPr>
        <w:t>a protective mechanism by providing an avenue for adults to be prosecuted of the offence of recruiting a child to engage in criminal activity</w:t>
      </w:r>
      <w:r w:rsidR="00FD5AD7">
        <w:rPr>
          <w:rFonts w:ascii="Arial" w:hAnsi="Arial" w:cs="Arial"/>
          <w:sz w:val="24"/>
          <w:szCs w:val="24"/>
        </w:rPr>
        <w:t xml:space="preserve"> </w:t>
      </w:r>
      <w:r w:rsidR="00A93F01" w:rsidRPr="00BF2C3C">
        <w:rPr>
          <w:rFonts w:ascii="Arial" w:hAnsi="Arial" w:cs="Arial"/>
          <w:sz w:val="24"/>
          <w:szCs w:val="24"/>
        </w:rPr>
        <w:t>if the child is under the MACR</w:t>
      </w:r>
      <w:r w:rsidR="00AD6D02">
        <w:rPr>
          <w:rFonts w:ascii="Arial" w:hAnsi="Arial" w:cs="Arial"/>
          <w:sz w:val="24"/>
          <w:szCs w:val="24"/>
        </w:rPr>
        <w:t>;</w:t>
      </w:r>
    </w:p>
    <w:p w14:paraId="4AF0AE38" w14:textId="11FC4FEA" w:rsidR="00630A5B" w:rsidRDefault="00630A5B" w:rsidP="002A0674">
      <w:pPr>
        <w:pStyle w:val="ListParagraph"/>
        <w:numPr>
          <w:ilvl w:val="0"/>
          <w:numId w:val="43"/>
        </w:numPr>
        <w:rPr>
          <w:rFonts w:ascii="Arial" w:hAnsi="Arial" w:cs="Arial"/>
          <w:sz w:val="24"/>
          <w:szCs w:val="24"/>
        </w:rPr>
      </w:pPr>
      <w:r>
        <w:rPr>
          <w:rFonts w:ascii="Arial" w:hAnsi="Arial" w:cs="Arial"/>
          <w:sz w:val="24"/>
          <w:szCs w:val="24"/>
        </w:rPr>
        <w:t xml:space="preserve">amendments to </w:t>
      </w:r>
      <w:r w:rsidR="00E35F72">
        <w:rPr>
          <w:rFonts w:ascii="Arial" w:hAnsi="Arial" w:cs="Arial"/>
          <w:sz w:val="24"/>
          <w:szCs w:val="24"/>
        </w:rPr>
        <w:t xml:space="preserve">the registration and recognition of interstate </w:t>
      </w:r>
      <w:r>
        <w:rPr>
          <w:rFonts w:ascii="Arial" w:hAnsi="Arial" w:cs="Arial"/>
          <w:sz w:val="24"/>
          <w:szCs w:val="24"/>
        </w:rPr>
        <w:t>personal protection orders in the ACT, by</w:t>
      </w:r>
      <w:r w:rsidR="00BB6F37">
        <w:rPr>
          <w:rFonts w:ascii="Arial" w:hAnsi="Arial" w:cs="Arial"/>
          <w:sz w:val="24"/>
          <w:szCs w:val="24"/>
        </w:rPr>
        <w:t xml:space="preserve"> supporting the objectives of the Bill</w:t>
      </w:r>
      <w:r w:rsidR="00AD6D02">
        <w:rPr>
          <w:rFonts w:ascii="Arial" w:hAnsi="Arial" w:cs="Arial"/>
          <w:sz w:val="24"/>
          <w:szCs w:val="24"/>
        </w:rPr>
        <w:t>; and</w:t>
      </w:r>
    </w:p>
    <w:p w14:paraId="03C367C9" w14:textId="19B77919" w:rsidR="00567A64" w:rsidRPr="00BF2C3C" w:rsidRDefault="00BB6F37" w:rsidP="00BF2C3C">
      <w:pPr>
        <w:pStyle w:val="ListParagraph"/>
        <w:numPr>
          <w:ilvl w:val="0"/>
          <w:numId w:val="43"/>
        </w:numPr>
        <w:rPr>
          <w:rFonts w:ascii="Arial" w:hAnsi="Arial" w:cs="Arial"/>
          <w:sz w:val="24"/>
          <w:szCs w:val="24"/>
        </w:rPr>
      </w:pPr>
      <w:r w:rsidRPr="00BF2C3C">
        <w:rPr>
          <w:rFonts w:ascii="Arial" w:hAnsi="Arial" w:cs="Arial"/>
          <w:sz w:val="24"/>
          <w:szCs w:val="24"/>
        </w:rPr>
        <w:t>expand</w:t>
      </w:r>
      <w:r w:rsidR="00E35F72">
        <w:rPr>
          <w:rFonts w:ascii="Arial" w:hAnsi="Arial" w:cs="Arial"/>
          <w:sz w:val="24"/>
          <w:szCs w:val="24"/>
        </w:rPr>
        <w:t>ing</w:t>
      </w:r>
      <w:r w:rsidRPr="00BF2C3C">
        <w:rPr>
          <w:rFonts w:ascii="Arial" w:hAnsi="Arial" w:cs="Arial"/>
          <w:sz w:val="24"/>
          <w:szCs w:val="24"/>
        </w:rPr>
        <w:t xml:space="preserve"> the range of individuals characterised as a secondary victim</w:t>
      </w:r>
      <w:r w:rsidRPr="00BB6F37">
        <w:rPr>
          <w:rFonts w:ascii="Arial" w:hAnsi="Arial" w:cs="Arial"/>
          <w:sz w:val="24"/>
          <w:szCs w:val="24"/>
        </w:rPr>
        <w:t>.</w:t>
      </w:r>
    </w:p>
    <w:p w14:paraId="39AC747C" w14:textId="48FF4DA0" w:rsidR="004B41EF" w:rsidRPr="00A72422" w:rsidRDefault="004B41EF" w:rsidP="00A72422">
      <w:pPr>
        <w:rPr>
          <w:rFonts w:ascii="Arial" w:hAnsi="Arial" w:cs="Arial"/>
        </w:rPr>
      </w:pPr>
      <w:r>
        <w:rPr>
          <w:rFonts w:ascii="Arial" w:hAnsi="Arial" w:cs="Arial"/>
        </w:rPr>
        <w:t xml:space="preserve">Section 12 of the HRA states that ‘[e]veryone has the right – (a) not to have his or her privacy, family, home or correspondence interfered with unlawfully or arbitrarily; and (b) not to have his or her reputation unlawfully attacked’. </w:t>
      </w:r>
      <w:r w:rsidR="006A3B38">
        <w:rPr>
          <w:rFonts w:ascii="Arial" w:hAnsi="Arial" w:cs="Arial"/>
        </w:rPr>
        <w:t xml:space="preserve">The Government amendments will promote this right by requiring the destruction of forensic material collected from a child </w:t>
      </w:r>
      <w:r w:rsidR="00567A64">
        <w:rPr>
          <w:rFonts w:ascii="Arial" w:hAnsi="Arial" w:cs="Arial"/>
        </w:rPr>
        <w:t>alleged to have committed an offence when they were under the MACR</w:t>
      </w:r>
      <w:r w:rsidR="006A3B38">
        <w:rPr>
          <w:rFonts w:ascii="Arial" w:hAnsi="Arial" w:cs="Arial"/>
        </w:rPr>
        <w:t>, and by</w:t>
      </w:r>
      <w:r w:rsidR="006A3B38" w:rsidRPr="006A3B38">
        <w:rPr>
          <w:rFonts w:ascii="Arial" w:hAnsi="Arial" w:cs="Arial"/>
          <w:lang w:eastAsia="en-AU"/>
        </w:rPr>
        <w:t xml:space="preserve"> </w:t>
      </w:r>
      <w:r w:rsidR="006A3B38" w:rsidRPr="163A67BF">
        <w:rPr>
          <w:rFonts w:ascii="Arial" w:hAnsi="Arial" w:cs="Arial"/>
          <w:lang w:eastAsia="en-AU"/>
        </w:rPr>
        <w:t>ensur</w:t>
      </w:r>
      <w:r w:rsidR="006A3B38">
        <w:rPr>
          <w:rFonts w:ascii="Arial" w:hAnsi="Arial" w:cs="Arial"/>
          <w:lang w:eastAsia="en-AU"/>
        </w:rPr>
        <w:t>ing</w:t>
      </w:r>
      <w:r w:rsidR="006A3B38" w:rsidRPr="163A67BF">
        <w:rPr>
          <w:rFonts w:ascii="Arial" w:hAnsi="Arial" w:cs="Arial"/>
          <w:lang w:eastAsia="en-AU"/>
        </w:rPr>
        <w:t xml:space="preserve"> that victims are aware that a statement the victim provides will not be provided to the child without the victim’s consent.</w:t>
      </w:r>
    </w:p>
    <w:p w14:paraId="3DE01E51" w14:textId="660BF90C" w:rsidR="00A72422" w:rsidRPr="00A72422" w:rsidRDefault="00A72422" w:rsidP="00A72422">
      <w:pPr>
        <w:rPr>
          <w:rFonts w:ascii="Arial" w:hAnsi="Arial" w:cs="Arial"/>
        </w:rPr>
      </w:pPr>
      <w:r w:rsidRPr="00A72422">
        <w:rPr>
          <w:rFonts w:ascii="Arial" w:hAnsi="Arial" w:cs="Arial"/>
        </w:rPr>
        <w:t>Section 19(1) of the HRA protects the right to humane treatment when deprived of liberty. This right includes an obligation for detained persons who have not received a criminal conviction to be treated in a way that is appropriate for their unconvicted status, including by being kept separate from convicted individuals.</w:t>
      </w:r>
      <w:r w:rsidRPr="00A72422">
        <w:rPr>
          <w:rStyle w:val="FootnoteReference"/>
          <w:rFonts w:ascii="Arial" w:hAnsi="Arial" w:cs="Arial"/>
        </w:rPr>
        <w:footnoteReference w:id="3"/>
      </w:r>
      <w:r w:rsidRPr="00A72422">
        <w:rPr>
          <w:rFonts w:ascii="Arial" w:hAnsi="Arial" w:cs="Arial"/>
        </w:rPr>
        <w:t xml:space="preserve"> The Government amendments strengthen the requirement that an intensive therapy place must not be a place of detention. This will ensure children and young people </w:t>
      </w:r>
      <w:r w:rsidRPr="00A72422">
        <w:rPr>
          <w:rFonts w:ascii="Arial" w:hAnsi="Arial" w:cs="Arial"/>
        </w:rPr>
        <w:lastRenderedPageBreak/>
        <w:t>deprived of liberty for the purpose of intensive therapy are not housed with convicted individuals or in places that have been used to detain convicted individuals.</w:t>
      </w:r>
      <w:r w:rsidR="00BF2C3C">
        <w:rPr>
          <w:rFonts w:ascii="Arial" w:hAnsi="Arial" w:cs="Arial"/>
        </w:rPr>
        <w:t xml:space="preserve"> </w:t>
      </w:r>
    </w:p>
    <w:p w14:paraId="0EB49430" w14:textId="5D8A940E" w:rsidR="000C1E5D" w:rsidRDefault="00A72422" w:rsidP="000C1E5D">
      <w:pPr>
        <w:rPr>
          <w:rFonts w:ascii="Arial" w:hAnsi="Arial" w:cs="Arial"/>
        </w:rPr>
      </w:pPr>
      <w:r w:rsidRPr="00A72422">
        <w:rPr>
          <w:rFonts w:ascii="Arial" w:hAnsi="Arial" w:cs="Arial"/>
        </w:rPr>
        <w:t>Section 27(1) of the HRA protects the right of anyone who belongs to an ethnic, religious, or linguistic minority to enjoy their culture, practise their religion, and use their language. The Government amendments include ‘working with culturally and linguistically diverse children and young people’ as one of the listed qualifications, experience or expertise that will enable an individual to be appointed to the Panel. This will help the Panel to better understand the issues affecting referred children or young people from culturally and linguistically diverse communities and support it to make appropriate decisions and recommendations.</w:t>
      </w:r>
      <w:r w:rsidR="00BF2C3C">
        <w:rPr>
          <w:rFonts w:ascii="Arial" w:hAnsi="Arial" w:cs="Arial"/>
        </w:rPr>
        <w:t xml:space="preserve"> </w:t>
      </w:r>
    </w:p>
    <w:p w14:paraId="29A75619" w14:textId="77777777" w:rsidR="00674F8C" w:rsidRPr="00050F68" w:rsidRDefault="00674F8C" w:rsidP="00674F8C">
      <w:pPr>
        <w:autoSpaceDE w:val="0"/>
        <w:autoSpaceDN w:val="0"/>
        <w:adjustRightInd w:val="0"/>
        <w:spacing w:before="240" w:after="120"/>
        <w:rPr>
          <w:rFonts w:ascii="Arial" w:hAnsi="Arial" w:cs="Arial"/>
          <w:b/>
          <w:szCs w:val="24"/>
        </w:rPr>
      </w:pPr>
      <w:r w:rsidRPr="00050F68">
        <w:rPr>
          <w:rFonts w:ascii="Arial" w:hAnsi="Arial" w:cs="Arial"/>
          <w:b/>
          <w:szCs w:val="24"/>
        </w:rPr>
        <w:t>Rights Limited</w:t>
      </w:r>
    </w:p>
    <w:p w14:paraId="4E0BE9B5" w14:textId="5B40B971" w:rsidR="00674F8C" w:rsidRPr="00A72422" w:rsidRDefault="00674F8C" w:rsidP="00674F8C">
      <w:pPr>
        <w:rPr>
          <w:rFonts w:ascii="Arial" w:hAnsi="Arial" w:cs="Arial"/>
        </w:rPr>
      </w:pPr>
      <w:r w:rsidRPr="00A72422">
        <w:rPr>
          <w:rFonts w:ascii="Arial" w:hAnsi="Arial" w:cs="Arial"/>
        </w:rPr>
        <w:t xml:space="preserve">The Government amendments engage and </w:t>
      </w:r>
      <w:r>
        <w:rPr>
          <w:rFonts w:ascii="Arial" w:hAnsi="Arial" w:cs="Arial"/>
        </w:rPr>
        <w:t>limit</w:t>
      </w:r>
      <w:r w:rsidRPr="00A72422">
        <w:rPr>
          <w:rFonts w:ascii="Arial" w:hAnsi="Arial" w:cs="Arial"/>
        </w:rPr>
        <w:t xml:space="preserve"> the following rights in the HRA: </w:t>
      </w:r>
    </w:p>
    <w:p w14:paraId="148570DD" w14:textId="22283F4B" w:rsidR="009E3BE4" w:rsidRPr="00BF2C3C" w:rsidRDefault="009E3BE4" w:rsidP="00674F8C">
      <w:pPr>
        <w:pStyle w:val="ListParagraph"/>
        <w:numPr>
          <w:ilvl w:val="0"/>
          <w:numId w:val="36"/>
        </w:numPr>
        <w:spacing w:after="160" w:line="259" w:lineRule="auto"/>
        <w:contextualSpacing/>
        <w:rPr>
          <w:rFonts w:ascii="Arial" w:hAnsi="Arial" w:cs="Arial"/>
          <w:sz w:val="24"/>
          <w:szCs w:val="24"/>
        </w:rPr>
      </w:pPr>
      <w:r w:rsidRPr="00BF2C3C">
        <w:rPr>
          <w:rFonts w:ascii="Arial" w:hAnsi="Arial" w:cs="Arial"/>
          <w:sz w:val="24"/>
          <w:szCs w:val="24"/>
        </w:rPr>
        <w:t xml:space="preserve">Section 9 – right to life </w:t>
      </w:r>
    </w:p>
    <w:p w14:paraId="3744B04C" w14:textId="7BF12038" w:rsidR="009E3BE4" w:rsidRPr="00BF2C3C" w:rsidRDefault="000E187E" w:rsidP="00674F8C">
      <w:pPr>
        <w:pStyle w:val="ListParagraph"/>
        <w:numPr>
          <w:ilvl w:val="0"/>
          <w:numId w:val="36"/>
        </w:numPr>
        <w:spacing w:after="160" w:line="259" w:lineRule="auto"/>
        <w:contextualSpacing/>
        <w:rPr>
          <w:rFonts w:ascii="Arial" w:hAnsi="Arial" w:cs="Arial"/>
          <w:sz w:val="24"/>
          <w:szCs w:val="24"/>
        </w:rPr>
      </w:pPr>
      <w:r w:rsidRPr="00BF2C3C">
        <w:rPr>
          <w:rFonts w:ascii="Arial" w:hAnsi="Arial" w:cs="Arial"/>
          <w:sz w:val="24"/>
          <w:szCs w:val="24"/>
        </w:rPr>
        <w:t xml:space="preserve">Section 18 – right to liberty and security of the person </w:t>
      </w:r>
    </w:p>
    <w:p w14:paraId="32B26812" w14:textId="62D6E457" w:rsidR="00674F8C" w:rsidRDefault="000E187E" w:rsidP="000C1E5D">
      <w:pPr>
        <w:rPr>
          <w:rFonts w:ascii="Arial" w:hAnsi="Arial" w:cs="Arial"/>
          <w:szCs w:val="24"/>
        </w:rPr>
      </w:pPr>
      <w:r>
        <w:rPr>
          <w:rFonts w:ascii="Arial" w:hAnsi="Arial" w:cs="Arial"/>
          <w:szCs w:val="24"/>
        </w:rPr>
        <w:t xml:space="preserve">These rights </w:t>
      </w:r>
      <w:r w:rsidR="00B477C8">
        <w:rPr>
          <w:rFonts w:ascii="Arial" w:hAnsi="Arial" w:cs="Arial"/>
          <w:szCs w:val="24"/>
        </w:rPr>
        <w:t>ar</w:t>
      </w:r>
      <w:r w:rsidR="00D66308">
        <w:rPr>
          <w:rFonts w:ascii="Arial" w:hAnsi="Arial" w:cs="Arial"/>
          <w:szCs w:val="24"/>
        </w:rPr>
        <w:t>e</w:t>
      </w:r>
      <w:r>
        <w:rPr>
          <w:rFonts w:ascii="Arial" w:hAnsi="Arial" w:cs="Arial"/>
          <w:szCs w:val="24"/>
        </w:rPr>
        <w:t xml:space="preserve"> limited by the amendments </w:t>
      </w:r>
      <w:r w:rsidR="00D66308">
        <w:rPr>
          <w:rFonts w:ascii="Arial" w:hAnsi="Arial" w:cs="Arial"/>
          <w:szCs w:val="24"/>
        </w:rPr>
        <w:t>concerning the registration and recognition of interstate</w:t>
      </w:r>
      <w:r>
        <w:rPr>
          <w:rFonts w:ascii="Arial" w:hAnsi="Arial" w:cs="Arial"/>
          <w:szCs w:val="24"/>
        </w:rPr>
        <w:t xml:space="preserve"> personal protection orders.</w:t>
      </w:r>
    </w:p>
    <w:p w14:paraId="7D0C99C3" w14:textId="1575EFDD" w:rsidR="00594F76" w:rsidRPr="0038152A" w:rsidRDefault="00594F76" w:rsidP="00594F76">
      <w:pPr>
        <w:pStyle w:val="Heading4"/>
        <w:numPr>
          <w:ilvl w:val="0"/>
          <w:numId w:val="34"/>
        </w:numPr>
        <w:rPr>
          <w:rFonts w:ascii="Arial" w:hAnsi="Arial" w:cs="Arial"/>
          <w:b w:val="0"/>
          <w:bCs/>
          <w:i/>
        </w:rPr>
      </w:pPr>
      <w:r>
        <w:rPr>
          <w:rFonts w:ascii="Arial" w:hAnsi="Arial" w:cs="Arial"/>
          <w:bCs/>
          <w:i/>
        </w:rPr>
        <w:t>Nature of the right and the limitation (s</w:t>
      </w:r>
      <w:r w:rsidR="00FA2728">
        <w:rPr>
          <w:rFonts w:ascii="Arial" w:hAnsi="Arial" w:cs="Arial"/>
          <w:bCs/>
          <w:i/>
        </w:rPr>
        <w:t>s</w:t>
      </w:r>
      <w:r>
        <w:rPr>
          <w:rFonts w:ascii="Arial" w:hAnsi="Arial" w:cs="Arial"/>
          <w:bCs/>
          <w:i/>
        </w:rPr>
        <w:t xml:space="preserve"> 28 (2) (a) and (c))</w:t>
      </w:r>
    </w:p>
    <w:p w14:paraId="385D9CA7" w14:textId="08091968" w:rsidR="009F4ADE" w:rsidRDefault="00633837" w:rsidP="004B48CC">
      <w:pPr>
        <w:rPr>
          <w:rFonts w:ascii="Arial" w:hAnsi="Arial" w:cs="Arial"/>
          <w:szCs w:val="24"/>
        </w:rPr>
      </w:pPr>
      <w:r>
        <w:rPr>
          <w:rFonts w:ascii="Arial" w:hAnsi="Arial" w:cs="Arial"/>
          <w:szCs w:val="24"/>
        </w:rPr>
        <w:t>The amendments to sections 92 and 95 of the</w:t>
      </w:r>
      <w:r w:rsidR="00594F76">
        <w:rPr>
          <w:rFonts w:ascii="Arial" w:hAnsi="Arial" w:cs="Arial"/>
          <w:szCs w:val="24"/>
        </w:rPr>
        <w:t xml:space="preserve"> </w:t>
      </w:r>
      <w:r w:rsidR="00594F76">
        <w:rPr>
          <w:rFonts w:ascii="Arial" w:hAnsi="Arial" w:cs="Arial"/>
          <w:i/>
          <w:iCs/>
          <w:szCs w:val="24"/>
        </w:rPr>
        <w:t>Personal Violence Act 2016</w:t>
      </w:r>
      <w:r w:rsidR="00594F76">
        <w:rPr>
          <w:rFonts w:ascii="Arial" w:hAnsi="Arial" w:cs="Arial"/>
          <w:szCs w:val="24"/>
        </w:rPr>
        <w:t xml:space="preserve"> </w:t>
      </w:r>
      <w:r>
        <w:rPr>
          <w:rFonts w:ascii="Arial" w:hAnsi="Arial" w:cs="Arial"/>
          <w:szCs w:val="24"/>
        </w:rPr>
        <w:t xml:space="preserve">limit </w:t>
      </w:r>
      <w:r w:rsidR="00CD408A">
        <w:rPr>
          <w:rFonts w:ascii="Arial" w:hAnsi="Arial" w:cs="Arial"/>
          <w:szCs w:val="24"/>
        </w:rPr>
        <w:t xml:space="preserve">the </w:t>
      </w:r>
      <w:r w:rsidR="00C51785">
        <w:rPr>
          <w:rFonts w:ascii="Arial" w:hAnsi="Arial" w:cs="Arial"/>
          <w:szCs w:val="24"/>
        </w:rPr>
        <w:t xml:space="preserve">victims’ </w:t>
      </w:r>
      <w:r>
        <w:rPr>
          <w:rFonts w:ascii="Arial" w:hAnsi="Arial" w:cs="Arial"/>
          <w:szCs w:val="24"/>
        </w:rPr>
        <w:t>right to life under section 9 of the HRA</w:t>
      </w:r>
      <w:r w:rsidR="007414F7">
        <w:rPr>
          <w:rFonts w:ascii="Arial" w:hAnsi="Arial" w:cs="Arial"/>
          <w:szCs w:val="24"/>
        </w:rPr>
        <w:t>, and the right to security of the person under section 18 of the HRA</w:t>
      </w:r>
      <w:r>
        <w:rPr>
          <w:rFonts w:ascii="Arial" w:hAnsi="Arial" w:cs="Arial"/>
          <w:szCs w:val="24"/>
        </w:rPr>
        <w:t xml:space="preserve">. </w:t>
      </w:r>
    </w:p>
    <w:p w14:paraId="0B1085DF" w14:textId="45F5DB16" w:rsidR="009F4ADE" w:rsidRDefault="009F4ADE" w:rsidP="004B48CC">
      <w:pPr>
        <w:rPr>
          <w:rFonts w:ascii="Arial" w:hAnsi="Arial" w:cs="Arial"/>
          <w:color w:val="000000"/>
          <w:shd w:val="clear" w:color="auto" w:fill="FFFFFF"/>
        </w:rPr>
      </w:pPr>
      <w:r>
        <w:rPr>
          <w:rFonts w:ascii="Arial" w:hAnsi="Arial" w:cs="Arial"/>
          <w:color w:val="000000"/>
          <w:shd w:val="clear" w:color="auto" w:fill="FFFFFF"/>
        </w:rPr>
        <w:t xml:space="preserve">The right to life (section 9 of the HRA) requires public authorities take reasonable steps to protect life, including taking steps to protect someone whose life is at risk from another person, where the authorities know or should know of this risk. This right is engaged as a child or young person under the </w:t>
      </w:r>
      <w:r w:rsidR="00BB2F6F">
        <w:rPr>
          <w:rFonts w:ascii="Arial" w:hAnsi="Arial" w:cs="Arial"/>
          <w:color w:val="000000"/>
          <w:shd w:val="clear" w:color="auto" w:fill="FFFFFF"/>
        </w:rPr>
        <w:t>MACR</w:t>
      </w:r>
      <w:r>
        <w:rPr>
          <w:rFonts w:ascii="Arial" w:hAnsi="Arial" w:cs="Arial"/>
          <w:color w:val="000000"/>
          <w:shd w:val="clear" w:color="auto" w:fill="FFFFFF"/>
        </w:rPr>
        <w:t xml:space="preserve"> can no longer be the subject of a personal protection order in the ACT. Furthermore, interstate personal protection orders will no longer be </w:t>
      </w:r>
      <w:r w:rsidR="00CD408A">
        <w:rPr>
          <w:rFonts w:ascii="Arial" w:hAnsi="Arial" w:cs="Arial"/>
          <w:color w:val="000000"/>
          <w:shd w:val="clear" w:color="auto" w:fill="FFFFFF"/>
        </w:rPr>
        <w:t xml:space="preserve">registered and </w:t>
      </w:r>
      <w:r>
        <w:rPr>
          <w:rFonts w:ascii="Arial" w:hAnsi="Arial" w:cs="Arial"/>
          <w:color w:val="000000"/>
          <w:shd w:val="clear" w:color="auto" w:fill="FFFFFF"/>
        </w:rPr>
        <w:t>recognised in the ACT.</w:t>
      </w:r>
    </w:p>
    <w:p w14:paraId="368410E0" w14:textId="7B1228B7" w:rsidR="009F4ADE" w:rsidRDefault="00BB2F6F" w:rsidP="004B48CC">
      <w:pPr>
        <w:rPr>
          <w:rFonts w:ascii="Arial" w:hAnsi="Arial" w:cs="Arial"/>
          <w:bCs/>
          <w:lang w:eastAsia="en-AU"/>
        </w:rPr>
      </w:pPr>
      <w:r>
        <w:rPr>
          <w:rFonts w:ascii="Arial" w:hAnsi="Arial" w:cs="Arial"/>
          <w:color w:val="000000"/>
          <w:shd w:val="clear" w:color="auto" w:fill="FFFFFF"/>
        </w:rPr>
        <w:t>Consequently, this limit</w:t>
      </w:r>
      <w:r w:rsidR="00B477C8">
        <w:rPr>
          <w:rFonts w:ascii="Arial" w:hAnsi="Arial" w:cs="Arial"/>
          <w:color w:val="000000"/>
          <w:shd w:val="clear" w:color="auto" w:fill="FFFFFF"/>
        </w:rPr>
        <w:t>s</w:t>
      </w:r>
      <w:r>
        <w:rPr>
          <w:rFonts w:ascii="Arial" w:hAnsi="Arial" w:cs="Arial"/>
          <w:color w:val="000000"/>
          <w:shd w:val="clear" w:color="auto" w:fill="FFFFFF"/>
        </w:rPr>
        <w:t xml:space="preserve"> </w:t>
      </w:r>
      <w:r w:rsidR="00CD408A">
        <w:rPr>
          <w:rFonts w:ascii="Arial" w:hAnsi="Arial" w:cs="Arial"/>
          <w:color w:val="000000"/>
          <w:shd w:val="clear" w:color="auto" w:fill="FFFFFF"/>
        </w:rPr>
        <w:t xml:space="preserve">the </w:t>
      </w:r>
      <w:r w:rsidR="00C51785">
        <w:rPr>
          <w:rFonts w:ascii="Arial" w:hAnsi="Arial" w:cs="Arial"/>
          <w:color w:val="000000"/>
          <w:shd w:val="clear" w:color="auto" w:fill="FFFFFF"/>
        </w:rPr>
        <w:t xml:space="preserve">victims’ </w:t>
      </w:r>
      <w:r>
        <w:rPr>
          <w:rFonts w:ascii="Arial" w:hAnsi="Arial" w:cs="Arial"/>
          <w:color w:val="000000"/>
          <w:shd w:val="clear" w:color="auto" w:fill="FFFFFF"/>
        </w:rPr>
        <w:t xml:space="preserve">right to security </w:t>
      </w:r>
      <w:r w:rsidR="009F4ADE">
        <w:rPr>
          <w:rFonts w:ascii="Arial" w:hAnsi="Arial" w:cs="Arial"/>
          <w:color w:val="000000"/>
          <w:shd w:val="clear" w:color="auto" w:fill="FFFFFF"/>
        </w:rPr>
        <w:t>(section 18 of the HRA)</w:t>
      </w:r>
      <w:r w:rsidR="00C51785">
        <w:rPr>
          <w:rFonts w:ascii="Arial" w:hAnsi="Arial" w:cs="Arial"/>
          <w:color w:val="000000"/>
          <w:shd w:val="clear" w:color="auto" w:fill="FFFFFF"/>
        </w:rPr>
        <w:t>. T</w:t>
      </w:r>
      <w:r w:rsidR="009F4ADE">
        <w:rPr>
          <w:rFonts w:ascii="Arial" w:hAnsi="Arial" w:cs="Arial"/>
          <w:color w:val="000000"/>
          <w:shd w:val="clear" w:color="auto" w:fill="FFFFFF"/>
        </w:rPr>
        <w:t xml:space="preserve">he government </w:t>
      </w:r>
      <w:r w:rsidR="00C51785">
        <w:rPr>
          <w:rFonts w:ascii="Arial" w:hAnsi="Arial" w:cs="Arial"/>
          <w:color w:val="000000"/>
          <w:shd w:val="clear" w:color="auto" w:fill="FFFFFF"/>
        </w:rPr>
        <w:t xml:space="preserve">is required </w:t>
      </w:r>
      <w:r w:rsidR="009F4ADE">
        <w:rPr>
          <w:rFonts w:ascii="Arial" w:hAnsi="Arial" w:cs="Arial"/>
          <w:color w:val="000000"/>
          <w:shd w:val="clear" w:color="auto" w:fill="FFFFFF"/>
        </w:rPr>
        <w:t>to provide reasonable measures to protect a person’s physical security, including through the work of the police and emergency services. </w:t>
      </w:r>
      <w:r w:rsidR="003A2A8E">
        <w:rPr>
          <w:rFonts w:ascii="Arial" w:hAnsi="Arial" w:cs="Arial"/>
          <w:color w:val="000000"/>
          <w:shd w:val="clear" w:color="auto" w:fill="FFFFFF"/>
        </w:rPr>
        <w:t xml:space="preserve">The right means that victims should be </w:t>
      </w:r>
      <w:r w:rsidR="00CD408A">
        <w:rPr>
          <w:rFonts w:ascii="Arial" w:hAnsi="Arial" w:cs="Arial"/>
          <w:color w:val="000000"/>
          <w:shd w:val="clear" w:color="auto" w:fill="FFFFFF"/>
        </w:rPr>
        <w:t>protected from a child who engages in harmful behaviour towards them</w:t>
      </w:r>
      <w:r w:rsidR="003A2A8E">
        <w:rPr>
          <w:rFonts w:ascii="Arial" w:hAnsi="Arial" w:cs="Arial"/>
          <w:color w:val="000000"/>
          <w:shd w:val="clear" w:color="auto" w:fill="FFFFFF"/>
        </w:rPr>
        <w:t>.</w:t>
      </w:r>
      <w:r w:rsidR="003A2A8E" w:rsidRPr="003A2A8E">
        <w:rPr>
          <w:rFonts w:ascii="Arial" w:hAnsi="Arial" w:cs="Arial"/>
          <w:bCs/>
          <w:lang w:eastAsia="en-AU"/>
        </w:rPr>
        <w:t xml:space="preserve"> </w:t>
      </w:r>
      <w:r w:rsidR="00C51785">
        <w:rPr>
          <w:rFonts w:ascii="Arial" w:hAnsi="Arial" w:cs="Arial"/>
          <w:bCs/>
          <w:lang w:eastAsia="en-AU"/>
        </w:rPr>
        <w:t>However, o</w:t>
      </w:r>
      <w:r w:rsidR="003A2A8E">
        <w:rPr>
          <w:rFonts w:ascii="Arial" w:hAnsi="Arial" w:cs="Arial"/>
          <w:bCs/>
          <w:lang w:eastAsia="en-AU"/>
        </w:rPr>
        <w:t>nce these amendments commence, the right to security of victims may be limited as they will no longer be able to rely on the enforcement of a personal protection order, if the order is</w:t>
      </w:r>
      <w:r w:rsidR="00CD408A">
        <w:rPr>
          <w:rFonts w:ascii="Arial" w:hAnsi="Arial" w:cs="Arial"/>
          <w:bCs/>
          <w:lang w:eastAsia="en-AU"/>
        </w:rPr>
        <w:t>, or would be,</w:t>
      </w:r>
      <w:r w:rsidR="003A2A8E">
        <w:rPr>
          <w:rFonts w:ascii="Arial" w:hAnsi="Arial" w:cs="Arial"/>
          <w:bCs/>
          <w:lang w:eastAsia="en-AU"/>
        </w:rPr>
        <w:t xml:space="preserve"> against a </w:t>
      </w:r>
      <w:r w:rsidR="008A6677">
        <w:rPr>
          <w:rFonts w:ascii="Arial" w:hAnsi="Arial" w:cs="Arial"/>
          <w:bCs/>
          <w:lang w:eastAsia="en-AU"/>
        </w:rPr>
        <w:t>child</w:t>
      </w:r>
      <w:r w:rsidR="003A2A8E">
        <w:rPr>
          <w:rFonts w:ascii="Arial" w:hAnsi="Arial" w:cs="Arial"/>
          <w:bCs/>
          <w:lang w:eastAsia="en-AU"/>
        </w:rPr>
        <w:t xml:space="preserve"> under the MACR.</w:t>
      </w:r>
    </w:p>
    <w:p w14:paraId="15D1664D" w14:textId="4DB5CD69" w:rsidR="00A31CA6" w:rsidRPr="00BF2C3C" w:rsidRDefault="008A6677" w:rsidP="00A31CA6">
      <w:pPr>
        <w:rPr>
          <w:rFonts w:ascii="Arial" w:hAnsi="Arial" w:cs="Arial"/>
          <w:color w:val="000000"/>
          <w:shd w:val="clear" w:color="auto" w:fill="FFFFFF"/>
        </w:rPr>
      </w:pPr>
      <w:r w:rsidRPr="00BF2C3C">
        <w:rPr>
          <w:rFonts w:ascii="Arial" w:hAnsi="Arial" w:cs="Arial"/>
          <w:color w:val="000000"/>
          <w:shd w:val="clear" w:color="auto" w:fill="FFFFFF"/>
        </w:rPr>
        <w:t xml:space="preserve">It is important to note that although personal protection orders against a child under the MACR will no longer be recognised or enforced in the ACT, </w:t>
      </w:r>
      <w:r w:rsidR="00A31CA6" w:rsidRPr="00BF2C3C">
        <w:rPr>
          <w:rFonts w:ascii="Arial" w:hAnsi="Arial" w:cs="Arial"/>
          <w:color w:val="000000"/>
          <w:shd w:val="clear" w:color="auto" w:fill="FFFFFF"/>
        </w:rPr>
        <w:t xml:space="preserve">ACT Policing, ACT Courts and Tribunal and other relevant entities will be able to refer a child </w:t>
      </w:r>
      <w:r w:rsidRPr="00BF2C3C">
        <w:rPr>
          <w:rFonts w:ascii="Arial" w:hAnsi="Arial" w:cs="Arial"/>
          <w:color w:val="000000"/>
          <w:shd w:val="clear" w:color="auto" w:fill="FFFFFF"/>
        </w:rPr>
        <w:t>under the MACR</w:t>
      </w:r>
      <w:r w:rsidR="00A31CA6" w:rsidRPr="00BF2C3C">
        <w:rPr>
          <w:rFonts w:ascii="Arial" w:hAnsi="Arial" w:cs="Arial"/>
          <w:color w:val="000000"/>
          <w:shd w:val="clear" w:color="auto" w:fill="FFFFFF"/>
        </w:rPr>
        <w:t xml:space="preserve"> to the </w:t>
      </w:r>
      <w:r w:rsidRPr="00BF2C3C">
        <w:rPr>
          <w:rFonts w:ascii="Arial" w:hAnsi="Arial" w:cs="Arial"/>
          <w:color w:val="000000"/>
          <w:shd w:val="clear" w:color="auto" w:fill="FFFFFF"/>
        </w:rPr>
        <w:t xml:space="preserve">Therapeutic Support </w:t>
      </w:r>
      <w:r w:rsidR="00A31CA6" w:rsidRPr="00BF2C3C">
        <w:rPr>
          <w:rFonts w:ascii="Arial" w:hAnsi="Arial" w:cs="Arial"/>
          <w:color w:val="000000"/>
          <w:shd w:val="clear" w:color="auto" w:fill="FFFFFF"/>
        </w:rPr>
        <w:t xml:space="preserve">Panel where the child or young person has </w:t>
      </w:r>
      <w:r w:rsidR="00A31CA6" w:rsidRPr="00BF2C3C">
        <w:rPr>
          <w:rFonts w:ascii="Arial" w:hAnsi="Arial" w:cs="Arial"/>
          <w:color w:val="000000"/>
          <w:shd w:val="clear" w:color="auto" w:fill="FFFFFF"/>
        </w:rPr>
        <w:lastRenderedPageBreak/>
        <w:t xml:space="preserve">engaged in </w:t>
      </w:r>
      <w:r w:rsidRPr="00BF2C3C">
        <w:rPr>
          <w:rFonts w:ascii="Arial" w:hAnsi="Arial" w:cs="Arial"/>
          <w:color w:val="000000"/>
          <w:shd w:val="clear" w:color="auto" w:fill="FFFFFF"/>
        </w:rPr>
        <w:t>personal</w:t>
      </w:r>
      <w:r w:rsidR="00A31CA6" w:rsidRPr="00BF2C3C">
        <w:rPr>
          <w:rFonts w:ascii="Arial" w:hAnsi="Arial" w:cs="Arial"/>
          <w:color w:val="000000"/>
          <w:shd w:val="clear" w:color="auto" w:fill="FFFFFF"/>
        </w:rPr>
        <w:t xml:space="preserve"> violence behaviour, including (but not limited to) physical violence or abuse, sexual violence or abuse, </w:t>
      </w:r>
      <w:r w:rsidRPr="00BF2C3C">
        <w:rPr>
          <w:rFonts w:ascii="Arial" w:hAnsi="Arial" w:cs="Arial"/>
          <w:color w:val="000000"/>
          <w:shd w:val="clear" w:color="auto" w:fill="FFFFFF"/>
        </w:rPr>
        <w:t>threatening behaviour, stalking, harassing, intimidating or offensive behaviour, or damaging property</w:t>
      </w:r>
      <w:r w:rsidR="00A31CA6" w:rsidRPr="00BF2C3C">
        <w:rPr>
          <w:rFonts w:ascii="Arial" w:hAnsi="Arial" w:cs="Arial"/>
          <w:color w:val="000000"/>
          <w:shd w:val="clear" w:color="auto" w:fill="FFFFFF"/>
        </w:rPr>
        <w:t xml:space="preserve">. </w:t>
      </w:r>
      <w:r w:rsidRPr="00BF2C3C">
        <w:rPr>
          <w:rFonts w:ascii="Arial" w:hAnsi="Arial" w:cs="Arial"/>
          <w:color w:val="000000"/>
          <w:shd w:val="clear" w:color="auto" w:fill="FFFFFF"/>
        </w:rPr>
        <w:t>Furthermore, p</w:t>
      </w:r>
      <w:r w:rsidR="00A31CA6" w:rsidRPr="00BF2C3C">
        <w:rPr>
          <w:rFonts w:ascii="Arial" w:hAnsi="Arial" w:cs="Arial"/>
          <w:color w:val="000000"/>
          <w:shd w:val="clear" w:color="auto" w:fill="FFFFFF"/>
        </w:rPr>
        <w:t xml:space="preserve">olice will still </w:t>
      </w:r>
      <w:r w:rsidRPr="00BF2C3C">
        <w:rPr>
          <w:rFonts w:ascii="Arial" w:hAnsi="Arial" w:cs="Arial"/>
          <w:color w:val="000000"/>
          <w:shd w:val="clear" w:color="auto" w:fill="FFFFFF"/>
        </w:rPr>
        <w:t>be able to</w:t>
      </w:r>
      <w:r w:rsidR="00A31CA6" w:rsidRPr="00BF2C3C">
        <w:rPr>
          <w:rFonts w:ascii="Arial" w:hAnsi="Arial" w:cs="Arial"/>
          <w:color w:val="000000"/>
          <w:shd w:val="clear" w:color="auto" w:fill="FFFFFF"/>
        </w:rPr>
        <w:t xml:space="preserve"> intervene to protect victims, including arrest</w:t>
      </w:r>
      <w:r w:rsidRPr="00BF2C3C">
        <w:rPr>
          <w:rFonts w:ascii="Arial" w:hAnsi="Arial" w:cs="Arial"/>
          <w:color w:val="000000"/>
          <w:shd w:val="clear" w:color="auto" w:fill="FFFFFF"/>
        </w:rPr>
        <w:t>ing</w:t>
      </w:r>
      <w:r w:rsidR="00A31CA6" w:rsidRPr="00BF2C3C">
        <w:rPr>
          <w:rFonts w:ascii="Arial" w:hAnsi="Arial" w:cs="Arial"/>
          <w:color w:val="000000"/>
          <w:shd w:val="clear" w:color="auto" w:fill="FFFFFF"/>
        </w:rPr>
        <w:t xml:space="preserve"> and detain</w:t>
      </w:r>
      <w:r w:rsidRPr="00BF2C3C">
        <w:rPr>
          <w:rFonts w:ascii="Arial" w:hAnsi="Arial" w:cs="Arial"/>
          <w:color w:val="000000"/>
          <w:shd w:val="clear" w:color="auto" w:fill="FFFFFF"/>
        </w:rPr>
        <w:t>ing</w:t>
      </w:r>
      <w:r w:rsidR="00A31CA6" w:rsidRPr="00BF2C3C">
        <w:rPr>
          <w:rFonts w:ascii="Arial" w:hAnsi="Arial" w:cs="Arial"/>
          <w:color w:val="000000"/>
          <w:shd w:val="clear" w:color="auto" w:fill="FFFFFF"/>
        </w:rPr>
        <w:t xml:space="preserve"> a child or young person aged between 10 and 13 where the child or young person is carrying out or is likely to carry out conduct that would be an offence or where the child or young person has already injured someone or there is imminent danger of injury to a person because of the child’s conduct.</w:t>
      </w:r>
    </w:p>
    <w:p w14:paraId="016AE8C7" w14:textId="68E2CE94" w:rsidR="00594F76" w:rsidRPr="0013298F" w:rsidRDefault="00594F76" w:rsidP="00594F76">
      <w:pPr>
        <w:pStyle w:val="Heading4"/>
        <w:numPr>
          <w:ilvl w:val="0"/>
          <w:numId w:val="34"/>
        </w:numPr>
        <w:rPr>
          <w:rFonts w:ascii="Arial" w:hAnsi="Arial" w:cs="Arial"/>
          <w:bCs/>
          <w:i/>
        </w:rPr>
      </w:pPr>
      <w:r w:rsidRPr="00326E5B">
        <w:rPr>
          <w:rFonts w:ascii="Arial" w:hAnsi="Arial" w:cs="Arial"/>
          <w:bCs/>
          <w:i/>
        </w:rPr>
        <w:t>Legitimate purpose (s 28</w:t>
      </w:r>
      <w:r>
        <w:rPr>
          <w:rFonts w:ascii="Arial" w:hAnsi="Arial" w:cs="Arial"/>
          <w:bCs/>
          <w:i/>
        </w:rPr>
        <w:t xml:space="preserve"> </w:t>
      </w:r>
      <w:r w:rsidRPr="00326E5B">
        <w:rPr>
          <w:rFonts w:ascii="Arial" w:hAnsi="Arial" w:cs="Arial"/>
          <w:bCs/>
          <w:i/>
        </w:rPr>
        <w:t>(2)</w:t>
      </w:r>
      <w:r>
        <w:rPr>
          <w:rFonts w:ascii="Arial" w:hAnsi="Arial" w:cs="Arial"/>
          <w:bCs/>
          <w:i/>
        </w:rPr>
        <w:t xml:space="preserve"> </w:t>
      </w:r>
      <w:r w:rsidRPr="00326E5B">
        <w:rPr>
          <w:rFonts w:ascii="Arial" w:hAnsi="Arial" w:cs="Arial"/>
          <w:bCs/>
          <w:i/>
        </w:rPr>
        <w:t>(b))</w:t>
      </w:r>
      <w:r w:rsidR="00FA2728" w:rsidRPr="00D66308">
        <w:rPr>
          <w:rFonts w:ascii="Arial" w:hAnsi="Arial" w:cs="Arial"/>
          <w:bCs/>
          <w:i/>
        </w:rPr>
        <w:t xml:space="preserve"> and rational connection between the limitation and the purpose (s 28 (2) (d))</w:t>
      </w:r>
    </w:p>
    <w:p w14:paraId="3F03B5E0" w14:textId="45F682FB" w:rsidR="00030752" w:rsidRDefault="00E41364" w:rsidP="00E41364">
      <w:pPr>
        <w:rPr>
          <w:rFonts w:ascii="Arial" w:hAnsi="Arial" w:cs="Arial"/>
          <w:color w:val="000000"/>
          <w:shd w:val="clear" w:color="auto" w:fill="FFFFFF"/>
        </w:rPr>
      </w:pPr>
      <w:r>
        <w:rPr>
          <w:rFonts w:ascii="Arial" w:hAnsi="Arial" w:cs="Arial"/>
          <w:szCs w:val="24"/>
        </w:rPr>
        <w:t xml:space="preserve">The purpose of nullifying </w:t>
      </w:r>
      <w:r w:rsidR="00CE7EF3">
        <w:rPr>
          <w:rFonts w:ascii="Arial" w:hAnsi="Arial" w:cs="Arial"/>
          <w:szCs w:val="24"/>
        </w:rPr>
        <w:t xml:space="preserve">interstate personal protection orders </w:t>
      </w:r>
      <w:r>
        <w:rPr>
          <w:rFonts w:ascii="Arial" w:hAnsi="Arial" w:cs="Arial"/>
          <w:szCs w:val="24"/>
        </w:rPr>
        <w:t>against children under the MACR</w:t>
      </w:r>
      <w:r w:rsidR="00CE7EF3">
        <w:rPr>
          <w:rFonts w:ascii="Arial" w:hAnsi="Arial" w:cs="Arial"/>
          <w:szCs w:val="24"/>
        </w:rPr>
        <w:t xml:space="preserve"> </w:t>
      </w:r>
      <w:r>
        <w:rPr>
          <w:rFonts w:ascii="Arial" w:hAnsi="Arial" w:cs="Arial"/>
          <w:szCs w:val="24"/>
        </w:rPr>
        <w:t xml:space="preserve">is to </w:t>
      </w:r>
      <w:r w:rsidR="00594F76">
        <w:rPr>
          <w:rFonts w:ascii="Arial" w:hAnsi="Arial" w:cs="Arial"/>
          <w:szCs w:val="24"/>
        </w:rPr>
        <w:t>support the policy objective of the Bill, which is to raise the MACR</w:t>
      </w:r>
      <w:r>
        <w:rPr>
          <w:rFonts w:ascii="Arial" w:hAnsi="Arial" w:cs="Arial"/>
          <w:szCs w:val="24"/>
        </w:rPr>
        <w:t xml:space="preserve"> to 14 years old,</w:t>
      </w:r>
      <w:r w:rsidR="00594F76">
        <w:rPr>
          <w:rFonts w:ascii="Arial" w:hAnsi="Arial" w:cs="Arial"/>
          <w:szCs w:val="24"/>
        </w:rPr>
        <w:t xml:space="preserve"> to ensure that children under </w:t>
      </w:r>
      <w:r>
        <w:rPr>
          <w:rFonts w:ascii="Arial" w:hAnsi="Arial" w:cs="Arial"/>
          <w:szCs w:val="24"/>
        </w:rPr>
        <w:t xml:space="preserve">14 </w:t>
      </w:r>
      <w:r w:rsidR="00BF2C3C">
        <w:rPr>
          <w:rFonts w:ascii="Arial" w:hAnsi="Arial" w:cs="Arial"/>
          <w:szCs w:val="24"/>
        </w:rPr>
        <w:t>years</w:t>
      </w:r>
      <w:r>
        <w:rPr>
          <w:rFonts w:ascii="Arial" w:hAnsi="Arial" w:cs="Arial"/>
          <w:szCs w:val="24"/>
        </w:rPr>
        <w:t xml:space="preserve"> old (except for those aged 12 and 13 years who commit certain exceptionally serious and intentionally violent offences)</w:t>
      </w:r>
      <w:r w:rsidR="00594F76">
        <w:rPr>
          <w:rFonts w:ascii="Arial" w:hAnsi="Arial" w:cs="Arial"/>
          <w:szCs w:val="24"/>
        </w:rPr>
        <w:t xml:space="preserve"> cannot be held criminally responsible.</w:t>
      </w:r>
      <w:r>
        <w:rPr>
          <w:rFonts w:ascii="Arial" w:hAnsi="Arial" w:cs="Arial"/>
          <w:szCs w:val="24"/>
        </w:rPr>
        <w:t xml:space="preserve"> </w:t>
      </w:r>
      <w:r w:rsidR="00F75E51">
        <w:rPr>
          <w:rFonts w:ascii="Arial" w:hAnsi="Arial" w:cs="Arial"/>
          <w:color w:val="000000"/>
          <w:shd w:val="clear" w:color="auto" w:fill="FFFFFF"/>
        </w:rPr>
        <w:t xml:space="preserve">In order to support the policy objective of the Bill and raise the MACR, children under the MACR </w:t>
      </w:r>
      <w:r w:rsidR="00CE7EF3">
        <w:rPr>
          <w:rFonts w:ascii="Arial" w:hAnsi="Arial" w:cs="Arial"/>
          <w:color w:val="000000"/>
          <w:shd w:val="clear" w:color="auto" w:fill="FFFFFF"/>
        </w:rPr>
        <w:t>cannot</w:t>
      </w:r>
      <w:r w:rsidR="00F75E51">
        <w:rPr>
          <w:rFonts w:ascii="Arial" w:hAnsi="Arial" w:cs="Arial"/>
          <w:color w:val="000000"/>
          <w:shd w:val="clear" w:color="auto" w:fill="FFFFFF"/>
        </w:rPr>
        <w:t xml:space="preserve"> be subject to </w:t>
      </w:r>
      <w:r w:rsidR="00CE3F05">
        <w:rPr>
          <w:rFonts w:ascii="Arial" w:hAnsi="Arial" w:cs="Arial"/>
          <w:color w:val="000000"/>
          <w:shd w:val="clear" w:color="auto" w:fill="FFFFFF"/>
        </w:rPr>
        <w:t xml:space="preserve">personal protection orders. </w:t>
      </w:r>
    </w:p>
    <w:p w14:paraId="3AF6E3FB" w14:textId="4A31E94E" w:rsidR="002238CE" w:rsidRDefault="00CE7EF3" w:rsidP="002238CE">
      <w:pPr>
        <w:rPr>
          <w:rFonts w:ascii="Arial" w:hAnsi="Arial" w:cs="Arial"/>
          <w:color w:val="000000"/>
          <w:shd w:val="clear" w:color="auto" w:fill="FFFFFF"/>
        </w:rPr>
      </w:pPr>
      <w:r>
        <w:rPr>
          <w:rFonts w:ascii="Arial" w:hAnsi="Arial" w:cs="Arial"/>
          <w:color w:val="000000"/>
          <w:shd w:val="clear" w:color="auto" w:fill="FFFFFF"/>
        </w:rPr>
        <w:t>This</w:t>
      </w:r>
      <w:r w:rsidR="0066079B">
        <w:rPr>
          <w:rFonts w:ascii="Arial" w:hAnsi="Arial" w:cs="Arial"/>
          <w:color w:val="000000"/>
          <w:shd w:val="clear" w:color="auto" w:fill="FFFFFF"/>
        </w:rPr>
        <w:t xml:space="preserve"> will shift the response </w:t>
      </w:r>
      <w:r>
        <w:rPr>
          <w:rFonts w:ascii="Arial" w:hAnsi="Arial" w:cs="Arial"/>
          <w:color w:val="000000"/>
          <w:shd w:val="clear" w:color="auto" w:fill="FFFFFF"/>
        </w:rPr>
        <w:t xml:space="preserve">to the child’s harmful behaviour from a criminal justice response to a therapeutic response, </w:t>
      </w:r>
      <w:r w:rsidR="0066079B">
        <w:rPr>
          <w:rFonts w:ascii="Arial" w:hAnsi="Arial" w:cs="Arial"/>
          <w:color w:val="000000"/>
          <w:shd w:val="clear" w:color="auto" w:fill="FFFFFF"/>
        </w:rPr>
        <w:t>to deal with</w:t>
      </w:r>
      <w:r w:rsidR="00E41364">
        <w:rPr>
          <w:rFonts w:ascii="Arial" w:hAnsi="Arial" w:cs="Arial"/>
          <w:color w:val="000000"/>
          <w:shd w:val="clear" w:color="auto" w:fill="FFFFFF"/>
        </w:rPr>
        <w:t xml:space="preserve"> the complex needs of </w:t>
      </w:r>
      <w:r>
        <w:rPr>
          <w:rFonts w:ascii="Arial" w:hAnsi="Arial" w:cs="Arial"/>
          <w:color w:val="000000"/>
          <w:shd w:val="clear" w:color="auto" w:fill="FFFFFF"/>
        </w:rPr>
        <w:t>the child</w:t>
      </w:r>
      <w:r w:rsidR="00E41364">
        <w:rPr>
          <w:rFonts w:ascii="Arial" w:hAnsi="Arial" w:cs="Arial"/>
          <w:color w:val="000000"/>
          <w:shd w:val="clear" w:color="auto" w:fill="FFFFFF"/>
        </w:rPr>
        <w:t>. </w:t>
      </w:r>
      <w:r w:rsidR="002238CE">
        <w:rPr>
          <w:rFonts w:ascii="Arial" w:hAnsi="Arial" w:cs="Arial"/>
          <w:color w:val="000000"/>
          <w:shd w:val="clear" w:color="auto" w:fill="FFFFFF"/>
        </w:rPr>
        <w:t xml:space="preserve">If a child has a genuine need for therapeutic support services, and is at risk of engaging in, or has engaged in, harm to themselves or someone else, serious damage to property or the environment, cruelty to an animal, or any other serious or destructive behaviour, they may be referred to the </w:t>
      </w:r>
      <w:r w:rsidR="00FD5AD7">
        <w:rPr>
          <w:rFonts w:ascii="Arial" w:hAnsi="Arial" w:cs="Arial"/>
          <w:color w:val="000000"/>
          <w:shd w:val="clear" w:color="auto" w:fill="FFFFFF"/>
        </w:rPr>
        <w:t>T</w:t>
      </w:r>
      <w:r w:rsidR="002238CE">
        <w:rPr>
          <w:rFonts w:ascii="Arial" w:hAnsi="Arial" w:cs="Arial"/>
          <w:color w:val="000000"/>
          <w:shd w:val="clear" w:color="auto" w:fill="FFFFFF"/>
        </w:rPr>
        <w:t xml:space="preserve">herapeutic </w:t>
      </w:r>
      <w:r w:rsidR="00FD5AD7">
        <w:rPr>
          <w:rFonts w:ascii="Arial" w:hAnsi="Arial" w:cs="Arial"/>
          <w:color w:val="000000"/>
          <w:shd w:val="clear" w:color="auto" w:fill="FFFFFF"/>
        </w:rPr>
        <w:t>S</w:t>
      </w:r>
      <w:r w:rsidR="002238CE">
        <w:rPr>
          <w:rFonts w:ascii="Arial" w:hAnsi="Arial" w:cs="Arial"/>
          <w:color w:val="000000"/>
          <w:shd w:val="clear" w:color="auto" w:fill="FFFFFF"/>
        </w:rPr>
        <w:t xml:space="preserve">upport </w:t>
      </w:r>
      <w:r w:rsidR="00FD5AD7">
        <w:rPr>
          <w:rFonts w:ascii="Arial" w:hAnsi="Arial" w:cs="Arial"/>
          <w:color w:val="000000"/>
          <w:shd w:val="clear" w:color="auto" w:fill="FFFFFF"/>
        </w:rPr>
        <w:t>P</w:t>
      </w:r>
      <w:r w:rsidR="002238CE">
        <w:rPr>
          <w:rFonts w:ascii="Arial" w:hAnsi="Arial" w:cs="Arial"/>
          <w:color w:val="000000"/>
          <w:shd w:val="clear" w:color="auto" w:fill="FFFFFF"/>
        </w:rPr>
        <w:t>anel.</w:t>
      </w:r>
    </w:p>
    <w:p w14:paraId="7D70CDC4" w14:textId="5A2EFDE0" w:rsidR="00594F76" w:rsidRDefault="00E41364" w:rsidP="002238CE">
      <w:pPr>
        <w:rPr>
          <w:rFonts w:ascii="Arial" w:hAnsi="Arial" w:cs="Arial"/>
          <w:color w:val="000000"/>
          <w:shd w:val="clear" w:color="auto" w:fill="FFFFFF"/>
        </w:rPr>
      </w:pPr>
      <w:r>
        <w:rPr>
          <w:rFonts w:ascii="Arial" w:hAnsi="Arial" w:cs="Arial"/>
          <w:color w:val="000000"/>
          <w:shd w:val="clear" w:color="auto" w:fill="FFFFFF"/>
        </w:rPr>
        <w:t>This will likely result in fewer children and young people becoming involved in the criminal justice system and improved safety for the community. There is clear evidence that young people’s involvement in the criminal justice system can solidify criminogenic behaviour and therefore increase their likelihood of reoffending. Raising the MACR aims to reduce recidivism among children and young people by diverting them from involvement in the criminal justice system.</w:t>
      </w:r>
    </w:p>
    <w:p w14:paraId="239D6D87" w14:textId="5B1BB3D2" w:rsidR="004B48CC" w:rsidRPr="00BF2C3C" w:rsidRDefault="004B48CC" w:rsidP="004B48CC">
      <w:pPr>
        <w:rPr>
          <w:rFonts w:ascii="Arial" w:hAnsi="Arial" w:cs="Arial"/>
          <w:b/>
          <w:bCs/>
          <w:i/>
          <w:szCs w:val="24"/>
        </w:rPr>
      </w:pPr>
      <w:r>
        <w:rPr>
          <w:rFonts w:ascii="Arial" w:hAnsi="Arial" w:cs="Arial"/>
          <w:b/>
          <w:i/>
          <w:szCs w:val="24"/>
        </w:rPr>
        <w:t xml:space="preserve">4. </w:t>
      </w:r>
      <w:r w:rsidRPr="00D66308">
        <w:rPr>
          <w:rFonts w:ascii="Arial" w:hAnsi="Arial" w:cs="Arial"/>
          <w:b/>
          <w:bCs/>
          <w:i/>
          <w:szCs w:val="24"/>
        </w:rPr>
        <w:t>Proportionality (s 28 (2) (e))</w:t>
      </w:r>
    </w:p>
    <w:p w14:paraId="330F35E7" w14:textId="109131FE" w:rsidR="00FA2728" w:rsidRDefault="00FA2728" w:rsidP="00FA2728">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Th</w:t>
      </w:r>
      <w:r w:rsidR="0066079B">
        <w:rPr>
          <w:rFonts w:ascii="Arial" w:hAnsi="Arial" w:cs="Arial"/>
          <w:color w:val="000000"/>
        </w:rPr>
        <w:t>ese</w:t>
      </w:r>
      <w:r>
        <w:rPr>
          <w:rFonts w:ascii="Arial" w:hAnsi="Arial" w:cs="Arial"/>
          <w:color w:val="000000"/>
        </w:rPr>
        <w:t xml:space="preserve"> limitation</w:t>
      </w:r>
      <w:r w:rsidR="0066079B">
        <w:rPr>
          <w:rFonts w:ascii="Arial" w:hAnsi="Arial" w:cs="Arial"/>
          <w:color w:val="000000"/>
        </w:rPr>
        <w:t>s</w:t>
      </w:r>
      <w:r>
        <w:rPr>
          <w:rFonts w:ascii="Arial" w:hAnsi="Arial" w:cs="Arial"/>
          <w:color w:val="000000"/>
        </w:rPr>
        <w:t xml:space="preserve"> on victims’ right</w:t>
      </w:r>
      <w:r w:rsidR="0066079B">
        <w:rPr>
          <w:rFonts w:ascii="Arial" w:hAnsi="Arial" w:cs="Arial"/>
          <w:color w:val="000000"/>
        </w:rPr>
        <w:t>s</w:t>
      </w:r>
      <w:r>
        <w:rPr>
          <w:rFonts w:ascii="Arial" w:hAnsi="Arial" w:cs="Arial"/>
          <w:color w:val="000000"/>
        </w:rPr>
        <w:t xml:space="preserve"> is the least restrictive necessary to </w:t>
      </w:r>
      <w:r w:rsidR="0066079B">
        <w:rPr>
          <w:rFonts w:ascii="Arial" w:hAnsi="Arial" w:cs="Arial"/>
          <w:color w:val="000000"/>
        </w:rPr>
        <w:t>support the policy objective of the Bill to raise</w:t>
      </w:r>
      <w:r>
        <w:rPr>
          <w:rFonts w:ascii="Arial" w:hAnsi="Arial" w:cs="Arial"/>
          <w:color w:val="000000"/>
        </w:rPr>
        <w:t xml:space="preserve"> the MACR to </w:t>
      </w:r>
      <w:r w:rsidR="0066079B">
        <w:rPr>
          <w:rFonts w:ascii="Arial" w:hAnsi="Arial" w:cs="Arial"/>
          <w:color w:val="000000"/>
        </w:rPr>
        <w:t>14 years old</w:t>
      </w:r>
      <w:r>
        <w:rPr>
          <w:rFonts w:ascii="Arial" w:hAnsi="Arial" w:cs="Arial"/>
          <w:color w:val="000000"/>
        </w:rPr>
        <w:t xml:space="preserve">. The rights of victims in relation to the criminal justice system can no longer be given effect to in the same way because there will no longer be a criminal justice response to the harmful behaviour of children and young people under </w:t>
      </w:r>
      <w:r w:rsidR="00014498">
        <w:rPr>
          <w:rFonts w:ascii="Arial" w:hAnsi="Arial" w:cs="Arial"/>
          <w:color w:val="000000"/>
        </w:rPr>
        <w:t>the MACR</w:t>
      </w:r>
      <w:r>
        <w:rPr>
          <w:rFonts w:ascii="Arial" w:hAnsi="Arial" w:cs="Arial"/>
          <w:color w:val="000000"/>
        </w:rPr>
        <w:t xml:space="preserve"> for most offences. The response to this cohort is so that these children and young people will receive intensive support and therapy to address harmful behaviours, with the aim of reducing such behaviour and ultimately keeping our community safer. </w:t>
      </w:r>
    </w:p>
    <w:p w14:paraId="69939E74" w14:textId="249AF8A2" w:rsidR="00FA2728" w:rsidRDefault="00FA2728" w:rsidP="00FA2728">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While a criminal justice response will no longer occur, there will still be mechanisms to recognise harm to victims including the right to an effective remedy and the right to security of person under the HR</w:t>
      </w:r>
      <w:r w:rsidR="00BA5522">
        <w:rPr>
          <w:rFonts w:ascii="Arial" w:hAnsi="Arial" w:cs="Arial"/>
          <w:color w:val="000000"/>
        </w:rPr>
        <w:t>A</w:t>
      </w:r>
      <w:r>
        <w:rPr>
          <w:rFonts w:ascii="Arial" w:hAnsi="Arial" w:cs="Arial"/>
          <w:color w:val="000000"/>
        </w:rPr>
        <w:t xml:space="preserve">. These rights remain protected through </w:t>
      </w:r>
      <w:r>
        <w:rPr>
          <w:rFonts w:ascii="Arial" w:hAnsi="Arial" w:cs="Arial"/>
          <w:color w:val="000000"/>
        </w:rPr>
        <w:lastRenderedPageBreak/>
        <w:t>the alternative pathways to respond to harmful behaviour by children and young people under the MACR. This includes the Therapeutic Support Panel for children and young people, which is created by th</w:t>
      </w:r>
      <w:r w:rsidR="00014498">
        <w:rPr>
          <w:rFonts w:ascii="Arial" w:hAnsi="Arial" w:cs="Arial"/>
          <w:color w:val="000000"/>
        </w:rPr>
        <w:t>e</w:t>
      </w:r>
      <w:r>
        <w:rPr>
          <w:rFonts w:ascii="Arial" w:hAnsi="Arial" w:cs="Arial"/>
          <w:color w:val="000000"/>
        </w:rPr>
        <w:t xml:space="preserve"> Bill.</w:t>
      </w:r>
    </w:p>
    <w:p w14:paraId="5F32C98A" w14:textId="77777777" w:rsidR="00FA2728" w:rsidRDefault="00FA2728" w:rsidP="00FA2728">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Victims of harmful behaviour are also entitled to make a harm statement to the Therapeutic Support Panel explaining the impact of the harmful behaviour on them. The panel must take any harm statement made by the victim into account when exercising its functions. The Therapeutic Support Panel or the Victims of Crime Commissioner may disclose information about a child or young person responsible for harmful behaviour to the victim of the behaviour where it is appropriate in the circumstances. For example, this could allow a victim to receive certain information about a child and young person’s therapy plan.</w:t>
      </w:r>
    </w:p>
    <w:p w14:paraId="3A6AA792" w14:textId="2C81C4CD" w:rsidR="00FA2728" w:rsidRDefault="00FA2728" w:rsidP="00FA2728">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 xml:space="preserve">A victim of a child or young person’s harmful behaviour (even where that child </w:t>
      </w:r>
      <w:r w:rsidR="00F23427">
        <w:rPr>
          <w:rFonts w:ascii="Arial" w:hAnsi="Arial" w:cs="Arial"/>
          <w:color w:val="000000"/>
        </w:rPr>
        <w:t>or</w:t>
      </w:r>
      <w:r>
        <w:rPr>
          <w:rFonts w:ascii="Arial" w:hAnsi="Arial" w:cs="Arial"/>
          <w:color w:val="000000"/>
        </w:rPr>
        <w:t xml:space="preserve"> young person is under the age of the raised MACR) will still be able to apply for assistance under the </w:t>
      </w:r>
      <w:r>
        <w:rPr>
          <w:rFonts w:ascii="Arial" w:hAnsi="Arial" w:cs="Arial"/>
          <w:i/>
          <w:iCs/>
          <w:color w:val="000000"/>
        </w:rPr>
        <w:t>Victims of Crime (Financial Assistance) Act 2016</w:t>
      </w:r>
      <w:r>
        <w:rPr>
          <w:rFonts w:ascii="Arial" w:hAnsi="Arial" w:cs="Arial"/>
          <w:color w:val="000000"/>
        </w:rPr>
        <w:t xml:space="preserve"> for support in </w:t>
      </w:r>
      <w:r w:rsidR="00F23427">
        <w:rPr>
          <w:rFonts w:ascii="Arial" w:hAnsi="Arial" w:cs="Arial"/>
          <w:color w:val="000000"/>
        </w:rPr>
        <w:t xml:space="preserve">recognition of </w:t>
      </w:r>
      <w:r>
        <w:rPr>
          <w:rFonts w:ascii="Arial" w:hAnsi="Arial" w:cs="Arial"/>
          <w:color w:val="000000"/>
        </w:rPr>
        <w:t>the harm they have suffered and access support through the Victim Support Scheme (under the </w:t>
      </w:r>
      <w:r>
        <w:rPr>
          <w:rFonts w:ascii="Arial" w:hAnsi="Arial" w:cs="Arial"/>
          <w:i/>
          <w:iCs/>
          <w:color w:val="000000"/>
        </w:rPr>
        <w:t>Victims of Crime Act 1994</w:t>
      </w:r>
      <w:r>
        <w:rPr>
          <w:rFonts w:ascii="Arial" w:hAnsi="Arial" w:cs="Arial"/>
          <w:color w:val="000000"/>
        </w:rPr>
        <w:t>). </w:t>
      </w:r>
    </w:p>
    <w:p w14:paraId="28AB7038" w14:textId="00D5E198" w:rsidR="00FA2728" w:rsidRDefault="00FA2728" w:rsidP="00FA2728">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In addition, a child or young person under the MACR who harms a victim will be eligible for referral to restorative justice conferencing under the </w:t>
      </w:r>
      <w:r>
        <w:rPr>
          <w:rFonts w:ascii="Arial" w:hAnsi="Arial" w:cs="Arial"/>
          <w:i/>
          <w:iCs/>
          <w:color w:val="000000"/>
        </w:rPr>
        <w:t>Crimes (Restorative Justice) Act 2004</w:t>
      </w:r>
      <w:r>
        <w:rPr>
          <w:rFonts w:ascii="Arial" w:hAnsi="Arial" w:cs="Arial"/>
          <w:color w:val="000000"/>
        </w:rPr>
        <w:t>. While ordinarily restorative justice conferencing would be available as an alternative to criminal justice processes, in appropriate cases restorative justice could provide a supplementary way of encouraging responsibility taking, repairing damaged relationships and supporting those who have been harmed alongside therapeutic interventions. Participation in a restorative justice process would be voluntary and only with the agreement of the child or young person (see proposed section 19(1)(b) of the </w:t>
      </w:r>
      <w:r>
        <w:rPr>
          <w:rFonts w:ascii="Arial" w:hAnsi="Arial" w:cs="Arial"/>
          <w:i/>
          <w:iCs/>
          <w:color w:val="000000"/>
        </w:rPr>
        <w:t>Crimes (Restorative Justice</w:t>
      </w:r>
      <w:r w:rsidR="00CE7EF3">
        <w:rPr>
          <w:rFonts w:ascii="Arial" w:hAnsi="Arial" w:cs="Arial"/>
          <w:i/>
          <w:iCs/>
          <w:color w:val="000000"/>
        </w:rPr>
        <w:t>)</w:t>
      </w:r>
      <w:r>
        <w:rPr>
          <w:rFonts w:ascii="Arial" w:hAnsi="Arial" w:cs="Arial"/>
          <w:i/>
          <w:iCs/>
          <w:color w:val="000000"/>
        </w:rPr>
        <w:t xml:space="preserve"> Act 2004</w:t>
      </w:r>
      <w:r>
        <w:rPr>
          <w:rFonts w:ascii="Arial" w:hAnsi="Arial" w:cs="Arial"/>
          <w:color w:val="000000"/>
        </w:rPr>
        <w:t>).</w:t>
      </w:r>
    </w:p>
    <w:p w14:paraId="53FCE890" w14:textId="1FF3C500" w:rsidR="00FA2728" w:rsidRDefault="00FA2728" w:rsidP="00FA2728">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Furthermore, police officers will retain all their current powers with respect to intervening in circumstances where there may be a risk of harm to a person, to protect life and security of person, including their powers to arrest and detain a child or young person who is under the revised MACR. Any arrest or detention of such a young person will not result in any criminal justice action. A young person may be returned to their parents or their place of residence where appropriate or otherwise referred to an appropriate service.</w:t>
      </w:r>
    </w:p>
    <w:p w14:paraId="7532FE0B" w14:textId="7F84D6A1" w:rsidR="000E187E" w:rsidRPr="00BF2C3C" w:rsidRDefault="00FA2728" w:rsidP="00BF2C3C">
      <w:pPr>
        <w:pStyle w:val="NormalWeb"/>
        <w:shd w:val="clear" w:color="auto" w:fill="FFFFFF"/>
        <w:spacing w:before="0" w:beforeAutospacing="0" w:after="200" w:afterAutospacing="0" w:line="276" w:lineRule="atLeast"/>
        <w:rPr>
          <w:rFonts w:ascii="Calibri" w:hAnsi="Calibri" w:cs="Calibri"/>
          <w:color w:val="000000"/>
        </w:rPr>
      </w:pPr>
      <w:r>
        <w:rPr>
          <w:rFonts w:ascii="Arial" w:hAnsi="Arial" w:cs="Arial"/>
          <w:color w:val="000000"/>
        </w:rPr>
        <w:t>In particular, the Bill provides that police officers can refer a child or young person to the Therapeutic Support Panel for children and young people who can make recommendations to the Director-General of the Community Services Directorate about whether to apply for an Intensive Therapy Order (an ITO). Under an ITO, the Childrens Court is empowered to order that the child or young person be subject to conditions the Court considers necessary to prevent the child or young person from engaging in harmful conduct (section 532). The Childrens Court is also empowered to order under an ITO that a child or young person be confined at an Intensive Therapy Place (ITP). The operating entity for an ITP may detain a child or young person to prevent them from causing harm to themselves or to someone else (section 592).</w:t>
      </w:r>
    </w:p>
    <w:p w14:paraId="6ED3FA22" w14:textId="6B4F8963" w:rsidR="00B55BED" w:rsidRPr="00050F68" w:rsidRDefault="00B55BED" w:rsidP="00D24E3B">
      <w:pPr>
        <w:rPr>
          <w:rFonts w:ascii="Arial" w:hAnsi="Arial" w:cs="Arial"/>
          <w:szCs w:val="24"/>
          <w:lang w:eastAsia="en-AU"/>
        </w:rPr>
      </w:pPr>
      <w:r w:rsidRPr="00050F68">
        <w:rPr>
          <w:rFonts w:ascii="Arial" w:hAnsi="Arial" w:cs="Arial"/>
          <w:szCs w:val="24"/>
          <w:lang w:eastAsia="en-AU"/>
        </w:rPr>
        <w:br w:type="page"/>
      </w:r>
    </w:p>
    <w:p w14:paraId="17FDD1FD" w14:textId="2C9FE532" w:rsidR="00B55BED" w:rsidRPr="00050F68" w:rsidRDefault="00B55BED">
      <w:pPr>
        <w:spacing w:after="0" w:line="240" w:lineRule="auto"/>
        <w:rPr>
          <w:rFonts w:ascii="Arial" w:hAnsi="Arial" w:cs="Arial"/>
          <w:b/>
          <w:bCs/>
          <w:szCs w:val="24"/>
          <w:lang w:eastAsia="en-AU"/>
        </w:rPr>
      </w:pPr>
    </w:p>
    <w:p w14:paraId="54F2A35E" w14:textId="5363BDA9" w:rsidR="00702566" w:rsidRDefault="00491998" w:rsidP="00D21B72">
      <w:pPr>
        <w:keepNext/>
        <w:autoSpaceDE w:val="0"/>
        <w:autoSpaceDN w:val="0"/>
        <w:adjustRightInd w:val="0"/>
        <w:spacing w:before="240" w:after="120"/>
        <w:jc w:val="center"/>
        <w:rPr>
          <w:rFonts w:ascii="Arial" w:hAnsi="Arial" w:cs="Arial"/>
          <w:b/>
          <w:bCs/>
          <w:szCs w:val="24"/>
          <w:lang w:eastAsia="en-AU"/>
        </w:rPr>
      </w:pPr>
      <w:r>
        <w:rPr>
          <w:rFonts w:ascii="Arial" w:hAnsi="Arial" w:cs="Arial"/>
          <w:b/>
          <w:bCs/>
          <w:szCs w:val="24"/>
          <w:lang w:eastAsia="en-AU"/>
        </w:rPr>
        <w:t>Justice (Age of Criminal Responsibility) Legislation Amendment Bill 2023</w:t>
      </w:r>
    </w:p>
    <w:p w14:paraId="346FCE5E" w14:textId="0F68D285" w:rsidR="00491998" w:rsidRPr="00050F68" w:rsidRDefault="00491998" w:rsidP="00D21B72">
      <w:pPr>
        <w:keepNext/>
        <w:autoSpaceDE w:val="0"/>
        <w:autoSpaceDN w:val="0"/>
        <w:adjustRightInd w:val="0"/>
        <w:spacing w:before="240" w:after="120"/>
        <w:jc w:val="center"/>
        <w:rPr>
          <w:rFonts w:ascii="Arial" w:hAnsi="Arial" w:cs="Arial"/>
          <w:b/>
          <w:bCs/>
          <w:szCs w:val="24"/>
          <w:lang w:eastAsia="en-AU"/>
        </w:rPr>
      </w:pPr>
      <w:r>
        <w:rPr>
          <w:rFonts w:ascii="Arial" w:hAnsi="Arial" w:cs="Arial"/>
          <w:b/>
          <w:bCs/>
          <w:szCs w:val="24"/>
          <w:lang w:eastAsia="en-AU"/>
        </w:rPr>
        <w:t>Government Amendments</w:t>
      </w:r>
    </w:p>
    <w:p w14:paraId="7B72276F" w14:textId="77777777" w:rsidR="00702566" w:rsidRPr="00050F68" w:rsidRDefault="00702566" w:rsidP="00A363CB">
      <w:pPr>
        <w:pStyle w:val="Title"/>
        <w:spacing w:before="240" w:after="120"/>
        <w:rPr>
          <w:rFonts w:ascii="Arial" w:hAnsi="Arial" w:cs="Arial"/>
          <w:sz w:val="24"/>
          <w:szCs w:val="24"/>
          <w:lang w:eastAsia="en-AU"/>
        </w:rPr>
      </w:pPr>
      <w:bookmarkStart w:id="5" w:name="_Toc426711261"/>
      <w:bookmarkStart w:id="6" w:name="_Toc429052824"/>
      <w:bookmarkStart w:id="7" w:name="_Toc146808596"/>
      <w:r w:rsidRPr="00050F68">
        <w:rPr>
          <w:rFonts w:ascii="Arial" w:hAnsi="Arial" w:cs="Arial"/>
          <w:sz w:val="24"/>
          <w:szCs w:val="24"/>
          <w:lang w:eastAsia="en-AU"/>
        </w:rPr>
        <w:t>Detail</w:t>
      </w:r>
      <w:bookmarkEnd w:id="5"/>
      <w:bookmarkEnd w:id="6"/>
      <w:bookmarkEnd w:id="7"/>
    </w:p>
    <w:p w14:paraId="6E895CE1" w14:textId="0967CA36" w:rsidR="003B0D88" w:rsidRPr="00050F68" w:rsidRDefault="003B0D88" w:rsidP="003B0D88">
      <w:pPr>
        <w:pStyle w:val="Heading4"/>
        <w:rPr>
          <w:rFonts w:ascii="Arial" w:hAnsi="Arial" w:cs="Arial"/>
          <w:bCs/>
          <w:lang w:eastAsia="en-AU"/>
        </w:rPr>
      </w:pPr>
      <w:bookmarkStart w:id="8" w:name="_Preamble"/>
      <w:bookmarkEnd w:id="8"/>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Pr="00050F68">
        <w:rPr>
          <w:rFonts w:ascii="Arial" w:hAnsi="Arial" w:cs="Arial"/>
          <w:noProof/>
        </w:rPr>
        <w:t>1</w:t>
      </w:r>
      <w:r w:rsidRPr="00050F68">
        <w:rPr>
          <w:rFonts w:ascii="Arial" w:hAnsi="Arial" w:cs="Arial"/>
        </w:rPr>
        <w:fldChar w:fldCharType="end"/>
      </w:r>
      <w:r w:rsidRPr="00050F68">
        <w:rPr>
          <w:rFonts w:ascii="Arial" w:hAnsi="Arial" w:cs="Arial"/>
          <w:bCs/>
          <w:lang w:eastAsia="en-AU"/>
        </w:rPr>
        <w:t xml:space="preserve"> — </w:t>
      </w:r>
      <w:r>
        <w:rPr>
          <w:rFonts w:ascii="Arial" w:hAnsi="Arial" w:cs="Arial"/>
          <w:bCs/>
          <w:lang w:eastAsia="en-AU"/>
        </w:rPr>
        <w:t>Clause 2</w:t>
      </w:r>
      <w:r w:rsidR="008631D5">
        <w:rPr>
          <w:rFonts w:ascii="Arial" w:hAnsi="Arial" w:cs="Arial"/>
          <w:bCs/>
          <w:lang w:eastAsia="en-AU"/>
        </w:rPr>
        <w:t xml:space="preserve"> </w:t>
      </w:r>
      <w:r>
        <w:rPr>
          <w:rFonts w:ascii="Arial" w:hAnsi="Arial" w:cs="Arial"/>
          <w:bCs/>
          <w:lang w:eastAsia="en-AU"/>
        </w:rPr>
        <w:t xml:space="preserve">Page 2, line </w:t>
      </w:r>
      <w:r w:rsidR="00DA5BFE">
        <w:rPr>
          <w:rFonts w:ascii="Arial" w:hAnsi="Arial" w:cs="Arial"/>
          <w:bCs/>
          <w:lang w:eastAsia="en-AU"/>
        </w:rPr>
        <w:t>5</w:t>
      </w:r>
    </w:p>
    <w:p w14:paraId="10C8FA0D" w14:textId="77777777" w:rsidR="002A398E" w:rsidRDefault="003B0D88" w:rsidP="003B0D88">
      <w:pPr>
        <w:keepNext/>
        <w:autoSpaceDE w:val="0"/>
        <w:autoSpaceDN w:val="0"/>
        <w:adjustRightInd w:val="0"/>
        <w:spacing w:before="240" w:after="120"/>
        <w:rPr>
          <w:rFonts w:ascii="Arial" w:hAnsi="Arial" w:cs="Arial"/>
          <w:szCs w:val="24"/>
          <w:lang w:eastAsia="en-AU"/>
        </w:rPr>
      </w:pPr>
      <w:r>
        <w:rPr>
          <w:rFonts w:ascii="Arial" w:hAnsi="Arial" w:cs="Arial"/>
          <w:szCs w:val="24"/>
          <w:lang w:eastAsia="en-AU"/>
        </w:rPr>
        <w:t xml:space="preserve">This </w:t>
      </w:r>
      <w:r w:rsidR="00DA5BFE">
        <w:rPr>
          <w:rFonts w:ascii="Arial" w:hAnsi="Arial" w:cs="Arial"/>
          <w:szCs w:val="24"/>
          <w:lang w:eastAsia="en-AU"/>
        </w:rPr>
        <w:t>amendment</w:t>
      </w:r>
      <w:r>
        <w:rPr>
          <w:rFonts w:ascii="Arial" w:hAnsi="Arial" w:cs="Arial"/>
          <w:szCs w:val="24"/>
          <w:lang w:eastAsia="en-AU"/>
        </w:rPr>
        <w:t xml:space="preserve"> </w:t>
      </w:r>
      <w:r w:rsidR="00DA5BFE">
        <w:rPr>
          <w:rFonts w:ascii="Arial" w:hAnsi="Arial" w:cs="Arial"/>
          <w:szCs w:val="24"/>
          <w:lang w:eastAsia="en-AU"/>
        </w:rPr>
        <w:t>omits clause 2 of the Bill and includes a new commencement provision. The new commencement provision for the Bill details that the Act, other than the provisions mentioned in subsection (2) and (3) commences on the 7</w:t>
      </w:r>
      <w:r w:rsidR="00DA5BFE" w:rsidRPr="00DA5BFE">
        <w:rPr>
          <w:rFonts w:ascii="Arial" w:hAnsi="Arial" w:cs="Arial"/>
          <w:szCs w:val="24"/>
          <w:vertAlign w:val="superscript"/>
          <w:lang w:eastAsia="en-AU"/>
        </w:rPr>
        <w:t>th</w:t>
      </w:r>
      <w:r w:rsidR="00DA5BFE">
        <w:rPr>
          <w:rFonts w:ascii="Arial" w:hAnsi="Arial" w:cs="Arial"/>
          <w:szCs w:val="24"/>
          <w:lang w:eastAsia="en-AU"/>
        </w:rPr>
        <w:t xml:space="preserve"> day after its notification. </w:t>
      </w:r>
    </w:p>
    <w:p w14:paraId="27C6AFB3" w14:textId="570909C7" w:rsidR="00DA5BFE" w:rsidRDefault="00DA5BFE" w:rsidP="003B0D88">
      <w:pPr>
        <w:keepNext/>
        <w:autoSpaceDE w:val="0"/>
        <w:autoSpaceDN w:val="0"/>
        <w:adjustRightInd w:val="0"/>
        <w:spacing w:before="240" w:after="120"/>
        <w:rPr>
          <w:rFonts w:ascii="Arial" w:hAnsi="Arial" w:cs="Arial"/>
          <w:szCs w:val="24"/>
          <w:lang w:eastAsia="en-AU"/>
        </w:rPr>
      </w:pPr>
      <w:r>
        <w:rPr>
          <w:rFonts w:ascii="Arial" w:hAnsi="Arial" w:cs="Arial"/>
          <w:szCs w:val="24"/>
          <w:lang w:eastAsia="en-AU"/>
        </w:rPr>
        <w:t xml:space="preserve">Subsection 2 provides that Parts 2, 4, 10 (other than section 130 and 131) and schedule 1 commence on 27 March 2024 or </w:t>
      </w:r>
      <w:r w:rsidR="002A398E">
        <w:rPr>
          <w:rFonts w:ascii="Arial" w:hAnsi="Arial" w:cs="Arial"/>
          <w:szCs w:val="24"/>
          <w:lang w:eastAsia="en-AU"/>
        </w:rPr>
        <w:t xml:space="preserve">if </w:t>
      </w:r>
      <w:r>
        <w:rPr>
          <w:rFonts w:ascii="Arial" w:hAnsi="Arial" w:cs="Arial"/>
          <w:szCs w:val="24"/>
          <w:lang w:eastAsia="en-AU"/>
        </w:rPr>
        <w:t>before 27 March 2024</w:t>
      </w:r>
      <w:r w:rsidR="002A398E">
        <w:rPr>
          <w:rFonts w:ascii="Arial" w:hAnsi="Arial" w:cs="Arial"/>
          <w:szCs w:val="24"/>
          <w:lang w:eastAsia="en-AU"/>
        </w:rPr>
        <w:t xml:space="preserve">, a date fixed by written notice of the Minister. The provisions relating to raising the age of criminal responsibility to 14 years, continue to commence from 1 July 2025. </w:t>
      </w:r>
    </w:p>
    <w:p w14:paraId="141AFA77" w14:textId="6DC53602" w:rsidR="00702566" w:rsidRPr="00C36D28" w:rsidRDefault="00C71A66" w:rsidP="00C07F8C">
      <w:pPr>
        <w:pStyle w:val="Heading4"/>
        <w:rPr>
          <w:rFonts w:ascii="Arial" w:hAnsi="Arial" w:cs="Arial"/>
          <w:bCs/>
          <w:lang w:eastAsia="en-AU"/>
        </w:rPr>
      </w:pPr>
      <w:r w:rsidRPr="00C36D28">
        <w:rPr>
          <w:rFonts w:ascii="Arial" w:hAnsi="Arial" w:cs="Arial"/>
        </w:rPr>
        <w:t xml:space="preserve">Clause </w:t>
      </w:r>
      <w:r w:rsidR="00E802DE" w:rsidRPr="00C36D28">
        <w:rPr>
          <w:rFonts w:ascii="Arial" w:hAnsi="Arial" w:cs="Arial"/>
        </w:rPr>
        <w:fldChar w:fldCharType="begin"/>
      </w:r>
      <w:r w:rsidR="00E802DE" w:rsidRPr="00C36D28">
        <w:rPr>
          <w:rFonts w:ascii="Arial" w:hAnsi="Arial" w:cs="Arial"/>
        </w:rPr>
        <w:instrText xml:space="preserve"> SEQ Clause \* ARABIC </w:instrText>
      </w:r>
      <w:r w:rsidR="00E802DE" w:rsidRPr="00C36D28">
        <w:rPr>
          <w:rFonts w:ascii="Arial" w:hAnsi="Arial" w:cs="Arial"/>
        </w:rPr>
        <w:fldChar w:fldCharType="separate"/>
      </w:r>
      <w:r w:rsidR="00E802DE">
        <w:rPr>
          <w:rFonts w:ascii="Arial" w:hAnsi="Arial" w:cs="Arial"/>
          <w:noProof/>
        </w:rPr>
        <w:t>2</w:t>
      </w:r>
      <w:r w:rsidR="00E802DE" w:rsidRPr="00C36D28">
        <w:rPr>
          <w:rFonts w:ascii="Arial" w:hAnsi="Arial" w:cs="Arial"/>
        </w:rPr>
        <w:fldChar w:fldCharType="end"/>
      </w:r>
      <w:r w:rsidRPr="00C36D28">
        <w:rPr>
          <w:rFonts w:ascii="Arial" w:hAnsi="Arial" w:cs="Arial"/>
          <w:bCs/>
          <w:lang w:eastAsia="en-AU"/>
        </w:rPr>
        <w:t xml:space="preserve"> </w:t>
      </w:r>
      <w:r w:rsidR="00702566" w:rsidRPr="00C36D28">
        <w:rPr>
          <w:rFonts w:ascii="Arial" w:hAnsi="Arial" w:cs="Arial"/>
          <w:bCs/>
          <w:lang w:eastAsia="en-AU"/>
        </w:rPr>
        <w:t xml:space="preserve">— </w:t>
      </w:r>
      <w:r w:rsidR="0024707B" w:rsidRPr="00C36D28">
        <w:rPr>
          <w:rFonts w:ascii="Arial" w:hAnsi="Arial" w:cs="Arial"/>
          <w:bCs/>
          <w:lang w:eastAsia="en-AU"/>
        </w:rPr>
        <w:t>Proposed new clauses 6A and 6B Page 5, line 7</w:t>
      </w:r>
    </w:p>
    <w:p w14:paraId="7AC7A1F7" w14:textId="77777777" w:rsidR="00C36D28" w:rsidRPr="00C36D28" w:rsidRDefault="00C36D28" w:rsidP="00C36D28">
      <w:pPr>
        <w:rPr>
          <w:rFonts w:ascii="Arial" w:hAnsi="Arial" w:cs="Arial"/>
          <w:szCs w:val="24"/>
        </w:rPr>
      </w:pPr>
      <w:r w:rsidRPr="00C36D28">
        <w:rPr>
          <w:rFonts w:ascii="Arial" w:hAnsi="Arial" w:cs="Arial"/>
          <w:szCs w:val="24"/>
        </w:rPr>
        <w:t xml:space="preserve">This amends the definition of ‘young offender’ in section 114 of the </w:t>
      </w:r>
      <w:r w:rsidRPr="00C36D28">
        <w:rPr>
          <w:rFonts w:ascii="Arial" w:hAnsi="Arial" w:cs="Arial"/>
          <w:i/>
          <w:iCs/>
          <w:szCs w:val="24"/>
        </w:rPr>
        <w:t>Children and Young People Act 2008</w:t>
      </w:r>
      <w:r w:rsidRPr="00C36D28">
        <w:rPr>
          <w:rFonts w:ascii="Arial" w:hAnsi="Arial" w:cs="Arial"/>
          <w:szCs w:val="24"/>
        </w:rPr>
        <w:t xml:space="preserve"> (CYP Act), inserting a new paragraph (b). This new paragraph confirms a young offender is someone aged under 18 years when the offence was committed, but not under the MACR. </w:t>
      </w:r>
    </w:p>
    <w:p w14:paraId="579D6788" w14:textId="77777777" w:rsidR="00C36D28" w:rsidRPr="00C36D28" w:rsidRDefault="00C36D28" w:rsidP="00C36D28">
      <w:pPr>
        <w:rPr>
          <w:rFonts w:ascii="Arial" w:hAnsi="Arial" w:cs="Arial"/>
          <w:szCs w:val="24"/>
        </w:rPr>
      </w:pPr>
      <w:r w:rsidRPr="00C36D28">
        <w:rPr>
          <w:rFonts w:ascii="Arial" w:hAnsi="Arial" w:cs="Arial"/>
          <w:szCs w:val="24"/>
        </w:rPr>
        <w:t xml:space="preserve">The amendment also adds a new section 114(2), which defines ‘under the age of criminal responsibility’. </w:t>
      </w:r>
    </w:p>
    <w:p w14:paraId="4C99AE56" w14:textId="77777777" w:rsidR="00C36D28" w:rsidRPr="00C36D28" w:rsidRDefault="00C36D28" w:rsidP="00C36D28">
      <w:pPr>
        <w:rPr>
          <w:rFonts w:ascii="Arial" w:hAnsi="Arial" w:cs="Arial"/>
          <w:szCs w:val="24"/>
        </w:rPr>
      </w:pPr>
      <w:r w:rsidRPr="00C36D28">
        <w:rPr>
          <w:rFonts w:ascii="Arial" w:hAnsi="Arial" w:cs="Arial"/>
          <w:szCs w:val="24"/>
        </w:rPr>
        <w:t xml:space="preserve">This definition of ‘young offender’ only applies to part 5.2 of the CYP Act, which deals with interstate transfers. This clarifies that the ACT will not make transfer arrangements with other jurisdictions for individuals who are subject to orders in relation to an offence they committed in another jurisdiction when under the MACR. </w:t>
      </w:r>
    </w:p>
    <w:p w14:paraId="3EC20297" w14:textId="77777777" w:rsidR="00C36D28" w:rsidRPr="00C36D28" w:rsidRDefault="00C36D28" w:rsidP="00C36D28">
      <w:pPr>
        <w:rPr>
          <w:rFonts w:ascii="Arial" w:hAnsi="Arial" w:cs="Arial"/>
          <w:b/>
          <w:bCs/>
          <w:szCs w:val="24"/>
        </w:rPr>
      </w:pPr>
      <w:r w:rsidRPr="00C36D28">
        <w:rPr>
          <w:rFonts w:ascii="Arial" w:hAnsi="Arial" w:cs="Arial"/>
          <w:szCs w:val="24"/>
        </w:rPr>
        <w:t xml:space="preserve">The purpose of the amendment is to ensure consistency in the treatment of all young people under the MACR, ensuring the same approach applies to current ACT residents and those who move to the Territory. </w:t>
      </w:r>
    </w:p>
    <w:p w14:paraId="3993F63F" w14:textId="41B5D400" w:rsidR="00702566" w:rsidRPr="00C36D28" w:rsidRDefault="00C71A66" w:rsidP="00C07F8C">
      <w:pPr>
        <w:pStyle w:val="Heading4"/>
        <w:rPr>
          <w:rFonts w:ascii="Arial" w:hAnsi="Arial" w:cs="Arial"/>
          <w:bCs/>
          <w:lang w:eastAsia="en-AU"/>
        </w:rPr>
      </w:pPr>
      <w:r w:rsidRPr="00C36D28">
        <w:rPr>
          <w:rFonts w:ascii="Arial" w:hAnsi="Arial" w:cs="Arial"/>
        </w:rPr>
        <w:t xml:space="preserve">Clause </w:t>
      </w:r>
      <w:r w:rsidR="00326167" w:rsidRPr="00C36D28">
        <w:rPr>
          <w:rFonts w:ascii="Arial" w:hAnsi="Arial" w:cs="Arial"/>
        </w:rPr>
        <w:fldChar w:fldCharType="begin"/>
      </w:r>
      <w:r w:rsidRPr="00C36D28">
        <w:rPr>
          <w:rFonts w:ascii="Arial" w:hAnsi="Arial" w:cs="Arial"/>
        </w:rPr>
        <w:instrText xml:space="preserve"> SEQ Clause \* ARABIC </w:instrText>
      </w:r>
      <w:r w:rsidR="00326167" w:rsidRPr="00C36D28">
        <w:rPr>
          <w:rFonts w:ascii="Arial" w:hAnsi="Arial" w:cs="Arial"/>
        </w:rPr>
        <w:fldChar w:fldCharType="separate"/>
      </w:r>
      <w:r w:rsidR="00E802DE">
        <w:rPr>
          <w:rFonts w:ascii="Arial" w:hAnsi="Arial" w:cs="Arial"/>
          <w:noProof/>
        </w:rPr>
        <w:t>3</w:t>
      </w:r>
      <w:r w:rsidR="00326167" w:rsidRPr="00C36D28">
        <w:rPr>
          <w:rFonts w:ascii="Arial" w:hAnsi="Arial" w:cs="Arial"/>
        </w:rPr>
        <w:fldChar w:fldCharType="end"/>
      </w:r>
      <w:r w:rsidRPr="00C36D28">
        <w:rPr>
          <w:rFonts w:ascii="Arial" w:hAnsi="Arial" w:cs="Arial"/>
          <w:bCs/>
          <w:lang w:eastAsia="en-AU"/>
        </w:rPr>
        <w:t xml:space="preserve"> </w:t>
      </w:r>
      <w:r w:rsidR="00702566" w:rsidRPr="00C36D28">
        <w:rPr>
          <w:rFonts w:ascii="Arial" w:hAnsi="Arial" w:cs="Arial"/>
          <w:bCs/>
          <w:lang w:eastAsia="en-AU"/>
        </w:rPr>
        <w:t xml:space="preserve">— </w:t>
      </w:r>
      <w:r w:rsidR="00D06D09" w:rsidRPr="00C36D28">
        <w:rPr>
          <w:rFonts w:ascii="Arial" w:hAnsi="Arial" w:cs="Arial"/>
          <w:bCs/>
          <w:lang w:eastAsia="en-AU"/>
        </w:rPr>
        <w:t>Clause 10 Proposed new section 501E</w:t>
      </w:r>
      <w:r w:rsidR="008631D5" w:rsidRPr="00C36D28">
        <w:rPr>
          <w:rFonts w:ascii="Arial" w:hAnsi="Arial" w:cs="Arial"/>
          <w:bCs/>
          <w:lang w:eastAsia="en-AU"/>
        </w:rPr>
        <w:t xml:space="preserve"> </w:t>
      </w:r>
      <w:r w:rsidR="00D06D09" w:rsidRPr="00C36D28">
        <w:rPr>
          <w:rFonts w:ascii="Arial" w:hAnsi="Arial" w:cs="Arial"/>
          <w:bCs/>
          <w:lang w:eastAsia="en-AU"/>
        </w:rPr>
        <w:t>(2)</w:t>
      </w:r>
      <w:r w:rsidR="008631D5" w:rsidRPr="00C36D28">
        <w:rPr>
          <w:rFonts w:ascii="Arial" w:hAnsi="Arial" w:cs="Arial"/>
          <w:bCs/>
          <w:lang w:eastAsia="en-AU"/>
        </w:rPr>
        <w:t xml:space="preserve"> </w:t>
      </w:r>
      <w:r w:rsidR="00D06D09" w:rsidRPr="00C36D28">
        <w:rPr>
          <w:rFonts w:ascii="Arial" w:hAnsi="Arial" w:cs="Arial"/>
          <w:bCs/>
          <w:lang w:eastAsia="en-AU"/>
        </w:rPr>
        <w:t>(a)</w:t>
      </w:r>
      <w:r w:rsidR="008631D5" w:rsidRPr="00C36D28">
        <w:rPr>
          <w:rFonts w:ascii="Arial" w:hAnsi="Arial" w:cs="Arial"/>
          <w:bCs/>
          <w:lang w:eastAsia="en-AU"/>
        </w:rPr>
        <w:t xml:space="preserve"> </w:t>
      </w:r>
      <w:r w:rsidR="00D06D09" w:rsidRPr="00C36D28">
        <w:rPr>
          <w:rFonts w:ascii="Arial" w:hAnsi="Arial" w:cs="Arial"/>
          <w:bCs/>
          <w:lang w:eastAsia="en-AU"/>
        </w:rPr>
        <w:t>(va) Page 9, line 22</w:t>
      </w:r>
    </w:p>
    <w:p w14:paraId="13A6C1BE" w14:textId="77777777" w:rsidR="00C36D28" w:rsidRPr="00C36D28" w:rsidRDefault="00C36D28" w:rsidP="00C36D28">
      <w:pPr>
        <w:rPr>
          <w:rFonts w:ascii="Arial" w:hAnsi="Arial" w:cs="Arial"/>
          <w:szCs w:val="24"/>
        </w:rPr>
      </w:pPr>
      <w:r w:rsidRPr="00C36D28">
        <w:rPr>
          <w:rFonts w:ascii="Arial" w:hAnsi="Arial" w:cs="Arial"/>
          <w:szCs w:val="24"/>
        </w:rPr>
        <w:t xml:space="preserve">This clause adds an item to the list of qualifications, experience or expertise in section 501E(2)(a), which provides guidance on the appointment of Panel members. The Minister must be satisfied a person has expertise in one or more of the listed areas, in order to appoint them as a member of the Panel. The clause adds ‘working with culturally and linguistically diverse children and young people’ to the list. </w:t>
      </w:r>
    </w:p>
    <w:p w14:paraId="7F6360A6" w14:textId="77777777" w:rsidR="00C36D28" w:rsidRPr="00C36D28" w:rsidRDefault="00C36D28" w:rsidP="00C36D28">
      <w:pPr>
        <w:rPr>
          <w:rFonts w:ascii="Arial" w:hAnsi="Arial" w:cs="Arial"/>
          <w:szCs w:val="24"/>
        </w:rPr>
      </w:pPr>
      <w:r w:rsidRPr="00C36D28">
        <w:rPr>
          <w:rFonts w:ascii="Arial" w:hAnsi="Arial" w:cs="Arial"/>
          <w:szCs w:val="24"/>
        </w:rPr>
        <w:lastRenderedPageBreak/>
        <w:t xml:space="preserve">The purpose of this addition is to support the Panel’s ability to ensure the needs of culturally and linguistically diverse children and young people referred to the Panel are properly understood, so appropriate care can be provided. </w:t>
      </w:r>
    </w:p>
    <w:p w14:paraId="3E1BACD4" w14:textId="2443BC0F" w:rsidR="00C87B10" w:rsidRPr="00C36D28" w:rsidRDefault="00C87B10" w:rsidP="00C87B10">
      <w:pPr>
        <w:pStyle w:val="Heading4"/>
        <w:rPr>
          <w:rFonts w:ascii="Arial" w:hAnsi="Arial" w:cs="Arial"/>
          <w:bCs/>
          <w:lang w:eastAsia="en-AU"/>
        </w:rPr>
      </w:pPr>
      <w:r w:rsidRPr="00C36D28">
        <w:rPr>
          <w:rFonts w:ascii="Arial" w:hAnsi="Arial" w:cs="Arial"/>
        </w:rPr>
        <w:t xml:space="preserve">Clause </w:t>
      </w:r>
      <w:r w:rsidR="001A347D">
        <w:rPr>
          <w:rFonts w:ascii="Arial" w:hAnsi="Arial" w:cs="Arial"/>
        </w:rPr>
        <w:t>4</w:t>
      </w:r>
      <w:r w:rsidRPr="00C36D28">
        <w:rPr>
          <w:rFonts w:ascii="Arial" w:hAnsi="Arial" w:cs="Arial"/>
          <w:bCs/>
          <w:lang w:eastAsia="en-AU"/>
        </w:rPr>
        <w:t xml:space="preserve"> — </w:t>
      </w:r>
      <w:r w:rsidR="00D06D09" w:rsidRPr="00C36D28">
        <w:rPr>
          <w:rFonts w:ascii="Arial" w:hAnsi="Arial" w:cs="Arial"/>
          <w:bCs/>
          <w:lang w:eastAsia="en-AU"/>
        </w:rPr>
        <w:t>Clause 10 Proposed new section 501Q</w:t>
      </w:r>
      <w:r w:rsidR="008631D5" w:rsidRPr="00C36D28">
        <w:rPr>
          <w:rFonts w:ascii="Arial" w:hAnsi="Arial" w:cs="Arial"/>
          <w:bCs/>
          <w:lang w:eastAsia="en-AU"/>
        </w:rPr>
        <w:t xml:space="preserve"> </w:t>
      </w:r>
      <w:r w:rsidR="00D06D09" w:rsidRPr="00C36D28">
        <w:rPr>
          <w:rFonts w:ascii="Arial" w:hAnsi="Arial" w:cs="Arial"/>
          <w:bCs/>
          <w:lang w:eastAsia="en-AU"/>
        </w:rPr>
        <w:t xml:space="preserve">(1) Page 16, line </w:t>
      </w:r>
      <w:r w:rsidR="003B0D88" w:rsidRPr="00C36D28">
        <w:rPr>
          <w:rFonts w:ascii="Arial" w:hAnsi="Arial" w:cs="Arial"/>
          <w:bCs/>
          <w:lang w:eastAsia="en-AU"/>
        </w:rPr>
        <w:t>4</w:t>
      </w:r>
    </w:p>
    <w:p w14:paraId="362B6B0F" w14:textId="77777777" w:rsidR="00C36D28" w:rsidRPr="00C36D28" w:rsidRDefault="00C36D28" w:rsidP="00C36D28">
      <w:pPr>
        <w:rPr>
          <w:rFonts w:ascii="Arial" w:hAnsi="Arial" w:cs="Arial"/>
          <w:szCs w:val="24"/>
        </w:rPr>
      </w:pPr>
      <w:r w:rsidRPr="00C36D28">
        <w:rPr>
          <w:rFonts w:ascii="Arial" w:hAnsi="Arial" w:cs="Arial"/>
          <w:szCs w:val="24"/>
        </w:rPr>
        <w:t xml:space="preserve">This clause adds further grounds for an entity to refer a child or young person to the Panel. This covers circumstances where they are at risk of engaging in, or have engaged in, serious damage to property or the environment, cruelty to an animal, or any other serious or destructive behaviour. </w:t>
      </w:r>
    </w:p>
    <w:p w14:paraId="3AB6F85D" w14:textId="77777777" w:rsidR="00C36D28" w:rsidRPr="00C36D28" w:rsidRDefault="00C36D28" w:rsidP="00C36D28">
      <w:pPr>
        <w:rPr>
          <w:rFonts w:ascii="Arial" w:hAnsi="Arial" w:cs="Arial"/>
          <w:szCs w:val="24"/>
        </w:rPr>
      </w:pPr>
      <w:r w:rsidRPr="00C36D28">
        <w:rPr>
          <w:rFonts w:ascii="Arial" w:hAnsi="Arial" w:cs="Arial"/>
          <w:szCs w:val="24"/>
        </w:rPr>
        <w:t xml:space="preserve">The purpose of these amendments is to cover conduct that causes serious harm but is not directed at the child or young person themselves or another person. </w:t>
      </w:r>
    </w:p>
    <w:p w14:paraId="1DB5AA71" w14:textId="6836E83D" w:rsidR="00AC5B87" w:rsidRPr="00C36D28" w:rsidRDefault="00AC5B87" w:rsidP="00C07F8C">
      <w:pPr>
        <w:pStyle w:val="Heading4"/>
        <w:rPr>
          <w:rFonts w:ascii="Arial" w:hAnsi="Arial" w:cs="Arial"/>
          <w:lang w:eastAsia="en-AU"/>
        </w:rPr>
      </w:pPr>
      <w:r w:rsidRPr="00C36D28">
        <w:rPr>
          <w:rFonts w:ascii="Arial" w:hAnsi="Arial" w:cs="Arial"/>
        </w:rPr>
        <w:t xml:space="preserve">Clause </w:t>
      </w:r>
      <w:r w:rsidR="001A347D">
        <w:rPr>
          <w:rFonts w:ascii="Arial" w:hAnsi="Arial" w:cs="Arial"/>
        </w:rPr>
        <w:t>5</w:t>
      </w:r>
      <w:r w:rsidRPr="00C36D28">
        <w:rPr>
          <w:rFonts w:ascii="Arial" w:hAnsi="Arial" w:cs="Arial"/>
          <w:lang w:eastAsia="en-AU"/>
        </w:rPr>
        <w:t xml:space="preserve"> — </w:t>
      </w:r>
      <w:r w:rsidR="00D06D09" w:rsidRPr="00C36D28">
        <w:rPr>
          <w:rFonts w:ascii="Arial" w:hAnsi="Arial" w:cs="Arial"/>
          <w:lang w:eastAsia="en-AU"/>
        </w:rPr>
        <w:t>Clause 10 Proposed new section 501T</w:t>
      </w:r>
      <w:r w:rsidR="008631D5" w:rsidRPr="00C36D28">
        <w:rPr>
          <w:rFonts w:ascii="Arial" w:hAnsi="Arial" w:cs="Arial"/>
          <w:lang w:eastAsia="en-AU"/>
        </w:rPr>
        <w:t xml:space="preserve"> </w:t>
      </w:r>
      <w:r w:rsidR="00D06D09" w:rsidRPr="00C36D28">
        <w:rPr>
          <w:rFonts w:ascii="Arial" w:hAnsi="Arial" w:cs="Arial"/>
          <w:lang w:eastAsia="en-AU"/>
        </w:rPr>
        <w:t>(1) Page 19, line 4</w:t>
      </w:r>
    </w:p>
    <w:p w14:paraId="5BB5310B" w14:textId="405A8B09" w:rsidR="00C36D28" w:rsidRPr="00C36D28" w:rsidRDefault="00C36D28" w:rsidP="00C36D28">
      <w:pPr>
        <w:rPr>
          <w:rFonts w:ascii="Arial" w:hAnsi="Arial" w:cs="Arial"/>
          <w:szCs w:val="24"/>
        </w:rPr>
      </w:pPr>
      <w:r w:rsidRPr="00C36D28">
        <w:rPr>
          <w:rFonts w:ascii="Arial" w:hAnsi="Arial" w:cs="Arial"/>
          <w:szCs w:val="24"/>
        </w:rPr>
        <w:t xml:space="preserve">This clause amends the Panel’s power to report to the Minister by introducing a requirement that the Panel must report to the Minister at least once each calendar year. </w:t>
      </w:r>
    </w:p>
    <w:p w14:paraId="269078A0" w14:textId="09E564D9" w:rsidR="00AC5B87" w:rsidRPr="00C36D28" w:rsidRDefault="00C36D28" w:rsidP="00C36D28">
      <w:pPr>
        <w:rPr>
          <w:rFonts w:ascii="Arial" w:hAnsi="Arial" w:cs="Arial"/>
          <w:szCs w:val="24"/>
        </w:rPr>
      </w:pPr>
      <w:r w:rsidRPr="00C36D28">
        <w:rPr>
          <w:rFonts w:ascii="Arial" w:hAnsi="Arial" w:cs="Arial"/>
          <w:szCs w:val="24"/>
        </w:rPr>
        <w:t xml:space="preserve">Under the amended provisions, the Panel retains a discretionary power to report to the Minister when it deems necessary, so it is not confined to reporting only once each calendar year. </w:t>
      </w:r>
    </w:p>
    <w:p w14:paraId="69157E4D" w14:textId="0C90C20B" w:rsidR="00AC5B87" w:rsidRPr="00C36D28" w:rsidRDefault="00AC5B87" w:rsidP="00DF7319">
      <w:pPr>
        <w:pStyle w:val="Heading4"/>
        <w:keepNext w:val="0"/>
        <w:rPr>
          <w:rFonts w:ascii="Arial" w:hAnsi="Arial" w:cs="Arial"/>
          <w:lang w:eastAsia="en-AU"/>
        </w:rPr>
      </w:pPr>
      <w:bookmarkStart w:id="9" w:name="_Part_2_–"/>
      <w:bookmarkStart w:id="10" w:name="_Clause_6_–"/>
      <w:bookmarkEnd w:id="9"/>
      <w:bookmarkEnd w:id="10"/>
      <w:r w:rsidRPr="00C36D28">
        <w:rPr>
          <w:rFonts w:ascii="Arial" w:hAnsi="Arial" w:cs="Arial"/>
        </w:rPr>
        <w:t xml:space="preserve">Clause </w:t>
      </w:r>
      <w:r w:rsidR="001A347D">
        <w:rPr>
          <w:rFonts w:ascii="Arial" w:hAnsi="Arial" w:cs="Arial"/>
        </w:rPr>
        <w:t>6</w:t>
      </w:r>
      <w:r w:rsidRPr="00C36D28">
        <w:rPr>
          <w:rFonts w:ascii="Arial" w:hAnsi="Arial" w:cs="Arial"/>
          <w:bCs/>
          <w:lang w:eastAsia="en-AU"/>
        </w:rPr>
        <w:t xml:space="preserve"> </w:t>
      </w:r>
      <w:r w:rsidRPr="00C36D28">
        <w:rPr>
          <w:rFonts w:ascii="Arial" w:hAnsi="Arial" w:cs="Arial"/>
          <w:lang w:eastAsia="en-AU"/>
        </w:rPr>
        <w:t xml:space="preserve">– </w:t>
      </w:r>
      <w:r w:rsidR="00D06D09" w:rsidRPr="00C36D28">
        <w:rPr>
          <w:rFonts w:ascii="Arial" w:hAnsi="Arial" w:cs="Arial"/>
          <w:lang w:eastAsia="en-AU"/>
        </w:rPr>
        <w:t>Clause 12 Proposed new section 575</w:t>
      </w:r>
      <w:r w:rsidR="008631D5" w:rsidRPr="00C36D28">
        <w:rPr>
          <w:rFonts w:ascii="Arial" w:hAnsi="Arial" w:cs="Arial"/>
          <w:lang w:eastAsia="en-AU"/>
        </w:rPr>
        <w:t xml:space="preserve"> </w:t>
      </w:r>
      <w:r w:rsidR="00D06D09" w:rsidRPr="00C36D28">
        <w:rPr>
          <w:rFonts w:ascii="Arial" w:hAnsi="Arial" w:cs="Arial"/>
          <w:lang w:eastAsia="en-AU"/>
        </w:rPr>
        <w:t>(3)</w:t>
      </w:r>
      <w:r w:rsidR="001A347D">
        <w:rPr>
          <w:rFonts w:ascii="Arial" w:hAnsi="Arial" w:cs="Arial"/>
          <w:lang w:eastAsia="en-AU"/>
        </w:rPr>
        <w:t xml:space="preserve"> and (4)</w:t>
      </w:r>
      <w:r w:rsidR="00D06D09" w:rsidRPr="00C36D28">
        <w:rPr>
          <w:rFonts w:ascii="Arial" w:hAnsi="Arial" w:cs="Arial"/>
          <w:lang w:eastAsia="en-AU"/>
        </w:rPr>
        <w:t xml:space="preserve"> Page 5</w:t>
      </w:r>
      <w:r w:rsidR="008631D5" w:rsidRPr="00C36D28">
        <w:rPr>
          <w:rFonts w:ascii="Arial" w:hAnsi="Arial" w:cs="Arial"/>
          <w:lang w:eastAsia="en-AU"/>
        </w:rPr>
        <w:t>0</w:t>
      </w:r>
      <w:r w:rsidR="00D06D09" w:rsidRPr="00C36D28">
        <w:rPr>
          <w:rFonts w:ascii="Arial" w:hAnsi="Arial" w:cs="Arial"/>
          <w:lang w:eastAsia="en-AU"/>
        </w:rPr>
        <w:t xml:space="preserve">, line </w:t>
      </w:r>
      <w:r w:rsidR="008631D5" w:rsidRPr="00C36D28">
        <w:rPr>
          <w:rFonts w:ascii="Arial" w:hAnsi="Arial" w:cs="Arial"/>
          <w:lang w:eastAsia="en-AU"/>
        </w:rPr>
        <w:t>7</w:t>
      </w:r>
    </w:p>
    <w:p w14:paraId="62F1D9E7" w14:textId="77777777" w:rsidR="00C36D28" w:rsidRPr="00C36D28" w:rsidRDefault="00C36D28" w:rsidP="00C36D28">
      <w:pPr>
        <w:spacing w:after="0"/>
        <w:rPr>
          <w:rFonts w:ascii="Arial" w:hAnsi="Arial" w:cs="Arial"/>
          <w:szCs w:val="24"/>
        </w:rPr>
      </w:pPr>
      <w:bookmarkStart w:id="11" w:name="_Clause_7_–"/>
      <w:bookmarkEnd w:id="11"/>
      <w:r w:rsidRPr="00C36D28">
        <w:rPr>
          <w:rFonts w:ascii="Arial" w:hAnsi="Arial" w:cs="Arial"/>
          <w:szCs w:val="24"/>
        </w:rPr>
        <w:t xml:space="preserve">This clause inserts a new subsection (3) into section 575 of the CYP Act that provides the Childrens Court with the power to order a child or young person to submit to the jurisdiction of the ACAT for a mental health assessment under an ITO or interim ITO. </w:t>
      </w:r>
    </w:p>
    <w:p w14:paraId="734170F2" w14:textId="77777777" w:rsidR="00C36D28" w:rsidRPr="00C36D28" w:rsidRDefault="00C36D28" w:rsidP="00C36D28">
      <w:pPr>
        <w:spacing w:after="0"/>
        <w:rPr>
          <w:rFonts w:ascii="Arial" w:hAnsi="Arial" w:cs="Arial"/>
          <w:szCs w:val="24"/>
        </w:rPr>
      </w:pPr>
    </w:p>
    <w:p w14:paraId="3096E1AF" w14:textId="77777777" w:rsidR="00C36D28" w:rsidRPr="00C36D28" w:rsidRDefault="00C36D28" w:rsidP="00C36D28">
      <w:pPr>
        <w:spacing w:after="0"/>
        <w:rPr>
          <w:rFonts w:ascii="Arial" w:hAnsi="Arial" w:cs="Arial"/>
          <w:szCs w:val="24"/>
        </w:rPr>
      </w:pPr>
      <w:r w:rsidRPr="00C36D28">
        <w:rPr>
          <w:rFonts w:ascii="Arial" w:hAnsi="Arial" w:cs="Arial"/>
          <w:szCs w:val="24"/>
        </w:rPr>
        <w:t xml:space="preserve">This amendment is in addition to section 575(1). That subsection provides the Childrens Court with the power to order a child or young person to submit to the jurisdiction of the ACAT as part of a proceeding for an ITO or interim ITO. </w:t>
      </w:r>
    </w:p>
    <w:p w14:paraId="275CD476" w14:textId="77777777" w:rsidR="00C36D28" w:rsidRPr="00C36D28" w:rsidRDefault="00C36D28" w:rsidP="00C36D28">
      <w:pPr>
        <w:spacing w:after="0"/>
        <w:rPr>
          <w:rFonts w:ascii="Arial" w:hAnsi="Arial" w:cs="Arial"/>
          <w:szCs w:val="24"/>
        </w:rPr>
      </w:pPr>
    </w:p>
    <w:p w14:paraId="2F4F7D33" w14:textId="77777777" w:rsidR="00C36D28" w:rsidRPr="00C36D28" w:rsidRDefault="00C36D28" w:rsidP="00C36D28">
      <w:pPr>
        <w:spacing w:after="0"/>
        <w:rPr>
          <w:rFonts w:ascii="Arial" w:hAnsi="Arial" w:cs="Arial"/>
          <w:szCs w:val="24"/>
        </w:rPr>
      </w:pPr>
      <w:r w:rsidRPr="00C36D28">
        <w:rPr>
          <w:rFonts w:ascii="Arial" w:hAnsi="Arial" w:cs="Arial"/>
          <w:szCs w:val="24"/>
        </w:rPr>
        <w:t xml:space="preserve">The purpose of this amendment is to clarify that the Childrens Court may make a mental health referral to the ACAT both during proceedings and under a final order. </w:t>
      </w:r>
    </w:p>
    <w:p w14:paraId="1782C833" w14:textId="77777777" w:rsidR="00C36D28" w:rsidRPr="00C36D28" w:rsidRDefault="00C36D28" w:rsidP="00C36D28">
      <w:pPr>
        <w:spacing w:after="0"/>
        <w:rPr>
          <w:rFonts w:ascii="Arial" w:hAnsi="Arial" w:cs="Arial"/>
          <w:szCs w:val="24"/>
        </w:rPr>
      </w:pPr>
    </w:p>
    <w:p w14:paraId="0F4708A0" w14:textId="77777777" w:rsidR="00C36D28" w:rsidRPr="00C36D28" w:rsidRDefault="00C36D28" w:rsidP="00C36D28">
      <w:pPr>
        <w:rPr>
          <w:rFonts w:ascii="Arial" w:hAnsi="Arial" w:cs="Arial"/>
          <w:szCs w:val="24"/>
        </w:rPr>
      </w:pPr>
      <w:r w:rsidRPr="00C36D28">
        <w:rPr>
          <w:rFonts w:ascii="Arial" w:hAnsi="Arial" w:cs="Arial"/>
          <w:szCs w:val="24"/>
        </w:rPr>
        <w:t xml:space="preserve">This clause also inserts a new subsection (4). This subsection requires the Childrens Court, when making an order under subsection (1) or an order with a requirement mentioned in subsection (3), to include a provision directing the child or young person to submit to the jurisdiction of the ACAT to allow the ACAT to decide whether they have a mental disorder or mental illness and, if so, to make recommendations. </w:t>
      </w:r>
    </w:p>
    <w:p w14:paraId="3322892A" w14:textId="77777777" w:rsidR="00C36D28" w:rsidRPr="00C36D28" w:rsidRDefault="00C36D28" w:rsidP="00C36D28">
      <w:pPr>
        <w:rPr>
          <w:rFonts w:ascii="Arial" w:hAnsi="Arial" w:cs="Arial"/>
          <w:szCs w:val="24"/>
        </w:rPr>
      </w:pPr>
      <w:r w:rsidRPr="00C36D28">
        <w:rPr>
          <w:rFonts w:ascii="Arial" w:hAnsi="Arial" w:cs="Arial"/>
          <w:szCs w:val="24"/>
        </w:rPr>
        <w:t xml:space="preserve">The purpose of this amendment is to ensure an order by the Childrens Court under section 575 includes all necessary information to enliven the ACAT’s powers under section 178 of the </w:t>
      </w:r>
      <w:r w:rsidRPr="00C36D28">
        <w:rPr>
          <w:rFonts w:ascii="Arial" w:hAnsi="Arial" w:cs="Arial"/>
          <w:i/>
          <w:iCs/>
          <w:szCs w:val="24"/>
        </w:rPr>
        <w:t>Mental Health Act 2015</w:t>
      </w:r>
      <w:r w:rsidRPr="00C36D28">
        <w:rPr>
          <w:rFonts w:ascii="Arial" w:hAnsi="Arial" w:cs="Arial"/>
          <w:szCs w:val="24"/>
        </w:rPr>
        <w:t xml:space="preserve"> (MH Act).</w:t>
      </w:r>
    </w:p>
    <w:p w14:paraId="7466394F" w14:textId="0DD79ED4" w:rsidR="00DF7319" w:rsidRPr="00C36D28" w:rsidRDefault="00DF7319" w:rsidP="00DF7319">
      <w:pPr>
        <w:pStyle w:val="Heading4"/>
        <w:keepNext w:val="0"/>
        <w:rPr>
          <w:rFonts w:ascii="Arial" w:hAnsi="Arial" w:cs="Arial"/>
          <w:lang w:eastAsia="en-AU"/>
        </w:rPr>
      </w:pPr>
      <w:r w:rsidRPr="00C36D28">
        <w:rPr>
          <w:rFonts w:ascii="Arial" w:hAnsi="Arial" w:cs="Arial"/>
        </w:rPr>
        <w:lastRenderedPageBreak/>
        <w:t xml:space="preserve">Clause </w:t>
      </w:r>
      <w:r w:rsidR="001A347D">
        <w:rPr>
          <w:rFonts w:ascii="Arial" w:hAnsi="Arial" w:cs="Arial"/>
        </w:rPr>
        <w:t>7</w:t>
      </w:r>
      <w:r w:rsidRPr="00C36D28">
        <w:rPr>
          <w:rFonts w:ascii="Arial" w:hAnsi="Arial" w:cs="Arial"/>
          <w:bCs/>
          <w:lang w:eastAsia="en-AU"/>
        </w:rPr>
        <w:t xml:space="preserve"> </w:t>
      </w:r>
      <w:r w:rsidRPr="00C36D28">
        <w:rPr>
          <w:rFonts w:ascii="Arial" w:hAnsi="Arial" w:cs="Arial"/>
          <w:lang w:eastAsia="en-AU"/>
        </w:rPr>
        <w:t xml:space="preserve">– </w:t>
      </w:r>
      <w:r w:rsidR="00DF758A" w:rsidRPr="00C36D28">
        <w:rPr>
          <w:rFonts w:ascii="Arial" w:hAnsi="Arial" w:cs="Arial"/>
          <w:lang w:eastAsia="en-AU"/>
        </w:rPr>
        <w:t>Clause 12 Proposed new section 578 Page 52, line 2</w:t>
      </w:r>
    </w:p>
    <w:p w14:paraId="036BB0FD" w14:textId="77777777" w:rsidR="00C36D28" w:rsidRPr="00C36D28" w:rsidRDefault="00C36D28" w:rsidP="00C36D28">
      <w:pPr>
        <w:rPr>
          <w:rFonts w:ascii="Arial" w:hAnsi="Arial" w:cs="Arial"/>
          <w:szCs w:val="24"/>
        </w:rPr>
      </w:pPr>
      <w:r w:rsidRPr="00C36D28">
        <w:rPr>
          <w:rFonts w:ascii="Arial" w:hAnsi="Arial" w:cs="Arial"/>
          <w:szCs w:val="24"/>
        </w:rPr>
        <w:t xml:space="preserve">This clause adds two new items to the definition of ‘accredited person’ in section 578 of the CYP Act. Accredited people have a right to visit a child or young person who is in intensive therapy at an intensive therapy place (ss 579-580). </w:t>
      </w:r>
    </w:p>
    <w:p w14:paraId="55718AEA" w14:textId="77777777" w:rsidR="00C36D28" w:rsidRPr="00C36D28" w:rsidRDefault="00C36D28" w:rsidP="00C36D28">
      <w:pPr>
        <w:rPr>
          <w:rFonts w:ascii="Arial" w:hAnsi="Arial" w:cs="Arial"/>
          <w:szCs w:val="24"/>
        </w:rPr>
      </w:pPr>
      <w:r w:rsidRPr="00C36D28">
        <w:rPr>
          <w:rFonts w:ascii="Arial" w:hAnsi="Arial" w:cs="Arial"/>
          <w:szCs w:val="24"/>
        </w:rPr>
        <w:t xml:space="preserve">New subsection (1)(d) adds ‘a health practitioner providing a health service to the child or young person.’ This is intended to cover a range of health professionals who might support a child or young person, such as a general practitioner, psychologist, or psychiatrist. </w:t>
      </w:r>
    </w:p>
    <w:p w14:paraId="7FEB04E7" w14:textId="77777777" w:rsidR="00C36D28" w:rsidRPr="00C36D28" w:rsidRDefault="00C36D28" w:rsidP="00C36D28">
      <w:pPr>
        <w:spacing w:after="0"/>
        <w:rPr>
          <w:rFonts w:ascii="Arial" w:hAnsi="Arial" w:cs="Arial"/>
          <w:szCs w:val="24"/>
        </w:rPr>
      </w:pPr>
      <w:r w:rsidRPr="00C36D28">
        <w:rPr>
          <w:rFonts w:ascii="Arial" w:hAnsi="Arial" w:cs="Arial"/>
          <w:szCs w:val="24"/>
        </w:rPr>
        <w:t xml:space="preserve">New subsection (1)(k) adds the Senior Practitioner to the list of accredited people. New subsection (2) defines ‘senior practitioner’ by reference to the dictionary of the </w:t>
      </w:r>
      <w:r w:rsidRPr="00C36D28">
        <w:rPr>
          <w:rFonts w:ascii="Arial" w:hAnsi="Arial" w:cs="Arial"/>
          <w:i/>
          <w:iCs/>
          <w:szCs w:val="24"/>
        </w:rPr>
        <w:t>Senior Practitioner Act 2018</w:t>
      </w:r>
      <w:r w:rsidRPr="00C36D28">
        <w:rPr>
          <w:rFonts w:ascii="Arial" w:hAnsi="Arial" w:cs="Arial"/>
          <w:szCs w:val="24"/>
        </w:rPr>
        <w:t xml:space="preserve">. The purpose of this amendment is to clarify that the Senior Practitioner has a role in overseeing and monitoring any use of restrictive practices in an intensive therapy place. </w:t>
      </w:r>
    </w:p>
    <w:p w14:paraId="03E40A9A" w14:textId="527FCA5B" w:rsidR="00DF7319" w:rsidRPr="00C36D28" w:rsidRDefault="00DF7319" w:rsidP="00DF7319">
      <w:pPr>
        <w:pStyle w:val="Heading4"/>
        <w:keepNext w:val="0"/>
        <w:rPr>
          <w:rFonts w:ascii="Arial" w:hAnsi="Arial" w:cs="Arial"/>
          <w:lang w:eastAsia="en-AU"/>
        </w:rPr>
      </w:pPr>
      <w:r w:rsidRPr="00C36D28">
        <w:rPr>
          <w:rFonts w:ascii="Arial" w:hAnsi="Arial" w:cs="Arial"/>
        </w:rPr>
        <w:t xml:space="preserve">Clause </w:t>
      </w:r>
      <w:r w:rsidR="00A77652">
        <w:rPr>
          <w:rFonts w:ascii="Arial" w:hAnsi="Arial" w:cs="Arial"/>
        </w:rPr>
        <w:t>8</w:t>
      </w:r>
      <w:r w:rsidRPr="00C36D28">
        <w:rPr>
          <w:rFonts w:ascii="Arial" w:hAnsi="Arial" w:cs="Arial"/>
          <w:bCs/>
          <w:lang w:eastAsia="en-AU"/>
        </w:rPr>
        <w:t xml:space="preserve"> </w:t>
      </w:r>
      <w:r w:rsidRPr="00C36D28">
        <w:rPr>
          <w:rFonts w:ascii="Arial" w:hAnsi="Arial" w:cs="Arial"/>
          <w:lang w:eastAsia="en-AU"/>
        </w:rPr>
        <w:t xml:space="preserve">– </w:t>
      </w:r>
      <w:r w:rsidR="00DF758A" w:rsidRPr="00C36D28">
        <w:rPr>
          <w:rFonts w:ascii="Arial" w:hAnsi="Arial" w:cs="Arial"/>
          <w:lang w:eastAsia="en-AU"/>
        </w:rPr>
        <w:t>Clause 12 Proposed new section 587</w:t>
      </w:r>
      <w:r w:rsidR="008631D5" w:rsidRPr="00C36D28">
        <w:rPr>
          <w:rFonts w:ascii="Arial" w:hAnsi="Arial" w:cs="Arial"/>
          <w:lang w:eastAsia="en-AU"/>
        </w:rPr>
        <w:t xml:space="preserve"> </w:t>
      </w:r>
      <w:r w:rsidR="00DF758A" w:rsidRPr="00C36D28">
        <w:rPr>
          <w:rFonts w:ascii="Arial" w:hAnsi="Arial" w:cs="Arial"/>
          <w:lang w:eastAsia="en-AU"/>
        </w:rPr>
        <w:t>(</w:t>
      </w:r>
      <w:r w:rsidR="00AB3D09" w:rsidRPr="00C36D28">
        <w:rPr>
          <w:rFonts w:ascii="Arial" w:hAnsi="Arial" w:cs="Arial"/>
          <w:lang w:eastAsia="en-AU"/>
        </w:rPr>
        <w:t>2</w:t>
      </w:r>
      <w:r w:rsidR="00DF758A" w:rsidRPr="00C36D28">
        <w:rPr>
          <w:rFonts w:ascii="Arial" w:hAnsi="Arial" w:cs="Arial"/>
          <w:lang w:eastAsia="en-AU"/>
        </w:rPr>
        <w:t>)</w:t>
      </w:r>
      <w:r w:rsidR="00AB3D09" w:rsidRPr="00C36D28">
        <w:rPr>
          <w:rFonts w:ascii="Arial" w:hAnsi="Arial" w:cs="Arial"/>
          <w:lang w:eastAsia="en-AU"/>
        </w:rPr>
        <w:t>, example 2</w:t>
      </w:r>
      <w:r w:rsidR="00DF758A" w:rsidRPr="00C36D28">
        <w:rPr>
          <w:rFonts w:ascii="Arial" w:hAnsi="Arial" w:cs="Arial"/>
          <w:lang w:eastAsia="en-AU"/>
        </w:rPr>
        <w:t xml:space="preserve"> Page 57, line </w:t>
      </w:r>
      <w:r w:rsidR="00AB3D09" w:rsidRPr="00C36D28">
        <w:rPr>
          <w:rFonts w:ascii="Arial" w:hAnsi="Arial" w:cs="Arial"/>
          <w:lang w:eastAsia="en-AU"/>
        </w:rPr>
        <w:t>9</w:t>
      </w:r>
    </w:p>
    <w:p w14:paraId="169F2579" w14:textId="77777777" w:rsidR="00C36D28" w:rsidRPr="00C36D28" w:rsidRDefault="00C36D28" w:rsidP="00C36D28">
      <w:pPr>
        <w:rPr>
          <w:rFonts w:ascii="Arial" w:hAnsi="Arial" w:cs="Arial"/>
          <w:szCs w:val="24"/>
        </w:rPr>
      </w:pPr>
      <w:r w:rsidRPr="00C36D28">
        <w:rPr>
          <w:rFonts w:ascii="Arial" w:hAnsi="Arial" w:cs="Arial"/>
          <w:szCs w:val="24"/>
        </w:rPr>
        <w:t xml:space="preserve">This amendment alters the wording of example 2 in section 587(2) by changing the word ‘dumping’ to ‘disposing’. </w:t>
      </w:r>
    </w:p>
    <w:p w14:paraId="62D28170" w14:textId="53073814" w:rsidR="00DF7319" w:rsidRPr="00C36D28" w:rsidRDefault="00DF7319" w:rsidP="00DF7319">
      <w:pPr>
        <w:pStyle w:val="Heading4"/>
        <w:keepNext w:val="0"/>
        <w:rPr>
          <w:rFonts w:ascii="Arial" w:hAnsi="Arial" w:cs="Arial"/>
          <w:lang w:eastAsia="en-AU"/>
        </w:rPr>
      </w:pPr>
      <w:r w:rsidRPr="00C36D28">
        <w:rPr>
          <w:rFonts w:ascii="Arial" w:hAnsi="Arial" w:cs="Arial"/>
        </w:rPr>
        <w:t xml:space="preserve">Clause </w:t>
      </w:r>
      <w:r w:rsidR="00A77652">
        <w:rPr>
          <w:rFonts w:ascii="Arial" w:hAnsi="Arial" w:cs="Arial"/>
        </w:rPr>
        <w:t>9</w:t>
      </w:r>
      <w:r w:rsidRPr="00C36D28">
        <w:rPr>
          <w:rFonts w:ascii="Arial" w:hAnsi="Arial" w:cs="Arial"/>
          <w:bCs/>
          <w:lang w:eastAsia="en-AU"/>
        </w:rPr>
        <w:t xml:space="preserve"> </w:t>
      </w:r>
      <w:r w:rsidRPr="00C36D28">
        <w:rPr>
          <w:rFonts w:ascii="Arial" w:hAnsi="Arial" w:cs="Arial"/>
          <w:lang w:eastAsia="en-AU"/>
        </w:rPr>
        <w:t xml:space="preserve">– </w:t>
      </w:r>
      <w:r w:rsidR="00DF758A" w:rsidRPr="00C36D28">
        <w:rPr>
          <w:rFonts w:ascii="Arial" w:hAnsi="Arial" w:cs="Arial"/>
          <w:lang w:eastAsia="en-AU"/>
        </w:rPr>
        <w:t>Clause 12 Proposed new section 589</w:t>
      </w:r>
      <w:r w:rsidR="008631D5" w:rsidRPr="00C36D28">
        <w:rPr>
          <w:rFonts w:ascii="Arial" w:hAnsi="Arial" w:cs="Arial"/>
          <w:lang w:eastAsia="en-AU"/>
        </w:rPr>
        <w:t xml:space="preserve"> </w:t>
      </w:r>
      <w:r w:rsidR="00DF758A" w:rsidRPr="00C36D28">
        <w:rPr>
          <w:rFonts w:ascii="Arial" w:hAnsi="Arial" w:cs="Arial"/>
          <w:lang w:eastAsia="en-AU"/>
        </w:rPr>
        <w:t>(2)</w:t>
      </w:r>
      <w:r w:rsidR="008631D5" w:rsidRPr="00C36D28">
        <w:rPr>
          <w:rFonts w:ascii="Arial" w:hAnsi="Arial" w:cs="Arial"/>
          <w:lang w:eastAsia="en-AU"/>
        </w:rPr>
        <w:t xml:space="preserve"> </w:t>
      </w:r>
      <w:r w:rsidR="00DF758A" w:rsidRPr="00C36D28">
        <w:rPr>
          <w:rFonts w:ascii="Arial" w:hAnsi="Arial" w:cs="Arial"/>
          <w:lang w:eastAsia="en-AU"/>
        </w:rPr>
        <w:t>(a) Page 58, line 9</w:t>
      </w:r>
    </w:p>
    <w:p w14:paraId="6E8762EC" w14:textId="77777777" w:rsidR="00C36D28" w:rsidRPr="00C36D28" w:rsidRDefault="00C36D28" w:rsidP="00C36D28">
      <w:pPr>
        <w:rPr>
          <w:rFonts w:ascii="Arial" w:hAnsi="Arial" w:cs="Arial"/>
          <w:szCs w:val="24"/>
        </w:rPr>
      </w:pPr>
      <w:r w:rsidRPr="00C36D28">
        <w:rPr>
          <w:rFonts w:ascii="Arial" w:hAnsi="Arial" w:cs="Arial"/>
          <w:szCs w:val="24"/>
        </w:rPr>
        <w:t xml:space="preserve">This clause amends the requirement in section 589(2)(a) in relation to the director-general declaring a place to be an intensive therapy place. It clarifies that an intensive therapy place must not be a current or former detention place and must not be located in any part of a place that also accommodates young detainees. </w:t>
      </w:r>
    </w:p>
    <w:p w14:paraId="5AEAE979" w14:textId="77777777" w:rsidR="00C36D28" w:rsidRPr="00C36D28" w:rsidRDefault="00C36D28" w:rsidP="00C36D28">
      <w:pPr>
        <w:rPr>
          <w:rFonts w:ascii="Arial" w:hAnsi="Arial" w:cs="Arial"/>
          <w:szCs w:val="24"/>
        </w:rPr>
      </w:pPr>
      <w:r w:rsidRPr="00C36D28">
        <w:rPr>
          <w:rFonts w:ascii="Arial" w:hAnsi="Arial" w:cs="Arial"/>
          <w:szCs w:val="24"/>
        </w:rPr>
        <w:t xml:space="preserve">The purpose of this amendment is to emphasise that confinement for intensive therapy is distinct and separate to confinement for the purpose of imprisonment. </w:t>
      </w:r>
    </w:p>
    <w:p w14:paraId="75F62B93" w14:textId="13CFB0EB"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A77652">
        <w:rPr>
          <w:rFonts w:ascii="Arial" w:hAnsi="Arial" w:cs="Arial"/>
        </w:rPr>
        <w:t>10</w:t>
      </w:r>
      <w:r w:rsidR="008549AD" w:rsidRPr="00050F68">
        <w:rPr>
          <w:rFonts w:ascii="Arial" w:hAnsi="Arial" w:cs="Arial"/>
          <w:bCs/>
          <w:lang w:eastAsia="en-AU"/>
        </w:rPr>
        <w:t xml:space="preserve"> </w:t>
      </w:r>
      <w:r w:rsidRPr="00050F68">
        <w:rPr>
          <w:rFonts w:ascii="Arial" w:hAnsi="Arial" w:cs="Arial"/>
          <w:lang w:eastAsia="en-AU"/>
        </w:rPr>
        <w:t xml:space="preserve">– </w:t>
      </w:r>
      <w:r w:rsidR="008549AD">
        <w:rPr>
          <w:rFonts w:ascii="Arial" w:hAnsi="Arial" w:cs="Arial"/>
          <w:lang w:eastAsia="en-AU"/>
        </w:rPr>
        <w:t>Clause 57 Proposed new section 628 Page 81, line 25</w:t>
      </w:r>
    </w:p>
    <w:p w14:paraId="7FF2A4BA" w14:textId="6A54DC25" w:rsidR="00AF0D54" w:rsidRDefault="00D01E1A" w:rsidP="00AF0D54">
      <w:pPr>
        <w:pStyle w:val="Heading4"/>
        <w:keepNext w:val="0"/>
        <w:rPr>
          <w:rFonts w:ascii="Arial" w:hAnsi="Arial" w:cs="Arial"/>
          <w:b w:val="0"/>
          <w:lang w:eastAsia="en-AU"/>
        </w:rPr>
      </w:pPr>
      <w:r>
        <w:rPr>
          <w:rFonts w:ascii="Arial" w:hAnsi="Arial" w:cs="Arial"/>
          <w:b w:val="0"/>
          <w:lang w:eastAsia="en-AU"/>
        </w:rPr>
        <w:t>This clause</w:t>
      </w:r>
      <w:r w:rsidR="00803CEB">
        <w:rPr>
          <w:rFonts w:ascii="Arial" w:hAnsi="Arial" w:cs="Arial"/>
          <w:b w:val="0"/>
          <w:lang w:eastAsia="en-AU"/>
        </w:rPr>
        <w:t xml:space="preserve"> will amend </w:t>
      </w:r>
      <w:r w:rsidR="006607DF">
        <w:rPr>
          <w:rFonts w:ascii="Arial" w:hAnsi="Arial" w:cs="Arial"/>
          <w:b w:val="0"/>
          <w:lang w:eastAsia="en-AU"/>
        </w:rPr>
        <w:t xml:space="preserve">clause 57 of the Bill, new </w:t>
      </w:r>
      <w:r w:rsidR="00803CEB">
        <w:rPr>
          <w:rFonts w:ascii="Arial" w:hAnsi="Arial" w:cs="Arial"/>
          <w:b w:val="0"/>
          <w:lang w:eastAsia="en-AU"/>
        </w:rPr>
        <w:t xml:space="preserve">section 628 of the </w:t>
      </w:r>
      <w:r w:rsidR="00803CEB">
        <w:rPr>
          <w:rFonts w:ascii="Arial" w:hAnsi="Arial" w:cs="Arial"/>
          <w:b w:val="0"/>
          <w:i/>
          <w:iCs/>
          <w:lang w:eastAsia="en-AU"/>
        </w:rPr>
        <w:t>Crimes Act 1900</w:t>
      </w:r>
      <w:r w:rsidR="00803CEB">
        <w:rPr>
          <w:rFonts w:ascii="Arial" w:hAnsi="Arial" w:cs="Arial"/>
          <w:b w:val="0"/>
          <w:lang w:eastAsia="en-AU"/>
        </w:rPr>
        <w:t xml:space="preserve"> to</w:t>
      </w:r>
      <w:r>
        <w:rPr>
          <w:rFonts w:ascii="Arial" w:hAnsi="Arial" w:cs="Arial"/>
          <w:b w:val="0"/>
          <w:lang w:eastAsia="en-AU"/>
        </w:rPr>
        <w:t xml:space="preserve"> provide that identification material, forensic material, </w:t>
      </w:r>
      <w:r w:rsidR="00BA277B">
        <w:rPr>
          <w:rFonts w:ascii="Arial" w:hAnsi="Arial" w:cs="Arial"/>
          <w:b w:val="0"/>
          <w:lang w:eastAsia="en-AU"/>
        </w:rPr>
        <w:t xml:space="preserve">and </w:t>
      </w:r>
      <w:r>
        <w:rPr>
          <w:rFonts w:ascii="Arial" w:hAnsi="Arial" w:cs="Arial"/>
          <w:b w:val="0"/>
          <w:lang w:eastAsia="en-AU"/>
        </w:rPr>
        <w:t xml:space="preserve">any information obtained from the forensic material, </w:t>
      </w:r>
      <w:r w:rsidR="006C4EC8">
        <w:rPr>
          <w:rFonts w:ascii="Arial" w:hAnsi="Arial" w:cs="Arial"/>
          <w:b w:val="0"/>
          <w:lang w:eastAsia="en-AU"/>
        </w:rPr>
        <w:t>as well as</w:t>
      </w:r>
      <w:r w:rsidR="00290E44">
        <w:rPr>
          <w:rFonts w:ascii="Arial" w:hAnsi="Arial" w:cs="Arial"/>
          <w:b w:val="0"/>
          <w:lang w:eastAsia="en-AU"/>
        </w:rPr>
        <w:t xml:space="preserve"> </w:t>
      </w:r>
      <w:r>
        <w:rPr>
          <w:rFonts w:ascii="Arial" w:hAnsi="Arial" w:cs="Arial"/>
          <w:b w:val="0"/>
          <w:lang w:eastAsia="en-AU"/>
        </w:rPr>
        <w:t xml:space="preserve">any record of </w:t>
      </w:r>
      <w:r w:rsidR="00290E44">
        <w:rPr>
          <w:rFonts w:ascii="Arial" w:hAnsi="Arial" w:cs="Arial"/>
          <w:b w:val="0"/>
          <w:lang w:eastAsia="en-AU"/>
        </w:rPr>
        <w:t xml:space="preserve">the </w:t>
      </w:r>
      <w:r w:rsidR="00212F87">
        <w:rPr>
          <w:rFonts w:ascii="Arial" w:hAnsi="Arial" w:cs="Arial"/>
          <w:b w:val="0"/>
          <w:lang w:eastAsia="en-AU"/>
        </w:rPr>
        <w:t>identification material, forensic material or information obtained from the forensic material</w:t>
      </w:r>
      <w:r w:rsidR="00290E44">
        <w:rPr>
          <w:rFonts w:ascii="Arial" w:hAnsi="Arial" w:cs="Arial"/>
          <w:b w:val="0"/>
          <w:lang w:eastAsia="en-AU"/>
        </w:rPr>
        <w:t>,</w:t>
      </w:r>
      <w:r w:rsidR="00212F87">
        <w:rPr>
          <w:rFonts w:ascii="Arial" w:hAnsi="Arial" w:cs="Arial"/>
          <w:b w:val="0"/>
          <w:lang w:eastAsia="en-AU"/>
        </w:rPr>
        <w:t xml:space="preserve"> must be destroyed, where the </w:t>
      </w:r>
      <w:r w:rsidR="00290E44">
        <w:rPr>
          <w:rFonts w:ascii="Arial" w:hAnsi="Arial" w:cs="Arial"/>
          <w:b w:val="0"/>
          <w:lang w:eastAsia="en-AU"/>
        </w:rPr>
        <w:t xml:space="preserve">material, information </w:t>
      </w:r>
      <w:r w:rsidR="00E6791A">
        <w:rPr>
          <w:rFonts w:ascii="Arial" w:hAnsi="Arial" w:cs="Arial"/>
          <w:b w:val="0"/>
          <w:lang w:eastAsia="en-AU"/>
        </w:rPr>
        <w:t>or</w:t>
      </w:r>
      <w:r w:rsidR="00290E44">
        <w:rPr>
          <w:rFonts w:ascii="Arial" w:hAnsi="Arial" w:cs="Arial"/>
          <w:b w:val="0"/>
          <w:lang w:eastAsia="en-AU"/>
        </w:rPr>
        <w:t xml:space="preserve"> record w</w:t>
      </w:r>
      <w:r w:rsidR="00E6791A">
        <w:rPr>
          <w:rFonts w:ascii="Arial" w:hAnsi="Arial" w:cs="Arial"/>
          <w:b w:val="0"/>
          <w:lang w:eastAsia="en-AU"/>
        </w:rPr>
        <w:t>as</w:t>
      </w:r>
      <w:r w:rsidR="00290E44">
        <w:rPr>
          <w:rFonts w:ascii="Arial" w:hAnsi="Arial" w:cs="Arial"/>
          <w:b w:val="0"/>
          <w:lang w:eastAsia="en-AU"/>
        </w:rPr>
        <w:t xml:space="preserve"> collected fr</w:t>
      </w:r>
      <w:r w:rsidR="006C4EC8">
        <w:rPr>
          <w:rFonts w:ascii="Arial" w:hAnsi="Arial" w:cs="Arial"/>
          <w:b w:val="0"/>
          <w:lang w:eastAsia="en-AU"/>
        </w:rPr>
        <w:t>om</w:t>
      </w:r>
      <w:r w:rsidR="00290E44">
        <w:rPr>
          <w:rFonts w:ascii="Arial" w:hAnsi="Arial" w:cs="Arial"/>
          <w:b w:val="0"/>
          <w:lang w:eastAsia="en-AU"/>
        </w:rPr>
        <w:t xml:space="preserve"> a person who was alleged to have committed a</w:t>
      </w:r>
      <w:r w:rsidR="00BF1A63">
        <w:rPr>
          <w:rFonts w:ascii="Arial" w:hAnsi="Arial" w:cs="Arial"/>
          <w:b w:val="0"/>
          <w:lang w:eastAsia="en-AU"/>
        </w:rPr>
        <w:t xml:space="preserve">n </w:t>
      </w:r>
      <w:r w:rsidR="00290E44">
        <w:rPr>
          <w:rFonts w:ascii="Arial" w:hAnsi="Arial" w:cs="Arial"/>
          <w:b w:val="0"/>
          <w:lang w:eastAsia="en-AU"/>
        </w:rPr>
        <w:t>offence</w:t>
      </w:r>
      <w:r w:rsidR="00BF1A63">
        <w:rPr>
          <w:rFonts w:ascii="Arial" w:hAnsi="Arial" w:cs="Arial"/>
          <w:b w:val="0"/>
          <w:lang w:eastAsia="en-AU"/>
        </w:rPr>
        <w:t xml:space="preserve"> when they were under 12 years old</w:t>
      </w:r>
      <w:r w:rsidR="00290E44">
        <w:rPr>
          <w:rFonts w:ascii="Arial" w:hAnsi="Arial" w:cs="Arial"/>
          <w:b w:val="0"/>
          <w:lang w:eastAsia="en-AU"/>
        </w:rPr>
        <w:t xml:space="preserve">, but was never </w:t>
      </w:r>
      <w:r w:rsidR="006C4EC8">
        <w:rPr>
          <w:rFonts w:ascii="Arial" w:hAnsi="Arial" w:cs="Arial"/>
          <w:b w:val="0"/>
          <w:lang w:eastAsia="en-AU"/>
        </w:rPr>
        <w:t xml:space="preserve">charged with committing the offence or </w:t>
      </w:r>
      <w:r w:rsidR="00290E44">
        <w:rPr>
          <w:rFonts w:ascii="Arial" w:hAnsi="Arial" w:cs="Arial"/>
          <w:b w:val="0"/>
          <w:lang w:eastAsia="en-AU"/>
        </w:rPr>
        <w:t>proven to have committed the offence.</w:t>
      </w:r>
    </w:p>
    <w:p w14:paraId="01FBAD36" w14:textId="4A2795F4" w:rsidR="008549AD" w:rsidRPr="00050F68" w:rsidRDefault="008549AD" w:rsidP="008549AD">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AB3D09">
        <w:rPr>
          <w:rFonts w:ascii="Arial" w:hAnsi="Arial" w:cs="Arial"/>
          <w:noProof/>
        </w:rPr>
        <w:t>1</w:t>
      </w:r>
      <w:r w:rsidR="00A77652">
        <w:rPr>
          <w:rFonts w:ascii="Arial" w:hAnsi="Arial" w:cs="Arial"/>
          <w:noProof/>
        </w:rPr>
        <w:t>1</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Clause 58 Proposed new section 640 Page 87, line 7</w:t>
      </w:r>
    </w:p>
    <w:p w14:paraId="2EA0D0CA" w14:textId="116522B6" w:rsidR="006C4EC8" w:rsidRDefault="006607DF" w:rsidP="006C4EC8">
      <w:pPr>
        <w:pStyle w:val="Heading4"/>
        <w:keepNext w:val="0"/>
        <w:rPr>
          <w:rFonts w:ascii="Arial" w:hAnsi="Arial" w:cs="Arial"/>
          <w:b w:val="0"/>
          <w:lang w:eastAsia="en-AU"/>
        </w:rPr>
      </w:pPr>
      <w:r>
        <w:rPr>
          <w:rFonts w:ascii="Arial" w:hAnsi="Arial" w:cs="Arial"/>
          <w:b w:val="0"/>
          <w:lang w:eastAsia="en-AU"/>
        </w:rPr>
        <w:t xml:space="preserve">This clause will amend clause 58 of the Bill, new section 640 of the </w:t>
      </w:r>
      <w:r>
        <w:rPr>
          <w:rFonts w:ascii="Arial" w:hAnsi="Arial" w:cs="Arial"/>
          <w:b w:val="0"/>
          <w:i/>
          <w:iCs/>
          <w:lang w:eastAsia="en-AU"/>
        </w:rPr>
        <w:t>Crimes Act 1900</w:t>
      </w:r>
      <w:r>
        <w:rPr>
          <w:rFonts w:ascii="Arial" w:hAnsi="Arial" w:cs="Arial"/>
          <w:b w:val="0"/>
          <w:lang w:eastAsia="en-AU"/>
        </w:rPr>
        <w:t xml:space="preserve"> to provide </w:t>
      </w:r>
      <w:r w:rsidR="006C4EC8">
        <w:rPr>
          <w:rFonts w:ascii="Arial" w:hAnsi="Arial" w:cs="Arial"/>
          <w:b w:val="0"/>
          <w:lang w:eastAsia="en-AU"/>
        </w:rPr>
        <w:t xml:space="preserve">that identification material, forensic material, and any information obtained from the forensic material, as well as any record of the identification material, </w:t>
      </w:r>
      <w:r w:rsidR="006C4EC8">
        <w:rPr>
          <w:rFonts w:ascii="Arial" w:hAnsi="Arial" w:cs="Arial"/>
          <w:b w:val="0"/>
          <w:lang w:eastAsia="en-AU"/>
        </w:rPr>
        <w:lastRenderedPageBreak/>
        <w:t>forensic material or information obtained from the forensic material, must be destroyed, where the material, information or record was collected from a person who was alleged to have committed an offence when they were 12-14 years old, but was never charged with committing the offence or proven to have committed the offence.</w:t>
      </w:r>
      <w:r>
        <w:rPr>
          <w:rFonts w:ascii="Arial" w:hAnsi="Arial" w:cs="Arial"/>
          <w:b w:val="0"/>
          <w:lang w:eastAsia="en-AU"/>
        </w:rPr>
        <w:t xml:space="preserve"> This provision will commence on 1 July 2025.</w:t>
      </w:r>
    </w:p>
    <w:p w14:paraId="0A754364" w14:textId="67FC873E" w:rsidR="008549AD" w:rsidRPr="00050F68" w:rsidRDefault="008549AD" w:rsidP="008549AD">
      <w:pPr>
        <w:pStyle w:val="Heading4"/>
        <w:keepNext w:val="0"/>
        <w:rPr>
          <w:rFonts w:ascii="Arial" w:hAnsi="Arial" w:cs="Arial"/>
          <w:lang w:eastAsia="en-AU"/>
        </w:rPr>
      </w:pPr>
      <w:r w:rsidRPr="00050F68">
        <w:rPr>
          <w:rFonts w:ascii="Arial" w:hAnsi="Arial" w:cs="Arial"/>
        </w:rPr>
        <w:t xml:space="preserve">Clause </w:t>
      </w:r>
      <w:r w:rsidR="00A77652">
        <w:rPr>
          <w:rFonts w:ascii="Arial" w:hAnsi="Arial" w:cs="Arial"/>
        </w:rPr>
        <w:t>12</w:t>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Proposed new clauses 92A to 92C Page 120, line 13</w:t>
      </w:r>
    </w:p>
    <w:p w14:paraId="4FA7193C" w14:textId="726301DE" w:rsidR="008549AD" w:rsidRDefault="00661A08" w:rsidP="008549AD">
      <w:pPr>
        <w:pStyle w:val="Heading4"/>
        <w:keepNext w:val="0"/>
        <w:rPr>
          <w:rFonts w:ascii="Arial" w:hAnsi="Arial" w:cs="Arial"/>
          <w:b w:val="0"/>
          <w:lang w:eastAsia="en-AU"/>
        </w:rPr>
      </w:pPr>
      <w:r>
        <w:rPr>
          <w:rFonts w:ascii="Arial" w:hAnsi="Arial" w:cs="Arial"/>
          <w:b w:val="0"/>
          <w:lang w:eastAsia="en-AU"/>
        </w:rPr>
        <w:t>This clause will introduce new clauses 92A to 92C into the Bill.</w:t>
      </w:r>
    </w:p>
    <w:p w14:paraId="5B4B8FA4" w14:textId="3EA7972A" w:rsidR="00661A08" w:rsidRDefault="008E3888" w:rsidP="00661A08">
      <w:pPr>
        <w:pStyle w:val="Heading4"/>
        <w:keepNext w:val="0"/>
        <w:rPr>
          <w:rFonts w:ascii="Arial" w:hAnsi="Arial" w:cs="Arial"/>
          <w:b w:val="0"/>
          <w:lang w:eastAsia="en-AU"/>
        </w:rPr>
      </w:pPr>
      <w:r>
        <w:rPr>
          <w:rFonts w:ascii="Arial" w:hAnsi="Arial" w:cs="Arial"/>
          <w:b w:val="0"/>
          <w:lang w:eastAsia="en-AU"/>
        </w:rPr>
        <w:t>Ne</w:t>
      </w:r>
      <w:r w:rsidR="00661A08" w:rsidRPr="00661A08">
        <w:rPr>
          <w:rFonts w:ascii="Arial" w:hAnsi="Arial" w:cs="Arial"/>
          <w:b w:val="0"/>
          <w:lang w:eastAsia="en-AU"/>
        </w:rPr>
        <w:t>w claus</w:t>
      </w:r>
      <w:r w:rsidR="00661A08">
        <w:rPr>
          <w:rFonts w:ascii="Arial" w:hAnsi="Arial" w:cs="Arial"/>
          <w:b w:val="0"/>
          <w:lang w:eastAsia="en-AU"/>
        </w:rPr>
        <w:t xml:space="preserve">e 92A will amend section 47(5) of the </w:t>
      </w:r>
      <w:r w:rsidR="00661A08">
        <w:rPr>
          <w:rFonts w:ascii="Arial" w:hAnsi="Arial" w:cs="Arial"/>
          <w:b w:val="0"/>
          <w:i/>
          <w:iCs/>
          <w:lang w:eastAsia="en-AU"/>
        </w:rPr>
        <w:t>Criminal Code 2002</w:t>
      </w:r>
      <w:r w:rsidR="00661A08">
        <w:rPr>
          <w:rFonts w:ascii="Arial" w:hAnsi="Arial" w:cs="Arial"/>
          <w:b w:val="0"/>
          <w:lang w:eastAsia="en-AU"/>
        </w:rPr>
        <w:t xml:space="preserve">, to clarify that a person may </w:t>
      </w:r>
      <w:r w:rsidR="00386759">
        <w:rPr>
          <w:rFonts w:ascii="Arial" w:hAnsi="Arial" w:cs="Arial"/>
          <w:b w:val="0"/>
          <w:lang w:eastAsia="en-AU"/>
        </w:rPr>
        <w:t>be found guilty of</w:t>
      </w:r>
      <w:r w:rsidR="00661A08">
        <w:rPr>
          <w:rFonts w:ascii="Arial" w:hAnsi="Arial" w:cs="Arial"/>
          <w:b w:val="0"/>
          <w:lang w:eastAsia="en-AU"/>
        </w:rPr>
        <w:t xml:space="preserve"> </w:t>
      </w:r>
      <w:r w:rsidR="00FA624E">
        <w:rPr>
          <w:rFonts w:ascii="Arial" w:hAnsi="Arial" w:cs="Arial"/>
          <w:b w:val="0"/>
          <w:lang w:eastAsia="en-AU"/>
        </w:rPr>
        <w:t xml:space="preserve">the offence of </w:t>
      </w:r>
      <w:r w:rsidR="00661A08">
        <w:rPr>
          <w:rFonts w:ascii="Arial" w:hAnsi="Arial" w:cs="Arial"/>
          <w:b w:val="0"/>
          <w:lang w:eastAsia="en-AU"/>
        </w:rPr>
        <w:t xml:space="preserve">incitement if the </w:t>
      </w:r>
      <w:r w:rsidR="00FA624E">
        <w:rPr>
          <w:rFonts w:ascii="Arial" w:hAnsi="Arial" w:cs="Arial"/>
          <w:b w:val="0"/>
          <w:lang w:eastAsia="en-AU"/>
        </w:rPr>
        <w:t>child</w:t>
      </w:r>
      <w:r w:rsidR="009A25A2">
        <w:rPr>
          <w:rFonts w:ascii="Arial" w:hAnsi="Arial" w:cs="Arial"/>
          <w:b w:val="0"/>
          <w:lang w:eastAsia="en-AU"/>
        </w:rPr>
        <w:t xml:space="preserve"> they</w:t>
      </w:r>
      <w:r w:rsidR="00661A08">
        <w:rPr>
          <w:rFonts w:ascii="Arial" w:hAnsi="Arial" w:cs="Arial"/>
          <w:b w:val="0"/>
          <w:lang w:eastAsia="en-AU"/>
        </w:rPr>
        <w:t xml:space="preserve"> incited </w:t>
      </w:r>
      <w:r w:rsidR="009A25A2">
        <w:rPr>
          <w:rFonts w:ascii="Arial" w:hAnsi="Arial" w:cs="Arial"/>
          <w:b w:val="0"/>
          <w:lang w:eastAsia="en-AU"/>
        </w:rPr>
        <w:t xml:space="preserve">to commit the offence </w:t>
      </w:r>
      <w:r w:rsidR="00661A08">
        <w:rPr>
          <w:rFonts w:ascii="Arial" w:hAnsi="Arial" w:cs="Arial"/>
          <w:b w:val="0"/>
          <w:lang w:eastAsia="en-AU"/>
        </w:rPr>
        <w:t>was under the age of criminal responsibility</w:t>
      </w:r>
      <w:r>
        <w:rPr>
          <w:rFonts w:ascii="Arial" w:hAnsi="Arial" w:cs="Arial"/>
          <w:b w:val="0"/>
          <w:lang w:eastAsia="en-AU"/>
        </w:rPr>
        <w:t xml:space="preserve"> (which is defined by new section 47(8)</w:t>
      </w:r>
      <w:r w:rsidR="00483159">
        <w:rPr>
          <w:rFonts w:ascii="Arial" w:hAnsi="Arial" w:cs="Arial"/>
          <w:b w:val="0"/>
          <w:lang w:eastAsia="en-AU"/>
        </w:rPr>
        <w:t>)</w:t>
      </w:r>
      <w:r w:rsidR="009A25A2">
        <w:rPr>
          <w:rFonts w:ascii="Arial" w:hAnsi="Arial" w:cs="Arial"/>
          <w:b w:val="0"/>
          <w:lang w:eastAsia="en-AU"/>
        </w:rPr>
        <w:t>. Th</w:t>
      </w:r>
      <w:r>
        <w:rPr>
          <w:rFonts w:ascii="Arial" w:hAnsi="Arial" w:cs="Arial"/>
          <w:b w:val="0"/>
          <w:lang w:eastAsia="en-AU"/>
        </w:rPr>
        <w:t xml:space="preserve">e offence of incitement includes urging the commission of an offence, and </w:t>
      </w:r>
      <w:r w:rsidR="00FA624E">
        <w:rPr>
          <w:rFonts w:ascii="Arial" w:hAnsi="Arial" w:cs="Arial"/>
          <w:b w:val="0"/>
          <w:lang w:eastAsia="en-AU"/>
        </w:rPr>
        <w:t>urg</w:t>
      </w:r>
      <w:r>
        <w:rPr>
          <w:rFonts w:ascii="Arial" w:hAnsi="Arial" w:cs="Arial"/>
          <w:b w:val="0"/>
          <w:lang w:eastAsia="en-AU"/>
        </w:rPr>
        <w:t xml:space="preserve">ing to </w:t>
      </w:r>
      <w:r w:rsidR="00FA624E">
        <w:rPr>
          <w:rFonts w:ascii="Arial" w:hAnsi="Arial" w:cs="Arial"/>
          <w:b w:val="0"/>
          <w:lang w:eastAsia="en-AU"/>
        </w:rPr>
        <w:t>aid, abet, counsel, procure, be knowingly concerned in or a party to, the commission of an offence</w:t>
      </w:r>
      <w:r>
        <w:rPr>
          <w:rFonts w:ascii="Arial" w:hAnsi="Arial" w:cs="Arial"/>
          <w:b w:val="0"/>
          <w:lang w:eastAsia="en-AU"/>
        </w:rPr>
        <w:t>, by another person</w:t>
      </w:r>
      <w:r w:rsidR="00FA624E">
        <w:rPr>
          <w:rFonts w:ascii="Arial" w:hAnsi="Arial" w:cs="Arial"/>
          <w:b w:val="0"/>
          <w:lang w:eastAsia="en-AU"/>
        </w:rPr>
        <w:t>.</w:t>
      </w:r>
      <w:r w:rsidR="009A25A2">
        <w:rPr>
          <w:rFonts w:ascii="Arial" w:hAnsi="Arial" w:cs="Arial"/>
          <w:b w:val="0"/>
          <w:lang w:eastAsia="en-AU"/>
        </w:rPr>
        <w:t xml:space="preserve"> </w:t>
      </w:r>
      <w:r w:rsidR="00EB64D5">
        <w:rPr>
          <w:rFonts w:ascii="Arial" w:hAnsi="Arial" w:cs="Arial"/>
          <w:b w:val="0"/>
          <w:lang w:eastAsia="en-AU"/>
        </w:rPr>
        <w:t xml:space="preserve">This amendment ensures that a person who incites a child under the age of criminal responsibility to commit an offence can still be found guilty of committing the offence of incitement, </w:t>
      </w:r>
      <w:r w:rsidR="0054078D">
        <w:rPr>
          <w:rFonts w:ascii="Arial" w:hAnsi="Arial" w:cs="Arial"/>
          <w:b w:val="0"/>
          <w:lang w:eastAsia="en-AU"/>
        </w:rPr>
        <w:t xml:space="preserve">even when the child incited </w:t>
      </w:r>
      <w:r w:rsidR="00E7548A">
        <w:rPr>
          <w:rFonts w:ascii="Arial" w:hAnsi="Arial" w:cs="Arial"/>
          <w:b w:val="0"/>
          <w:lang w:eastAsia="en-AU"/>
        </w:rPr>
        <w:t xml:space="preserve">cannot be held criminally responsible for </w:t>
      </w:r>
      <w:r w:rsidR="0054078D">
        <w:rPr>
          <w:rFonts w:ascii="Arial" w:hAnsi="Arial" w:cs="Arial"/>
          <w:b w:val="0"/>
          <w:lang w:eastAsia="en-AU"/>
        </w:rPr>
        <w:t>committ</w:t>
      </w:r>
      <w:r w:rsidR="00E7548A">
        <w:rPr>
          <w:rFonts w:ascii="Arial" w:hAnsi="Arial" w:cs="Arial"/>
          <w:b w:val="0"/>
          <w:lang w:eastAsia="en-AU"/>
        </w:rPr>
        <w:t>ing</w:t>
      </w:r>
      <w:r w:rsidR="0054078D">
        <w:rPr>
          <w:rFonts w:ascii="Arial" w:hAnsi="Arial" w:cs="Arial"/>
          <w:b w:val="0"/>
          <w:lang w:eastAsia="en-AU"/>
        </w:rPr>
        <w:t xml:space="preserve"> the offence because they are under the age of criminal responsibility.</w:t>
      </w:r>
      <w:r w:rsidR="00EB64D5">
        <w:rPr>
          <w:rFonts w:ascii="Arial" w:hAnsi="Arial" w:cs="Arial"/>
          <w:b w:val="0"/>
          <w:lang w:eastAsia="en-AU"/>
        </w:rPr>
        <w:t xml:space="preserve"> </w:t>
      </w:r>
    </w:p>
    <w:p w14:paraId="6BD914B1" w14:textId="3BE8691E" w:rsidR="008549AD" w:rsidRDefault="009A25A2" w:rsidP="00661A08">
      <w:pPr>
        <w:pStyle w:val="Heading4"/>
        <w:keepNext w:val="0"/>
        <w:rPr>
          <w:rFonts w:ascii="Arial" w:hAnsi="Arial" w:cs="Arial"/>
          <w:b w:val="0"/>
          <w:lang w:eastAsia="en-AU"/>
        </w:rPr>
      </w:pPr>
      <w:r w:rsidRPr="009A25A2">
        <w:rPr>
          <w:rFonts w:ascii="Arial" w:hAnsi="Arial" w:cs="Arial"/>
          <w:b w:val="0"/>
          <w:lang w:eastAsia="en-AU"/>
        </w:rPr>
        <w:t xml:space="preserve">New clause 92B </w:t>
      </w:r>
      <w:r w:rsidR="00483159">
        <w:rPr>
          <w:rFonts w:ascii="Arial" w:hAnsi="Arial" w:cs="Arial"/>
          <w:b w:val="0"/>
          <w:lang w:eastAsia="en-AU"/>
        </w:rPr>
        <w:t xml:space="preserve">inserts </w:t>
      </w:r>
      <w:r w:rsidR="00E7548A">
        <w:rPr>
          <w:rFonts w:ascii="Arial" w:hAnsi="Arial" w:cs="Arial"/>
          <w:b w:val="0"/>
          <w:lang w:eastAsia="en-AU"/>
        </w:rPr>
        <w:t xml:space="preserve">subsection </w:t>
      </w:r>
      <w:r w:rsidR="00483159">
        <w:rPr>
          <w:rFonts w:ascii="Arial" w:hAnsi="Arial" w:cs="Arial"/>
          <w:b w:val="0"/>
          <w:lang w:eastAsia="en-AU"/>
        </w:rPr>
        <w:t>(8)</w:t>
      </w:r>
      <w:r w:rsidR="00E7548A">
        <w:rPr>
          <w:rFonts w:ascii="Arial" w:hAnsi="Arial" w:cs="Arial"/>
          <w:b w:val="0"/>
          <w:lang w:eastAsia="en-AU"/>
        </w:rPr>
        <w:t xml:space="preserve"> into section 47 of the </w:t>
      </w:r>
      <w:r w:rsidR="00E7548A">
        <w:rPr>
          <w:rFonts w:ascii="Arial" w:hAnsi="Arial" w:cs="Arial"/>
          <w:b w:val="0"/>
          <w:i/>
          <w:iCs/>
          <w:lang w:eastAsia="en-AU"/>
        </w:rPr>
        <w:t>Criminal Code 2002</w:t>
      </w:r>
      <w:r w:rsidR="00E7548A">
        <w:rPr>
          <w:rFonts w:ascii="Arial" w:hAnsi="Arial" w:cs="Arial"/>
          <w:b w:val="0"/>
          <w:lang w:eastAsia="en-AU"/>
        </w:rPr>
        <w:t>. New subsection (8)</w:t>
      </w:r>
      <w:r w:rsidR="00483159">
        <w:rPr>
          <w:rFonts w:ascii="Arial" w:hAnsi="Arial" w:cs="Arial"/>
          <w:b w:val="0"/>
          <w:lang w:eastAsia="en-AU"/>
        </w:rPr>
        <w:t xml:space="preserve"> </w:t>
      </w:r>
      <w:r w:rsidRPr="009A25A2">
        <w:rPr>
          <w:rFonts w:ascii="Arial" w:hAnsi="Arial" w:cs="Arial"/>
          <w:b w:val="0"/>
          <w:lang w:eastAsia="en-AU"/>
        </w:rPr>
        <w:t xml:space="preserve">defines </w:t>
      </w:r>
      <w:r w:rsidR="004423B1">
        <w:rPr>
          <w:rFonts w:ascii="Arial" w:hAnsi="Arial" w:cs="Arial"/>
          <w:b w:val="0"/>
          <w:lang w:eastAsia="en-AU"/>
        </w:rPr>
        <w:t xml:space="preserve">a person </w:t>
      </w:r>
      <w:r w:rsidRPr="009A25A2">
        <w:rPr>
          <w:rFonts w:ascii="Arial" w:hAnsi="Arial" w:cs="Arial"/>
          <w:b w:val="0"/>
          <w:lang w:eastAsia="en-AU"/>
        </w:rPr>
        <w:t xml:space="preserve">‘under the age of criminal responsibility’ </w:t>
      </w:r>
      <w:r>
        <w:rPr>
          <w:rFonts w:ascii="Arial" w:hAnsi="Arial" w:cs="Arial"/>
          <w:b w:val="0"/>
          <w:lang w:eastAsia="en-AU"/>
        </w:rPr>
        <w:t xml:space="preserve">as a person who is not criminally responsible under </w:t>
      </w:r>
      <w:r w:rsidRPr="009A25A2">
        <w:rPr>
          <w:rFonts w:ascii="Arial" w:hAnsi="Arial" w:cs="Arial"/>
          <w:b w:val="0"/>
          <w:lang w:eastAsia="en-AU"/>
        </w:rPr>
        <w:t xml:space="preserve">section 25 of the </w:t>
      </w:r>
      <w:r w:rsidRPr="009A25A2">
        <w:rPr>
          <w:rFonts w:ascii="Arial" w:hAnsi="Arial" w:cs="Arial"/>
          <w:b w:val="0"/>
          <w:i/>
          <w:iCs/>
          <w:lang w:eastAsia="en-AU"/>
        </w:rPr>
        <w:t>Criminal Code 2002</w:t>
      </w:r>
      <w:r w:rsidRPr="009A25A2">
        <w:rPr>
          <w:rFonts w:ascii="Arial" w:hAnsi="Arial" w:cs="Arial"/>
          <w:b w:val="0"/>
          <w:lang w:eastAsia="en-AU"/>
        </w:rPr>
        <w:t>.</w:t>
      </w:r>
      <w:r>
        <w:rPr>
          <w:rFonts w:ascii="Arial" w:hAnsi="Arial" w:cs="Arial"/>
          <w:b w:val="0"/>
          <w:lang w:eastAsia="en-AU"/>
        </w:rPr>
        <w:t xml:space="preserve"> On commencement of the Bill, the age of criminal responsibility under section 25 of the </w:t>
      </w:r>
      <w:r>
        <w:rPr>
          <w:rFonts w:ascii="Arial" w:hAnsi="Arial" w:cs="Arial"/>
          <w:b w:val="0"/>
          <w:i/>
          <w:iCs/>
          <w:lang w:eastAsia="en-AU"/>
        </w:rPr>
        <w:t>Criminal Code 2002</w:t>
      </w:r>
      <w:r>
        <w:rPr>
          <w:rFonts w:ascii="Arial" w:hAnsi="Arial" w:cs="Arial"/>
          <w:b w:val="0"/>
          <w:lang w:eastAsia="en-AU"/>
        </w:rPr>
        <w:t xml:space="preserve"> will be 12 years old.</w:t>
      </w:r>
      <w:r w:rsidR="00FD1BF6">
        <w:rPr>
          <w:rFonts w:ascii="Arial" w:hAnsi="Arial" w:cs="Arial"/>
          <w:b w:val="0"/>
          <w:lang w:eastAsia="en-AU"/>
        </w:rPr>
        <w:t xml:space="preserve"> On 1 July 2025, the age of criminal responsibility under section 25 of the </w:t>
      </w:r>
      <w:r w:rsidR="00FD1BF6">
        <w:rPr>
          <w:rFonts w:ascii="Arial" w:hAnsi="Arial" w:cs="Arial"/>
          <w:b w:val="0"/>
          <w:i/>
          <w:iCs/>
          <w:lang w:eastAsia="en-AU"/>
        </w:rPr>
        <w:t>Criminal Code 2002</w:t>
      </w:r>
      <w:r w:rsidR="00FD1BF6">
        <w:rPr>
          <w:rFonts w:ascii="Arial" w:hAnsi="Arial" w:cs="Arial"/>
          <w:b w:val="0"/>
          <w:lang w:eastAsia="en-AU"/>
        </w:rPr>
        <w:t xml:space="preserve"> will be 14 years old.</w:t>
      </w:r>
    </w:p>
    <w:p w14:paraId="3C04698C" w14:textId="0A2EC0E0" w:rsidR="00011ADB" w:rsidRDefault="00A03A4F" w:rsidP="00180A6E">
      <w:pPr>
        <w:pStyle w:val="Heading4"/>
        <w:keepNext w:val="0"/>
        <w:rPr>
          <w:rFonts w:ascii="Arial" w:hAnsi="Arial" w:cs="Arial"/>
          <w:b w:val="0"/>
          <w:lang w:eastAsia="en-AU"/>
        </w:rPr>
      </w:pPr>
      <w:r w:rsidRPr="00180A6E">
        <w:rPr>
          <w:rFonts w:ascii="Arial" w:hAnsi="Arial" w:cs="Arial"/>
          <w:b w:val="0"/>
          <w:lang w:eastAsia="en-AU"/>
        </w:rPr>
        <w:t xml:space="preserve">New clause 92C will </w:t>
      </w:r>
      <w:r w:rsidR="00BE5154">
        <w:rPr>
          <w:rFonts w:ascii="Arial" w:hAnsi="Arial" w:cs="Arial"/>
          <w:b w:val="0"/>
          <w:lang w:eastAsia="en-AU"/>
        </w:rPr>
        <w:t>insert subsection (2A) into section 655</w:t>
      </w:r>
      <w:r w:rsidR="00180A6E">
        <w:rPr>
          <w:rFonts w:ascii="Arial" w:hAnsi="Arial" w:cs="Arial"/>
          <w:b w:val="0"/>
          <w:lang w:eastAsia="en-AU"/>
        </w:rPr>
        <w:t xml:space="preserve"> of the </w:t>
      </w:r>
      <w:r w:rsidR="00180A6E">
        <w:rPr>
          <w:rFonts w:ascii="Arial" w:hAnsi="Arial" w:cs="Arial"/>
          <w:b w:val="0"/>
          <w:i/>
          <w:iCs/>
          <w:lang w:eastAsia="en-AU"/>
        </w:rPr>
        <w:t>Criminal Code 2002</w:t>
      </w:r>
      <w:r w:rsidR="00BE5154">
        <w:rPr>
          <w:rFonts w:ascii="Arial" w:hAnsi="Arial" w:cs="Arial"/>
          <w:b w:val="0"/>
          <w:lang w:eastAsia="en-AU"/>
        </w:rPr>
        <w:t xml:space="preserve">. New subsection </w:t>
      </w:r>
      <w:r w:rsidR="00DC2DED">
        <w:rPr>
          <w:rFonts w:ascii="Arial" w:hAnsi="Arial" w:cs="Arial"/>
          <w:b w:val="0"/>
          <w:lang w:eastAsia="en-AU"/>
        </w:rPr>
        <w:t>(2A) will operate with subsection (2) to</w:t>
      </w:r>
      <w:r w:rsidR="00180A6E">
        <w:rPr>
          <w:rFonts w:ascii="Arial" w:hAnsi="Arial" w:cs="Arial"/>
          <w:b w:val="0"/>
          <w:lang w:eastAsia="en-AU"/>
        </w:rPr>
        <w:t xml:space="preserve"> clarify that </w:t>
      </w:r>
      <w:r w:rsidR="00C0018C">
        <w:rPr>
          <w:rFonts w:ascii="Arial" w:hAnsi="Arial" w:cs="Arial"/>
          <w:b w:val="0"/>
          <w:lang w:eastAsia="en-AU"/>
        </w:rPr>
        <w:t>a person commits an offence if</w:t>
      </w:r>
      <w:r w:rsidR="00180A6E">
        <w:rPr>
          <w:rFonts w:ascii="Arial" w:hAnsi="Arial" w:cs="Arial"/>
          <w:b w:val="0"/>
          <w:lang w:eastAsia="en-AU"/>
        </w:rPr>
        <w:t xml:space="preserve"> </w:t>
      </w:r>
      <w:r w:rsidR="00C0018C">
        <w:rPr>
          <w:rFonts w:ascii="Arial" w:hAnsi="Arial" w:cs="Arial"/>
          <w:b w:val="0"/>
          <w:lang w:eastAsia="en-AU"/>
        </w:rPr>
        <w:t>the</w:t>
      </w:r>
      <w:r w:rsidR="00180A6E">
        <w:rPr>
          <w:rFonts w:ascii="Arial" w:hAnsi="Arial" w:cs="Arial"/>
          <w:b w:val="0"/>
          <w:lang w:eastAsia="en-AU"/>
        </w:rPr>
        <w:t xml:space="preserve"> </w:t>
      </w:r>
      <w:r w:rsidR="007F11D8">
        <w:rPr>
          <w:rFonts w:ascii="Arial" w:hAnsi="Arial" w:cs="Arial"/>
          <w:b w:val="0"/>
          <w:lang w:eastAsia="en-AU"/>
        </w:rPr>
        <w:t xml:space="preserve">person recruits a </w:t>
      </w:r>
      <w:r w:rsidR="00180A6E">
        <w:rPr>
          <w:rFonts w:ascii="Arial" w:hAnsi="Arial" w:cs="Arial"/>
          <w:b w:val="0"/>
          <w:lang w:eastAsia="en-AU"/>
        </w:rPr>
        <w:t>child under the age of criminal responsibility to carry out or assist in carrying out a criminal activity</w:t>
      </w:r>
      <w:r w:rsidR="00C0018C">
        <w:rPr>
          <w:rFonts w:ascii="Arial" w:hAnsi="Arial" w:cs="Arial"/>
          <w:b w:val="0"/>
          <w:lang w:eastAsia="en-AU"/>
        </w:rPr>
        <w:t xml:space="preserve">. </w:t>
      </w:r>
      <w:r w:rsidR="00DC2DED">
        <w:rPr>
          <w:rFonts w:ascii="Arial" w:hAnsi="Arial" w:cs="Arial"/>
          <w:b w:val="0"/>
          <w:lang w:eastAsia="en-AU"/>
        </w:rPr>
        <w:t xml:space="preserve">New subsection (2A) provides an additional definition for ‘criminal activity’ in </w:t>
      </w:r>
      <w:r w:rsidR="00941E3E">
        <w:rPr>
          <w:rFonts w:ascii="Arial" w:hAnsi="Arial" w:cs="Arial"/>
          <w:b w:val="0"/>
          <w:lang w:eastAsia="en-AU"/>
        </w:rPr>
        <w:t>relation to a child under the age of criminal responsibility</w:t>
      </w:r>
      <w:r w:rsidR="00DC2DED">
        <w:rPr>
          <w:rFonts w:ascii="Arial" w:hAnsi="Arial" w:cs="Arial"/>
          <w:b w:val="0"/>
          <w:lang w:eastAsia="en-AU"/>
        </w:rPr>
        <w:t xml:space="preserve"> as</w:t>
      </w:r>
      <w:r w:rsidR="00F93CD1">
        <w:rPr>
          <w:rFonts w:ascii="Arial" w:hAnsi="Arial" w:cs="Arial"/>
          <w:b w:val="0"/>
          <w:lang w:eastAsia="en-AU"/>
        </w:rPr>
        <w:t>,</w:t>
      </w:r>
      <w:r w:rsidR="00DC2DED">
        <w:rPr>
          <w:rFonts w:ascii="Arial" w:hAnsi="Arial" w:cs="Arial"/>
          <w:b w:val="0"/>
          <w:lang w:eastAsia="en-AU"/>
        </w:rPr>
        <w:t xml:space="preserve"> </w:t>
      </w:r>
      <w:r w:rsidR="00C0018C">
        <w:rPr>
          <w:rFonts w:ascii="Arial" w:hAnsi="Arial" w:cs="Arial"/>
          <w:b w:val="0"/>
          <w:lang w:eastAsia="en-AU"/>
        </w:rPr>
        <w:t>conduct that makes up the physical elements of a</w:t>
      </w:r>
      <w:r w:rsidR="00DC2DED">
        <w:rPr>
          <w:rFonts w:ascii="Arial" w:hAnsi="Arial" w:cs="Arial"/>
          <w:b w:val="0"/>
          <w:lang w:eastAsia="en-AU"/>
        </w:rPr>
        <w:t>n indictable</w:t>
      </w:r>
      <w:r w:rsidR="00C0018C">
        <w:rPr>
          <w:rFonts w:ascii="Arial" w:hAnsi="Arial" w:cs="Arial"/>
          <w:b w:val="0"/>
          <w:lang w:eastAsia="en-AU"/>
        </w:rPr>
        <w:t xml:space="preserve"> offence </w:t>
      </w:r>
      <w:r w:rsidR="00DC2DED">
        <w:rPr>
          <w:rFonts w:ascii="Arial" w:hAnsi="Arial" w:cs="Arial"/>
          <w:b w:val="0"/>
          <w:lang w:eastAsia="en-AU"/>
        </w:rPr>
        <w:t xml:space="preserve">engaged in </w:t>
      </w:r>
      <w:r w:rsidR="00C0018C">
        <w:rPr>
          <w:rFonts w:ascii="Arial" w:hAnsi="Arial" w:cs="Arial"/>
          <w:b w:val="0"/>
          <w:lang w:eastAsia="en-AU"/>
        </w:rPr>
        <w:t xml:space="preserve">by a person </w:t>
      </w:r>
      <w:r w:rsidR="00DC2DED">
        <w:rPr>
          <w:rFonts w:ascii="Arial" w:hAnsi="Arial" w:cs="Arial"/>
          <w:b w:val="0"/>
          <w:lang w:eastAsia="en-AU"/>
        </w:rPr>
        <w:t xml:space="preserve">who is </w:t>
      </w:r>
      <w:r w:rsidR="00C0018C">
        <w:rPr>
          <w:rFonts w:ascii="Arial" w:hAnsi="Arial" w:cs="Arial"/>
          <w:b w:val="0"/>
          <w:lang w:eastAsia="en-AU"/>
        </w:rPr>
        <w:t xml:space="preserve">under the age of criminal responsibility for the offence. This definition </w:t>
      </w:r>
      <w:r w:rsidR="00941E3E">
        <w:rPr>
          <w:rFonts w:ascii="Arial" w:hAnsi="Arial" w:cs="Arial"/>
          <w:b w:val="0"/>
          <w:lang w:eastAsia="en-AU"/>
        </w:rPr>
        <w:t>clarifies</w:t>
      </w:r>
      <w:r w:rsidR="00C0018C">
        <w:rPr>
          <w:rFonts w:ascii="Arial" w:hAnsi="Arial" w:cs="Arial"/>
          <w:b w:val="0"/>
          <w:lang w:eastAsia="en-AU"/>
        </w:rPr>
        <w:t xml:space="preserve"> that </w:t>
      </w:r>
      <w:r w:rsidR="00F93CD1">
        <w:rPr>
          <w:rFonts w:ascii="Arial" w:hAnsi="Arial" w:cs="Arial"/>
          <w:b w:val="0"/>
          <w:lang w:eastAsia="en-AU"/>
        </w:rPr>
        <w:t>a</w:t>
      </w:r>
      <w:r w:rsidR="00011ADB">
        <w:rPr>
          <w:rFonts w:ascii="Arial" w:hAnsi="Arial" w:cs="Arial"/>
          <w:b w:val="0"/>
          <w:lang w:eastAsia="en-AU"/>
        </w:rPr>
        <w:t xml:space="preserve"> person who recruit</w:t>
      </w:r>
      <w:r w:rsidR="00F93CD1">
        <w:rPr>
          <w:rFonts w:ascii="Arial" w:hAnsi="Arial" w:cs="Arial"/>
          <w:b w:val="0"/>
          <w:lang w:eastAsia="en-AU"/>
        </w:rPr>
        <w:t>s</w:t>
      </w:r>
      <w:r w:rsidR="00011ADB">
        <w:rPr>
          <w:rFonts w:ascii="Arial" w:hAnsi="Arial" w:cs="Arial"/>
          <w:b w:val="0"/>
          <w:lang w:eastAsia="en-AU"/>
        </w:rPr>
        <w:t xml:space="preserve"> </w:t>
      </w:r>
      <w:r w:rsidR="00F93CD1">
        <w:rPr>
          <w:rFonts w:ascii="Arial" w:hAnsi="Arial" w:cs="Arial"/>
          <w:b w:val="0"/>
          <w:lang w:eastAsia="en-AU"/>
        </w:rPr>
        <w:t>a</w:t>
      </w:r>
      <w:r w:rsidR="00011ADB">
        <w:rPr>
          <w:rFonts w:ascii="Arial" w:hAnsi="Arial" w:cs="Arial"/>
          <w:b w:val="0"/>
          <w:lang w:eastAsia="en-AU"/>
        </w:rPr>
        <w:t xml:space="preserve"> child</w:t>
      </w:r>
      <w:r w:rsidR="00F93CD1">
        <w:rPr>
          <w:rFonts w:ascii="Arial" w:hAnsi="Arial" w:cs="Arial"/>
          <w:b w:val="0"/>
          <w:lang w:eastAsia="en-AU"/>
        </w:rPr>
        <w:t xml:space="preserve"> under the age of criminal responsibility</w:t>
      </w:r>
      <w:r w:rsidR="00011ADB">
        <w:rPr>
          <w:rFonts w:ascii="Arial" w:hAnsi="Arial" w:cs="Arial"/>
          <w:b w:val="0"/>
          <w:lang w:eastAsia="en-AU"/>
        </w:rPr>
        <w:t xml:space="preserve"> to commit an indictable offence can still be found guilty of committing an offence against section 655</w:t>
      </w:r>
      <w:r w:rsidR="00F93CD1">
        <w:rPr>
          <w:rFonts w:ascii="Arial" w:hAnsi="Arial" w:cs="Arial"/>
          <w:b w:val="0"/>
          <w:lang w:eastAsia="en-AU"/>
        </w:rPr>
        <w:t xml:space="preserve">, even when the child recruited cannot be held criminally responsible for committing the offence because they are under the age of criminal responsibility. </w:t>
      </w:r>
    </w:p>
    <w:p w14:paraId="548D0F35" w14:textId="0B28B6E0" w:rsidR="008549AD" w:rsidRPr="00050F68" w:rsidRDefault="008549AD" w:rsidP="008549AD">
      <w:pPr>
        <w:pStyle w:val="Heading4"/>
        <w:keepNext w:val="0"/>
        <w:rPr>
          <w:rFonts w:ascii="Arial" w:hAnsi="Arial" w:cs="Arial"/>
          <w:lang w:eastAsia="en-AU"/>
        </w:rPr>
      </w:pPr>
      <w:r w:rsidRPr="00050F68">
        <w:rPr>
          <w:rFonts w:ascii="Arial" w:hAnsi="Arial" w:cs="Arial"/>
        </w:rPr>
        <w:t xml:space="preserve">Clause </w:t>
      </w:r>
      <w:r w:rsidR="00A77652">
        <w:rPr>
          <w:rFonts w:ascii="Arial" w:hAnsi="Arial" w:cs="Arial"/>
        </w:rPr>
        <w:t>13</w:t>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Proposed new clauses 110A to 110D Page 135, line 10</w:t>
      </w:r>
    </w:p>
    <w:p w14:paraId="5876DFC0" w14:textId="21FD9D46" w:rsidR="008549AD" w:rsidRDefault="00AD7A58" w:rsidP="008549AD">
      <w:pPr>
        <w:pStyle w:val="Heading4"/>
        <w:keepNext w:val="0"/>
        <w:rPr>
          <w:rFonts w:ascii="Arial" w:hAnsi="Arial" w:cs="Arial"/>
          <w:b w:val="0"/>
          <w:lang w:eastAsia="en-AU"/>
        </w:rPr>
      </w:pPr>
      <w:r>
        <w:rPr>
          <w:rFonts w:ascii="Arial" w:hAnsi="Arial" w:cs="Arial"/>
          <w:b w:val="0"/>
          <w:lang w:eastAsia="en-AU"/>
        </w:rPr>
        <w:t>This clause will introduce new clauses 110A to 110D to the Bill.</w:t>
      </w:r>
    </w:p>
    <w:p w14:paraId="414C8EAF" w14:textId="34632F0C" w:rsidR="00F41CBA" w:rsidRDefault="00AD7A58" w:rsidP="00AD7A58">
      <w:pPr>
        <w:pStyle w:val="Heading4"/>
        <w:keepNext w:val="0"/>
        <w:rPr>
          <w:rFonts w:ascii="Arial" w:hAnsi="Arial" w:cs="Arial"/>
          <w:b w:val="0"/>
          <w:lang w:eastAsia="en-AU"/>
        </w:rPr>
      </w:pPr>
      <w:r w:rsidRPr="00AD7A58">
        <w:rPr>
          <w:rFonts w:ascii="Arial" w:hAnsi="Arial" w:cs="Arial"/>
          <w:b w:val="0"/>
          <w:lang w:eastAsia="en-AU"/>
        </w:rPr>
        <w:lastRenderedPageBreak/>
        <w:t xml:space="preserve">New clause 110A will amend section 92(1) of the </w:t>
      </w:r>
      <w:r w:rsidRPr="00AD7A58">
        <w:rPr>
          <w:rFonts w:ascii="Arial" w:hAnsi="Arial" w:cs="Arial"/>
          <w:b w:val="0"/>
          <w:i/>
          <w:iCs/>
          <w:lang w:eastAsia="en-AU"/>
        </w:rPr>
        <w:t>Personal Violence Act 2016</w:t>
      </w:r>
      <w:r>
        <w:rPr>
          <w:rFonts w:ascii="Arial" w:hAnsi="Arial" w:cs="Arial"/>
          <w:b w:val="0"/>
          <w:lang w:eastAsia="en-AU"/>
        </w:rPr>
        <w:t>, to legislate that recognised orders (</w:t>
      </w:r>
      <w:r w:rsidR="00F41CBA">
        <w:rPr>
          <w:rFonts w:ascii="Arial" w:hAnsi="Arial" w:cs="Arial"/>
          <w:b w:val="0"/>
          <w:lang w:eastAsia="en-AU"/>
        </w:rPr>
        <w:t xml:space="preserve">corresponding protection </w:t>
      </w:r>
      <w:r>
        <w:rPr>
          <w:rFonts w:ascii="Arial" w:hAnsi="Arial" w:cs="Arial"/>
          <w:b w:val="0"/>
          <w:lang w:eastAsia="en-AU"/>
        </w:rPr>
        <w:t xml:space="preserve">orders made under </w:t>
      </w:r>
      <w:r w:rsidR="00F41CBA">
        <w:rPr>
          <w:rFonts w:ascii="Arial" w:hAnsi="Arial" w:cs="Arial"/>
          <w:b w:val="0"/>
          <w:lang w:eastAsia="en-AU"/>
        </w:rPr>
        <w:t>another State, Territory, or New Zealand)</w:t>
      </w:r>
      <w:r>
        <w:rPr>
          <w:rFonts w:ascii="Arial" w:hAnsi="Arial" w:cs="Arial"/>
          <w:b w:val="0"/>
          <w:lang w:eastAsia="en-AU"/>
        </w:rPr>
        <w:t xml:space="preserve"> against a child under 12 years old cannot be registered in the ACT</w:t>
      </w:r>
      <w:r w:rsidR="00F41CBA">
        <w:rPr>
          <w:rFonts w:ascii="Arial" w:hAnsi="Arial" w:cs="Arial"/>
          <w:b w:val="0"/>
          <w:lang w:eastAsia="en-AU"/>
        </w:rPr>
        <w:t>. Usually, a person with a reco</w:t>
      </w:r>
      <w:r w:rsidR="00A70368">
        <w:rPr>
          <w:rFonts w:ascii="Arial" w:hAnsi="Arial" w:cs="Arial"/>
          <w:b w:val="0"/>
          <w:lang w:eastAsia="en-AU"/>
        </w:rPr>
        <w:t>g</w:t>
      </w:r>
      <w:r w:rsidR="00F41CBA">
        <w:rPr>
          <w:rFonts w:ascii="Arial" w:hAnsi="Arial" w:cs="Arial"/>
          <w:b w:val="0"/>
          <w:lang w:eastAsia="en-AU"/>
        </w:rPr>
        <w:t xml:space="preserve">nised order may apply to the registrar to register their order. The registrar must then register the order. Once the recognised order is registered, it is enforceable in the ACT and may be amended or revoked. The amendment to section 92(1) means that new applications </w:t>
      </w:r>
      <w:r w:rsidR="0072008A">
        <w:rPr>
          <w:rFonts w:ascii="Arial" w:hAnsi="Arial" w:cs="Arial"/>
          <w:b w:val="0"/>
          <w:lang w:eastAsia="en-AU"/>
        </w:rPr>
        <w:t xml:space="preserve">to </w:t>
      </w:r>
      <w:r w:rsidR="00F41CBA">
        <w:rPr>
          <w:rFonts w:ascii="Arial" w:hAnsi="Arial" w:cs="Arial"/>
          <w:b w:val="0"/>
          <w:lang w:eastAsia="en-AU"/>
        </w:rPr>
        <w:t xml:space="preserve">register recognised orders cannot be </w:t>
      </w:r>
      <w:r w:rsidR="002C0598">
        <w:rPr>
          <w:rFonts w:ascii="Arial" w:hAnsi="Arial" w:cs="Arial"/>
          <w:b w:val="0"/>
          <w:lang w:eastAsia="en-AU"/>
        </w:rPr>
        <w:t>approved</w:t>
      </w:r>
      <w:r w:rsidR="00F41CBA">
        <w:rPr>
          <w:rFonts w:ascii="Arial" w:hAnsi="Arial" w:cs="Arial"/>
          <w:b w:val="0"/>
          <w:lang w:eastAsia="en-AU"/>
        </w:rPr>
        <w:t xml:space="preserve"> if the respondent to the recognised order is a child under 12 years old.</w:t>
      </w:r>
    </w:p>
    <w:p w14:paraId="66C2402C" w14:textId="33421FD1" w:rsidR="00F41CBA" w:rsidRDefault="00F41CBA" w:rsidP="00F41CBA">
      <w:pPr>
        <w:rPr>
          <w:rFonts w:ascii="Arial" w:hAnsi="Arial" w:cs="Arial"/>
          <w:bCs/>
          <w:lang w:eastAsia="en-AU"/>
        </w:rPr>
      </w:pPr>
      <w:r>
        <w:rPr>
          <w:rFonts w:ascii="Arial" w:hAnsi="Arial" w:cs="Arial"/>
          <w:bCs/>
          <w:lang w:eastAsia="en-AU"/>
        </w:rPr>
        <w:t>Similarly, n</w:t>
      </w:r>
      <w:r w:rsidRPr="00F41CBA">
        <w:rPr>
          <w:rFonts w:ascii="Arial" w:hAnsi="Arial" w:cs="Arial"/>
          <w:bCs/>
          <w:lang w:eastAsia="en-AU"/>
        </w:rPr>
        <w:t>ew clause 110</w:t>
      </w:r>
      <w:r>
        <w:rPr>
          <w:rFonts w:ascii="Arial" w:hAnsi="Arial" w:cs="Arial"/>
          <w:bCs/>
          <w:lang w:eastAsia="en-AU"/>
        </w:rPr>
        <w:t>B</w:t>
      </w:r>
      <w:r w:rsidRPr="00F41CBA">
        <w:rPr>
          <w:rFonts w:ascii="Arial" w:hAnsi="Arial" w:cs="Arial"/>
          <w:bCs/>
          <w:lang w:eastAsia="en-AU"/>
        </w:rPr>
        <w:t xml:space="preserve"> will amend section 92(1) of the </w:t>
      </w:r>
      <w:r w:rsidRPr="00F41CBA">
        <w:rPr>
          <w:rFonts w:ascii="Arial" w:hAnsi="Arial" w:cs="Arial"/>
          <w:bCs/>
          <w:i/>
          <w:iCs/>
          <w:lang w:eastAsia="en-AU"/>
        </w:rPr>
        <w:t>Personal Violence Act 2016</w:t>
      </w:r>
      <w:r w:rsidRPr="00F41CBA">
        <w:rPr>
          <w:rFonts w:ascii="Arial" w:hAnsi="Arial" w:cs="Arial"/>
          <w:bCs/>
          <w:lang w:eastAsia="en-AU"/>
        </w:rPr>
        <w:t>, to legislate that recognised orders (corresponding protection orders made under another State, Territory, or New Zealand) against a child under 1</w:t>
      </w:r>
      <w:r>
        <w:rPr>
          <w:rFonts w:ascii="Arial" w:hAnsi="Arial" w:cs="Arial"/>
          <w:bCs/>
          <w:lang w:eastAsia="en-AU"/>
        </w:rPr>
        <w:t>4</w:t>
      </w:r>
      <w:r w:rsidRPr="00F41CBA">
        <w:rPr>
          <w:rFonts w:ascii="Arial" w:hAnsi="Arial" w:cs="Arial"/>
          <w:bCs/>
          <w:lang w:eastAsia="en-AU"/>
        </w:rPr>
        <w:t xml:space="preserve"> years old cannot be registered in the ACT.</w:t>
      </w:r>
    </w:p>
    <w:p w14:paraId="0ACB5D29" w14:textId="4ED47D08" w:rsidR="009D6879" w:rsidRDefault="009D6879" w:rsidP="00F41CBA">
      <w:pPr>
        <w:rPr>
          <w:rFonts w:ascii="Arial" w:hAnsi="Arial" w:cs="Arial"/>
          <w:bCs/>
          <w:lang w:eastAsia="en-AU"/>
        </w:rPr>
      </w:pPr>
      <w:r>
        <w:rPr>
          <w:rFonts w:ascii="Arial" w:hAnsi="Arial" w:cs="Arial"/>
          <w:bCs/>
          <w:lang w:eastAsia="en-AU"/>
        </w:rPr>
        <w:t xml:space="preserve">New clause 110C will amend section 95(1) of the </w:t>
      </w:r>
      <w:r>
        <w:rPr>
          <w:rFonts w:ascii="Arial" w:hAnsi="Arial" w:cs="Arial"/>
          <w:bCs/>
          <w:i/>
          <w:iCs/>
          <w:lang w:eastAsia="en-AU"/>
        </w:rPr>
        <w:t>Personal Violence Act 2016</w:t>
      </w:r>
      <w:r>
        <w:rPr>
          <w:rFonts w:ascii="Arial" w:hAnsi="Arial" w:cs="Arial"/>
          <w:bCs/>
          <w:lang w:eastAsia="en-AU"/>
        </w:rPr>
        <w:t xml:space="preserve"> to legislate that orders against a child under 12 years old that have been registered in the ACT must be revoked. This applies to recognised orders that are currently registered. Once this provision </w:t>
      </w:r>
      <w:r w:rsidR="002C0598">
        <w:rPr>
          <w:rFonts w:ascii="Arial" w:hAnsi="Arial" w:cs="Arial"/>
          <w:bCs/>
          <w:lang w:eastAsia="en-AU"/>
        </w:rPr>
        <w:t>commences</w:t>
      </w:r>
      <w:r>
        <w:rPr>
          <w:rFonts w:ascii="Arial" w:hAnsi="Arial" w:cs="Arial"/>
          <w:bCs/>
          <w:lang w:eastAsia="en-AU"/>
        </w:rPr>
        <w:t xml:space="preserve">, the registrar must cancel all registered </w:t>
      </w:r>
      <w:r w:rsidR="002C0598">
        <w:rPr>
          <w:rFonts w:ascii="Arial" w:hAnsi="Arial" w:cs="Arial"/>
          <w:bCs/>
          <w:lang w:eastAsia="en-AU"/>
        </w:rPr>
        <w:t xml:space="preserve">recognised </w:t>
      </w:r>
      <w:r>
        <w:rPr>
          <w:rFonts w:ascii="Arial" w:hAnsi="Arial" w:cs="Arial"/>
          <w:bCs/>
          <w:lang w:eastAsia="en-AU"/>
        </w:rPr>
        <w:t>orders against children under 12 years old, meaning that they will no longer be recognised as an order in the ACT (however, the orders will continue to have effect in other States and Terri</w:t>
      </w:r>
      <w:r w:rsidR="00BF1D52">
        <w:rPr>
          <w:rFonts w:ascii="Arial" w:hAnsi="Arial" w:cs="Arial"/>
          <w:bCs/>
          <w:lang w:eastAsia="en-AU"/>
        </w:rPr>
        <w:t>tory</w:t>
      </w:r>
      <w:r>
        <w:rPr>
          <w:rFonts w:ascii="Arial" w:hAnsi="Arial" w:cs="Arial"/>
          <w:bCs/>
          <w:lang w:eastAsia="en-AU"/>
        </w:rPr>
        <w:t>).</w:t>
      </w:r>
    </w:p>
    <w:p w14:paraId="39CADF25" w14:textId="3A030D7F" w:rsidR="009A25A2" w:rsidRPr="009A25A2" w:rsidRDefault="00BF1D52" w:rsidP="00F41CBA">
      <w:pPr>
        <w:rPr>
          <w:rFonts w:ascii="Arial" w:hAnsi="Arial" w:cs="Arial"/>
          <w:bCs/>
          <w:lang w:eastAsia="en-AU"/>
        </w:rPr>
      </w:pPr>
      <w:r>
        <w:rPr>
          <w:rFonts w:ascii="Arial" w:hAnsi="Arial" w:cs="Arial"/>
          <w:bCs/>
          <w:lang w:eastAsia="en-AU"/>
        </w:rPr>
        <w:t xml:space="preserve">New clause 110D will amend section 95(1) of the </w:t>
      </w:r>
      <w:r>
        <w:rPr>
          <w:rFonts w:ascii="Arial" w:hAnsi="Arial" w:cs="Arial"/>
          <w:bCs/>
          <w:i/>
          <w:iCs/>
          <w:lang w:eastAsia="en-AU"/>
        </w:rPr>
        <w:t>Personal Violence Act 2016</w:t>
      </w:r>
      <w:r>
        <w:rPr>
          <w:rFonts w:ascii="Arial" w:hAnsi="Arial" w:cs="Arial"/>
          <w:bCs/>
          <w:lang w:eastAsia="en-AU"/>
        </w:rPr>
        <w:t xml:space="preserve"> to legislate that orders against a child under 14 years old that have been registered in the ACT must be revoked. This applies to recognised orders that are currently registered. Once this provision </w:t>
      </w:r>
      <w:r w:rsidR="000F3924">
        <w:rPr>
          <w:rFonts w:ascii="Arial" w:hAnsi="Arial" w:cs="Arial"/>
          <w:bCs/>
          <w:lang w:eastAsia="en-AU"/>
        </w:rPr>
        <w:t>commences</w:t>
      </w:r>
      <w:r>
        <w:rPr>
          <w:rFonts w:ascii="Arial" w:hAnsi="Arial" w:cs="Arial"/>
          <w:bCs/>
          <w:lang w:eastAsia="en-AU"/>
        </w:rPr>
        <w:t>, the registrar must cancel all registered orders against children under 14 years old, meaning that they will no longer be recognised as an order in the ACT (however, the orders will continue to have effect in other States and Terri</w:t>
      </w:r>
      <w:r w:rsidR="00606A73">
        <w:rPr>
          <w:rFonts w:ascii="Arial" w:hAnsi="Arial" w:cs="Arial"/>
          <w:bCs/>
          <w:lang w:eastAsia="en-AU"/>
        </w:rPr>
        <w:t>tory</w:t>
      </w:r>
      <w:r>
        <w:rPr>
          <w:rFonts w:ascii="Arial" w:hAnsi="Arial" w:cs="Arial"/>
          <w:bCs/>
          <w:lang w:eastAsia="en-AU"/>
        </w:rPr>
        <w:t>).</w:t>
      </w:r>
      <w:r w:rsidR="009A25A2">
        <w:rPr>
          <w:rFonts w:ascii="Arial" w:hAnsi="Arial" w:cs="Arial"/>
          <w:bCs/>
          <w:lang w:eastAsia="en-AU"/>
        </w:rPr>
        <w:t xml:space="preserve"> This clause will commence on 1 July 2025.</w:t>
      </w:r>
    </w:p>
    <w:p w14:paraId="1AA67D5E" w14:textId="5BA34C83" w:rsidR="008D709F" w:rsidRPr="00FA6F77" w:rsidRDefault="008D709F" w:rsidP="008D709F">
      <w:pPr>
        <w:pStyle w:val="Heading4"/>
        <w:keepNext w:val="0"/>
        <w:rPr>
          <w:rFonts w:ascii="Arial" w:hAnsi="Arial" w:cs="Arial"/>
          <w:lang w:eastAsia="en-AU"/>
        </w:rPr>
      </w:pPr>
      <w:r w:rsidRPr="00FA6F77">
        <w:rPr>
          <w:rFonts w:ascii="Arial" w:hAnsi="Arial" w:cs="Arial"/>
        </w:rPr>
        <w:t xml:space="preserve">Clause </w:t>
      </w:r>
      <w:r w:rsidR="00A77652">
        <w:rPr>
          <w:rFonts w:ascii="Arial" w:hAnsi="Arial" w:cs="Arial"/>
        </w:rPr>
        <w:t>14</w:t>
      </w:r>
      <w:r w:rsidRPr="00FA6F77">
        <w:rPr>
          <w:rFonts w:ascii="Arial" w:hAnsi="Arial" w:cs="Arial"/>
          <w:bCs/>
          <w:lang w:eastAsia="en-AU"/>
        </w:rPr>
        <w:t xml:space="preserve"> </w:t>
      </w:r>
      <w:r w:rsidRPr="00FA6F77">
        <w:rPr>
          <w:rFonts w:ascii="Arial" w:hAnsi="Arial" w:cs="Arial"/>
          <w:lang w:eastAsia="en-AU"/>
        </w:rPr>
        <w:t>–</w:t>
      </w:r>
      <w:r w:rsidR="00A77652">
        <w:rPr>
          <w:rFonts w:ascii="Arial" w:hAnsi="Arial" w:cs="Arial"/>
          <w:lang w:eastAsia="en-AU"/>
        </w:rPr>
        <w:t xml:space="preserve"> </w:t>
      </w:r>
      <w:r w:rsidR="008549AD" w:rsidRPr="00FA6F77">
        <w:rPr>
          <w:rFonts w:ascii="Arial" w:hAnsi="Arial" w:cs="Arial"/>
          <w:lang w:eastAsia="en-AU"/>
        </w:rPr>
        <w:t xml:space="preserve">Proposed new </w:t>
      </w:r>
      <w:r w:rsidR="00AB3D09">
        <w:rPr>
          <w:rFonts w:ascii="Arial" w:hAnsi="Arial" w:cs="Arial"/>
          <w:lang w:eastAsia="en-AU"/>
        </w:rPr>
        <w:t>clause 126A Page 150, line 17</w:t>
      </w:r>
    </w:p>
    <w:p w14:paraId="0168C68F" w14:textId="75BF1441" w:rsidR="00DC60B9" w:rsidRDefault="00DC60B9" w:rsidP="00AF0D54">
      <w:pPr>
        <w:pStyle w:val="Heading4"/>
        <w:keepNext w:val="0"/>
        <w:rPr>
          <w:rFonts w:ascii="Arial" w:hAnsi="Arial" w:cs="Arial"/>
          <w:b w:val="0"/>
          <w:lang w:eastAsia="en-AU"/>
        </w:rPr>
      </w:pPr>
      <w:r w:rsidRPr="617D959C">
        <w:rPr>
          <w:rFonts w:ascii="Arial" w:hAnsi="Arial" w:cs="Arial"/>
          <w:b w:val="0"/>
          <w:lang w:eastAsia="en-AU"/>
        </w:rPr>
        <w:t xml:space="preserve">This clause inserts new section 14AA into the </w:t>
      </w:r>
      <w:r w:rsidR="00B90C3E" w:rsidRPr="00B90C3E">
        <w:rPr>
          <w:rFonts w:ascii="Arial" w:hAnsi="Arial" w:cs="Arial"/>
          <w:b w:val="0"/>
          <w:i/>
          <w:iCs/>
          <w:lang w:eastAsia="en-AU"/>
        </w:rPr>
        <w:t xml:space="preserve">Victims of Crime </w:t>
      </w:r>
      <w:r w:rsidRPr="00B90C3E">
        <w:rPr>
          <w:rFonts w:ascii="Arial" w:hAnsi="Arial" w:cs="Arial"/>
          <w:b w:val="0"/>
          <w:i/>
          <w:iCs/>
          <w:lang w:eastAsia="en-AU"/>
        </w:rPr>
        <w:t>Act</w:t>
      </w:r>
      <w:r w:rsidR="00B90C3E" w:rsidRPr="00B90C3E">
        <w:rPr>
          <w:rFonts w:ascii="Arial" w:hAnsi="Arial" w:cs="Arial"/>
          <w:b w:val="0"/>
          <w:i/>
          <w:iCs/>
          <w:lang w:eastAsia="en-AU"/>
        </w:rPr>
        <w:t xml:space="preserve"> 1994</w:t>
      </w:r>
      <w:r w:rsidRPr="617D959C">
        <w:rPr>
          <w:rFonts w:ascii="Arial" w:hAnsi="Arial" w:cs="Arial"/>
          <w:b w:val="0"/>
          <w:lang w:eastAsia="en-AU"/>
        </w:rPr>
        <w:t xml:space="preserve">. This amendment ensures a victim of the harmful behaviour of a child under the </w:t>
      </w:r>
      <w:r w:rsidR="00741415">
        <w:rPr>
          <w:rFonts w:ascii="Arial" w:hAnsi="Arial" w:cs="Arial"/>
          <w:b w:val="0"/>
          <w:lang w:eastAsia="en-AU"/>
        </w:rPr>
        <w:t xml:space="preserve">minimum </w:t>
      </w:r>
      <w:r w:rsidRPr="617D959C">
        <w:rPr>
          <w:rFonts w:ascii="Arial" w:hAnsi="Arial" w:cs="Arial"/>
          <w:b w:val="0"/>
          <w:lang w:eastAsia="en-AU"/>
        </w:rPr>
        <w:t xml:space="preserve">age criminal responsibility is protected by the same rights, such as privacy rights, as other victims as defined by section 6 of the Act. </w:t>
      </w:r>
    </w:p>
    <w:p w14:paraId="0A7F442B" w14:textId="59860511" w:rsidR="00AB3D09" w:rsidRDefault="00AF0D54" w:rsidP="00AF0D54">
      <w:pPr>
        <w:pStyle w:val="Heading4"/>
        <w:keepNext w:val="0"/>
        <w:rPr>
          <w:rFonts w:ascii="Arial" w:hAnsi="Arial" w:cs="Arial"/>
          <w:lang w:eastAsia="en-AU"/>
        </w:rPr>
      </w:pPr>
      <w:r w:rsidRPr="00050F68">
        <w:rPr>
          <w:rFonts w:ascii="Arial" w:hAnsi="Arial" w:cs="Arial"/>
        </w:rPr>
        <w:t xml:space="preserve">Clause </w:t>
      </w:r>
      <w:r w:rsidR="00A77652">
        <w:rPr>
          <w:rFonts w:ascii="Arial" w:hAnsi="Arial" w:cs="Arial"/>
        </w:rPr>
        <w:t>15</w:t>
      </w:r>
      <w:r w:rsidRPr="00050F68">
        <w:rPr>
          <w:rFonts w:ascii="Arial" w:hAnsi="Arial" w:cs="Arial"/>
          <w:bCs/>
          <w:lang w:eastAsia="en-AU"/>
        </w:rPr>
        <w:t xml:space="preserve"> </w:t>
      </w:r>
      <w:r w:rsidRPr="00050F68">
        <w:rPr>
          <w:rFonts w:ascii="Arial" w:hAnsi="Arial" w:cs="Arial"/>
          <w:lang w:eastAsia="en-AU"/>
        </w:rPr>
        <w:t>–</w:t>
      </w:r>
      <w:r w:rsidR="00E802DE">
        <w:rPr>
          <w:rFonts w:ascii="Arial" w:hAnsi="Arial" w:cs="Arial"/>
          <w:lang w:eastAsia="en-AU"/>
        </w:rPr>
        <w:t xml:space="preserve"> Clause 129 </w:t>
      </w:r>
      <w:r w:rsidR="00586F3B">
        <w:rPr>
          <w:rFonts w:ascii="Arial" w:hAnsi="Arial" w:cs="Arial"/>
          <w:lang w:eastAsia="en-AU"/>
        </w:rPr>
        <w:t>Proposed new section 15C</w:t>
      </w:r>
      <w:r w:rsidR="00AB3D09">
        <w:rPr>
          <w:rFonts w:ascii="Arial" w:hAnsi="Arial" w:cs="Arial"/>
          <w:lang w:eastAsia="en-AU"/>
        </w:rPr>
        <w:t>A</w:t>
      </w:r>
      <w:r w:rsidR="008631D5">
        <w:rPr>
          <w:rFonts w:ascii="Arial" w:hAnsi="Arial" w:cs="Arial"/>
          <w:lang w:eastAsia="en-AU"/>
        </w:rPr>
        <w:t xml:space="preserve"> </w:t>
      </w:r>
      <w:r w:rsidR="00AB3D09">
        <w:rPr>
          <w:rFonts w:ascii="Arial" w:hAnsi="Arial" w:cs="Arial"/>
          <w:lang w:eastAsia="en-AU"/>
        </w:rPr>
        <w:t>(</w:t>
      </w:r>
      <w:r w:rsidR="00586F3B">
        <w:rPr>
          <w:rFonts w:ascii="Arial" w:hAnsi="Arial" w:cs="Arial"/>
          <w:lang w:eastAsia="en-AU"/>
        </w:rPr>
        <w:t>1)</w:t>
      </w:r>
      <w:r w:rsidR="00AB3D09">
        <w:rPr>
          <w:rFonts w:ascii="Arial" w:hAnsi="Arial" w:cs="Arial"/>
          <w:lang w:eastAsia="en-AU"/>
        </w:rPr>
        <w:t xml:space="preserve">, definition of </w:t>
      </w:r>
      <w:r w:rsidR="00AB3D09">
        <w:rPr>
          <w:rFonts w:ascii="Arial" w:hAnsi="Arial" w:cs="Arial"/>
          <w:i/>
          <w:iCs/>
          <w:lang w:eastAsia="en-AU"/>
        </w:rPr>
        <w:t>victim</w:t>
      </w:r>
      <w:r w:rsidR="00AB3D09">
        <w:rPr>
          <w:rFonts w:ascii="Arial" w:hAnsi="Arial" w:cs="Arial"/>
          <w:lang w:eastAsia="en-AU"/>
        </w:rPr>
        <w:t xml:space="preserve">, </w:t>
      </w:r>
      <w:r w:rsidR="00586F3B">
        <w:rPr>
          <w:rFonts w:ascii="Arial" w:hAnsi="Arial" w:cs="Arial"/>
          <w:lang w:eastAsia="en-AU"/>
        </w:rPr>
        <w:t>Page 15</w:t>
      </w:r>
      <w:r w:rsidR="00AB3D09">
        <w:rPr>
          <w:rFonts w:ascii="Arial" w:hAnsi="Arial" w:cs="Arial"/>
          <w:lang w:eastAsia="en-AU"/>
        </w:rPr>
        <w:t>2</w:t>
      </w:r>
      <w:r w:rsidR="00586F3B">
        <w:rPr>
          <w:rFonts w:ascii="Arial" w:hAnsi="Arial" w:cs="Arial"/>
          <w:lang w:eastAsia="en-AU"/>
        </w:rPr>
        <w:t xml:space="preserve">, line </w:t>
      </w:r>
      <w:r w:rsidR="00AB3D09">
        <w:rPr>
          <w:rFonts w:ascii="Arial" w:hAnsi="Arial" w:cs="Arial"/>
          <w:lang w:eastAsia="en-AU"/>
        </w:rPr>
        <w:t>6</w:t>
      </w:r>
    </w:p>
    <w:p w14:paraId="3C038504" w14:textId="55996863" w:rsidR="006B7B55" w:rsidRPr="006B7B55" w:rsidRDefault="002B1CCB" w:rsidP="006B7B55">
      <w:pPr>
        <w:pStyle w:val="Heading4"/>
        <w:keepNext w:val="0"/>
        <w:rPr>
          <w:rFonts w:ascii="Arial" w:hAnsi="Arial" w:cs="Arial"/>
          <w:b w:val="0"/>
          <w:lang w:eastAsia="en-AU"/>
        </w:rPr>
      </w:pPr>
      <w:r w:rsidRPr="617D959C">
        <w:rPr>
          <w:rFonts w:ascii="Arial" w:hAnsi="Arial" w:cs="Arial"/>
          <w:b w:val="0"/>
          <w:lang w:eastAsia="en-AU"/>
        </w:rPr>
        <w:t xml:space="preserve">This clause amends the definition of ‘victim’ as set out in clause 129 of the Bill. The amendment expands the range of individuals characterised as a secondary victim in </w:t>
      </w:r>
      <w:r w:rsidR="00B90C3E">
        <w:rPr>
          <w:rFonts w:ascii="Arial" w:hAnsi="Arial" w:cs="Arial"/>
          <w:b w:val="0"/>
          <w:lang w:eastAsia="en-AU"/>
        </w:rPr>
        <w:t xml:space="preserve">the </w:t>
      </w:r>
      <w:r w:rsidR="00B90C3E" w:rsidRPr="00B90C3E">
        <w:rPr>
          <w:rFonts w:ascii="Arial" w:hAnsi="Arial" w:cs="Arial"/>
          <w:b w:val="0"/>
          <w:i/>
          <w:iCs/>
          <w:lang w:eastAsia="en-AU"/>
        </w:rPr>
        <w:t>Victims of Crime Act 1994</w:t>
      </w:r>
      <w:r w:rsidR="00B90C3E">
        <w:rPr>
          <w:rFonts w:ascii="Arial" w:hAnsi="Arial" w:cs="Arial"/>
          <w:b w:val="0"/>
          <w:lang w:eastAsia="en-AU"/>
        </w:rPr>
        <w:t xml:space="preserve"> in </w:t>
      </w:r>
      <w:r w:rsidRPr="617D959C">
        <w:rPr>
          <w:rFonts w:ascii="Arial" w:hAnsi="Arial" w:cs="Arial"/>
          <w:b w:val="0"/>
          <w:lang w:eastAsia="en-AU"/>
        </w:rPr>
        <w:t xml:space="preserve">circumstances where a primary victim dies because of </w:t>
      </w:r>
      <w:r w:rsidR="00741415">
        <w:rPr>
          <w:rFonts w:ascii="Arial" w:hAnsi="Arial" w:cs="Arial"/>
          <w:b w:val="0"/>
          <w:lang w:eastAsia="en-AU"/>
        </w:rPr>
        <w:t>the</w:t>
      </w:r>
      <w:r w:rsidRPr="617D959C">
        <w:rPr>
          <w:rFonts w:ascii="Arial" w:hAnsi="Arial" w:cs="Arial"/>
          <w:b w:val="0"/>
          <w:lang w:eastAsia="en-AU"/>
        </w:rPr>
        <w:t xml:space="preserve"> harmful behaviour</w:t>
      </w:r>
      <w:r w:rsidR="00741415">
        <w:rPr>
          <w:rFonts w:ascii="Arial" w:hAnsi="Arial" w:cs="Arial"/>
          <w:b w:val="0"/>
          <w:lang w:eastAsia="en-AU"/>
        </w:rPr>
        <w:t xml:space="preserve"> of a child under the minimum age of criminal responsibility</w:t>
      </w:r>
      <w:r w:rsidRPr="617D959C">
        <w:rPr>
          <w:rFonts w:ascii="Arial" w:hAnsi="Arial" w:cs="Arial"/>
          <w:b w:val="0"/>
          <w:lang w:eastAsia="en-AU"/>
        </w:rPr>
        <w:t xml:space="preserve">. This will provide the Therapeutic Support Panel or Victims of Crime Commissioner </w:t>
      </w:r>
      <w:r w:rsidRPr="617D959C">
        <w:rPr>
          <w:rFonts w:ascii="Arial" w:hAnsi="Arial" w:cs="Arial"/>
          <w:b w:val="0"/>
          <w:lang w:eastAsia="en-AU"/>
        </w:rPr>
        <w:lastRenderedPageBreak/>
        <w:t xml:space="preserve">with an appropriate degree of discretion when determining whether a person is a secondary victim. The amendment implements recommendation 17 from </w:t>
      </w:r>
      <w:r w:rsidRPr="617D959C">
        <w:rPr>
          <w:rFonts w:ascii="Arial" w:hAnsi="Arial" w:cs="Arial"/>
          <w:b w:val="0"/>
        </w:rPr>
        <w:t>the Inquiry into the Bill by the Standing Committee on Justice and Community Safety in</w:t>
      </w:r>
      <w:r w:rsidRPr="617D959C">
        <w:rPr>
          <w:rFonts w:ascii="Arial" w:hAnsi="Arial" w:cs="Arial"/>
          <w:b w:val="0"/>
          <w:i/>
          <w:iCs/>
        </w:rPr>
        <w:t xml:space="preserve"> Report No. 18 Inquiry into Justice (Age of Criminal Responsibility) Legislation Amendment Bill 2023.</w:t>
      </w:r>
      <w:r w:rsidR="00BF2C3C">
        <w:rPr>
          <w:rFonts w:ascii="Arial" w:hAnsi="Arial" w:cs="Arial"/>
          <w:i/>
          <w:iCs/>
        </w:rPr>
        <w:t xml:space="preserve"> </w:t>
      </w:r>
    </w:p>
    <w:p w14:paraId="0317932A" w14:textId="2A6DB7B9" w:rsidR="00A77652" w:rsidRPr="006B7B55" w:rsidRDefault="006B7B55" w:rsidP="00A77652">
      <w:pPr>
        <w:rPr>
          <w:rFonts w:ascii="Arial" w:hAnsi="Arial" w:cs="Arial"/>
          <w:b/>
          <w:bCs/>
          <w:lang w:eastAsia="en-AU"/>
        </w:rPr>
      </w:pPr>
      <w:r w:rsidRPr="006B7B55">
        <w:rPr>
          <w:rFonts w:ascii="Arial" w:hAnsi="Arial" w:cs="Arial"/>
          <w:b/>
          <w:bCs/>
          <w:lang w:eastAsia="en-AU"/>
        </w:rPr>
        <w:t>Clause 16 – Clause 129 Proposed new section 15CE(2)</w:t>
      </w:r>
      <w:r>
        <w:rPr>
          <w:rFonts w:ascii="Arial" w:hAnsi="Arial" w:cs="Arial"/>
          <w:b/>
          <w:bCs/>
          <w:lang w:eastAsia="en-AU"/>
        </w:rPr>
        <w:t xml:space="preserve"> Page 154, line 15</w:t>
      </w:r>
    </w:p>
    <w:p w14:paraId="37969257" w14:textId="22828813" w:rsidR="006B7B55" w:rsidRPr="00B90C3E" w:rsidRDefault="00B90C3E" w:rsidP="00A77652">
      <w:pPr>
        <w:rPr>
          <w:rFonts w:ascii="Arial" w:hAnsi="Arial" w:cs="Arial"/>
          <w:lang w:eastAsia="en-AU"/>
        </w:rPr>
      </w:pPr>
      <w:r w:rsidRPr="163A67BF">
        <w:rPr>
          <w:rFonts w:ascii="Arial" w:hAnsi="Arial" w:cs="Arial"/>
          <w:lang w:eastAsia="en-AU"/>
        </w:rPr>
        <w:t>This clause amends section 15C</w:t>
      </w:r>
      <w:r>
        <w:rPr>
          <w:rFonts w:ascii="Arial" w:hAnsi="Arial" w:cs="Arial"/>
          <w:lang w:eastAsia="en-AU"/>
        </w:rPr>
        <w:t>E</w:t>
      </w:r>
      <w:r w:rsidRPr="163A67BF">
        <w:rPr>
          <w:rFonts w:ascii="Arial" w:hAnsi="Arial" w:cs="Arial"/>
          <w:lang w:eastAsia="en-AU"/>
        </w:rPr>
        <w:t>(</w:t>
      </w:r>
      <w:r>
        <w:rPr>
          <w:rFonts w:ascii="Arial" w:hAnsi="Arial" w:cs="Arial"/>
          <w:lang w:eastAsia="en-AU"/>
        </w:rPr>
        <w:t>2</w:t>
      </w:r>
      <w:r w:rsidRPr="163A67BF">
        <w:rPr>
          <w:rFonts w:ascii="Arial" w:hAnsi="Arial" w:cs="Arial"/>
          <w:lang w:eastAsia="en-AU"/>
        </w:rPr>
        <w:t xml:space="preserve">) which is inserted into the </w:t>
      </w:r>
      <w:r w:rsidRPr="00B90C3E">
        <w:rPr>
          <w:rFonts w:ascii="Arial" w:hAnsi="Arial" w:cs="Arial"/>
          <w:i/>
          <w:iCs/>
          <w:lang w:eastAsia="en-AU"/>
        </w:rPr>
        <w:t>Victims of Crime Act 1994</w:t>
      </w:r>
      <w:r>
        <w:rPr>
          <w:rFonts w:ascii="Arial" w:hAnsi="Arial" w:cs="Arial"/>
          <w:b/>
          <w:lang w:eastAsia="en-AU"/>
        </w:rPr>
        <w:t xml:space="preserve"> </w:t>
      </w:r>
      <w:r w:rsidRPr="163A67BF">
        <w:rPr>
          <w:rFonts w:ascii="Arial" w:hAnsi="Arial" w:cs="Arial"/>
          <w:lang w:eastAsia="en-AU"/>
        </w:rPr>
        <w:t>by clause 129 of the Bill.</w:t>
      </w:r>
      <w:r w:rsidR="00BF2C3C">
        <w:rPr>
          <w:rFonts w:ascii="Arial" w:hAnsi="Arial" w:cs="Arial"/>
          <w:lang w:eastAsia="en-AU"/>
        </w:rPr>
        <w:t xml:space="preserve"> </w:t>
      </w:r>
      <w:r w:rsidRPr="006B7B55">
        <w:rPr>
          <w:rFonts w:ascii="Arial" w:hAnsi="Arial" w:cs="Arial"/>
          <w:lang w:eastAsia="en-AU"/>
        </w:rPr>
        <w:t>Th</w:t>
      </w:r>
      <w:r>
        <w:rPr>
          <w:rFonts w:ascii="Arial" w:hAnsi="Arial" w:cs="Arial"/>
          <w:lang w:eastAsia="en-AU"/>
        </w:rPr>
        <w:t>e amendment</w:t>
      </w:r>
      <w:r w:rsidRPr="006B7B55">
        <w:rPr>
          <w:rFonts w:ascii="Arial" w:hAnsi="Arial" w:cs="Arial"/>
          <w:lang w:eastAsia="en-AU"/>
        </w:rPr>
        <w:t xml:space="preserve"> </w:t>
      </w:r>
      <w:r>
        <w:rPr>
          <w:rFonts w:ascii="Arial" w:hAnsi="Arial" w:cs="Arial"/>
          <w:lang w:eastAsia="en-AU"/>
        </w:rPr>
        <w:t>replaces</w:t>
      </w:r>
      <w:r w:rsidRPr="006B7B55">
        <w:rPr>
          <w:rFonts w:ascii="Arial" w:hAnsi="Arial" w:cs="Arial"/>
          <w:lang w:eastAsia="en-AU"/>
        </w:rPr>
        <w:t xml:space="preserve"> the word ‘maker’ </w:t>
      </w:r>
      <w:r>
        <w:rPr>
          <w:rFonts w:ascii="Arial" w:hAnsi="Arial" w:cs="Arial"/>
          <w:lang w:eastAsia="en-AU"/>
        </w:rPr>
        <w:t>with</w:t>
      </w:r>
      <w:r w:rsidRPr="006B7B55">
        <w:rPr>
          <w:rFonts w:ascii="Arial" w:hAnsi="Arial" w:cs="Arial"/>
          <w:lang w:eastAsia="en-AU"/>
        </w:rPr>
        <w:t xml:space="preserve"> the word ‘victim’</w:t>
      </w:r>
      <w:r w:rsidRPr="00B90C3E">
        <w:rPr>
          <w:rFonts w:ascii="Arial" w:hAnsi="Arial" w:cs="Arial"/>
        </w:rPr>
        <w:t xml:space="preserve"> </w:t>
      </w:r>
      <w:r>
        <w:rPr>
          <w:rFonts w:ascii="Arial" w:hAnsi="Arial" w:cs="Arial"/>
        </w:rPr>
        <w:t xml:space="preserve">to ensure consistency with existing provisions in the </w:t>
      </w:r>
      <w:r w:rsidRPr="00B90C3E">
        <w:rPr>
          <w:rFonts w:ascii="Arial" w:hAnsi="Arial" w:cs="Arial"/>
          <w:bCs/>
          <w:i/>
          <w:iCs/>
          <w:lang w:eastAsia="en-AU"/>
        </w:rPr>
        <w:t>Victims of Crime Act 1994</w:t>
      </w:r>
      <w:r w:rsidRPr="006B7B55">
        <w:rPr>
          <w:rFonts w:ascii="Arial" w:hAnsi="Arial" w:cs="Arial"/>
          <w:lang w:eastAsia="en-AU"/>
        </w:rPr>
        <w:t>.</w:t>
      </w:r>
    </w:p>
    <w:p w14:paraId="36BE1A8C" w14:textId="62E0D813" w:rsidR="006B7B55" w:rsidRPr="006B7B55" w:rsidRDefault="006B7B55" w:rsidP="00A77652">
      <w:pPr>
        <w:rPr>
          <w:rFonts w:ascii="Arial" w:hAnsi="Arial" w:cs="Arial"/>
          <w:b/>
          <w:bCs/>
          <w:lang w:eastAsia="en-AU"/>
        </w:rPr>
      </w:pPr>
      <w:r w:rsidRPr="006B7B55">
        <w:rPr>
          <w:rFonts w:ascii="Arial" w:hAnsi="Arial" w:cs="Arial"/>
          <w:b/>
          <w:bCs/>
          <w:lang w:eastAsia="en-AU"/>
        </w:rPr>
        <w:t>Clause 17 – Clause 129 Proposed new section 15CF(2)</w:t>
      </w:r>
      <w:r w:rsidR="00E802DE">
        <w:rPr>
          <w:rFonts w:ascii="Arial" w:hAnsi="Arial" w:cs="Arial"/>
          <w:b/>
          <w:bCs/>
          <w:lang w:eastAsia="en-AU"/>
        </w:rPr>
        <w:t xml:space="preserve"> </w:t>
      </w:r>
      <w:r w:rsidRPr="006B7B55">
        <w:rPr>
          <w:rFonts w:ascii="Arial" w:hAnsi="Arial" w:cs="Arial"/>
          <w:b/>
          <w:bCs/>
          <w:lang w:eastAsia="en-AU"/>
        </w:rPr>
        <w:t>(b)</w:t>
      </w:r>
      <w:r>
        <w:rPr>
          <w:rFonts w:ascii="Arial" w:hAnsi="Arial" w:cs="Arial"/>
          <w:b/>
          <w:bCs/>
          <w:lang w:eastAsia="en-AU"/>
        </w:rPr>
        <w:t xml:space="preserve"> Page 155, line 10</w:t>
      </w:r>
    </w:p>
    <w:p w14:paraId="5D0CCD78" w14:textId="6A6F52E4" w:rsidR="00A77652" w:rsidRPr="00B90C3E" w:rsidRDefault="00B90C3E" w:rsidP="00A77652">
      <w:pPr>
        <w:rPr>
          <w:rFonts w:ascii="Arial" w:hAnsi="Arial" w:cs="Arial"/>
          <w:lang w:eastAsia="en-AU"/>
        </w:rPr>
      </w:pPr>
      <w:r w:rsidRPr="163A67BF">
        <w:rPr>
          <w:rFonts w:ascii="Arial" w:hAnsi="Arial" w:cs="Arial"/>
          <w:lang w:eastAsia="en-AU"/>
        </w:rPr>
        <w:t>This clause amends section 15C</w:t>
      </w:r>
      <w:r>
        <w:rPr>
          <w:rFonts w:ascii="Arial" w:hAnsi="Arial" w:cs="Arial"/>
          <w:lang w:eastAsia="en-AU"/>
        </w:rPr>
        <w:t>F</w:t>
      </w:r>
      <w:r w:rsidRPr="163A67BF">
        <w:rPr>
          <w:rFonts w:ascii="Arial" w:hAnsi="Arial" w:cs="Arial"/>
          <w:lang w:eastAsia="en-AU"/>
        </w:rPr>
        <w:t>(</w:t>
      </w:r>
      <w:r>
        <w:rPr>
          <w:rFonts w:ascii="Arial" w:hAnsi="Arial" w:cs="Arial"/>
          <w:lang w:eastAsia="en-AU"/>
        </w:rPr>
        <w:t>2</w:t>
      </w:r>
      <w:r w:rsidR="00741415">
        <w:rPr>
          <w:rFonts w:ascii="Arial" w:hAnsi="Arial" w:cs="Arial"/>
          <w:lang w:eastAsia="en-AU"/>
        </w:rPr>
        <w:t>)(b</w:t>
      </w:r>
      <w:r w:rsidRPr="163A67BF">
        <w:rPr>
          <w:rFonts w:ascii="Arial" w:hAnsi="Arial" w:cs="Arial"/>
          <w:lang w:eastAsia="en-AU"/>
        </w:rPr>
        <w:t xml:space="preserve">) which is inserted into the </w:t>
      </w:r>
      <w:r w:rsidRPr="00B90C3E">
        <w:rPr>
          <w:rFonts w:ascii="Arial" w:hAnsi="Arial" w:cs="Arial"/>
          <w:i/>
          <w:iCs/>
          <w:lang w:eastAsia="en-AU"/>
        </w:rPr>
        <w:t>Victims of Crime Act 1994</w:t>
      </w:r>
      <w:r>
        <w:rPr>
          <w:rFonts w:ascii="Arial" w:hAnsi="Arial" w:cs="Arial"/>
          <w:b/>
          <w:lang w:eastAsia="en-AU"/>
        </w:rPr>
        <w:t xml:space="preserve"> </w:t>
      </w:r>
      <w:r w:rsidRPr="163A67BF">
        <w:rPr>
          <w:rFonts w:ascii="Arial" w:hAnsi="Arial" w:cs="Arial"/>
          <w:lang w:eastAsia="en-AU"/>
        </w:rPr>
        <w:t xml:space="preserve">by clause 129 of the Bill. </w:t>
      </w:r>
      <w:r w:rsidRPr="006B7B55">
        <w:rPr>
          <w:rFonts w:ascii="Arial" w:hAnsi="Arial" w:cs="Arial"/>
          <w:lang w:eastAsia="en-AU"/>
        </w:rPr>
        <w:t>Th</w:t>
      </w:r>
      <w:r>
        <w:rPr>
          <w:rFonts w:ascii="Arial" w:hAnsi="Arial" w:cs="Arial"/>
          <w:lang w:eastAsia="en-AU"/>
        </w:rPr>
        <w:t>e amendment</w:t>
      </w:r>
      <w:r w:rsidRPr="006B7B55">
        <w:rPr>
          <w:rFonts w:ascii="Arial" w:hAnsi="Arial" w:cs="Arial"/>
          <w:lang w:eastAsia="en-AU"/>
        </w:rPr>
        <w:t xml:space="preserve"> </w:t>
      </w:r>
      <w:r>
        <w:rPr>
          <w:rFonts w:ascii="Arial" w:hAnsi="Arial" w:cs="Arial"/>
          <w:lang w:eastAsia="en-AU"/>
        </w:rPr>
        <w:t>replaces</w:t>
      </w:r>
      <w:r w:rsidRPr="006B7B55">
        <w:rPr>
          <w:rFonts w:ascii="Arial" w:hAnsi="Arial" w:cs="Arial"/>
          <w:lang w:eastAsia="en-AU"/>
        </w:rPr>
        <w:t xml:space="preserve"> the word</w:t>
      </w:r>
      <w:r>
        <w:rPr>
          <w:rFonts w:ascii="Arial" w:hAnsi="Arial" w:cs="Arial"/>
          <w:lang w:eastAsia="en-AU"/>
        </w:rPr>
        <w:t>s</w:t>
      </w:r>
      <w:r w:rsidRPr="006B7B55">
        <w:rPr>
          <w:rFonts w:ascii="Arial" w:hAnsi="Arial" w:cs="Arial"/>
          <w:lang w:eastAsia="en-AU"/>
        </w:rPr>
        <w:t xml:space="preserve"> ‘maker</w:t>
      </w:r>
      <w:r>
        <w:rPr>
          <w:rFonts w:ascii="Arial" w:hAnsi="Arial" w:cs="Arial"/>
          <w:lang w:eastAsia="en-AU"/>
        </w:rPr>
        <w:t xml:space="preserve"> of the statement</w:t>
      </w:r>
      <w:r w:rsidRPr="006B7B55">
        <w:rPr>
          <w:rFonts w:ascii="Arial" w:hAnsi="Arial" w:cs="Arial"/>
          <w:lang w:eastAsia="en-AU"/>
        </w:rPr>
        <w:t xml:space="preserve">’ </w:t>
      </w:r>
      <w:r>
        <w:rPr>
          <w:rFonts w:ascii="Arial" w:hAnsi="Arial" w:cs="Arial"/>
          <w:lang w:eastAsia="en-AU"/>
        </w:rPr>
        <w:t>with</w:t>
      </w:r>
      <w:r w:rsidRPr="006B7B55">
        <w:rPr>
          <w:rFonts w:ascii="Arial" w:hAnsi="Arial" w:cs="Arial"/>
          <w:lang w:eastAsia="en-AU"/>
        </w:rPr>
        <w:t xml:space="preserve"> the word ‘victim’</w:t>
      </w:r>
      <w:r w:rsidRPr="00B90C3E">
        <w:rPr>
          <w:rFonts w:ascii="Arial" w:hAnsi="Arial" w:cs="Arial"/>
        </w:rPr>
        <w:t xml:space="preserve"> </w:t>
      </w:r>
      <w:r>
        <w:rPr>
          <w:rFonts w:ascii="Arial" w:hAnsi="Arial" w:cs="Arial"/>
        </w:rPr>
        <w:t xml:space="preserve">to ensure consistency with existing provisions in the </w:t>
      </w:r>
      <w:r w:rsidRPr="008155A4">
        <w:rPr>
          <w:rFonts w:ascii="Arial" w:hAnsi="Arial" w:cs="Arial"/>
          <w:bCs/>
          <w:i/>
          <w:iCs/>
          <w:lang w:eastAsia="en-AU"/>
        </w:rPr>
        <w:t>Victims of Crime Act 1994</w:t>
      </w:r>
      <w:r w:rsidRPr="006B7B55">
        <w:rPr>
          <w:rFonts w:ascii="Arial" w:hAnsi="Arial" w:cs="Arial"/>
          <w:lang w:eastAsia="en-AU"/>
        </w:rPr>
        <w:t>.</w:t>
      </w:r>
    </w:p>
    <w:p w14:paraId="758CC97A" w14:textId="5E700AC7"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A77652">
        <w:rPr>
          <w:rFonts w:ascii="Arial" w:hAnsi="Arial" w:cs="Arial"/>
        </w:rPr>
        <w:t>18</w:t>
      </w:r>
      <w:r w:rsidRPr="00050F68">
        <w:rPr>
          <w:rFonts w:ascii="Arial" w:hAnsi="Arial" w:cs="Arial"/>
          <w:bCs/>
          <w:lang w:eastAsia="en-AU"/>
        </w:rPr>
        <w:t xml:space="preserve"> </w:t>
      </w:r>
      <w:r w:rsidRPr="00050F68">
        <w:rPr>
          <w:rFonts w:ascii="Arial" w:hAnsi="Arial" w:cs="Arial"/>
          <w:lang w:eastAsia="en-AU"/>
        </w:rPr>
        <w:t xml:space="preserve">– </w:t>
      </w:r>
      <w:r w:rsidR="00586F3B">
        <w:rPr>
          <w:rFonts w:ascii="Arial" w:hAnsi="Arial" w:cs="Arial"/>
          <w:lang w:eastAsia="en-AU"/>
        </w:rPr>
        <w:t xml:space="preserve">Clause 129 Proposed new </w:t>
      </w:r>
      <w:r w:rsidR="00AB3D09">
        <w:rPr>
          <w:rFonts w:ascii="Arial" w:hAnsi="Arial" w:cs="Arial"/>
          <w:lang w:eastAsia="en-AU"/>
        </w:rPr>
        <w:t>section 15CG</w:t>
      </w:r>
      <w:r w:rsidR="008631D5">
        <w:rPr>
          <w:rFonts w:ascii="Arial" w:hAnsi="Arial" w:cs="Arial"/>
          <w:lang w:eastAsia="en-AU"/>
        </w:rPr>
        <w:t xml:space="preserve"> </w:t>
      </w:r>
      <w:r w:rsidR="00AB3D09">
        <w:rPr>
          <w:rFonts w:ascii="Arial" w:hAnsi="Arial" w:cs="Arial"/>
          <w:lang w:eastAsia="en-AU"/>
        </w:rPr>
        <w:t>(1)</w:t>
      </w:r>
      <w:r w:rsidR="008631D5">
        <w:rPr>
          <w:rFonts w:ascii="Arial" w:hAnsi="Arial" w:cs="Arial"/>
          <w:lang w:eastAsia="en-AU"/>
        </w:rPr>
        <w:t xml:space="preserve"> </w:t>
      </w:r>
      <w:r w:rsidR="00AB3D09">
        <w:rPr>
          <w:rFonts w:ascii="Arial" w:hAnsi="Arial" w:cs="Arial"/>
          <w:lang w:eastAsia="en-AU"/>
        </w:rPr>
        <w:t>(d)</w:t>
      </w:r>
      <w:r w:rsidR="008631D5">
        <w:rPr>
          <w:rFonts w:ascii="Arial" w:hAnsi="Arial" w:cs="Arial"/>
          <w:lang w:eastAsia="en-AU"/>
        </w:rPr>
        <w:t xml:space="preserve"> </w:t>
      </w:r>
      <w:r w:rsidR="00AB3D09">
        <w:rPr>
          <w:rFonts w:ascii="Arial" w:hAnsi="Arial" w:cs="Arial"/>
          <w:lang w:eastAsia="en-AU"/>
        </w:rPr>
        <w:t>(i) Page 155, line 21</w:t>
      </w:r>
    </w:p>
    <w:p w14:paraId="1AA4103C" w14:textId="53D44C01" w:rsidR="002B1CCB" w:rsidRPr="00050F68" w:rsidRDefault="002B1CCB" w:rsidP="002B1CCB">
      <w:pPr>
        <w:pStyle w:val="Heading4"/>
        <w:keepNext w:val="0"/>
        <w:rPr>
          <w:rFonts w:ascii="Arial" w:hAnsi="Arial" w:cs="Arial"/>
          <w:b w:val="0"/>
          <w:lang w:eastAsia="en-AU"/>
        </w:rPr>
      </w:pPr>
      <w:r w:rsidRPr="163A67BF">
        <w:rPr>
          <w:rFonts w:ascii="Arial" w:hAnsi="Arial" w:cs="Arial"/>
          <w:b w:val="0"/>
          <w:lang w:eastAsia="en-AU"/>
        </w:rPr>
        <w:t xml:space="preserve">This clause amends section 15CG(1)(d)(i) which is inserted into the </w:t>
      </w:r>
      <w:r w:rsidR="00B90C3E" w:rsidRPr="00B90C3E">
        <w:rPr>
          <w:rFonts w:ascii="Arial" w:hAnsi="Arial" w:cs="Arial"/>
          <w:b w:val="0"/>
          <w:i/>
          <w:iCs/>
          <w:lang w:eastAsia="en-AU"/>
        </w:rPr>
        <w:t xml:space="preserve">Victims of Crime </w:t>
      </w:r>
      <w:r w:rsidRPr="00B90C3E">
        <w:rPr>
          <w:rFonts w:ascii="Arial" w:hAnsi="Arial" w:cs="Arial"/>
          <w:b w:val="0"/>
          <w:i/>
          <w:iCs/>
          <w:lang w:eastAsia="en-AU"/>
        </w:rPr>
        <w:t xml:space="preserve">Act </w:t>
      </w:r>
      <w:r w:rsidR="00B90C3E" w:rsidRPr="00B90C3E">
        <w:rPr>
          <w:rFonts w:ascii="Arial" w:hAnsi="Arial" w:cs="Arial"/>
          <w:b w:val="0"/>
          <w:i/>
          <w:iCs/>
          <w:lang w:eastAsia="en-AU"/>
        </w:rPr>
        <w:t>1994</w:t>
      </w:r>
      <w:r w:rsidR="00B90C3E">
        <w:rPr>
          <w:rFonts w:ascii="Arial" w:hAnsi="Arial" w:cs="Arial"/>
          <w:b w:val="0"/>
          <w:lang w:eastAsia="en-AU"/>
        </w:rPr>
        <w:t xml:space="preserve"> </w:t>
      </w:r>
      <w:r w:rsidRPr="163A67BF">
        <w:rPr>
          <w:rFonts w:ascii="Arial" w:hAnsi="Arial" w:cs="Arial"/>
          <w:b w:val="0"/>
          <w:lang w:eastAsia="en-AU"/>
        </w:rPr>
        <w:t xml:space="preserve">by clause 129 of the Bill. The amendment ensures that victims are aware that a statement the victim provides will not be provided to the child without the victim’s consent. This amendment implements recommendation 18 from </w:t>
      </w:r>
      <w:r w:rsidRPr="163A67BF">
        <w:rPr>
          <w:rFonts w:ascii="Arial" w:hAnsi="Arial" w:cs="Arial"/>
          <w:b w:val="0"/>
          <w:i/>
          <w:iCs/>
        </w:rPr>
        <w:t>Report No.</w:t>
      </w:r>
      <w:r w:rsidR="0026270B">
        <w:rPr>
          <w:rFonts w:ascii="Arial" w:hAnsi="Arial" w:cs="Arial"/>
          <w:b w:val="0"/>
          <w:i/>
          <w:iCs/>
        </w:rPr>
        <w:t> </w:t>
      </w:r>
      <w:r w:rsidRPr="163A67BF">
        <w:rPr>
          <w:rFonts w:ascii="Arial" w:hAnsi="Arial" w:cs="Arial"/>
          <w:b w:val="0"/>
          <w:i/>
          <w:iCs/>
        </w:rPr>
        <w:t>18 Inquiry into Justice (Age of Criminal Responsibility) Legislation Amendment Bill 2023.</w:t>
      </w:r>
      <w:r w:rsidRPr="163A67BF">
        <w:rPr>
          <w:rFonts w:ascii="Arial" w:hAnsi="Arial" w:cs="Arial"/>
          <w:b w:val="0"/>
          <w:lang w:eastAsia="en-AU"/>
        </w:rPr>
        <w:t xml:space="preserve"> </w:t>
      </w:r>
    </w:p>
    <w:p w14:paraId="4CFA60FA" w14:textId="680D0EBF" w:rsidR="00AF0D54" w:rsidRPr="00A72422" w:rsidRDefault="00AF0D54" w:rsidP="00AF0D54">
      <w:pPr>
        <w:pStyle w:val="Heading4"/>
        <w:keepNext w:val="0"/>
        <w:rPr>
          <w:rFonts w:ascii="Arial" w:hAnsi="Arial" w:cs="Arial"/>
          <w:lang w:eastAsia="en-AU"/>
        </w:rPr>
      </w:pPr>
      <w:r w:rsidRPr="00A72422">
        <w:rPr>
          <w:rFonts w:ascii="Arial" w:hAnsi="Arial" w:cs="Arial"/>
        </w:rPr>
        <w:t xml:space="preserve">Clause </w:t>
      </w:r>
      <w:r w:rsidR="00A77652">
        <w:rPr>
          <w:rFonts w:ascii="Arial" w:hAnsi="Arial" w:cs="Arial"/>
        </w:rPr>
        <w:t>19</w:t>
      </w:r>
      <w:r w:rsidRPr="00A72422">
        <w:rPr>
          <w:rFonts w:ascii="Arial" w:hAnsi="Arial" w:cs="Arial"/>
          <w:bCs/>
          <w:lang w:eastAsia="en-AU"/>
        </w:rPr>
        <w:t xml:space="preserve"> </w:t>
      </w:r>
      <w:r w:rsidRPr="00A72422">
        <w:rPr>
          <w:rFonts w:ascii="Arial" w:hAnsi="Arial" w:cs="Arial"/>
          <w:lang w:eastAsia="en-AU"/>
        </w:rPr>
        <w:t xml:space="preserve">– </w:t>
      </w:r>
      <w:r w:rsidR="00586F3B" w:rsidRPr="00A72422">
        <w:rPr>
          <w:rFonts w:ascii="Arial" w:hAnsi="Arial" w:cs="Arial"/>
          <w:lang w:eastAsia="en-AU"/>
        </w:rPr>
        <w:t>Schedule 1, part 1.8 Amendment 1.32 Proposed new section 37</w:t>
      </w:r>
      <w:r w:rsidR="008631D5" w:rsidRPr="00A72422">
        <w:rPr>
          <w:rFonts w:ascii="Arial" w:hAnsi="Arial" w:cs="Arial"/>
          <w:lang w:eastAsia="en-AU"/>
        </w:rPr>
        <w:t xml:space="preserve"> </w:t>
      </w:r>
      <w:r w:rsidR="00586F3B" w:rsidRPr="00A72422">
        <w:rPr>
          <w:rFonts w:ascii="Arial" w:hAnsi="Arial" w:cs="Arial"/>
          <w:lang w:eastAsia="en-AU"/>
        </w:rPr>
        <w:t>(1)</w:t>
      </w:r>
      <w:r w:rsidR="008631D5" w:rsidRPr="00A72422">
        <w:rPr>
          <w:rFonts w:ascii="Arial" w:hAnsi="Arial" w:cs="Arial"/>
          <w:lang w:eastAsia="en-AU"/>
        </w:rPr>
        <w:t xml:space="preserve"> </w:t>
      </w:r>
      <w:r w:rsidR="00586F3B" w:rsidRPr="00A72422">
        <w:rPr>
          <w:rFonts w:ascii="Arial" w:hAnsi="Arial" w:cs="Arial"/>
          <w:lang w:eastAsia="en-AU"/>
        </w:rPr>
        <w:t>(c) Page 167, line 7</w:t>
      </w:r>
    </w:p>
    <w:p w14:paraId="0A5DC33A" w14:textId="77777777" w:rsidR="00A72422" w:rsidRPr="00A72422" w:rsidRDefault="00A72422" w:rsidP="00A72422">
      <w:pPr>
        <w:rPr>
          <w:rFonts w:ascii="Arial" w:hAnsi="Arial" w:cs="Arial"/>
        </w:rPr>
      </w:pPr>
      <w:r w:rsidRPr="00A72422">
        <w:rPr>
          <w:rFonts w:ascii="Arial" w:hAnsi="Arial" w:cs="Arial"/>
        </w:rPr>
        <w:t xml:space="preserve">This clause replaces the proposed amendment to section 37(1)(c) of the MH Act. Section 37(1) outlines when the ACAT may order an assessment of a person. </w:t>
      </w:r>
    </w:p>
    <w:p w14:paraId="4A17407E" w14:textId="77777777" w:rsidR="00A72422" w:rsidRPr="00A72422" w:rsidRDefault="00A72422" w:rsidP="00A72422">
      <w:pPr>
        <w:rPr>
          <w:rFonts w:ascii="Arial" w:hAnsi="Arial" w:cs="Arial"/>
        </w:rPr>
      </w:pPr>
      <w:r w:rsidRPr="00A72422">
        <w:rPr>
          <w:rFonts w:ascii="Arial" w:hAnsi="Arial" w:cs="Arial"/>
        </w:rPr>
        <w:t xml:space="preserve">The new paragraph (c) covers circumstances where a person is required to submit to the jurisdiction of the ACAT under one of the following: </w:t>
      </w:r>
    </w:p>
    <w:p w14:paraId="7911F2FE" w14:textId="77777777" w:rsidR="00A72422" w:rsidRPr="00A72422" w:rsidRDefault="00A72422" w:rsidP="00A72422">
      <w:pPr>
        <w:pStyle w:val="ListParagraph"/>
        <w:numPr>
          <w:ilvl w:val="0"/>
          <w:numId w:val="35"/>
        </w:numPr>
        <w:spacing w:after="160" w:line="259" w:lineRule="auto"/>
        <w:contextualSpacing/>
        <w:rPr>
          <w:rFonts w:ascii="Arial" w:hAnsi="Arial" w:cs="Arial"/>
        </w:rPr>
      </w:pPr>
      <w:r w:rsidRPr="00A72422">
        <w:rPr>
          <w:rFonts w:ascii="Arial" w:hAnsi="Arial" w:cs="Arial"/>
        </w:rPr>
        <w:t xml:space="preserve">an ACAT mental health provision in a care and protection order or interim care and protection order </w:t>
      </w:r>
    </w:p>
    <w:p w14:paraId="40A3F694" w14:textId="77777777" w:rsidR="00A72422" w:rsidRPr="00A72422" w:rsidRDefault="00A72422" w:rsidP="00A72422">
      <w:pPr>
        <w:pStyle w:val="ListParagraph"/>
        <w:numPr>
          <w:ilvl w:val="0"/>
          <w:numId w:val="35"/>
        </w:numPr>
        <w:spacing w:after="160" w:line="259" w:lineRule="auto"/>
        <w:contextualSpacing/>
        <w:rPr>
          <w:rFonts w:ascii="Arial" w:hAnsi="Arial" w:cs="Arial"/>
        </w:rPr>
      </w:pPr>
      <w:r w:rsidRPr="00A72422">
        <w:rPr>
          <w:rFonts w:ascii="Arial" w:hAnsi="Arial" w:cs="Arial"/>
        </w:rPr>
        <w:t xml:space="preserve">a referral by the Childrens Court in a proceeding for an ITO or interim ITO </w:t>
      </w:r>
    </w:p>
    <w:p w14:paraId="6D3772CA" w14:textId="77777777" w:rsidR="00A72422" w:rsidRPr="00A72422" w:rsidRDefault="00A72422" w:rsidP="00A72422">
      <w:pPr>
        <w:pStyle w:val="ListParagraph"/>
        <w:numPr>
          <w:ilvl w:val="0"/>
          <w:numId w:val="35"/>
        </w:numPr>
        <w:spacing w:after="160" w:line="259" w:lineRule="auto"/>
        <w:contextualSpacing/>
        <w:rPr>
          <w:rFonts w:ascii="Arial" w:hAnsi="Arial" w:cs="Arial"/>
        </w:rPr>
      </w:pPr>
      <w:r w:rsidRPr="00A72422">
        <w:rPr>
          <w:rFonts w:ascii="Arial" w:hAnsi="Arial" w:cs="Arial"/>
        </w:rPr>
        <w:t xml:space="preserve">a requirement of an ITO or interim ITO. </w:t>
      </w:r>
    </w:p>
    <w:p w14:paraId="033BA639" w14:textId="77777777" w:rsidR="00A72422" w:rsidRPr="00A72422" w:rsidRDefault="00A72422" w:rsidP="00A72422">
      <w:pPr>
        <w:rPr>
          <w:rFonts w:ascii="Arial" w:hAnsi="Arial" w:cs="Arial"/>
        </w:rPr>
      </w:pPr>
      <w:r w:rsidRPr="00A72422">
        <w:rPr>
          <w:rFonts w:ascii="Arial" w:hAnsi="Arial" w:cs="Arial"/>
        </w:rPr>
        <w:t xml:space="preserve">The purpose of this clause is to confirm that the ACAT’s power to order an assessment matches the Childrens Court’s power to make a mental health referral to the ACAT. Specifically, the ACAT’s powers cover referrals in the context of proceedings for an ITO or interim ITO, as well as due to a requirement in an ITO or interim ITO. </w:t>
      </w:r>
    </w:p>
    <w:p w14:paraId="606616AC" w14:textId="3AACB106" w:rsidR="00AF0D54" w:rsidRPr="00A72422" w:rsidRDefault="00AF0D54" w:rsidP="00AF0D54">
      <w:pPr>
        <w:pStyle w:val="Heading4"/>
        <w:keepNext w:val="0"/>
        <w:rPr>
          <w:rFonts w:ascii="Arial" w:hAnsi="Arial" w:cs="Arial"/>
          <w:lang w:eastAsia="en-AU"/>
        </w:rPr>
      </w:pPr>
      <w:r w:rsidRPr="00A72422">
        <w:rPr>
          <w:rFonts w:ascii="Arial" w:hAnsi="Arial" w:cs="Arial"/>
        </w:rPr>
        <w:lastRenderedPageBreak/>
        <w:t xml:space="preserve">Clause </w:t>
      </w:r>
      <w:r w:rsidR="00A77652">
        <w:rPr>
          <w:rFonts w:ascii="Arial" w:hAnsi="Arial" w:cs="Arial"/>
        </w:rPr>
        <w:t>20</w:t>
      </w:r>
      <w:r w:rsidRPr="00A72422">
        <w:rPr>
          <w:rFonts w:ascii="Arial" w:hAnsi="Arial" w:cs="Arial"/>
          <w:bCs/>
          <w:lang w:eastAsia="en-AU"/>
        </w:rPr>
        <w:t xml:space="preserve"> </w:t>
      </w:r>
      <w:r w:rsidRPr="00A72422">
        <w:rPr>
          <w:rFonts w:ascii="Arial" w:hAnsi="Arial" w:cs="Arial"/>
          <w:lang w:eastAsia="en-AU"/>
        </w:rPr>
        <w:t xml:space="preserve">– </w:t>
      </w:r>
      <w:r w:rsidR="00586F3B" w:rsidRPr="00A72422">
        <w:rPr>
          <w:rFonts w:ascii="Arial" w:hAnsi="Arial" w:cs="Arial"/>
          <w:lang w:eastAsia="en-AU"/>
        </w:rPr>
        <w:t>Schedule 1, part 1.</w:t>
      </w:r>
      <w:r w:rsidR="002127F3" w:rsidRPr="00A72422">
        <w:rPr>
          <w:rFonts w:ascii="Arial" w:hAnsi="Arial" w:cs="Arial"/>
          <w:lang w:eastAsia="en-AU"/>
        </w:rPr>
        <w:t>8</w:t>
      </w:r>
      <w:r w:rsidR="00586F3B" w:rsidRPr="00A72422">
        <w:rPr>
          <w:rFonts w:ascii="Arial" w:hAnsi="Arial" w:cs="Arial"/>
          <w:lang w:eastAsia="en-AU"/>
        </w:rPr>
        <w:t xml:space="preserve"> Amendment 1.33 Page 167, line 10</w:t>
      </w:r>
    </w:p>
    <w:p w14:paraId="17389A3D" w14:textId="77777777" w:rsidR="00A72422" w:rsidRPr="00A72422" w:rsidRDefault="00A72422" w:rsidP="00A72422">
      <w:pPr>
        <w:rPr>
          <w:rFonts w:ascii="Arial" w:hAnsi="Arial" w:cs="Arial"/>
        </w:rPr>
      </w:pPr>
      <w:r w:rsidRPr="00A72422">
        <w:rPr>
          <w:rFonts w:ascii="Arial" w:hAnsi="Arial" w:cs="Arial"/>
        </w:rPr>
        <w:t xml:space="preserve">This clause amends section 178(1) of the MH Act. Section 178 outlines what the ACAT must do when the Childrens Court orders a person to submit to the ACAT’s jurisdiction to determine whether the person has a mental disorder or mental illness. </w:t>
      </w:r>
    </w:p>
    <w:p w14:paraId="7181D52C" w14:textId="77777777" w:rsidR="00A72422" w:rsidRPr="00A72422" w:rsidRDefault="00A72422" w:rsidP="00A72422">
      <w:pPr>
        <w:rPr>
          <w:rFonts w:ascii="Arial" w:hAnsi="Arial" w:cs="Arial"/>
        </w:rPr>
      </w:pPr>
      <w:r w:rsidRPr="00A72422">
        <w:rPr>
          <w:rFonts w:ascii="Arial" w:hAnsi="Arial" w:cs="Arial"/>
        </w:rPr>
        <w:t>This amendment replaces a reference to an ‘interim therapeutic protection order’ with a reference to an ITO or interim ITO, or a mental health referral in a proceeding for an ITO or interim ITO.</w:t>
      </w:r>
    </w:p>
    <w:p w14:paraId="1CDBEFF9" w14:textId="77777777" w:rsidR="00A72422" w:rsidRPr="00A72422" w:rsidRDefault="00A72422" w:rsidP="00A72422">
      <w:pPr>
        <w:rPr>
          <w:rFonts w:ascii="Arial" w:hAnsi="Arial" w:cs="Arial"/>
        </w:rPr>
      </w:pPr>
      <w:r w:rsidRPr="00A72422">
        <w:rPr>
          <w:rFonts w:ascii="Arial" w:hAnsi="Arial" w:cs="Arial"/>
        </w:rPr>
        <w:t xml:space="preserve">The purpose of this amendment is to ensure the ACAT’s powers reflect the changes to the Childrens Court’s ability to make a mental health referral under the CYP Act. </w:t>
      </w:r>
    </w:p>
    <w:p w14:paraId="308DD68D" w14:textId="3DEB4B48" w:rsidR="00AF0D54" w:rsidRPr="00A72422" w:rsidRDefault="00AF0D54" w:rsidP="00AF0D54">
      <w:pPr>
        <w:pStyle w:val="Heading4"/>
        <w:keepNext w:val="0"/>
        <w:rPr>
          <w:rFonts w:ascii="Arial" w:hAnsi="Arial" w:cs="Arial"/>
          <w:lang w:eastAsia="en-AU"/>
        </w:rPr>
      </w:pPr>
      <w:r w:rsidRPr="00A72422">
        <w:rPr>
          <w:rFonts w:ascii="Arial" w:hAnsi="Arial" w:cs="Arial"/>
        </w:rPr>
        <w:t xml:space="preserve">Clause </w:t>
      </w:r>
      <w:r w:rsidR="00A77652">
        <w:rPr>
          <w:rFonts w:ascii="Arial" w:hAnsi="Arial" w:cs="Arial"/>
        </w:rPr>
        <w:t>21</w:t>
      </w:r>
      <w:r w:rsidRPr="00A72422">
        <w:rPr>
          <w:rFonts w:ascii="Arial" w:hAnsi="Arial" w:cs="Arial"/>
          <w:bCs/>
          <w:lang w:eastAsia="en-AU"/>
        </w:rPr>
        <w:t xml:space="preserve"> </w:t>
      </w:r>
      <w:r w:rsidRPr="00A72422">
        <w:rPr>
          <w:rFonts w:ascii="Arial" w:hAnsi="Arial" w:cs="Arial"/>
          <w:lang w:eastAsia="en-AU"/>
        </w:rPr>
        <w:t xml:space="preserve">– </w:t>
      </w:r>
      <w:r w:rsidR="00586F3B" w:rsidRPr="00A72422">
        <w:rPr>
          <w:rFonts w:ascii="Arial" w:hAnsi="Arial" w:cs="Arial"/>
          <w:lang w:eastAsia="en-AU"/>
        </w:rPr>
        <w:t>Schedule 1, part 1.</w:t>
      </w:r>
      <w:r w:rsidR="002127F3" w:rsidRPr="00A72422">
        <w:rPr>
          <w:rFonts w:ascii="Arial" w:hAnsi="Arial" w:cs="Arial"/>
          <w:lang w:eastAsia="en-AU"/>
        </w:rPr>
        <w:t>8</w:t>
      </w:r>
      <w:r w:rsidR="00586F3B" w:rsidRPr="00A72422">
        <w:rPr>
          <w:rFonts w:ascii="Arial" w:hAnsi="Arial" w:cs="Arial"/>
          <w:lang w:eastAsia="en-AU"/>
        </w:rPr>
        <w:t xml:space="preserve"> Amendment 1.34 Page 168, line 1</w:t>
      </w:r>
    </w:p>
    <w:p w14:paraId="21F66FFB" w14:textId="1402CC56" w:rsidR="00A72422" w:rsidRPr="00A72422" w:rsidRDefault="00A72422" w:rsidP="00A72422">
      <w:pPr>
        <w:spacing w:after="0"/>
        <w:rPr>
          <w:rFonts w:ascii="Arial" w:hAnsi="Arial" w:cs="Arial"/>
        </w:rPr>
      </w:pPr>
      <w:r w:rsidRPr="00A72422">
        <w:rPr>
          <w:rFonts w:ascii="Arial" w:hAnsi="Arial" w:cs="Arial"/>
        </w:rPr>
        <w:t xml:space="preserve">This clause inserts definitions for ‘intensive therapy order’ and ‘interim intensive therapy order’ into the dictionary of the MH Act. </w:t>
      </w:r>
    </w:p>
    <w:p w14:paraId="0632A66F" w14:textId="77777777" w:rsidR="00A72422" w:rsidRPr="00A72422" w:rsidRDefault="00A72422" w:rsidP="00A72422">
      <w:pPr>
        <w:spacing w:after="0"/>
        <w:rPr>
          <w:rFonts w:ascii="Arial" w:hAnsi="Arial" w:cs="Arial"/>
        </w:rPr>
      </w:pPr>
    </w:p>
    <w:p w14:paraId="6027B748" w14:textId="77777777" w:rsidR="00A72422" w:rsidRPr="00A72422" w:rsidRDefault="00A72422" w:rsidP="00A72422">
      <w:pPr>
        <w:spacing w:after="0"/>
        <w:rPr>
          <w:rFonts w:ascii="Arial" w:hAnsi="Arial" w:cs="Arial"/>
        </w:rPr>
      </w:pPr>
      <w:r w:rsidRPr="00A72422">
        <w:rPr>
          <w:rFonts w:ascii="Arial" w:hAnsi="Arial" w:cs="Arial"/>
        </w:rPr>
        <w:t xml:space="preserve">Intensive therapy order is defined by reference to section 532 of the CYP Act. </w:t>
      </w:r>
    </w:p>
    <w:p w14:paraId="6EAF1F84" w14:textId="77777777" w:rsidR="00A72422" w:rsidRPr="00A72422" w:rsidRDefault="00A72422" w:rsidP="00A72422">
      <w:pPr>
        <w:spacing w:after="0"/>
        <w:rPr>
          <w:rFonts w:ascii="Arial" w:hAnsi="Arial" w:cs="Arial"/>
        </w:rPr>
      </w:pPr>
    </w:p>
    <w:p w14:paraId="4F590D67" w14:textId="77777777" w:rsidR="00A72422" w:rsidRPr="00A72422" w:rsidRDefault="00A72422" w:rsidP="00A72422">
      <w:pPr>
        <w:spacing w:after="0"/>
        <w:rPr>
          <w:rFonts w:ascii="Arial" w:hAnsi="Arial" w:cs="Arial"/>
        </w:rPr>
      </w:pPr>
      <w:r w:rsidRPr="00A72422">
        <w:rPr>
          <w:rFonts w:ascii="Arial" w:hAnsi="Arial" w:cs="Arial"/>
        </w:rPr>
        <w:t xml:space="preserve">Interim intensive therapy order is defined by reference to section 543 of the CYP Act. </w:t>
      </w:r>
    </w:p>
    <w:p w14:paraId="20FB2816" w14:textId="26640B66" w:rsidR="008B40CE" w:rsidRPr="00586F3B" w:rsidRDefault="008B40CE" w:rsidP="00586F3B">
      <w:pPr>
        <w:pStyle w:val="Heading4"/>
        <w:keepNext w:val="0"/>
        <w:rPr>
          <w:rFonts w:ascii="Arial" w:hAnsi="Arial" w:cs="Arial"/>
          <w:b w:val="0"/>
          <w:lang w:eastAsia="en-AU"/>
        </w:rPr>
      </w:pPr>
    </w:p>
    <w:sectPr w:rsidR="008B40CE" w:rsidRPr="00586F3B"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BABB" w14:textId="77777777" w:rsidR="00A55F96" w:rsidRDefault="00A55F96" w:rsidP="00EB113E">
      <w:pPr>
        <w:spacing w:after="0" w:line="240" w:lineRule="auto"/>
      </w:pPr>
      <w:r>
        <w:separator/>
      </w:r>
    </w:p>
  </w:endnote>
  <w:endnote w:type="continuationSeparator" w:id="0">
    <w:p w14:paraId="18715DE4" w14:textId="77777777" w:rsidR="00A55F96" w:rsidRDefault="00A55F96"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6A51" w14:textId="77777777" w:rsidR="006F6B6C" w:rsidRDefault="006F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68C27456" w:rsidR="00E03057" w:rsidRPr="00EB25AF" w:rsidRDefault="00EB25AF" w:rsidP="00EB25AF">
    <w:pPr>
      <w:pStyle w:val="Header"/>
      <w:jc w:val="center"/>
      <w:rPr>
        <w:rFonts w:ascii="Arial" w:hAnsi="Arial" w:cs="Arial"/>
        <w:b/>
        <w:color w:val="FF0000"/>
        <w:sz w:val="14"/>
      </w:rPr>
    </w:pPr>
    <w:r w:rsidRPr="00EB25AF">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4FC0" w14:textId="395A985B" w:rsidR="00EB25AF" w:rsidRPr="006F6B6C" w:rsidRDefault="006F6B6C" w:rsidP="006F6B6C">
    <w:pPr>
      <w:pStyle w:val="Footer"/>
      <w:spacing w:after="0"/>
      <w:jc w:val="center"/>
      <w:rPr>
        <w:rFonts w:ascii="Arial" w:hAnsi="Arial" w:cs="Arial"/>
        <w:sz w:val="14"/>
      </w:rPr>
    </w:pPr>
    <w:r w:rsidRPr="006F6B6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E03057" w:rsidRDefault="00E03057">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10</w:t>
    </w:r>
    <w:r w:rsidRPr="00050F68">
      <w:rPr>
        <w:rFonts w:ascii="Arial" w:hAnsi="Arial" w:cs="Arial"/>
        <w:noProof/>
      </w:rPr>
      <w:fldChar w:fldCharType="end"/>
    </w:r>
  </w:p>
  <w:p w14:paraId="2E30201E" w14:textId="30D2784B" w:rsidR="00EB25AF" w:rsidRPr="006F6B6C" w:rsidRDefault="006F6B6C" w:rsidP="006F6B6C">
    <w:pPr>
      <w:pStyle w:val="Footer"/>
      <w:spacing w:after="0"/>
      <w:jc w:val="center"/>
      <w:rPr>
        <w:rFonts w:ascii="Arial" w:hAnsi="Arial" w:cs="Arial"/>
        <w:sz w:val="14"/>
      </w:rPr>
    </w:pPr>
    <w:r w:rsidRPr="006F6B6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E03057" w:rsidRDefault="00E03057">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w:t>
    </w:r>
    <w:r w:rsidRPr="00050F68">
      <w:rPr>
        <w:rFonts w:ascii="Arial" w:hAnsi="Arial" w:cs="Arial"/>
        <w:noProof/>
      </w:rPr>
      <w:fldChar w:fldCharType="end"/>
    </w:r>
  </w:p>
  <w:p w14:paraId="271E16DF" w14:textId="63939BF2" w:rsidR="00EB25AF" w:rsidRPr="006F6B6C" w:rsidRDefault="006F6B6C" w:rsidP="006F6B6C">
    <w:pPr>
      <w:pStyle w:val="Footer"/>
      <w:spacing w:after="0"/>
      <w:jc w:val="center"/>
      <w:rPr>
        <w:rFonts w:ascii="Arial" w:hAnsi="Arial" w:cs="Arial"/>
        <w:sz w:val="14"/>
      </w:rPr>
    </w:pPr>
    <w:r w:rsidRPr="006F6B6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BC3E" w14:textId="77777777" w:rsidR="00A55F96" w:rsidRDefault="00A55F96" w:rsidP="00EB113E">
      <w:pPr>
        <w:spacing w:after="0" w:line="240" w:lineRule="auto"/>
      </w:pPr>
      <w:r>
        <w:separator/>
      </w:r>
    </w:p>
  </w:footnote>
  <w:footnote w:type="continuationSeparator" w:id="0">
    <w:p w14:paraId="68F759A9" w14:textId="77777777" w:rsidR="00A55F96" w:rsidRDefault="00A55F96" w:rsidP="00EB113E">
      <w:pPr>
        <w:spacing w:after="0" w:line="240" w:lineRule="auto"/>
      </w:pPr>
      <w:r>
        <w:continuationSeparator/>
      </w:r>
    </w:p>
  </w:footnote>
  <w:footnote w:id="1">
    <w:p w14:paraId="1394B35F" w14:textId="77777777" w:rsidR="00A72422" w:rsidRPr="00EC4410" w:rsidRDefault="00A72422" w:rsidP="00A72422">
      <w:pPr>
        <w:pStyle w:val="FootnoteText"/>
      </w:pPr>
      <w:r>
        <w:rPr>
          <w:rStyle w:val="FootnoteReference"/>
        </w:rPr>
        <w:footnoteRef/>
      </w:r>
      <w:r>
        <w:t xml:space="preserve"> See, e.g., </w:t>
      </w:r>
      <w:r>
        <w:rPr>
          <w:rFonts w:hint="eastAsia"/>
        </w:rPr>
        <w:t>C</w:t>
      </w:r>
      <w:r>
        <w:t xml:space="preserve">ommittee on Economic, Social and Cultural Rights, </w:t>
      </w:r>
      <w:hyperlink r:id="rId1" w:history="1">
        <w:r w:rsidRPr="00EF1068">
          <w:rPr>
            <w:rStyle w:val="Hyperlink"/>
            <w:i/>
            <w:iCs/>
          </w:rPr>
          <w:t>General Comment No 20: Non-Discrimination in Economic, Social and Cultural Rights</w:t>
        </w:r>
      </w:hyperlink>
      <w:r>
        <w:t xml:space="preserve"> (2009) 11 [34].</w:t>
      </w:r>
    </w:p>
  </w:footnote>
  <w:footnote w:id="2">
    <w:p w14:paraId="4AB20D3E" w14:textId="77777777" w:rsidR="00A72422" w:rsidRPr="00DA537E" w:rsidRDefault="00A72422" w:rsidP="00A72422">
      <w:pPr>
        <w:pStyle w:val="FootnoteText"/>
      </w:pPr>
      <w:r w:rsidRPr="00DA537E">
        <w:rPr>
          <w:rStyle w:val="FootnoteReference"/>
        </w:rPr>
        <w:footnoteRef/>
      </w:r>
      <w:r w:rsidRPr="00DA537E">
        <w:t xml:space="preserve"> Human Rights Committee, </w:t>
      </w:r>
      <w:hyperlink r:id="rId2" w:history="1">
        <w:r w:rsidRPr="00DA537E">
          <w:rPr>
            <w:rStyle w:val="Hyperlink"/>
          </w:rPr>
          <w:t>General Comment No 36: Right to Life</w:t>
        </w:r>
      </w:hyperlink>
      <w:r w:rsidRPr="00DA537E">
        <w:t xml:space="preserve"> (2019) 8-9 [29].</w:t>
      </w:r>
    </w:p>
  </w:footnote>
  <w:footnote w:id="3">
    <w:p w14:paraId="2BB2D32C" w14:textId="77777777" w:rsidR="00A72422" w:rsidRPr="00DA537E" w:rsidRDefault="00A72422" w:rsidP="00A72422">
      <w:pPr>
        <w:pStyle w:val="FootnoteText"/>
      </w:pPr>
      <w:r w:rsidRPr="00DA537E">
        <w:rPr>
          <w:rStyle w:val="FootnoteReference"/>
        </w:rPr>
        <w:footnoteRef/>
      </w:r>
      <w:r w:rsidRPr="00DA537E">
        <w:t xml:space="preserve"> </w:t>
      </w:r>
      <w:hyperlink r:id="rId3" w:history="1">
        <w:r w:rsidRPr="00DA537E">
          <w:rPr>
            <w:rStyle w:val="Hyperlink"/>
            <w:i/>
            <w:iCs/>
          </w:rPr>
          <w:t>Body of Principles for the Protection of All Persons under Any Form of Detention or Imprisonment</w:t>
        </w:r>
      </w:hyperlink>
      <w:r w:rsidRPr="00DA537E">
        <w:t xml:space="preserve"> (1988) principle 8; referenced in Human Rights Committee, </w:t>
      </w:r>
      <w:hyperlink r:id="rId4" w:history="1">
        <w:r w:rsidRPr="00DA537E">
          <w:rPr>
            <w:rStyle w:val="Hyperlink"/>
            <w:i/>
            <w:iCs/>
          </w:rPr>
          <w:t>General Comment No 21: Humane Treatment of Persons Deprived of Their Liberty</w:t>
        </w:r>
      </w:hyperlink>
      <w:r w:rsidRPr="00DA537E">
        <w:t xml:space="preserve"> (1992) 1 [4]-[5]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96CC" w14:textId="77777777" w:rsidR="006F6B6C" w:rsidRDefault="006F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B43" w14:textId="77777777" w:rsidR="006F6B6C" w:rsidRDefault="006F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773A" w14:textId="77777777" w:rsidR="006F6B6C" w:rsidRDefault="006F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1103D"/>
    <w:multiLevelType w:val="hybridMultilevel"/>
    <w:tmpl w:val="28907D38"/>
    <w:lvl w:ilvl="0" w:tplc="4D843D1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BC4938"/>
    <w:multiLevelType w:val="hybridMultilevel"/>
    <w:tmpl w:val="C2944B6E"/>
    <w:lvl w:ilvl="0" w:tplc="05FE4A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96C9F"/>
    <w:multiLevelType w:val="hybridMultilevel"/>
    <w:tmpl w:val="79E6E2BA"/>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0D11B92"/>
    <w:multiLevelType w:val="hybridMultilevel"/>
    <w:tmpl w:val="C462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14168"/>
    <w:multiLevelType w:val="hybridMultilevel"/>
    <w:tmpl w:val="5B844ABA"/>
    <w:lvl w:ilvl="0" w:tplc="81704A8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AD6C7D"/>
    <w:multiLevelType w:val="hybridMultilevel"/>
    <w:tmpl w:val="58F897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A101EC"/>
    <w:multiLevelType w:val="hybridMultilevel"/>
    <w:tmpl w:val="E720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67537"/>
    <w:multiLevelType w:val="hybridMultilevel"/>
    <w:tmpl w:val="43F2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8" w15:restartNumberingAfterBreak="0">
    <w:nsid w:val="391F29E3"/>
    <w:multiLevelType w:val="hybridMultilevel"/>
    <w:tmpl w:val="79E6E2BA"/>
    <w:lvl w:ilvl="0" w:tplc="4D147F7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F07338"/>
    <w:multiLevelType w:val="hybridMultilevel"/>
    <w:tmpl w:val="0D50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245D3C"/>
    <w:multiLevelType w:val="hybridMultilevel"/>
    <w:tmpl w:val="B4F6C4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D055E"/>
    <w:multiLevelType w:val="hybridMultilevel"/>
    <w:tmpl w:val="77E4C778"/>
    <w:lvl w:ilvl="0" w:tplc="4D843D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E272A8"/>
    <w:multiLevelType w:val="hybridMultilevel"/>
    <w:tmpl w:val="EDE88210"/>
    <w:lvl w:ilvl="0" w:tplc="4D843D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0A5162"/>
    <w:multiLevelType w:val="hybridMultilevel"/>
    <w:tmpl w:val="A4A83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1E2294"/>
    <w:multiLevelType w:val="hybridMultilevel"/>
    <w:tmpl w:val="A484D63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9"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69216B"/>
    <w:multiLevelType w:val="hybridMultilevel"/>
    <w:tmpl w:val="79229672"/>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7"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5008D3"/>
    <w:multiLevelType w:val="hybridMultilevel"/>
    <w:tmpl w:val="7716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6F562E"/>
    <w:multiLevelType w:val="hybridMultilevel"/>
    <w:tmpl w:val="58F897D2"/>
    <w:lvl w:ilvl="0" w:tplc="4D843D14">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3A58E6"/>
    <w:multiLevelType w:val="hybridMultilevel"/>
    <w:tmpl w:val="2AD21B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F4351A"/>
    <w:multiLevelType w:val="multilevel"/>
    <w:tmpl w:val="B33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795528">
    <w:abstractNumId w:val="17"/>
  </w:num>
  <w:num w:numId="2" w16cid:durableId="41681394">
    <w:abstractNumId w:val="37"/>
  </w:num>
  <w:num w:numId="3" w16cid:durableId="1040938186">
    <w:abstractNumId w:val="2"/>
  </w:num>
  <w:num w:numId="4" w16cid:durableId="1896578953">
    <w:abstractNumId w:val="23"/>
  </w:num>
  <w:num w:numId="5" w16cid:durableId="1751193060">
    <w:abstractNumId w:val="0"/>
  </w:num>
  <w:num w:numId="6" w16cid:durableId="47270626">
    <w:abstractNumId w:val="38"/>
  </w:num>
  <w:num w:numId="7" w16cid:durableId="1903367142">
    <w:abstractNumId w:val="7"/>
  </w:num>
  <w:num w:numId="8" w16cid:durableId="438381879">
    <w:abstractNumId w:val="34"/>
  </w:num>
  <w:num w:numId="9" w16cid:durableId="1880239985">
    <w:abstractNumId w:val="35"/>
  </w:num>
  <w:num w:numId="10" w16cid:durableId="1317950275">
    <w:abstractNumId w:val="25"/>
  </w:num>
  <w:num w:numId="11" w16cid:durableId="1850674510">
    <w:abstractNumId w:val="1"/>
  </w:num>
  <w:num w:numId="12" w16cid:durableId="1644195877">
    <w:abstractNumId w:val="42"/>
  </w:num>
  <w:num w:numId="13" w16cid:durableId="133914844">
    <w:abstractNumId w:val="4"/>
  </w:num>
  <w:num w:numId="14" w16cid:durableId="561523717">
    <w:abstractNumId w:val="13"/>
  </w:num>
  <w:num w:numId="15" w16cid:durableId="406150086">
    <w:abstractNumId w:val="21"/>
  </w:num>
  <w:num w:numId="16" w16cid:durableId="1764959502">
    <w:abstractNumId w:val="29"/>
  </w:num>
  <w:num w:numId="17" w16cid:durableId="692803533">
    <w:abstractNumId w:val="11"/>
  </w:num>
  <w:num w:numId="18" w16cid:durableId="1869374000">
    <w:abstractNumId w:val="33"/>
  </w:num>
  <w:num w:numId="19" w16cid:durableId="400180187">
    <w:abstractNumId w:val="32"/>
  </w:num>
  <w:num w:numId="20" w16cid:durableId="1246574871">
    <w:abstractNumId w:val="31"/>
  </w:num>
  <w:num w:numId="21" w16cid:durableId="356350675">
    <w:abstractNumId w:val="22"/>
  </w:num>
  <w:num w:numId="22" w16cid:durableId="217329931">
    <w:abstractNumId w:val="30"/>
  </w:num>
  <w:num w:numId="23" w16cid:durableId="1743522792">
    <w:abstractNumId w:val="5"/>
  </w:num>
  <w:num w:numId="24" w16cid:durableId="1437864041">
    <w:abstractNumId w:val="12"/>
  </w:num>
  <w:num w:numId="25" w16cid:durableId="300691789">
    <w:abstractNumId w:val="43"/>
  </w:num>
  <w:num w:numId="26" w16cid:durableId="1307861317">
    <w:abstractNumId w:val="39"/>
  </w:num>
  <w:num w:numId="27" w16cid:durableId="668599836">
    <w:abstractNumId w:val="9"/>
  </w:num>
  <w:num w:numId="28" w16cid:durableId="1320231312">
    <w:abstractNumId w:val="19"/>
  </w:num>
  <w:num w:numId="29" w16cid:durableId="2123958831">
    <w:abstractNumId w:val="36"/>
  </w:num>
  <w:num w:numId="30" w16cid:durableId="1409571847">
    <w:abstractNumId w:val="41"/>
  </w:num>
  <w:num w:numId="31" w16cid:durableId="1826166499">
    <w:abstractNumId w:val="24"/>
  </w:num>
  <w:num w:numId="32" w16cid:durableId="100153139">
    <w:abstractNumId w:val="40"/>
  </w:num>
  <w:num w:numId="33" w16cid:durableId="259921685">
    <w:abstractNumId w:val="10"/>
  </w:num>
  <w:num w:numId="34" w16cid:durableId="2135323639">
    <w:abstractNumId w:val="18"/>
  </w:num>
  <w:num w:numId="35" w16cid:durableId="291794703">
    <w:abstractNumId w:val="27"/>
  </w:num>
  <w:num w:numId="36" w16cid:durableId="174852133">
    <w:abstractNumId w:val="15"/>
  </w:num>
  <w:num w:numId="37" w16cid:durableId="1782601595">
    <w:abstractNumId w:val="20"/>
  </w:num>
  <w:num w:numId="38" w16cid:durableId="1569850623">
    <w:abstractNumId w:val="8"/>
  </w:num>
  <w:num w:numId="39" w16cid:durableId="63067086">
    <w:abstractNumId w:val="26"/>
  </w:num>
  <w:num w:numId="40" w16cid:durableId="1258056626">
    <w:abstractNumId w:val="14"/>
  </w:num>
  <w:num w:numId="41" w16cid:durableId="976489198">
    <w:abstractNumId w:val="3"/>
  </w:num>
  <w:num w:numId="42" w16cid:durableId="1755201483">
    <w:abstractNumId w:val="6"/>
  </w:num>
  <w:num w:numId="43" w16cid:durableId="219944052">
    <w:abstractNumId w:val="28"/>
  </w:num>
  <w:num w:numId="44" w16cid:durableId="20958565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1ADB"/>
    <w:rsid w:val="0001228A"/>
    <w:rsid w:val="00012BB3"/>
    <w:rsid w:val="00012D1B"/>
    <w:rsid w:val="00014498"/>
    <w:rsid w:val="00014D20"/>
    <w:rsid w:val="00015A60"/>
    <w:rsid w:val="00015C96"/>
    <w:rsid w:val="000169D0"/>
    <w:rsid w:val="00016D42"/>
    <w:rsid w:val="00020890"/>
    <w:rsid w:val="00020FDB"/>
    <w:rsid w:val="000215C2"/>
    <w:rsid w:val="00023F7F"/>
    <w:rsid w:val="000263D1"/>
    <w:rsid w:val="00026A03"/>
    <w:rsid w:val="00030752"/>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9C4"/>
    <w:rsid w:val="00050F68"/>
    <w:rsid w:val="00052380"/>
    <w:rsid w:val="0005298F"/>
    <w:rsid w:val="00053623"/>
    <w:rsid w:val="00053D52"/>
    <w:rsid w:val="00054020"/>
    <w:rsid w:val="000545DF"/>
    <w:rsid w:val="000559E0"/>
    <w:rsid w:val="00055B1A"/>
    <w:rsid w:val="00055EB6"/>
    <w:rsid w:val="0005733C"/>
    <w:rsid w:val="00057859"/>
    <w:rsid w:val="00060993"/>
    <w:rsid w:val="00061410"/>
    <w:rsid w:val="00061AA7"/>
    <w:rsid w:val="000625C1"/>
    <w:rsid w:val="000632C5"/>
    <w:rsid w:val="00063E3F"/>
    <w:rsid w:val="00065917"/>
    <w:rsid w:val="000673A5"/>
    <w:rsid w:val="00070620"/>
    <w:rsid w:val="00070EC3"/>
    <w:rsid w:val="00072520"/>
    <w:rsid w:val="000748A0"/>
    <w:rsid w:val="00077560"/>
    <w:rsid w:val="0008299A"/>
    <w:rsid w:val="00085977"/>
    <w:rsid w:val="00086CEF"/>
    <w:rsid w:val="000900EC"/>
    <w:rsid w:val="00090B56"/>
    <w:rsid w:val="00092EE3"/>
    <w:rsid w:val="0009319D"/>
    <w:rsid w:val="00093829"/>
    <w:rsid w:val="00093EE9"/>
    <w:rsid w:val="000974D5"/>
    <w:rsid w:val="000A29DE"/>
    <w:rsid w:val="000A2E19"/>
    <w:rsid w:val="000A41D2"/>
    <w:rsid w:val="000A49BB"/>
    <w:rsid w:val="000A5481"/>
    <w:rsid w:val="000A5922"/>
    <w:rsid w:val="000B086A"/>
    <w:rsid w:val="000B0E83"/>
    <w:rsid w:val="000B119B"/>
    <w:rsid w:val="000B30D8"/>
    <w:rsid w:val="000B4650"/>
    <w:rsid w:val="000B4844"/>
    <w:rsid w:val="000B5559"/>
    <w:rsid w:val="000B68D6"/>
    <w:rsid w:val="000C08B4"/>
    <w:rsid w:val="000C1E5D"/>
    <w:rsid w:val="000C4A95"/>
    <w:rsid w:val="000C52D8"/>
    <w:rsid w:val="000C5792"/>
    <w:rsid w:val="000C6B65"/>
    <w:rsid w:val="000C6CDD"/>
    <w:rsid w:val="000C6E4A"/>
    <w:rsid w:val="000C757E"/>
    <w:rsid w:val="000C795D"/>
    <w:rsid w:val="000D00D3"/>
    <w:rsid w:val="000D08EB"/>
    <w:rsid w:val="000D0DF0"/>
    <w:rsid w:val="000D1672"/>
    <w:rsid w:val="000D3492"/>
    <w:rsid w:val="000D49AD"/>
    <w:rsid w:val="000D4E86"/>
    <w:rsid w:val="000E093A"/>
    <w:rsid w:val="000E0D63"/>
    <w:rsid w:val="000E122F"/>
    <w:rsid w:val="000E12ED"/>
    <w:rsid w:val="000E1760"/>
    <w:rsid w:val="000E187E"/>
    <w:rsid w:val="000E3C9D"/>
    <w:rsid w:val="000E4C04"/>
    <w:rsid w:val="000E6C5B"/>
    <w:rsid w:val="000E6DAB"/>
    <w:rsid w:val="000E7048"/>
    <w:rsid w:val="000E7B1E"/>
    <w:rsid w:val="000F114D"/>
    <w:rsid w:val="000F309C"/>
    <w:rsid w:val="000F3924"/>
    <w:rsid w:val="000F4CA8"/>
    <w:rsid w:val="000F58CA"/>
    <w:rsid w:val="000F6CC6"/>
    <w:rsid w:val="001013C2"/>
    <w:rsid w:val="00102162"/>
    <w:rsid w:val="00103DA7"/>
    <w:rsid w:val="00105DE1"/>
    <w:rsid w:val="001079CC"/>
    <w:rsid w:val="001129D2"/>
    <w:rsid w:val="0011351A"/>
    <w:rsid w:val="00113D31"/>
    <w:rsid w:val="0011578D"/>
    <w:rsid w:val="001161FE"/>
    <w:rsid w:val="00116CB0"/>
    <w:rsid w:val="00116F01"/>
    <w:rsid w:val="001202A7"/>
    <w:rsid w:val="00120473"/>
    <w:rsid w:val="00121C72"/>
    <w:rsid w:val="0012423D"/>
    <w:rsid w:val="00124DFA"/>
    <w:rsid w:val="00125EC6"/>
    <w:rsid w:val="0012660F"/>
    <w:rsid w:val="00126C7A"/>
    <w:rsid w:val="00126FD0"/>
    <w:rsid w:val="00131012"/>
    <w:rsid w:val="0013298F"/>
    <w:rsid w:val="0013475A"/>
    <w:rsid w:val="00135F51"/>
    <w:rsid w:val="001364FE"/>
    <w:rsid w:val="0013726E"/>
    <w:rsid w:val="00137350"/>
    <w:rsid w:val="00137A6F"/>
    <w:rsid w:val="00141ACF"/>
    <w:rsid w:val="00143756"/>
    <w:rsid w:val="00143817"/>
    <w:rsid w:val="00143847"/>
    <w:rsid w:val="00143B3D"/>
    <w:rsid w:val="0014533D"/>
    <w:rsid w:val="00145D38"/>
    <w:rsid w:val="00145DCF"/>
    <w:rsid w:val="00151810"/>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0A6E"/>
    <w:rsid w:val="00183148"/>
    <w:rsid w:val="00183CAA"/>
    <w:rsid w:val="00184158"/>
    <w:rsid w:val="0018628F"/>
    <w:rsid w:val="001863BC"/>
    <w:rsid w:val="00191C3D"/>
    <w:rsid w:val="00192B65"/>
    <w:rsid w:val="00195933"/>
    <w:rsid w:val="001A1F22"/>
    <w:rsid w:val="001A347D"/>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523"/>
    <w:rsid w:val="001C2705"/>
    <w:rsid w:val="001C2DED"/>
    <w:rsid w:val="001C4091"/>
    <w:rsid w:val="001C5B4D"/>
    <w:rsid w:val="001C7848"/>
    <w:rsid w:val="001D0F44"/>
    <w:rsid w:val="001D28FD"/>
    <w:rsid w:val="001D2CF9"/>
    <w:rsid w:val="001D485C"/>
    <w:rsid w:val="001D48C1"/>
    <w:rsid w:val="001D519A"/>
    <w:rsid w:val="001E0F79"/>
    <w:rsid w:val="001E13ED"/>
    <w:rsid w:val="001E1AC6"/>
    <w:rsid w:val="001E2E89"/>
    <w:rsid w:val="001E3654"/>
    <w:rsid w:val="001E4A19"/>
    <w:rsid w:val="001E4C81"/>
    <w:rsid w:val="001E4E37"/>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7F3"/>
    <w:rsid w:val="00212C60"/>
    <w:rsid w:val="00212F87"/>
    <w:rsid w:val="002139DC"/>
    <w:rsid w:val="002147C8"/>
    <w:rsid w:val="00214A59"/>
    <w:rsid w:val="00214EAF"/>
    <w:rsid w:val="002158D5"/>
    <w:rsid w:val="00216C37"/>
    <w:rsid w:val="00217DAB"/>
    <w:rsid w:val="00220344"/>
    <w:rsid w:val="00220389"/>
    <w:rsid w:val="00220D3A"/>
    <w:rsid w:val="00222001"/>
    <w:rsid w:val="002238CE"/>
    <w:rsid w:val="00224D92"/>
    <w:rsid w:val="0022542A"/>
    <w:rsid w:val="00225663"/>
    <w:rsid w:val="00225903"/>
    <w:rsid w:val="00225D75"/>
    <w:rsid w:val="00226A09"/>
    <w:rsid w:val="0022766D"/>
    <w:rsid w:val="002329EA"/>
    <w:rsid w:val="00234132"/>
    <w:rsid w:val="00234D19"/>
    <w:rsid w:val="002352DF"/>
    <w:rsid w:val="002361E0"/>
    <w:rsid w:val="00242605"/>
    <w:rsid w:val="0024673E"/>
    <w:rsid w:val="002469E9"/>
    <w:rsid w:val="0024707B"/>
    <w:rsid w:val="00247DE7"/>
    <w:rsid w:val="00254067"/>
    <w:rsid w:val="002542E5"/>
    <w:rsid w:val="00254797"/>
    <w:rsid w:val="00254E3E"/>
    <w:rsid w:val="002555AB"/>
    <w:rsid w:val="00255D30"/>
    <w:rsid w:val="00256E81"/>
    <w:rsid w:val="00257029"/>
    <w:rsid w:val="00257A47"/>
    <w:rsid w:val="00260001"/>
    <w:rsid w:val="0026270B"/>
    <w:rsid w:val="00263CB4"/>
    <w:rsid w:val="00263FCF"/>
    <w:rsid w:val="002641CC"/>
    <w:rsid w:val="00265966"/>
    <w:rsid w:val="0026687B"/>
    <w:rsid w:val="0027025A"/>
    <w:rsid w:val="00270B08"/>
    <w:rsid w:val="00271FB4"/>
    <w:rsid w:val="00272726"/>
    <w:rsid w:val="00273BE9"/>
    <w:rsid w:val="002740B8"/>
    <w:rsid w:val="00276F77"/>
    <w:rsid w:val="00277539"/>
    <w:rsid w:val="00277A4C"/>
    <w:rsid w:val="0028119A"/>
    <w:rsid w:val="002816F3"/>
    <w:rsid w:val="00281925"/>
    <w:rsid w:val="00281EB6"/>
    <w:rsid w:val="002838D0"/>
    <w:rsid w:val="00284155"/>
    <w:rsid w:val="00284AE1"/>
    <w:rsid w:val="00287F1A"/>
    <w:rsid w:val="00290E44"/>
    <w:rsid w:val="00291CE9"/>
    <w:rsid w:val="00293CBB"/>
    <w:rsid w:val="00294123"/>
    <w:rsid w:val="00294F20"/>
    <w:rsid w:val="00295A55"/>
    <w:rsid w:val="00295CB1"/>
    <w:rsid w:val="00295EA3"/>
    <w:rsid w:val="002963D7"/>
    <w:rsid w:val="00296D06"/>
    <w:rsid w:val="00297CF6"/>
    <w:rsid w:val="00297D32"/>
    <w:rsid w:val="002A0674"/>
    <w:rsid w:val="002A1D6E"/>
    <w:rsid w:val="002A3308"/>
    <w:rsid w:val="002A398E"/>
    <w:rsid w:val="002A69FB"/>
    <w:rsid w:val="002B0C42"/>
    <w:rsid w:val="002B1CCB"/>
    <w:rsid w:val="002B21EE"/>
    <w:rsid w:val="002B282C"/>
    <w:rsid w:val="002B545A"/>
    <w:rsid w:val="002B62B2"/>
    <w:rsid w:val="002B69FC"/>
    <w:rsid w:val="002B7E39"/>
    <w:rsid w:val="002C0598"/>
    <w:rsid w:val="002C26F0"/>
    <w:rsid w:val="002C3109"/>
    <w:rsid w:val="002C35B7"/>
    <w:rsid w:val="002C3DA5"/>
    <w:rsid w:val="002C474E"/>
    <w:rsid w:val="002C4DB6"/>
    <w:rsid w:val="002C667E"/>
    <w:rsid w:val="002C6A06"/>
    <w:rsid w:val="002C72FA"/>
    <w:rsid w:val="002C7864"/>
    <w:rsid w:val="002D0602"/>
    <w:rsid w:val="002D0BD8"/>
    <w:rsid w:val="002D11EA"/>
    <w:rsid w:val="002D3610"/>
    <w:rsid w:val="002D4736"/>
    <w:rsid w:val="002D491A"/>
    <w:rsid w:val="002D5E29"/>
    <w:rsid w:val="002D7EC5"/>
    <w:rsid w:val="002E088B"/>
    <w:rsid w:val="002E1092"/>
    <w:rsid w:val="002E1B08"/>
    <w:rsid w:val="002E1B66"/>
    <w:rsid w:val="002E22F5"/>
    <w:rsid w:val="002E2A34"/>
    <w:rsid w:val="002E2AE6"/>
    <w:rsid w:val="002E37B4"/>
    <w:rsid w:val="002E3985"/>
    <w:rsid w:val="002E55B5"/>
    <w:rsid w:val="002E59F4"/>
    <w:rsid w:val="002E67C3"/>
    <w:rsid w:val="002E6959"/>
    <w:rsid w:val="002F0FD2"/>
    <w:rsid w:val="002F10D3"/>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1C6"/>
    <w:rsid w:val="00327BD8"/>
    <w:rsid w:val="00330DC5"/>
    <w:rsid w:val="00333AB2"/>
    <w:rsid w:val="00333E5D"/>
    <w:rsid w:val="00334CCE"/>
    <w:rsid w:val="0033669B"/>
    <w:rsid w:val="00336AAF"/>
    <w:rsid w:val="00337F26"/>
    <w:rsid w:val="00342FB5"/>
    <w:rsid w:val="00343A7F"/>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759"/>
    <w:rsid w:val="003868C8"/>
    <w:rsid w:val="00386B8D"/>
    <w:rsid w:val="003936D9"/>
    <w:rsid w:val="00393C03"/>
    <w:rsid w:val="00395BE9"/>
    <w:rsid w:val="00396F6F"/>
    <w:rsid w:val="003972FD"/>
    <w:rsid w:val="00397994"/>
    <w:rsid w:val="003A2779"/>
    <w:rsid w:val="003A2A8E"/>
    <w:rsid w:val="003A35F7"/>
    <w:rsid w:val="003A3638"/>
    <w:rsid w:val="003A4EC1"/>
    <w:rsid w:val="003A5041"/>
    <w:rsid w:val="003A5DF4"/>
    <w:rsid w:val="003A5EB6"/>
    <w:rsid w:val="003A6387"/>
    <w:rsid w:val="003A774C"/>
    <w:rsid w:val="003A7C2F"/>
    <w:rsid w:val="003B0D88"/>
    <w:rsid w:val="003B216E"/>
    <w:rsid w:val="003B459A"/>
    <w:rsid w:val="003B4AC8"/>
    <w:rsid w:val="003B56A8"/>
    <w:rsid w:val="003B6472"/>
    <w:rsid w:val="003C10DE"/>
    <w:rsid w:val="003C20D9"/>
    <w:rsid w:val="003C31B5"/>
    <w:rsid w:val="003C37DC"/>
    <w:rsid w:val="003C3D85"/>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4D8"/>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1450"/>
    <w:rsid w:val="00433C14"/>
    <w:rsid w:val="00433EE9"/>
    <w:rsid w:val="00433F4F"/>
    <w:rsid w:val="004342B4"/>
    <w:rsid w:val="00435300"/>
    <w:rsid w:val="00435F00"/>
    <w:rsid w:val="00441793"/>
    <w:rsid w:val="004423B1"/>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527E"/>
    <w:rsid w:val="0046693F"/>
    <w:rsid w:val="004669AB"/>
    <w:rsid w:val="00467034"/>
    <w:rsid w:val="0047143C"/>
    <w:rsid w:val="00471C1C"/>
    <w:rsid w:val="00472403"/>
    <w:rsid w:val="004729F7"/>
    <w:rsid w:val="00472F58"/>
    <w:rsid w:val="004730BF"/>
    <w:rsid w:val="004737B0"/>
    <w:rsid w:val="00474218"/>
    <w:rsid w:val="00474D3F"/>
    <w:rsid w:val="00475B71"/>
    <w:rsid w:val="0047619D"/>
    <w:rsid w:val="0047694A"/>
    <w:rsid w:val="00476DB7"/>
    <w:rsid w:val="004802AD"/>
    <w:rsid w:val="00480887"/>
    <w:rsid w:val="00480CA5"/>
    <w:rsid w:val="00483159"/>
    <w:rsid w:val="004913EC"/>
    <w:rsid w:val="00491998"/>
    <w:rsid w:val="004923B7"/>
    <w:rsid w:val="004945EA"/>
    <w:rsid w:val="0049496B"/>
    <w:rsid w:val="00496901"/>
    <w:rsid w:val="00497DBF"/>
    <w:rsid w:val="004A1DC3"/>
    <w:rsid w:val="004A42CD"/>
    <w:rsid w:val="004A5A29"/>
    <w:rsid w:val="004B20A4"/>
    <w:rsid w:val="004B40C0"/>
    <w:rsid w:val="004B41EF"/>
    <w:rsid w:val="004B48CC"/>
    <w:rsid w:val="004B49A4"/>
    <w:rsid w:val="004B4D3E"/>
    <w:rsid w:val="004B558A"/>
    <w:rsid w:val="004B5D89"/>
    <w:rsid w:val="004B7DBC"/>
    <w:rsid w:val="004C0DA3"/>
    <w:rsid w:val="004C13B1"/>
    <w:rsid w:val="004C16E8"/>
    <w:rsid w:val="004C1EB9"/>
    <w:rsid w:val="004C398D"/>
    <w:rsid w:val="004C5624"/>
    <w:rsid w:val="004C5872"/>
    <w:rsid w:val="004D1968"/>
    <w:rsid w:val="004D1D08"/>
    <w:rsid w:val="004D20D0"/>
    <w:rsid w:val="004D330B"/>
    <w:rsid w:val="004D33B2"/>
    <w:rsid w:val="004D3826"/>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6F39"/>
    <w:rsid w:val="005079E0"/>
    <w:rsid w:val="00510B1F"/>
    <w:rsid w:val="00510F55"/>
    <w:rsid w:val="00512A76"/>
    <w:rsid w:val="0051718C"/>
    <w:rsid w:val="005223E7"/>
    <w:rsid w:val="005228F6"/>
    <w:rsid w:val="00522E75"/>
    <w:rsid w:val="005237AC"/>
    <w:rsid w:val="00523E15"/>
    <w:rsid w:val="00524342"/>
    <w:rsid w:val="00526BF6"/>
    <w:rsid w:val="005303ED"/>
    <w:rsid w:val="0053044D"/>
    <w:rsid w:val="0053121C"/>
    <w:rsid w:val="00532BF5"/>
    <w:rsid w:val="00532FB2"/>
    <w:rsid w:val="005333B5"/>
    <w:rsid w:val="00535B11"/>
    <w:rsid w:val="005371D0"/>
    <w:rsid w:val="0054078D"/>
    <w:rsid w:val="00541268"/>
    <w:rsid w:val="005415A4"/>
    <w:rsid w:val="00541C3D"/>
    <w:rsid w:val="005420B2"/>
    <w:rsid w:val="00542B8E"/>
    <w:rsid w:val="00543B97"/>
    <w:rsid w:val="0054444E"/>
    <w:rsid w:val="0055109E"/>
    <w:rsid w:val="005525BB"/>
    <w:rsid w:val="00557FB4"/>
    <w:rsid w:val="00561847"/>
    <w:rsid w:val="0056220B"/>
    <w:rsid w:val="005623F5"/>
    <w:rsid w:val="00562540"/>
    <w:rsid w:val="005642C4"/>
    <w:rsid w:val="005645B5"/>
    <w:rsid w:val="00565A77"/>
    <w:rsid w:val="00565C4E"/>
    <w:rsid w:val="00565E7C"/>
    <w:rsid w:val="00567A64"/>
    <w:rsid w:val="00567E42"/>
    <w:rsid w:val="00570EE8"/>
    <w:rsid w:val="005716E4"/>
    <w:rsid w:val="0057191A"/>
    <w:rsid w:val="0057236C"/>
    <w:rsid w:val="0057512A"/>
    <w:rsid w:val="00577677"/>
    <w:rsid w:val="00580102"/>
    <w:rsid w:val="0058031A"/>
    <w:rsid w:val="00580653"/>
    <w:rsid w:val="0058213D"/>
    <w:rsid w:val="00582FA7"/>
    <w:rsid w:val="0058416C"/>
    <w:rsid w:val="0058488F"/>
    <w:rsid w:val="00584C66"/>
    <w:rsid w:val="00584C87"/>
    <w:rsid w:val="0058529A"/>
    <w:rsid w:val="00585645"/>
    <w:rsid w:val="00585C14"/>
    <w:rsid w:val="0058617D"/>
    <w:rsid w:val="00586F3B"/>
    <w:rsid w:val="0058703F"/>
    <w:rsid w:val="0058712F"/>
    <w:rsid w:val="00587356"/>
    <w:rsid w:val="00592375"/>
    <w:rsid w:val="00592F8A"/>
    <w:rsid w:val="005940D3"/>
    <w:rsid w:val="00594F76"/>
    <w:rsid w:val="00595DDB"/>
    <w:rsid w:val="0059706E"/>
    <w:rsid w:val="005975F2"/>
    <w:rsid w:val="005A0452"/>
    <w:rsid w:val="005A0C00"/>
    <w:rsid w:val="005A1C6A"/>
    <w:rsid w:val="005A3E1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6F5"/>
    <w:rsid w:val="005E1A4E"/>
    <w:rsid w:val="005E445C"/>
    <w:rsid w:val="005E4F8E"/>
    <w:rsid w:val="005E58BB"/>
    <w:rsid w:val="005E5D40"/>
    <w:rsid w:val="005E7D03"/>
    <w:rsid w:val="005E7E24"/>
    <w:rsid w:val="005F01A2"/>
    <w:rsid w:val="005F09A8"/>
    <w:rsid w:val="005F117C"/>
    <w:rsid w:val="005F1272"/>
    <w:rsid w:val="005F1A7D"/>
    <w:rsid w:val="005F2206"/>
    <w:rsid w:val="005F3D88"/>
    <w:rsid w:val="005F4169"/>
    <w:rsid w:val="005F4764"/>
    <w:rsid w:val="005F7A40"/>
    <w:rsid w:val="0060454E"/>
    <w:rsid w:val="00606A73"/>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62B4"/>
    <w:rsid w:val="00627361"/>
    <w:rsid w:val="00627417"/>
    <w:rsid w:val="00627AFA"/>
    <w:rsid w:val="006300C2"/>
    <w:rsid w:val="00630249"/>
    <w:rsid w:val="00630A5B"/>
    <w:rsid w:val="00633348"/>
    <w:rsid w:val="00633837"/>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1CC0"/>
    <w:rsid w:val="00655772"/>
    <w:rsid w:val="0066079B"/>
    <w:rsid w:val="006607DF"/>
    <w:rsid w:val="006610CB"/>
    <w:rsid w:val="00661521"/>
    <w:rsid w:val="00661A08"/>
    <w:rsid w:val="00662392"/>
    <w:rsid w:val="0066340C"/>
    <w:rsid w:val="006677FA"/>
    <w:rsid w:val="00667D5C"/>
    <w:rsid w:val="00670567"/>
    <w:rsid w:val="0067110D"/>
    <w:rsid w:val="006711D6"/>
    <w:rsid w:val="00672509"/>
    <w:rsid w:val="00672DDA"/>
    <w:rsid w:val="00673453"/>
    <w:rsid w:val="006742ED"/>
    <w:rsid w:val="00674F8C"/>
    <w:rsid w:val="0067567C"/>
    <w:rsid w:val="006758D3"/>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3B38"/>
    <w:rsid w:val="006A4D5B"/>
    <w:rsid w:val="006A5C42"/>
    <w:rsid w:val="006A72F5"/>
    <w:rsid w:val="006A7426"/>
    <w:rsid w:val="006A7DEE"/>
    <w:rsid w:val="006B28D6"/>
    <w:rsid w:val="006B36F7"/>
    <w:rsid w:val="006B43B2"/>
    <w:rsid w:val="006B45EF"/>
    <w:rsid w:val="006B5A5C"/>
    <w:rsid w:val="006B7503"/>
    <w:rsid w:val="006B7B55"/>
    <w:rsid w:val="006C0141"/>
    <w:rsid w:val="006C0689"/>
    <w:rsid w:val="006C0E11"/>
    <w:rsid w:val="006C11E2"/>
    <w:rsid w:val="006C1254"/>
    <w:rsid w:val="006C1E0A"/>
    <w:rsid w:val="006C47A5"/>
    <w:rsid w:val="006C4EC8"/>
    <w:rsid w:val="006C510B"/>
    <w:rsid w:val="006C6D4D"/>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6A4"/>
    <w:rsid w:val="006E1B19"/>
    <w:rsid w:val="006E1E0E"/>
    <w:rsid w:val="006E30F4"/>
    <w:rsid w:val="006E5770"/>
    <w:rsid w:val="006F03C5"/>
    <w:rsid w:val="006F0664"/>
    <w:rsid w:val="006F1135"/>
    <w:rsid w:val="006F13EF"/>
    <w:rsid w:val="006F1F72"/>
    <w:rsid w:val="006F2AF9"/>
    <w:rsid w:val="006F4751"/>
    <w:rsid w:val="006F6B6C"/>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08A"/>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3F5"/>
    <w:rsid w:val="007344B5"/>
    <w:rsid w:val="00734B4C"/>
    <w:rsid w:val="007352BC"/>
    <w:rsid w:val="007355E1"/>
    <w:rsid w:val="00736912"/>
    <w:rsid w:val="007375CF"/>
    <w:rsid w:val="007377C5"/>
    <w:rsid w:val="00741415"/>
    <w:rsid w:val="007414F7"/>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7749"/>
    <w:rsid w:val="007679C5"/>
    <w:rsid w:val="007710D0"/>
    <w:rsid w:val="007730A7"/>
    <w:rsid w:val="00773148"/>
    <w:rsid w:val="00774D1A"/>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11D8"/>
    <w:rsid w:val="007F5457"/>
    <w:rsid w:val="007F5733"/>
    <w:rsid w:val="007F5AB1"/>
    <w:rsid w:val="007F5FF7"/>
    <w:rsid w:val="00800047"/>
    <w:rsid w:val="00800514"/>
    <w:rsid w:val="008030BC"/>
    <w:rsid w:val="00803CEB"/>
    <w:rsid w:val="00806159"/>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10E8"/>
    <w:rsid w:val="00822EB4"/>
    <w:rsid w:val="0082551A"/>
    <w:rsid w:val="00825A0F"/>
    <w:rsid w:val="0083128A"/>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9AD"/>
    <w:rsid w:val="00854B92"/>
    <w:rsid w:val="00855923"/>
    <w:rsid w:val="00860E19"/>
    <w:rsid w:val="00861428"/>
    <w:rsid w:val="00861D4B"/>
    <w:rsid w:val="008624D2"/>
    <w:rsid w:val="008625D2"/>
    <w:rsid w:val="008631D5"/>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677"/>
    <w:rsid w:val="008A6F2A"/>
    <w:rsid w:val="008A71BE"/>
    <w:rsid w:val="008A75F0"/>
    <w:rsid w:val="008B164A"/>
    <w:rsid w:val="008B1D8C"/>
    <w:rsid w:val="008B297E"/>
    <w:rsid w:val="008B34F1"/>
    <w:rsid w:val="008B40CE"/>
    <w:rsid w:val="008B4D9C"/>
    <w:rsid w:val="008B5F8E"/>
    <w:rsid w:val="008B6447"/>
    <w:rsid w:val="008B6DE3"/>
    <w:rsid w:val="008C00F3"/>
    <w:rsid w:val="008C01DD"/>
    <w:rsid w:val="008C0FFF"/>
    <w:rsid w:val="008C1D42"/>
    <w:rsid w:val="008C1E9E"/>
    <w:rsid w:val="008C381F"/>
    <w:rsid w:val="008C3E3E"/>
    <w:rsid w:val="008C3F4A"/>
    <w:rsid w:val="008C5899"/>
    <w:rsid w:val="008C69EE"/>
    <w:rsid w:val="008C7AF9"/>
    <w:rsid w:val="008D0A10"/>
    <w:rsid w:val="008D324E"/>
    <w:rsid w:val="008D5121"/>
    <w:rsid w:val="008D709F"/>
    <w:rsid w:val="008D7B7C"/>
    <w:rsid w:val="008E0832"/>
    <w:rsid w:val="008E0F2F"/>
    <w:rsid w:val="008E1F17"/>
    <w:rsid w:val="008E3888"/>
    <w:rsid w:val="008E43C2"/>
    <w:rsid w:val="008E45E7"/>
    <w:rsid w:val="008E4B06"/>
    <w:rsid w:val="008E4D0B"/>
    <w:rsid w:val="008E4EB8"/>
    <w:rsid w:val="008E5AE2"/>
    <w:rsid w:val="008F0B8B"/>
    <w:rsid w:val="008F309C"/>
    <w:rsid w:val="008F3A9B"/>
    <w:rsid w:val="008F4EE1"/>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99E"/>
    <w:rsid w:val="00934550"/>
    <w:rsid w:val="00935699"/>
    <w:rsid w:val="00936B62"/>
    <w:rsid w:val="00940B11"/>
    <w:rsid w:val="00941E3E"/>
    <w:rsid w:val="00942334"/>
    <w:rsid w:val="009426B8"/>
    <w:rsid w:val="009428EA"/>
    <w:rsid w:val="00942E72"/>
    <w:rsid w:val="00944567"/>
    <w:rsid w:val="009452E3"/>
    <w:rsid w:val="00945C13"/>
    <w:rsid w:val="009460D0"/>
    <w:rsid w:val="009502DA"/>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56DD"/>
    <w:rsid w:val="0097683D"/>
    <w:rsid w:val="00980591"/>
    <w:rsid w:val="00980C42"/>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5DB4"/>
    <w:rsid w:val="009964C7"/>
    <w:rsid w:val="009A082B"/>
    <w:rsid w:val="009A10F0"/>
    <w:rsid w:val="009A25A2"/>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C7D02"/>
    <w:rsid w:val="009D117D"/>
    <w:rsid w:val="009D28AF"/>
    <w:rsid w:val="009D290E"/>
    <w:rsid w:val="009D2CC6"/>
    <w:rsid w:val="009D2F47"/>
    <w:rsid w:val="009D3A40"/>
    <w:rsid w:val="009D3E04"/>
    <w:rsid w:val="009D4A30"/>
    <w:rsid w:val="009D59CF"/>
    <w:rsid w:val="009D6879"/>
    <w:rsid w:val="009D7A85"/>
    <w:rsid w:val="009E15B4"/>
    <w:rsid w:val="009E18A4"/>
    <w:rsid w:val="009E235F"/>
    <w:rsid w:val="009E3971"/>
    <w:rsid w:val="009E3BE4"/>
    <w:rsid w:val="009E7F86"/>
    <w:rsid w:val="009F058D"/>
    <w:rsid w:val="009F1D59"/>
    <w:rsid w:val="009F1DCB"/>
    <w:rsid w:val="009F30E6"/>
    <w:rsid w:val="009F37D8"/>
    <w:rsid w:val="009F4ADE"/>
    <w:rsid w:val="009F59A3"/>
    <w:rsid w:val="00A00277"/>
    <w:rsid w:val="00A0151F"/>
    <w:rsid w:val="00A02021"/>
    <w:rsid w:val="00A03A4F"/>
    <w:rsid w:val="00A03D31"/>
    <w:rsid w:val="00A0598B"/>
    <w:rsid w:val="00A06A53"/>
    <w:rsid w:val="00A11295"/>
    <w:rsid w:val="00A1191C"/>
    <w:rsid w:val="00A11978"/>
    <w:rsid w:val="00A11DD2"/>
    <w:rsid w:val="00A12828"/>
    <w:rsid w:val="00A14F60"/>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1CA6"/>
    <w:rsid w:val="00A33070"/>
    <w:rsid w:val="00A33208"/>
    <w:rsid w:val="00A341B6"/>
    <w:rsid w:val="00A363CB"/>
    <w:rsid w:val="00A36AD9"/>
    <w:rsid w:val="00A37534"/>
    <w:rsid w:val="00A403C7"/>
    <w:rsid w:val="00A40D04"/>
    <w:rsid w:val="00A41603"/>
    <w:rsid w:val="00A42180"/>
    <w:rsid w:val="00A433EB"/>
    <w:rsid w:val="00A44C24"/>
    <w:rsid w:val="00A45D35"/>
    <w:rsid w:val="00A46649"/>
    <w:rsid w:val="00A4706C"/>
    <w:rsid w:val="00A470C7"/>
    <w:rsid w:val="00A501FD"/>
    <w:rsid w:val="00A5134C"/>
    <w:rsid w:val="00A51605"/>
    <w:rsid w:val="00A51B50"/>
    <w:rsid w:val="00A54768"/>
    <w:rsid w:val="00A55009"/>
    <w:rsid w:val="00A55F96"/>
    <w:rsid w:val="00A57913"/>
    <w:rsid w:val="00A61E7A"/>
    <w:rsid w:val="00A6253C"/>
    <w:rsid w:val="00A6429F"/>
    <w:rsid w:val="00A66160"/>
    <w:rsid w:val="00A669DE"/>
    <w:rsid w:val="00A70368"/>
    <w:rsid w:val="00A71039"/>
    <w:rsid w:val="00A710D5"/>
    <w:rsid w:val="00A71FA1"/>
    <w:rsid w:val="00A72422"/>
    <w:rsid w:val="00A72820"/>
    <w:rsid w:val="00A72AE8"/>
    <w:rsid w:val="00A7390C"/>
    <w:rsid w:val="00A73D93"/>
    <w:rsid w:val="00A74C9B"/>
    <w:rsid w:val="00A77652"/>
    <w:rsid w:val="00A777BD"/>
    <w:rsid w:val="00A80044"/>
    <w:rsid w:val="00A8111D"/>
    <w:rsid w:val="00A81B97"/>
    <w:rsid w:val="00A824E1"/>
    <w:rsid w:val="00A82D1A"/>
    <w:rsid w:val="00A862E2"/>
    <w:rsid w:val="00A86887"/>
    <w:rsid w:val="00A878AD"/>
    <w:rsid w:val="00A87C9C"/>
    <w:rsid w:val="00A92EEF"/>
    <w:rsid w:val="00A9371B"/>
    <w:rsid w:val="00A93F01"/>
    <w:rsid w:val="00A955E4"/>
    <w:rsid w:val="00A9758B"/>
    <w:rsid w:val="00AA0304"/>
    <w:rsid w:val="00AA046E"/>
    <w:rsid w:val="00AA15FA"/>
    <w:rsid w:val="00AA1D70"/>
    <w:rsid w:val="00AA1FE3"/>
    <w:rsid w:val="00AA444B"/>
    <w:rsid w:val="00AA5465"/>
    <w:rsid w:val="00AA54E0"/>
    <w:rsid w:val="00AA59F9"/>
    <w:rsid w:val="00AA741B"/>
    <w:rsid w:val="00AB39DE"/>
    <w:rsid w:val="00AB3D09"/>
    <w:rsid w:val="00AB52B8"/>
    <w:rsid w:val="00AB60EE"/>
    <w:rsid w:val="00AB77BA"/>
    <w:rsid w:val="00AC00BD"/>
    <w:rsid w:val="00AC08CF"/>
    <w:rsid w:val="00AC0BA2"/>
    <w:rsid w:val="00AC5B87"/>
    <w:rsid w:val="00AC6296"/>
    <w:rsid w:val="00AD0617"/>
    <w:rsid w:val="00AD25BC"/>
    <w:rsid w:val="00AD3876"/>
    <w:rsid w:val="00AD4B4A"/>
    <w:rsid w:val="00AD6D02"/>
    <w:rsid w:val="00AD73A1"/>
    <w:rsid w:val="00AD7A58"/>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22F8"/>
    <w:rsid w:val="00B03290"/>
    <w:rsid w:val="00B04182"/>
    <w:rsid w:val="00B047F2"/>
    <w:rsid w:val="00B0534B"/>
    <w:rsid w:val="00B06B26"/>
    <w:rsid w:val="00B073B0"/>
    <w:rsid w:val="00B0799C"/>
    <w:rsid w:val="00B1560B"/>
    <w:rsid w:val="00B1743D"/>
    <w:rsid w:val="00B201EE"/>
    <w:rsid w:val="00B20C63"/>
    <w:rsid w:val="00B22907"/>
    <w:rsid w:val="00B24B15"/>
    <w:rsid w:val="00B24F99"/>
    <w:rsid w:val="00B251D7"/>
    <w:rsid w:val="00B27766"/>
    <w:rsid w:val="00B30AAB"/>
    <w:rsid w:val="00B33073"/>
    <w:rsid w:val="00B332D1"/>
    <w:rsid w:val="00B33559"/>
    <w:rsid w:val="00B3446D"/>
    <w:rsid w:val="00B3549E"/>
    <w:rsid w:val="00B354BE"/>
    <w:rsid w:val="00B40BF6"/>
    <w:rsid w:val="00B40F66"/>
    <w:rsid w:val="00B41A0E"/>
    <w:rsid w:val="00B42250"/>
    <w:rsid w:val="00B42ECA"/>
    <w:rsid w:val="00B44D09"/>
    <w:rsid w:val="00B44E6E"/>
    <w:rsid w:val="00B4527E"/>
    <w:rsid w:val="00B465FC"/>
    <w:rsid w:val="00B46E31"/>
    <w:rsid w:val="00B477C8"/>
    <w:rsid w:val="00B515B5"/>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3FA3"/>
    <w:rsid w:val="00B744BC"/>
    <w:rsid w:val="00B76F48"/>
    <w:rsid w:val="00B832CB"/>
    <w:rsid w:val="00B83F68"/>
    <w:rsid w:val="00B87091"/>
    <w:rsid w:val="00B903D1"/>
    <w:rsid w:val="00B90C3E"/>
    <w:rsid w:val="00B92390"/>
    <w:rsid w:val="00B93BBD"/>
    <w:rsid w:val="00B9437C"/>
    <w:rsid w:val="00B96166"/>
    <w:rsid w:val="00B966F0"/>
    <w:rsid w:val="00B96EF7"/>
    <w:rsid w:val="00B96FD2"/>
    <w:rsid w:val="00B974CF"/>
    <w:rsid w:val="00B97BD1"/>
    <w:rsid w:val="00BA277B"/>
    <w:rsid w:val="00BA3753"/>
    <w:rsid w:val="00BA5522"/>
    <w:rsid w:val="00BA5B30"/>
    <w:rsid w:val="00BA5E68"/>
    <w:rsid w:val="00BA6409"/>
    <w:rsid w:val="00BA7738"/>
    <w:rsid w:val="00BB0E60"/>
    <w:rsid w:val="00BB1526"/>
    <w:rsid w:val="00BB2CF9"/>
    <w:rsid w:val="00BB2F6F"/>
    <w:rsid w:val="00BB3FED"/>
    <w:rsid w:val="00BB5EED"/>
    <w:rsid w:val="00BB60AE"/>
    <w:rsid w:val="00BB6A23"/>
    <w:rsid w:val="00BB6F37"/>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154"/>
    <w:rsid w:val="00BE544E"/>
    <w:rsid w:val="00BE56FA"/>
    <w:rsid w:val="00BE5AAD"/>
    <w:rsid w:val="00BE6510"/>
    <w:rsid w:val="00BE6AAE"/>
    <w:rsid w:val="00BE728E"/>
    <w:rsid w:val="00BF064C"/>
    <w:rsid w:val="00BF0E36"/>
    <w:rsid w:val="00BF1627"/>
    <w:rsid w:val="00BF1A63"/>
    <w:rsid w:val="00BF1D52"/>
    <w:rsid w:val="00BF21B6"/>
    <w:rsid w:val="00BF248C"/>
    <w:rsid w:val="00BF2C3C"/>
    <w:rsid w:val="00BF3AE7"/>
    <w:rsid w:val="00BF4DB7"/>
    <w:rsid w:val="00BF5320"/>
    <w:rsid w:val="00BF5335"/>
    <w:rsid w:val="00BF6346"/>
    <w:rsid w:val="00BF6D20"/>
    <w:rsid w:val="00C0018C"/>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292D"/>
    <w:rsid w:val="00C2350E"/>
    <w:rsid w:val="00C23574"/>
    <w:rsid w:val="00C2432A"/>
    <w:rsid w:val="00C24CC9"/>
    <w:rsid w:val="00C25667"/>
    <w:rsid w:val="00C260DA"/>
    <w:rsid w:val="00C27075"/>
    <w:rsid w:val="00C27C4E"/>
    <w:rsid w:val="00C315EE"/>
    <w:rsid w:val="00C31AB2"/>
    <w:rsid w:val="00C32440"/>
    <w:rsid w:val="00C33C3A"/>
    <w:rsid w:val="00C34D13"/>
    <w:rsid w:val="00C35F1C"/>
    <w:rsid w:val="00C36D28"/>
    <w:rsid w:val="00C42C04"/>
    <w:rsid w:val="00C437BA"/>
    <w:rsid w:val="00C44219"/>
    <w:rsid w:val="00C445C8"/>
    <w:rsid w:val="00C44760"/>
    <w:rsid w:val="00C46862"/>
    <w:rsid w:val="00C50273"/>
    <w:rsid w:val="00C5135E"/>
    <w:rsid w:val="00C51785"/>
    <w:rsid w:val="00C53070"/>
    <w:rsid w:val="00C5370E"/>
    <w:rsid w:val="00C543D9"/>
    <w:rsid w:val="00C54ADC"/>
    <w:rsid w:val="00C54E8B"/>
    <w:rsid w:val="00C55BB7"/>
    <w:rsid w:val="00C668F3"/>
    <w:rsid w:val="00C70B60"/>
    <w:rsid w:val="00C71797"/>
    <w:rsid w:val="00C71929"/>
    <w:rsid w:val="00C71A66"/>
    <w:rsid w:val="00C72072"/>
    <w:rsid w:val="00C7267F"/>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0FC2"/>
    <w:rsid w:val="00CD129E"/>
    <w:rsid w:val="00CD1C53"/>
    <w:rsid w:val="00CD1CC9"/>
    <w:rsid w:val="00CD408A"/>
    <w:rsid w:val="00CD47C3"/>
    <w:rsid w:val="00CD4EDE"/>
    <w:rsid w:val="00CD5427"/>
    <w:rsid w:val="00CD7CEF"/>
    <w:rsid w:val="00CE0987"/>
    <w:rsid w:val="00CE0EC9"/>
    <w:rsid w:val="00CE1BDF"/>
    <w:rsid w:val="00CE1C03"/>
    <w:rsid w:val="00CE3F05"/>
    <w:rsid w:val="00CE4B24"/>
    <w:rsid w:val="00CE7EF3"/>
    <w:rsid w:val="00CF0FB9"/>
    <w:rsid w:val="00CF108B"/>
    <w:rsid w:val="00CF129B"/>
    <w:rsid w:val="00CF156C"/>
    <w:rsid w:val="00CF1581"/>
    <w:rsid w:val="00CF1857"/>
    <w:rsid w:val="00CF59BA"/>
    <w:rsid w:val="00CF6D3B"/>
    <w:rsid w:val="00CF7733"/>
    <w:rsid w:val="00CF7896"/>
    <w:rsid w:val="00CF7D76"/>
    <w:rsid w:val="00D01E1A"/>
    <w:rsid w:val="00D0277A"/>
    <w:rsid w:val="00D02AA6"/>
    <w:rsid w:val="00D02D10"/>
    <w:rsid w:val="00D045A2"/>
    <w:rsid w:val="00D046F4"/>
    <w:rsid w:val="00D05841"/>
    <w:rsid w:val="00D06D09"/>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4E3B"/>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266C"/>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630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8E9"/>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A5BFE"/>
    <w:rsid w:val="00DB0B8B"/>
    <w:rsid w:val="00DB402C"/>
    <w:rsid w:val="00DB5A82"/>
    <w:rsid w:val="00DB61B8"/>
    <w:rsid w:val="00DC1707"/>
    <w:rsid w:val="00DC1D32"/>
    <w:rsid w:val="00DC2DED"/>
    <w:rsid w:val="00DC2E74"/>
    <w:rsid w:val="00DC3776"/>
    <w:rsid w:val="00DC3A41"/>
    <w:rsid w:val="00DC44CD"/>
    <w:rsid w:val="00DC48B4"/>
    <w:rsid w:val="00DC60B9"/>
    <w:rsid w:val="00DC6F45"/>
    <w:rsid w:val="00DC71D8"/>
    <w:rsid w:val="00DC7D31"/>
    <w:rsid w:val="00DD029D"/>
    <w:rsid w:val="00DD11C3"/>
    <w:rsid w:val="00DD15FF"/>
    <w:rsid w:val="00DD2D2C"/>
    <w:rsid w:val="00DD4116"/>
    <w:rsid w:val="00DD7951"/>
    <w:rsid w:val="00DE0513"/>
    <w:rsid w:val="00DE0D1D"/>
    <w:rsid w:val="00DE3FA8"/>
    <w:rsid w:val="00DE402B"/>
    <w:rsid w:val="00DE40E5"/>
    <w:rsid w:val="00DE50B5"/>
    <w:rsid w:val="00DE58E9"/>
    <w:rsid w:val="00DE7BA8"/>
    <w:rsid w:val="00DF00CF"/>
    <w:rsid w:val="00DF0391"/>
    <w:rsid w:val="00DF1571"/>
    <w:rsid w:val="00DF5911"/>
    <w:rsid w:val="00DF6347"/>
    <w:rsid w:val="00DF7319"/>
    <w:rsid w:val="00DF758A"/>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35F72"/>
    <w:rsid w:val="00E4038F"/>
    <w:rsid w:val="00E41364"/>
    <w:rsid w:val="00E421B6"/>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66CEA"/>
    <w:rsid w:val="00E6791A"/>
    <w:rsid w:val="00E702C8"/>
    <w:rsid w:val="00E73DB5"/>
    <w:rsid w:val="00E7548A"/>
    <w:rsid w:val="00E77722"/>
    <w:rsid w:val="00E802DE"/>
    <w:rsid w:val="00E80456"/>
    <w:rsid w:val="00E80AD1"/>
    <w:rsid w:val="00E8344B"/>
    <w:rsid w:val="00E8409B"/>
    <w:rsid w:val="00E840A7"/>
    <w:rsid w:val="00E87C51"/>
    <w:rsid w:val="00E90E42"/>
    <w:rsid w:val="00E925ED"/>
    <w:rsid w:val="00E92B5E"/>
    <w:rsid w:val="00E93D53"/>
    <w:rsid w:val="00E95364"/>
    <w:rsid w:val="00E9595D"/>
    <w:rsid w:val="00E95EB4"/>
    <w:rsid w:val="00E96FF8"/>
    <w:rsid w:val="00EA0CB2"/>
    <w:rsid w:val="00EA16F0"/>
    <w:rsid w:val="00EA1F47"/>
    <w:rsid w:val="00EA225A"/>
    <w:rsid w:val="00EA2BAA"/>
    <w:rsid w:val="00EA37F1"/>
    <w:rsid w:val="00EA388E"/>
    <w:rsid w:val="00EA3CDD"/>
    <w:rsid w:val="00EA5A5F"/>
    <w:rsid w:val="00EA70DC"/>
    <w:rsid w:val="00EA73F5"/>
    <w:rsid w:val="00EB113E"/>
    <w:rsid w:val="00EB1247"/>
    <w:rsid w:val="00EB25AF"/>
    <w:rsid w:val="00EB2B49"/>
    <w:rsid w:val="00EB38ED"/>
    <w:rsid w:val="00EB64D5"/>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6EF4"/>
    <w:rsid w:val="00ED70C0"/>
    <w:rsid w:val="00ED7697"/>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512"/>
    <w:rsid w:val="00F10752"/>
    <w:rsid w:val="00F11BD9"/>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427"/>
    <w:rsid w:val="00F23519"/>
    <w:rsid w:val="00F245EE"/>
    <w:rsid w:val="00F24948"/>
    <w:rsid w:val="00F25106"/>
    <w:rsid w:val="00F26809"/>
    <w:rsid w:val="00F278A3"/>
    <w:rsid w:val="00F2797D"/>
    <w:rsid w:val="00F30C4D"/>
    <w:rsid w:val="00F31129"/>
    <w:rsid w:val="00F31B3F"/>
    <w:rsid w:val="00F324A9"/>
    <w:rsid w:val="00F33EE8"/>
    <w:rsid w:val="00F34570"/>
    <w:rsid w:val="00F354B9"/>
    <w:rsid w:val="00F36010"/>
    <w:rsid w:val="00F3602F"/>
    <w:rsid w:val="00F36797"/>
    <w:rsid w:val="00F36AEF"/>
    <w:rsid w:val="00F4030B"/>
    <w:rsid w:val="00F41CBA"/>
    <w:rsid w:val="00F41CD0"/>
    <w:rsid w:val="00F42CF7"/>
    <w:rsid w:val="00F43669"/>
    <w:rsid w:val="00F44474"/>
    <w:rsid w:val="00F44AF9"/>
    <w:rsid w:val="00F44DCF"/>
    <w:rsid w:val="00F451F4"/>
    <w:rsid w:val="00F45966"/>
    <w:rsid w:val="00F46035"/>
    <w:rsid w:val="00F47CD2"/>
    <w:rsid w:val="00F50670"/>
    <w:rsid w:val="00F52E81"/>
    <w:rsid w:val="00F536EF"/>
    <w:rsid w:val="00F53DA3"/>
    <w:rsid w:val="00F56CF6"/>
    <w:rsid w:val="00F5707E"/>
    <w:rsid w:val="00F57C5B"/>
    <w:rsid w:val="00F60311"/>
    <w:rsid w:val="00F62B72"/>
    <w:rsid w:val="00F62E9F"/>
    <w:rsid w:val="00F63F6D"/>
    <w:rsid w:val="00F64F72"/>
    <w:rsid w:val="00F65094"/>
    <w:rsid w:val="00F664D4"/>
    <w:rsid w:val="00F66BDD"/>
    <w:rsid w:val="00F66F9B"/>
    <w:rsid w:val="00F67F00"/>
    <w:rsid w:val="00F71863"/>
    <w:rsid w:val="00F73071"/>
    <w:rsid w:val="00F7323D"/>
    <w:rsid w:val="00F73A1D"/>
    <w:rsid w:val="00F75E51"/>
    <w:rsid w:val="00F7631A"/>
    <w:rsid w:val="00F764CA"/>
    <w:rsid w:val="00F76588"/>
    <w:rsid w:val="00F76898"/>
    <w:rsid w:val="00F769C2"/>
    <w:rsid w:val="00F77FF0"/>
    <w:rsid w:val="00F8118B"/>
    <w:rsid w:val="00F828A4"/>
    <w:rsid w:val="00F82E93"/>
    <w:rsid w:val="00F86F44"/>
    <w:rsid w:val="00F87613"/>
    <w:rsid w:val="00F927D0"/>
    <w:rsid w:val="00F92819"/>
    <w:rsid w:val="00F93CD1"/>
    <w:rsid w:val="00F93F43"/>
    <w:rsid w:val="00F94B63"/>
    <w:rsid w:val="00F95631"/>
    <w:rsid w:val="00F96079"/>
    <w:rsid w:val="00F96506"/>
    <w:rsid w:val="00FA23D3"/>
    <w:rsid w:val="00FA2728"/>
    <w:rsid w:val="00FA2CF8"/>
    <w:rsid w:val="00FA3384"/>
    <w:rsid w:val="00FA624E"/>
    <w:rsid w:val="00FA6407"/>
    <w:rsid w:val="00FA6AEB"/>
    <w:rsid w:val="00FA6F77"/>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1BF6"/>
    <w:rsid w:val="00FD22FD"/>
    <w:rsid w:val="00FD3E48"/>
    <w:rsid w:val="00FD54E9"/>
    <w:rsid w:val="00FD5AD7"/>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styleId="Revision">
    <w:name w:val="Revision"/>
    <w:hidden/>
    <w:uiPriority w:val="99"/>
    <w:semiHidden/>
    <w:rsid w:val="005A045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256446705">
      <w:bodyDiv w:val="1"/>
      <w:marLeft w:val="0"/>
      <w:marRight w:val="0"/>
      <w:marTop w:val="0"/>
      <w:marBottom w:val="0"/>
      <w:divBdr>
        <w:top w:val="none" w:sz="0" w:space="0" w:color="auto"/>
        <w:left w:val="none" w:sz="0" w:space="0" w:color="auto"/>
        <w:bottom w:val="none" w:sz="0" w:space="0" w:color="auto"/>
        <w:right w:val="none" w:sz="0" w:space="0" w:color="auto"/>
      </w:divBdr>
    </w:div>
    <w:div w:id="304703237">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70164566">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C:\Users\nicholas%20bulbeck\Downloads\A_RES_43_173-EN.pdf" TargetMode="External"/><Relationship Id="rId2" Type="http://schemas.openxmlformats.org/officeDocument/2006/relationships/hyperlink" Target="https://www.ohchr.org/sites/default/files/Documents/HRBodies/CCPR/GCArticle6/GCArticle6_EN.pdf" TargetMode="External"/><Relationship Id="rId1" Type="http://schemas.openxmlformats.org/officeDocument/2006/relationships/hyperlink" Target="https://www.refworld.org/docid/4a60961f2.html" TargetMode="External"/><Relationship Id="rId4" Type="http://schemas.openxmlformats.org/officeDocument/2006/relationships/hyperlink" Target="https://www.refworld.org/docid/453883fb1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27919"/>
    <w:rsid w:val="00082794"/>
    <w:rsid w:val="00197320"/>
    <w:rsid w:val="001C4864"/>
    <w:rsid w:val="00284E98"/>
    <w:rsid w:val="002B0D7D"/>
    <w:rsid w:val="003468A4"/>
    <w:rsid w:val="003C46DF"/>
    <w:rsid w:val="00404A09"/>
    <w:rsid w:val="005150D1"/>
    <w:rsid w:val="00555E87"/>
    <w:rsid w:val="006E2059"/>
    <w:rsid w:val="00700FD6"/>
    <w:rsid w:val="00772D2C"/>
    <w:rsid w:val="007B1B81"/>
    <w:rsid w:val="007C02F4"/>
    <w:rsid w:val="00886B15"/>
    <w:rsid w:val="00897E4C"/>
    <w:rsid w:val="008A22C2"/>
    <w:rsid w:val="009525B9"/>
    <w:rsid w:val="00956E7B"/>
    <w:rsid w:val="00A645BA"/>
    <w:rsid w:val="00A74C8D"/>
    <w:rsid w:val="00AC368A"/>
    <w:rsid w:val="00B159E0"/>
    <w:rsid w:val="00B34D3C"/>
    <w:rsid w:val="00B56AEA"/>
    <w:rsid w:val="00B64A36"/>
    <w:rsid w:val="00CA18E6"/>
    <w:rsid w:val="00D729D4"/>
    <w:rsid w:val="00DF48F1"/>
    <w:rsid w:val="00F42979"/>
    <w:rsid w:val="00F610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5497</Words>
  <Characters>27827</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33296</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2016-05-09T04:55:00Z</cp:lastPrinted>
  <dcterms:created xsi:type="dcterms:W3CDTF">2023-10-31T00:00:00Z</dcterms:created>
  <dcterms:modified xsi:type="dcterms:W3CDTF">2023-10-31T00:00:00Z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