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331D" w14:textId="77777777" w:rsidR="002B79F3" w:rsidRPr="00CF55A2" w:rsidRDefault="000F6C27" w:rsidP="00CF55A2">
      <w:pPr>
        <w:widowControl/>
        <w:autoSpaceDE/>
        <w:autoSpaceDN/>
        <w:spacing w:before="60"/>
        <w:rPr>
          <w:rFonts w:ascii="Arial" w:hAnsi="Arial" w:cs="Arial"/>
          <w:sz w:val="24"/>
          <w:szCs w:val="20"/>
          <w:lang w:val="en-AU"/>
        </w:rPr>
      </w:pPr>
      <w:r w:rsidRPr="00CF55A2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6CD39C2E" w14:textId="20847C1E" w:rsidR="002B79F3" w:rsidRDefault="000F6C27" w:rsidP="00CF55A2">
      <w:pPr>
        <w:pStyle w:val="Billname"/>
        <w:spacing w:before="600"/>
      </w:pPr>
      <w:r>
        <w:t>Road Transport (General) Application of Road</w:t>
      </w:r>
      <w:r w:rsidRPr="00CF55A2">
        <w:t xml:space="preserve"> </w:t>
      </w:r>
      <w:r>
        <w:t>Transport</w:t>
      </w:r>
      <w:r w:rsidRPr="00CF55A2">
        <w:t xml:space="preserve"> </w:t>
      </w:r>
      <w:r>
        <w:t>Legislation</w:t>
      </w:r>
      <w:r w:rsidRPr="00CF55A2">
        <w:t xml:space="preserve"> </w:t>
      </w:r>
      <w:r>
        <w:t>Declaration</w:t>
      </w:r>
      <w:r w:rsidRPr="00CF55A2">
        <w:t xml:space="preserve"> </w:t>
      </w:r>
      <w:r>
        <w:t>202</w:t>
      </w:r>
      <w:r w:rsidR="00EF3466">
        <w:t>3</w:t>
      </w:r>
      <w:r>
        <w:t xml:space="preserve"> (No</w:t>
      </w:r>
      <w:r w:rsidR="00890C38">
        <w:t xml:space="preserve"> </w:t>
      </w:r>
      <w:r w:rsidR="00EF3466">
        <w:t>5</w:t>
      </w:r>
      <w:r>
        <w:t>)</w:t>
      </w:r>
    </w:p>
    <w:p w14:paraId="0D1B8634" w14:textId="690E71DD" w:rsidR="002B79F3" w:rsidRPr="00CF55A2" w:rsidRDefault="000F6C27" w:rsidP="00AB2D9C">
      <w:pPr>
        <w:widowControl/>
        <w:autoSpaceDE/>
        <w:autoSpaceDN/>
        <w:spacing w:before="260"/>
        <w:rPr>
          <w:rFonts w:ascii="Arial" w:hAnsi="Arial" w:cs="Arial"/>
          <w:b/>
          <w:bCs/>
          <w:sz w:val="24"/>
          <w:szCs w:val="20"/>
          <w:lang w:val="en-AU"/>
        </w:rPr>
      </w:pPr>
      <w:r w:rsidRPr="00CF55A2">
        <w:rPr>
          <w:rFonts w:ascii="Arial" w:hAnsi="Arial" w:cs="Arial"/>
          <w:b/>
          <w:bCs/>
          <w:sz w:val="24"/>
          <w:szCs w:val="20"/>
          <w:lang w:val="en-AU"/>
        </w:rPr>
        <w:t>Disallowable instrument DI202</w:t>
      </w:r>
      <w:r w:rsidR="00EF3466" w:rsidRPr="00CF55A2">
        <w:rPr>
          <w:rFonts w:ascii="Arial" w:hAnsi="Arial" w:cs="Arial"/>
          <w:b/>
          <w:bCs/>
          <w:sz w:val="24"/>
          <w:szCs w:val="20"/>
          <w:lang w:val="en-AU"/>
        </w:rPr>
        <w:t>3</w:t>
      </w:r>
      <w:r w:rsidRPr="00CF55A2">
        <w:rPr>
          <w:rFonts w:ascii="Arial" w:hAnsi="Arial" w:cs="Arial"/>
          <w:b/>
          <w:bCs/>
          <w:sz w:val="24"/>
          <w:szCs w:val="20"/>
          <w:lang w:val="en-AU"/>
        </w:rPr>
        <w:t>—</w:t>
      </w:r>
      <w:r w:rsidR="00240D52" w:rsidRPr="00CF55A2">
        <w:rPr>
          <w:rFonts w:ascii="Arial" w:hAnsi="Arial" w:cs="Arial"/>
          <w:b/>
          <w:bCs/>
          <w:sz w:val="24"/>
          <w:szCs w:val="20"/>
          <w:lang w:val="en-AU"/>
        </w:rPr>
        <w:t>63</w:t>
      </w:r>
    </w:p>
    <w:p w14:paraId="11B6F03D" w14:textId="77777777" w:rsidR="002B79F3" w:rsidRDefault="000F6C27" w:rsidP="00AB2D9C">
      <w:pPr>
        <w:pStyle w:val="madeunder"/>
        <w:spacing w:before="240" w:after="0"/>
      </w:pPr>
      <w:r>
        <w:t>made</w:t>
      </w:r>
      <w:r w:rsidRPr="00CF55A2">
        <w:t xml:space="preserve"> </w:t>
      </w:r>
      <w:r>
        <w:t>under</w:t>
      </w:r>
      <w:r w:rsidRPr="00CF55A2">
        <w:t xml:space="preserve"> the</w:t>
      </w:r>
    </w:p>
    <w:p w14:paraId="399135B6" w14:textId="77777777" w:rsidR="002B79F3" w:rsidRPr="00CF55A2" w:rsidRDefault="000F6C27" w:rsidP="00CF55A2">
      <w:pPr>
        <w:pStyle w:val="CoverActName"/>
        <w:spacing w:before="280" w:after="0"/>
        <w:rPr>
          <w:rFonts w:cs="Arial"/>
          <w:sz w:val="20"/>
        </w:rPr>
      </w:pPr>
      <w:r w:rsidRPr="00CF55A2">
        <w:rPr>
          <w:rFonts w:cs="Arial"/>
          <w:sz w:val="20"/>
        </w:rPr>
        <w:t>Road Transport (General) Act 1999, section 13 (Power to exclude vehicles, persons or animals from road transport legislation)</w:t>
      </w:r>
    </w:p>
    <w:p w14:paraId="60D5996A" w14:textId="77777777" w:rsidR="002B79F3" w:rsidRPr="00CF55A2" w:rsidRDefault="000F6C27" w:rsidP="00AB2D9C">
      <w:pPr>
        <w:widowControl/>
        <w:autoSpaceDE/>
        <w:autoSpaceDN/>
        <w:spacing w:before="300"/>
        <w:ind w:right="567"/>
        <w:rPr>
          <w:rFonts w:ascii="Arial" w:hAnsi="Arial" w:cs="Arial"/>
          <w:b/>
          <w:bCs/>
          <w:sz w:val="28"/>
          <w:szCs w:val="28"/>
          <w:lang w:val="en-AU"/>
        </w:rPr>
      </w:pPr>
      <w:bookmarkStart w:id="0" w:name="EXPLANATORY_STATEMENT"/>
      <w:bookmarkEnd w:id="0"/>
      <w:r w:rsidRPr="00CF55A2">
        <w:rPr>
          <w:rFonts w:ascii="Arial" w:hAnsi="Arial" w:cs="Arial"/>
          <w:b/>
          <w:bCs/>
          <w:sz w:val="28"/>
          <w:szCs w:val="28"/>
          <w:lang w:val="en-AU"/>
        </w:rPr>
        <w:t>EXPLANATORY STATEMENT</w:t>
      </w:r>
    </w:p>
    <w:p w14:paraId="53F98AA4" w14:textId="77777777" w:rsidR="00CF55A2" w:rsidRPr="00CF55A2" w:rsidRDefault="00CF55A2" w:rsidP="00CF55A2">
      <w:pPr>
        <w:pStyle w:val="N-line3"/>
        <w:pBdr>
          <w:bottom w:val="none" w:sz="0" w:space="0" w:color="auto"/>
        </w:pBdr>
        <w:rPr>
          <w:sz w:val="20"/>
        </w:rPr>
      </w:pPr>
    </w:p>
    <w:p w14:paraId="2748A90B" w14:textId="77777777" w:rsidR="00CF55A2" w:rsidRPr="00CF55A2" w:rsidRDefault="00CF55A2" w:rsidP="00CF55A2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</w:rPr>
      </w:pPr>
    </w:p>
    <w:p w14:paraId="0A53F3D0" w14:textId="6BB624D7" w:rsidR="005E5C8B" w:rsidRDefault="000F6C27" w:rsidP="00CF55A2">
      <w:pPr>
        <w:pStyle w:val="BodyText"/>
        <w:ind w:right="142"/>
      </w:pPr>
      <w:r>
        <w:t>Section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Road</w:t>
      </w:r>
      <w:r>
        <w:rPr>
          <w:i/>
          <w:spacing w:val="-2"/>
        </w:rPr>
        <w:t xml:space="preserve"> </w:t>
      </w:r>
      <w:r>
        <w:rPr>
          <w:i/>
        </w:rPr>
        <w:t>Transport</w:t>
      </w:r>
      <w:r>
        <w:rPr>
          <w:i/>
          <w:spacing w:val="-2"/>
        </w:rPr>
        <w:t xml:space="preserve"> </w:t>
      </w:r>
      <w:r>
        <w:rPr>
          <w:i/>
        </w:rPr>
        <w:t>(General)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</w:t>
      </w:r>
      <w:r>
        <w:rPr>
          <w:i/>
        </w:rPr>
        <w:t>1999</w:t>
      </w:r>
      <w:r>
        <w:rPr>
          <w:i/>
          <w:spacing w:val="-2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Act)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Minister may declare that the road transport legislation, or a provision of the road transport legislation, does not apply to a vehicle, person or animal in a place or circumstance stated in the declaration. Subsection 13 (3) of the Act makes such a declaration a disallowable instrument.</w:t>
      </w:r>
    </w:p>
    <w:p w14:paraId="45B04C03" w14:textId="77777777" w:rsidR="00CF55A2" w:rsidRPr="00AB2D9C" w:rsidRDefault="00CF55A2" w:rsidP="00CF55A2">
      <w:pPr>
        <w:pStyle w:val="BodyText"/>
        <w:rPr>
          <w:sz w:val="20"/>
          <w:szCs w:val="20"/>
        </w:rPr>
      </w:pPr>
    </w:p>
    <w:p w14:paraId="5FB6E752" w14:textId="1D7F4439" w:rsidR="005E5C8B" w:rsidRDefault="005E5C8B" w:rsidP="00CF55A2">
      <w:pPr>
        <w:pStyle w:val="BodyText"/>
      </w:pPr>
      <w:r>
        <w:t xml:space="preserve">The purpose of this instrument is to allow an accredited operator to provide hire car </w:t>
      </w:r>
      <w:r w:rsidR="00DA069C">
        <w:t xml:space="preserve">and bus services </w:t>
      </w:r>
      <w:r>
        <w:t>using vehicles that are not</w:t>
      </w:r>
      <w:r w:rsidR="007D4648">
        <w:t xml:space="preserve"> registered as</w:t>
      </w:r>
      <w:r>
        <w:t xml:space="preserve"> hire cars</w:t>
      </w:r>
      <w:r w:rsidR="007D4648">
        <w:t xml:space="preserve"> under ACT road transport legislation</w:t>
      </w:r>
      <w:r>
        <w:t>, and drivers who are not licensed to drive hire cars</w:t>
      </w:r>
      <w:r w:rsidR="00563CEF">
        <w:t xml:space="preserve"> under the ACT road transport legislation</w:t>
      </w:r>
      <w:r>
        <w:t>, to provide ground transportation for the USA Special Visitors Program from 10</w:t>
      </w:r>
      <w:r w:rsidR="00563CEF">
        <w:rPr>
          <w:vertAlign w:val="superscript"/>
        </w:rPr>
        <w:t xml:space="preserve"> </w:t>
      </w:r>
      <w:r>
        <w:t xml:space="preserve">May </w:t>
      </w:r>
      <w:r w:rsidR="00563CEF">
        <w:t xml:space="preserve">2023 </w:t>
      </w:r>
      <w:r>
        <w:t>to 26 May 2023.</w:t>
      </w:r>
      <w:r w:rsidR="00DA069C">
        <w:t xml:space="preserve"> </w:t>
      </w:r>
      <w:bookmarkStart w:id="1" w:name="_Hlk134200985"/>
      <w:r w:rsidR="004A7217">
        <w:t>All drivers will hold an Australian Driver Licence</w:t>
      </w:r>
      <w:r w:rsidR="007D4648">
        <w:t xml:space="preserve"> required to drive the class of vehicle or be permitted to drive that class of vehicle in accordance with a valid exemption. Further, all vehicles will be registered under ACT road transport legislation or an equivalent law in another jurisdictions</w:t>
      </w:r>
      <w:r w:rsidR="004A7217">
        <w:t xml:space="preserve">. </w:t>
      </w:r>
      <w:bookmarkEnd w:id="1"/>
    </w:p>
    <w:p w14:paraId="635FF62D" w14:textId="77777777" w:rsidR="002B79F3" w:rsidRPr="00AB2D9C" w:rsidRDefault="002B79F3" w:rsidP="00CF55A2">
      <w:pPr>
        <w:pStyle w:val="BodyText"/>
        <w:rPr>
          <w:sz w:val="20"/>
          <w:szCs w:val="20"/>
        </w:rPr>
      </w:pPr>
    </w:p>
    <w:p w14:paraId="737411D5" w14:textId="53C4BF3C" w:rsidR="002B79F3" w:rsidRDefault="000F6C27" w:rsidP="00AB2D9C">
      <w:pPr>
        <w:pStyle w:val="BodyText"/>
        <w:ind w:right="-48"/>
      </w:pPr>
      <w:r>
        <w:t xml:space="preserve">This instrument provides that certain parts of the road transport legislation do not apply to a designated vehicle or the driver of a designated vehicle, while </w:t>
      </w:r>
      <w:r w:rsidR="00890C38">
        <w:t xml:space="preserve">transporting members of the USA Special Visitors Program </w:t>
      </w:r>
      <w:r w:rsidR="004A7217">
        <w:t>from 10</w:t>
      </w:r>
      <w:r w:rsidR="004A7217">
        <w:rPr>
          <w:vertAlign w:val="superscript"/>
        </w:rPr>
        <w:t xml:space="preserve"> </w:t>
      </w:r>
      <w:r w:rsidR="004A7217">
        <w:t xml:space="preserve">May 2023 to 26 May 2023. </w:t>
      </w:r>
    </w:p>
    <w:p w14:paraId="46DD1163" w14:textId="77777777" w:rsidR="002B79F3" w:rsidRPr="00AB2D9C" w:rsidRDefault="002B79F3" w:rsidP="00CF55A2">
      <w:pPr>
        <w:pStyle w:val="BodyText"/>
        <w:rPr>
          <w:sz w:val="20"/>
          <w:szCs w:val="20"/>
        </w:rPr>
      </w:pPr>
    </w:p>
    <w:p w14:paraId="29F0EA4B" w14:textId="34762E25" w:rsidR="002B79F3" w:rsidRDefault="000F6C27" w:rsidP="00CF55A2">
      <w:pPr>
        <w:pStyle w:val="BodyText"/>
      </w:pP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disallowable</w:t>
      </w:r>
      <w:r>
        <w:rPr>
          <w:spacing w:val="-4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 Assembly within 6 sitting days after its notification pursuant to Section 6</w:t>
      </w:r>
      <w:r w:rsidR="00FD5B83">
        <w:t>4</w:t>
      </w:r>
      <w:r>
        <w:t xml:space="preserve"> of the </w:t>
      </w:r>
      <w:r>
        <w:rPr>
          <w:i/>
        </w:rPr>
        <w:t>Legislation Act 2001</w:t>
      </w:r>
      <w:r>
        <w:t>.</w:t>
      </w:r>
    </w:p>
    <w:p w14:paraId="1A59053B" w14:textId="77777777" w:rsidR="002B79F3" w:rsidRPr="00AB2D9C" w:rsidRDefault="002B79F3" w:rsidP="00CF55A2">
      <w:pPr>
        <w:pStyle w:val="BodyText"/>
        <w:rPr>
          <w:sz w:val="20"/>
          <w:szCs w:val="20"/>
        </w:rPr>
      </w:pPr>
    </w:p>
    <w:p w14:paraId="642A74EF" w14:textId="77777777" w:rsidR="002B79F3" w:rsidRDefault="000F6C27" w:rsidP="00CF55A2">
      <w:pPr>
        <w:pStyle w:val="Heading1"/>
        <w:ind w:left="0"/>
      </w:pP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rPr>
          <w:spacing w:val="-2"/>
        </w:rPr>
        <w:t>implications</w:t>
      </w:r>
    </w:p>
    <w:p w14:paraId="4BD4E01F" w14:textId="77777777" w:rsidR="002B79F3" w:rsidRDefault="002B79F3">
      <w:pPr>
        <w:pStyle w:val="BodyText"/>
        <w:spacing w:before="10"/>
        <w:rPr>
          <w:b/>
          <w:sz w:val="23"/>
        </w:rPr>
      </w:pPr>
    </w:p>
    <w:p w14:paraId="40A6E34C" w14:textId="4B2C47E1" w:rsidR="002B79F3" w:rsidRDefault="000F6C27" w:rsidP="00CF55A2">
      <w:pPr>
        <w:pStyle w:val="BodyText"/>
      </w:pPr>
      <w:r>
        <w:t>During the development of this Instrument, due regard was given to its effect 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compatibility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i/>
        </w:rPr>
        <w:t xml:space="preserve">Human Rights Act 2004 </w:t>
      </w:r>
      <w:r>
        <w:t>(HRA).</w:t>
      </w:r>
    </w:p>
    <w:p w14:paraId="5D6AB2E0" w14:textId="77777777" w:rsidR="002B79F3" w:rsidRDefault="002B79F3">
      <w:pPr>
        <w:pStyle w:val="BodyText"/>
      </w:pPr>
    </w:p>
    <w:p w14:paraId="615D142A" w14:textId="77777777" w:rsidR="002B79F3" w:rsidRDefault="000F6C27" w:rsidP="00CF55A2">
      <w:pPr>
        <w:pStyle w:val="BodyText"/>
      </w:pPr>
      <w:r>
        <w:t>Section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HRA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reasonable limits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demonstrably</w:t>
      </w:r>
      <w:r>
        <w:rPr>
          <w:spacing w:val="-1"/>
        </w:rPr>
        <w:t xml:space="preserve"> </w:t>
      </w:r>
      <w:r>
        <w:t>justified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democratic</w:t>
      </w:r>
      <w:r>
        <w:rPr>
          <w:spacing w:val="-1"/>
        </w:rPr>
        <w:t xml:space="preserve"> </w:t>
      </w:r>
      <w:r>
        <w:rPr>
          <w:spacing w:val="-2"/>
        </w:rPr>
        <w:t>society.</w:t>
      </w:r>
    </w:p>
    <w:p w14:paraId="4ADB7276" w14:textId="77777777" w:rsidR="002B79F3" w:rsidRDefault="002B79F3">
      <w:pPr>
        <w:pStyle w:val="BodyText"/>
        <w:rPr>
          <w:sz w:val="23"/>
        </w:rPr>
      </w:pPr>
    </w:p>
    <w:p w14:paraId="5FC30596" w14:textId="77777777" w:rsidR="002B79F3" w:rsidRDefault="000F6C27" w:rsidP="00CF55A2">
      <w:pPr>
        <w:pStyle w:val="BodyText"/>
      </w:pPr>
      <w:r>
        <w:t>Section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HRA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deciding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is reasonable, all relevant factors must be considered, including:</w:t>
      </w:r>
    </w:p>
    <w:p w14:paraId="57BA3AD6" w14:textId="77777777" w:rsidR="002B79F3" w:rsidRDefault="000F6C27" w:rsidP="00CF55A2">
      <w:pPr>
        <w:pStyle w:val="ListParagraph"/>
        <w:keepNext/>
        <w:numPr>
          <w:ilvl w:val="0"/>
          <w:numId w:val="1"/>
        </w:numPr>
        <w:tabs>
          <w:tab w:val="left" w:pos="1107"/>
        </w:tabs>
        <w:ind w:hanging="397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right </w:t>
      </w:r>
      <w:r>
        <w:rPr>
          <w:spacing w:val="-2"/>
          <w:sz w:val="24"/>
        </w:rPr>
        <w:t>affected</w:t>
      </w:r>
    </w:p>
    <w:p w14:paraId="48E7543B" w14:textId="77777777" w:rsidR="002B79F3" w:rsidRDefault="000F6C27" w:rsidP="00CF55A2">
      <w:pPr>
        <w:pStyle w:val="ListParagraph"/>
        <w:keepNext/>
        <w:numPr>
          <w:ilvl w:val="0"/>
          <w:numId w:val="1"/>
        </w:numPr>
        <w:tabs>
          <w:tab w:val="left" w:pos="1121"/>
        </w:tabs>
        <w:spacing w:before="80"/>
        <w:ind w:left="1120" w:hanging="39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limitation</w:t>
      </w:r>
    </w:p>
    <w:p w14:paraId="6D974874" w14:textId="77777777" w:rsidR="002B79F3" w:rsidRDefault="000F6C27" w:rsidP="00CF55A2">
      <w:pPr>
        <w:pStyle w:val="ListParagraph"/>
        <w:keepNext/>
        <w:numPr>
          <w:ilvl w:val="0"/>
          <w:numId w:val="1"/>
        </w:numPr>
        <w:tabs>
          <w:tab w:val="left" w:pos="1107"/>
        </w:tabs>
        <w:ind w:hanging="39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extent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limitation</w:t>
      </w:r>
    </w:p>
    <w:p w14:paraId="5FC36EFE" w14:textId="4732C100" w:rsidR="002B79F3" w:rsidRPr="00CF55A2" w:rsidRDefault="000F6C27" w:rsidP="00CF55A2">
      <w:pPr>
        <w:pStyle w:val="ListParagraph"/>
        <w:numPr>
          <w:ilvl w:val="0"/>
          <w:numId w:val="1"/>
        </w:numPr>
        <w:tabs>
          <w:tab w:val="left" w:pos="1121"/>
        </w:tabs>
        <w:ind w:left="1120" w:hanging="39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purpose</w:t>
      </w:r>
    </w:p>
    <w:p w14:paraId="01230275" w14:textId="2C9033BD" w:rsidR="00CF55A2" w:rsidRDefault="00CF55A2" w:rsidP="00CF55A2">
      <w:pPr>
        <w:pStyle w:val="ListParagraph"/>
        <w:numPr>
          <w:ilvl w:val="0"/>
          <w:numId w:val="1"/>
        </w:numPr>
        <w:tabs>
          <w:tab w:val="left" w:pos="1121"/>
        </w:tabs>
        <w:ind w:left="1120" w:hanging="397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the limitation seeks to achieve.</w:t>
      </w:r>
    </w:p>
    <w:p w14:paraId="5692C042" w14:textId="77777777" w:rsidR="000F6C27" w:rsidRDefault="000F6C27" w:rsidP="00CF55A2">
      <w:pPr>
        <w:pStyle w:val="BodyText"/>
        <w:spacing w:before="1"/>
      </w:pPr>
    </w:p>
    <w:p w14:paraId="45E73743" w14:textId="1737AAF9" w:rsidR="002B79F3" w:rsidRDefault="002E24A4" w:rsidP="00CF55A2">
      <w:pPr>
        <w:pStyle w:val="BodyText"/>
        <w:rPr>
          <w:spacing w:val="-4"/>
        </w:rPr>
      </w:pPr>
      <w:r>
        <w:rPr>
          <w:spacing w:val="-4"/>
        </w:rPr>
        <w:t xml:space="preserve">The declarations in this </w:t>
      </w:r>
      <w:r w:rsidR="00BA11AB">
        <w:rPr>
          <w:spacing w:val="-4"/>
        </w:rPr>
        <w:t xml:space="preserve">instrument do not engage and limit any human rights. </w:t>
      </w:r>
    </w:p>
    <w:p w14:paraId="15E10703" w14:textId="77777777" w:rsidR="00BA11AB" w:rsidRDefault="00BA11AB" w:rsidP="00CF55A2">
      <w:pPr>
        <w:pStyle w:val="BodyText"/>
      </w:pPr>
    </w:p>
    <w:p w14:paraId="417BA200" w14:textId="77777777" w:rsidR="002B79F3" w:rsidRDefault="000F6C27" w:rsidP="00CF55A2">
      <w:pPr>
        <w:pStyle w:val="Heading1"/>
        <w:ind w:left="0"/>
      </w:pPr>
      <w:r>
        <w:t>Climate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2"/>
        </w:rPr>
        <w:t>implications</w:t>
      </w:r>
    </w:p>
    <w:p w14:paraId="3F02BB7B" w14:textId="77777777" w:rsidR="002B79F3" w:rsidRDefault="002B79F3" w:rsidP="00CF55A2">
      <w:pPr>
        <w:pStyle w:val="BodyText"/>
        <w:spacing w:before="10"/>
        <w:rPr>
          <w:b/>
          <w:sz w:val="23"/>
        </w:rPr>
      </w:pPr>
    </w:p>
    <w:p w14:paraId="66DF4396" w14:textId="77777777" w:rsidR="002B79F3" w:rsidRDefault="000F6C27" w:rsidP="00CF55A2">
      <w:pPr>
        <w:pStyle w:val="BodyText"/>
        <w:ind w:right="142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instrument or the event it supports.</w:t>
      </w:r>
    </w:p>
    <w:p w14:paraId="1E30AC88" w14:textId="77777777" w:rsidR="002B79F3" w:rsidRDefault="002B79F3" w:rsidP="00CF55A2">
      <w:pPr>
        <w:pStyle w:val="BodyText"/>
        <w:spacing w:before="11"/>
      </w:pPr>
    </w:p>
    <w:p w14:paraId="4C57AB7B" w14:textId="77777777" w:rsidR="002B79F3" w:rsidRDefault="000F6C27" w:rsidP="00CF55A2">
      <w:pPr>
        <w:pStyle w:val="Heading1"/>
        <w:ind w:left="0"/>
      </w:pPr>
      <w:r>
        <w:t>Clause</w:t>
      </w:r>
      <w:r>
        <w:rPr>
          <w:spacing w:val="-5"/>
        </w:rPr>
        <w:t xml:space="preserve"> </w:t>
      </w:r>
      <w:r>
        <w:rPr>
          <w:spacing w:val="-2"/>
        </w:rPr>
        <w:t>notes</w:t>
      </w:r>
    </w:p>
    <w:p w14:paraId="5A5A71DD" w14:textId="77777777" w:rsidR="002B79F3" w:rsidRDefault="002B79F3" w:rsidP="00CF55A2">
      <w:pPr>
        <w:pStyle w:val="BodyText"/>
        <w:spacing w:before="11"/>
        <w:rPr>
          <w:b/>
          <w:sz w:val="25"/>
        </w:rPr>
      </w:pPr>
    </w:p>
    <w:p w14:paraId="5ACEFF81" w14:textId="77777777" w:rsidR="002B79F3" w:rsidRDefault="000F6C27" w:rsidP="00CF55A2">
      <w:pPr>
        <w:pStyle w:val="BodyText"/>
      </w:pPr>
      <w:r w:rsidRPr="00586399">
        <w:rPr>
          <w:b/>
          <w:bCs/>
        </w:rPr>
        <w:t>Clauses</w:t>
      </w:r>
      <w:r w:rsidRPr="00586399">
        <w:rPr>
          <w:b/>
          <w:bCs/>
          <w:spacing w:val="-3"/>
        </w:rPr>
        <w:t xml:space="preserve"> </w:t>
      </w:r>
      <w:r w:rsidRPr="00586399">
        <w:rPr>
          <w:b/>
          <w:bCs/>
        </w:rPr>
        <w:t>1</w:t>
      </w:r>
      <w:r w:rsidRPr="00586399">
        <w:rPr>
          <w:b/>
          <w:bCs/>
          <w:spacing w:val="-3"/>
        </w:rPr>
        <w:t xml:space="preserve"> </w:t>
      </w:r>
      <w:r w:rsidRPr="00586399">
        <w:rPr>
          <w:b/>
          <w:bCs/>
        </w:rPr>
        <w:t>and</w:t>
      </w:r>
      <w:r w:rsidRPr="00586399">
        <w:rPr>
          <w:b/>
          <w:bCs/>
          <w:spacing w:val="-3"/>
        </w:rPr>
        <w:t xml:space="preserve"> </w:t>
      </w:r>
      <w:r w:rsidRPr="00586399">
        <w:rPr>
          <w:b/>
          <w:bCs/>
        </w:rPr>
        <w:t>2</w:t>
      </w:r>
      <w:r w:rsidRPr="00586399">
        <w:rPr>
          <w:b/>
          <w:bCs/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 commencement of the instrument.</w:t>
      </w:r>
    </w:p>
    <w:p w14:paraId="522CD7FF" w14:textId="72A792F7" w:rsidR="002B79F3" w:rsidRDefault="002B79F3" w:rsidP="00CF55A2">
      <w:pPr>
        <w:pStyle w:val="BodyText"/>
      </w:pPr>
    </w:p>
    <w:p w14:paraId="5752745E" w14:textId="22762692" w:rsidR="002C6DCD" w:rsidRDefault="000F6C27" w:rsidP="00AB2D9C">
      <w:pPr>
        <w:ind w:right="8"/>
        <w:rPr>
          <w:sz w:val="24"/>
        </w:rPr>
      </w:pPr>
      <w:r w:rsidRPr="00586399">
        <w:rPr>
          <w:b/>
          <w:bCs/>
          <w:sz w:val="24"/>
        </w:rPr>
        <w:t>Clause</w:t>
      </w:r>
      <w:r w:rsidRPr="00586399">
        <w:rPr>
          <w:b/>
          <w:bCs/>
          <w:spacing w:val="-4"/>
          <w:sz w:val="24"/>
        </w:rPr>
        <w:t xml:space="preserve"> </w:t>
      </w:r>
      <w:r w:rsidRPr="00586399">
        <w:rPr>
          <w:b/>
          <w:bCs/>
          <w:sz w:val="24"/>
        </w:rPr>
        <w:t>3</w:t>
      </w:r>
      <w:r w:rsidRPr="00586399">
        <w:rPr>
          <w:b/>
          <w:bCs/>
          <w:spacing w:val="-3"/>
          <w:sz w:val="24"/>
        </w:rPr>
        <w:t xml:space="preserve"> </w:t>
      </w:r>
      <w:r w:rsidR="000E17B5">
        <w:rPr>
          <w:spacing w:val="-3"/>
          <w:sz w:val="24"/>
        </w:rPr>
        <w:t xml:space="preserve">of the instrument </w:t>
      </w:r>
      <w:r w:rsidR="00BA11AB">
        <w:rPr>
          <w:spacing w:val="-3"/>
          <w:sz w:val="24"/>
        </w:rPr>
        <w:t>declares that</w:t>
      </w:r>
      <w:r w:rsidR="000E17B5">
        <w:rPr>
          <w:spacing w:val="-3"/>
          <w:sz w:val="24"/>
        </w:rPr>
        <w:t xml:space="preserve"> the </w:t>
      </w:r>
      <w:r w:rsidR="000E17B5" w:rsidRPr="00F82DA1">
        <w:rPr>
          <w:i/>
          <w:iCs/>
          <w:sz w:val="24"/>
        </w:rPr>
        <w:t>Road Transport (Public Passenger Services) Act 2001</w:t>
      </w:r>
      <w:r w:rsidR="002C6DCD">
        <w:rPr>
          <w:i/>
          <w:iCs/>
        </w:rPr>
        <w:t xml:space="preserve"> </w:t>
      </w:r>
      <w:r w:rsidR="00D66FE7">
        <w:t xml:space="preserve">(PPS Act) </w:t>
      </w:r>
      <w:r w:rsidR="002C6DCD">
        <w:rPr>
          <w:sz w:val="24"/>
        </w:rPr>
        <w:t>does</w:t>
      </w:r>
      <w:r w:rsidR="002C6DCD">
        <w:rPr>
          <w:spacing w:val="-3"/>
          <w:sz w:val="24"/>
        </w:rPr>
        <w:t xml:space="preserve"> </w:t>
      </w:r>
      <w:r w:rsidR="002C6DCD">
        <w:rPr>
          <w:sz w:val="24"/>
        </w:rPr>
        <w:t>not</w:t>
      </w:r>
      <w:r w:rsidR="002C6DCD">
        <w:rPr>
          <w:spacing w:val="-3"/>
          <w:sz w:val="24"/>
        </w:rPr>
        <w:t xml:space="preserve"> </w:t>
      </w:r>
      <w:r w:rsidR="002C6DCD">
        <w:rPr>
          <w:sz w:val="24"/>
        </w:rPr>
        <w:t>apply</w:t>
      </w:r>
      <w:r w:rsidR="002C6DCD">
        <w:rPr>
          <w:spacing w:val="-3"/>
          <w:sz w:val="24"/>
        </w:rPr>
        <w:t xml:space="preserve"> </w:t>
      </w:r>
      <w:r w:rsidR="002C6DCD">
        <w:rPr>
          <w:sz w:val="24"/>
        </w:rPr>
        <w:t>to an accredited operator in relation to the operation by the operator of a designated vehicle</w:t>
      </w:r>
      <w:r w:rsidR="007C0EFD">
        <w:rPr>
          <w:sz w:val="24"/>
        </w:rPr>
        <w:t>. Part 8</w:t>
      </w:r>
      <w:r w:rsidR="00D66FE7">
        <w:rPr>
          <w:sz w:val="24"/>
        </w:rPr>
        <w:t>A of the PPS Act is not disapplied, ensuring that accredited operators</w:t>
      </w:r>
      <w:r w:rsidR="00DF2693">
        <w:rPr>
          <w:sz w:val="24"/>
        </w:rPr>
        <w:t xml:space="preserve"> comply with the requirement to hold additional public passenger vehicle insurance. This clause also declares that the PPS Act does not apply to the driver of, or passenger, in a designated vehicle</w:t>
      </w:r>
      <w:r w:rsidR="00DE3508">
        <w:rPr>
          <w:sz w:val="24"/>
        </w:rPr>
        <w:t xml:space="preserve"> operated by an accredited </w:t>
      </w:r>
      <w:r w:rsidR="001277DE">
        <w:rPr>
          <w:sz w:val="24"/>
        </w:rPr>
        <w:t xml:space="preserve">operator. </w:t>
      </w:r>
    </w:p>
    <w:p w14:paraId="71C200F4" w14:textId="77777777" w:rsidR="002C6DCD" w:rsidRDefault="002C6DCD" w:rsidP="00CF55A2">
      <w:pPr>
        <w:rPr>
          <w:sz w:val="24"/>
        </w:rPr>
      </w:pPr>
    </w:p>
    <w:p w14:paraId="1537027D" w14:textId="22BB3C43" w:rsidR="009D398E" w:rsidRPr="009D398E" w:rsidRDefault="000F6C27" w:rsidP="00AB2D9C">
      <w:pPr>
        <w:pStyle w:val="BodyText"/>
        <w:ind w:right="141"/>
      </w:pPr>
      <w:r w:rsidRPr="00586399">
        <w:rPr>
          <w:b/>
          <w:bCs/>
        </w:rPr>
        <w:t xml:space="preserve">Clause 4 </w:t>
      </w:r>
      <w:r w:rsidR="00A02E18">
        <w:t xml:space="preserve">of </w:t>
      </w:r>
      <w:r w:rsidR="009D398E" w:rsidRPr="009D398E">
        <w:t xml:space="preserve">the </w:t>
      </w:r>
      <w:r w:rsidR="009D398E" w:rsidRPr="009D398E">
        <w:rPr>
          <w:i/>
          <w:iCs/>
        </w:rPr>
        <w:t>Road Transport (Driver Licensing) Act 1999</w:t>
      </w:r>
      <w:r w:rsidR="009D398E" w:rsidRPr="009D398E">
        <w:t xml:space="preserve"> does not apply to the driver of a designated vehicle operated by an accredited operator to the extent that the driver is required to hold a public vehicle licence</w:t>
      </w:r>
      <w:r w:rsidR="00F033A8">
        <w:t xml:space="preserve"> issued by the ACT</w:t>
      </w:r>
      <w:r w:rsidR="00C066A0">
        <w:t xml:space="preserve"> road transport authority</w:t>
      </w:r>
      <w:r w:rsidR="009D398E" w:rsidRPr="009D398E">
        <w:t>.</w:t>
      </w:r>
      <w:r w:rsidR="009D398E">
        <w:t xml:space="preserve"> Drivers will hold </w:t>
      </w:r>
      <w:r w:rsidR="003A4123">
        <w:t xml:space="preserve">an Australian Driver Licence of the </w:t>
      </w:r>
      <w:r w:rsidR="00964898">
        <w:t>class</w:t>
      </w:r>
      <w:r w:rsidR="003A4123">
        <w:t xml:space="preserve"> required to drive that vehicle</w:t>
      </w:r>
      <w:r w:rsidR="00F726E7">
        <w:t xml:space="preserve">. </w:t>
      </w:r>
    </w:p>
    <w:p w14:paraId="1F39EDA6" w14:textId="77777777" w:rsidR="002B79F3" w:rsidRDefault="002B79F3" w:rsidP="00CF55A2">
      <w:pPr>
        <w:pStyle w:val="BodyText"/>
        <w:spacing w:before="11"/>
        <w:rPr>
          <w:sz w:val="23"/>
        </w:rPr>
      </w:pPr>
    </w:p>
    <w:p w14:paraId="0C5EB181" w14:textId="77777777" w:rsidR="002B79F3" w:rsidRDefault="000F6C27" w:rsidP="00CF55A2">
      <w:pPr>
        <w:pStyle w:val="BodyText"/>
      </w:pPr>
      <w:r w:rsidRPr="00586399">
        <w:rPr>
          <w:b/>
          <w:bCs/>
        </w:rPr>
        <w:t>Clause</w:t>
      </w:r>
      <w:r w:rsidRPr="00586399">
        <w:rPr>
          <w:b/>
          <w:bCs/>
          <w:spacing w:val="-4"/>
        </w:rPr>
        <w:t xml:space="preserve"> </w:t>
      </w:r>
      <w:r w:rsidRPr="00586399">
        <w:rPr>
          <w:b/>
          <w:bCs/>
        </w:rPr>
        <w:t>5</w:t>
      </w:r>
      <w:r w:rsidRPr="00586399">
        <w:rPr>
          <w:b/>
          <w:bCs/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instrument.</w:t>
      </w:r>
    </w:p>
    <w:p w14:paraId="27CC5E2F" w14:textId="77777777" w:rsidR="002B79F3" w:rsidRDefault="002B79F3" w:rsidP="00CF55A2">
      <w:pPr>
        <w:pStyle w:val="BodyText"/>
      </w:pPr>
    </w:p>
    <w:p w14:paraId="6645ED04" w14:textId="0893A0C8" w:rsidR="002B79F3" w:rsidRDefault="000F6C27" w:rsidP="00CF55A2">
      <w:r w:rsidRPr="00586399">
        <w:rPr>
          <w:b/>
          <w:bCs/>
        </w:rPr>
        <w:t>Clause</w:t>
      </w:r>
      <w:r w:rsidRPr="00586399">
        <w:rPr>
          <w:b/>
          <w:bCs/>
          <w:spacing w:val="-2"/>
        </w:rPr>
        <w:t xml:space="preserve"> </w:t>
      </w:r>
      <w:r w:rsidRPr="00586399">
        <w:rPr>
          <w:b/>
          <w:bCs/>
        </w:rPr>
        <w:t>6</w:t>
      </w:r>
      <w:r w:rsidRPr="00586399">
        <w:rPr>
          <w:b/>
          <w:bCs/>
          <w:spacing w:val="-1"/>
        </w:rPr>
        <w:t xml:space="preserve"> </w:t>
      </w:r>
      <w:r w:rsidR="00A02E18">
        <w:rPr>
          <w:sz w:val="24"/>
        </w:rPr>
        <w:t>provides</w:t>
      </w:r>
      <w:r w:rsidR="00A02E18">
        <w:rPr>
          <w:spacing w:val="-3"/>
          <w:sz w:val="24"/>
        </w:rPr>
        <w:t xml:space="preserve"> </w:t>
      </w:r>
      <w:r w:rsidR="00A02E18">
        <w:rPr>
          <w:sz w:val="24"/>
        </w:rPr>
        <w:t>that</w:t>
      </w:r>
      <w:r w:rsidR="00A02E18">
        <w:rPr>
          <w:spacing w:val="-3"/>
          <w:sz w:val="24"/>
        </w:rPr>
        <w:t xml:space="preserve"> </w:t>
      </w:r>
      <w:r w:rsidR="00A02E18">
        <w:rPr>
          <w:sz w:val="24"/>
        </w:rPr>
        <w:t>the</w:t>
      </w:r>
      <w:r w:rsidR="00A02E18">
        <w:rPr>
          <w:spacing w:val="-4"/>
          <w:sz w:val="24"/>
        </w:rPr>
        <w:t xml:space="preserve"> </w:t>
      </w:r>
      <w:r w:rsidR="00586399">
        <w:rPr>
          <w:spacing w:val="-4"/>
          <w:sz w:val="24"/>
        </w:rPr>
        <w:t>instrument</w:t>
      </w:r>
      <w:r>
        <w:rPr>
          <w:spacing w:val="-1"/>
        </w:rPr>
        <w:t xml:space="preserve"> </w:t>
      </w:r>
      <w:r>
        <w:t>expires</w:t>
      </w:r>
      <w:r>
        <w:rPr>
          <w:spacing w:val="1"/>
        </w:rPr>
        <w:t xml:space="preserve"> </w:t>
      </w:r>
      <w:r w:rsidR="00586399">
        <w:t xml:space="preserve">on </w:t>
      </w:r>
      <w:r w:rsidR="00D4794E">
        <w:t>26 May 2023</w:t>
      </w:r>
      <w:r>
        <w:rPr>
          <w:spacing w:val="-2"/>
        </w:rPr>
        <w:t>.</w:t>
      </w:r>
    </w:p>
    <w:p w14:paraId="23A29848" w14:textId="77777777" w:rsidR="002B79F3" w:rsidRDefault="002B79F3" w:rsidP="00CF55A2">
      <w:pPr>
        <w:pStyle w:val="BodyText"/>
      </w:pPr>
    </w:p>
    <w:p w14:paraId="2FB8D63A" w14:textId="6C7AA5EA" w:rsidR="002B79F3" w:rsidRDefault="002B79F3" w:rsidP="00CF55A2">
      <w:pPr>
        <w:pStyle w:val="BodyText"/>
      </w:pPr>
    </w:p>
    <w:sectPr w:rsidR="002B79F3" w:rsidSect="00AB2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30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9D5B" w14:textId="77777777" w:rsidR="00F356B3" w:rsidRDefault="00F356B3">
      <w:r>
        <w:separator/>
      </w:r>
    </w:p>
  </w:endnote>
  <w:endnote w:type="continuationSeparator" w:id="0">
    <w:p w14:paraId="4EDD3BE8" w14:textId="77777777" w:rsidR="00F356B3" w:rsidRDefault="00F3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B722" w14:textId="77777777" w:rsidR="00CC0DFA" w:rsidRDefault="00CC0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86CC" w14:textId="2D52FF9B" w:rsidR="00820E1A" w:rsidRPr="00CC0DFA" w:rsidRDefault="00CC0DFA" w:rsidP="00CC0DFA">
    <w:pPr>
      <w:pStyle w:val="Footer"/>
      <w:jc w:val="center"/>
      <w:rPr>
        <w:rFonts w:ascii="Arial" w:hAnsi="Arial" w:cs="Arial"/>
        <w:sz w:val="14"/>
      </w:rPr>
    </w:pPr>
    <w:r w:rsidRPr="00CC0D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9605" w14:textId="77777777" w:rsidR="00CC0DFA" w:rsidRDefault="00CC0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328B" w14:textId="77777777" w:rsidR="00F356B3" w:rsidRDefault="00F356B3">
      <w:r>
        <w:separator/>
      </w:r>
    </w:p>
  </w:footnote>
  <w:footnote w:type="continuationSeparator" w:id="0">
    <w:p w14:paraId="7C79B4C9" w14:textId="77777777" w:rsidR="00F356B3" w:rsidRDefault="00F3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3BD6" w14:textId="77777777" w:rsidR="00CC0DFA" w:rsidRDefault="00CC0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E447" w14:textId="77777777" w:rsidR="00CC0DFA" w:rsidRDefault="00CC0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B3D1" w14:textId="77777777" w:rsidR="00CC0DFA" w:rsidRDefault="00CC0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80E7F"/>
    <w:multiLevelType w:val="hybridMultilevel"/>
    <w:tmpl w:val="92C04954"/>
    <w:lvl w:ilvl="0" w:tplc="6A30374A">
      <w:start w:val="1"/>
      <w:numFmt w:val="lowerLetter"/>
      <w:lvlText w:val="%1)"/>
      <w:lvlJc w:val="left"/>
      <w:pPr>
        <w:ind w:left="110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D065C78">
      <w:numFmt w:val="bullet"/>
      <w:lvlText w:val="•"/>
      <w:lvlJc w:val="left"/>
      <w:pPr>
        <w:ind w:left="1868" w:hanging="245"/>
      </w:pPr>
      <w:rPr>
        <w:rFonts w:hint="default"/>
        <w:lang w:val="en-US" w:eastAsia="en-US" w:bidi="ar-SA"/>
      </w:rPr>
    </w:lvl>
    <w:lvl w:ilvl="2" w:tplc="F6DCDCA8">
      <w:numFmt w:val="bullet"/>
      <w:lvlText w:val="•"/>
      <w:lvlJc w:val="left"/>
      <w:pPr>
        <w:ind w:left="2637" w:hanging="245"/>
      </w:pPr>
      <w:rPr>
        <w:rFonts w:hint="default"/>
        <w:lang w:val="en-US" w:eastAsia="en-US" w:bidi="ar-SA"/>
      </w:rPr>
    </w:lvl>
    <w:lvl w:ilvl="3" w:tplc="9CF29858">
      <w:numFmt w:val="bullet"/>
      <w:lvlText w:val="•"/>
      <w:lvlJc w:val="left"/>
      <w:pPr>
        <w:ind w:left="3405" w:hanging="245"/>
      </w:pPr>
      <w:rPr>
        <w:rFonts w:hint="default"/>
        <w:lang w:val="en-US" w:eastAsia="en-US" w:bidi="ar-SA"/>
      </w:rPr>
    </w:lvl>
    <w:lvl w:ilvl="4" w:tplc="CE3C6EB0">
      <w:numFmt w:val="bullet"/>
      <w:lvlText w:val="•"/>
      <w:lvlJc w:val="left"/>
      <w:pPr>
        <w:ind w:left="4174" w:hanging="245"/>
      </w:pPr>
      <w:rPr>
        <w:rFonts w:hint="default"/>
        <w:lang w:val="en-US" w:eastAsia="en-US" w:bidi="ar-SA"/>
      </w:rPr>
    </w:lvl>
    <w:lvl w:ilvl="5" w:tplc="E8D00682">
      <w:numFmt w:val="bullet"/>
      <w:lvlText w:val="•"/>
      <w:lvlJc w:val="left"/>
      <w:pPr>
        <w:ind w:left="4943" w:hanging="245"/>
      </w:pPr>
      <w:rPr>
        <w:rFonts w:hint="default"/>
        <w:lang w:val="en-US" w:eastAsia="en-US" w:bidi="ar-SA"/>
      </w:rPr>
    </w:lvl>
    <w:lvl w:ilvl="6" w:tplc="156879CA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ar-SA"/>
      </w:rPr>
    </w:lvl>
    <w:lvl w:ilvl="7" w:tplc="BBE265F4">
      <w:numFmt w:val="bullet"/>
      <w:lvlText w:val="•"/>
      <w:lvlJc w:val="left"/>
      <w:pPr>
        <w:ind w:left="6480" w:hanging="245"/>
      </w:pPr>
      <w:rPr>
        <w:rFonts w:hint="default"/>
        <w:lang w:val="en-US" w:eastAsia="en-US" w:bidi="ar-SA"/>
      </w:rPr>
    </w:lvl>
    <w:lvl w:ilvl="8" w:tplc="B71C5E84">
      <w:numFmt w:val="bullet"/>
      <w:lvlText w:val="•"/>
      <w:lvlJc w:val="left"/>
      <w:pPr>
        <w:ind w:left="7249" w:hanging="245"/>
      </w:pPr>
      <w:rPr>
        <w:rFonts w:hint="default"/>
        <w:lang w:val="en-US" w:eastAsia="en-US" w:bidi="ar-SA"/>
      </w:rPr>
    </w:lvl>
  </w:abstractNum>
  <w:num w:numId="1" w16cid:durableId="183097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9F3"/>
    <w:rsid w:val="00075E46"/>
    <w:rsid w:val="000E17B5"/>
    <w:rsid w:val="000F6C27"/>
    <w:rsid w:val="001277DE"/>
    <w:rsid w:val="001D01D4"/>
    <w:rsid w:val="00240D52"/>
    <w:rsid w:val="00290779"/>
    <w:rsid w:val="002B79F3"/>
    <w:rsid w:val="002C6DCD"/>
    <w:rsid w:val="002E24A4"/>
    <w:rsid w:val="002F0A6F"/>
    <w:rsid w:val="0037403B"/>
    <w:rsid w:val="00377D1E"/>
    <w:rsid w:val="003A4123"/>
    <w:rsid w:val="003F59F7"/>
    <w:rsid w:val="00403819"/>
    <w:rsid w:val="004A7217"/>
    <w:rsid w:val="00563CEF"/>
    <w:rsid w:val="00566A96"/>
    <w:rsid w:val="00586399"/>
    <w:rsid w:val="005E5C8B"/>
    <w:rsid w:val="00672A5D"/>
    <w:rsid w:val="006D0B02"/>
    <w:rsid w:val="007C0EFD"/>
    <w:rsid w:val="007D4648"/>
    <w:rsid w:val="007E357F"/>
    <w:rsid w:val="00820E1A"/>
    <w:rsid w:val="00832F48"/>
    <w:rsid w:val="00890C38"/>
    <w:rsid w:val="00964898"/>
    <w:rsid w:val="009B018E"/>
    <w:rsid w:val="009D398E"/>
    <w:rsid w:val="009D4ADF"/>
    <w:rsid w:val="00A02E18"/>
    <w:rsid w:val="00A06CDB"/>
    <w:rsid w:val="00AB2D9C"/>
    <w:rsid w:val="00AC779E"/>
    <w:rsid w:val="00B600E3"/>
    <w:rsid w:val="00B93953"/>
    <w:rsid w:val="00BA11AB"/>
    <w:rsid w:val="00BE74CB"/>
    <w:rsid w:val="00C066A0"/>
    <w:rsid w:val="00CC0DFA"/>
    <w:rsid w:val="00CF55A2"/>
    <w:rsid w:val="00D4794E"/>
    <w:rsid w:val="00D66FE7"/>
    <w:rsid w:val="00DA069C"/>
    <w:rsid w:val="00DE3508"/>
    <w:rsid w:val="00DF2693"/>
    <w:rsid w:val="00DF63C1"/>
    <w:rsid w:val="00E129B0"/>
    <w:rsid w:val="00EF3466"/>
    <w:rsid w:val="00F033A8"/>
    <w:rsid w:val="00F356B3"/>
    <w:rsid w:val="00F726E7"/>
    <w:rsid w:val="00FB6C59"/>
    <w:rsid w:val="00FD0909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5AE15"/>
  <w15:docId w15:val="{FF78D097-79AB-4C5A-9B9D-94168B7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1" w:right="118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1106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6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3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6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3C1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CF55A2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CF55A2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CF55A2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CF55A2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3330</Characters>
  <Application>Microsoft Office Word</Application>
  <DocSecurity>0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DUS, Road Transport Policy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2</cp:keywords>
  <cp:lastModifiedBy>PCODCS</cp:lastModifiedBy>
  <cp:revision>4</cp:revision>
  <dcterms:created xsi:type="dcterms:W3CDTF">2023-05-09T02:27:00Z</dcterms:created>
  <dcterms:modified xsi:type="dcterms:W3CDTF">2023-05-09T02:27:00Z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reated">
    <vt:filetime>2021-02-26T00:00:00Z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2023-05-04T00:00:00Z</vt:filetime>
  </property>
  <property fmtid="{D5CDD505-2E9C-101B-9397-08002B2CF9AE}" pid="6" name="MSIP_Label_690d47f2-2d0a-4515-b8de-e13c18f23c62_ActionId">
    <vt:lpwstr>deaefe07-73ad-4cdb-8019-21635f7129ff</vt:lpwstr>
  </property>
  <property fmtid="{D5CDD505-2E9C-101B-9397-08002B2CF9AE}" pid="7" name="MSIP_Label_690d47f2-2d0a-4515-b8de-e13c18f23c62_ContentBits">
    <vt:lpwstr>1</vt:lpwstr>
  </property>
  <property fmtid="{D5CDD505-2E9C-101B-9397-08002B2CF9AE}" pid="8" name="MSIP_Label_690d47f2-2d0a-4515-b8de-e13c18f23c62_Enabled">
    <vt:lpwstr>true</vt:lpwstr>
  </property>
  <property fmtid="{D5CDD505-2E9C-101B-9397-08002B2CF9AE}" pid="9" name="MSIP_Label_690d47f2-2d0a-4515-b8de-e13c18f23c62_Method">
    <vt:lpwstr>Privileged</vt:lpwstr>
  </property>
  <property fmtid="{D5CDD505-2E9C-101B-9397-08002B2CF9AE}" pid="10" name="MSIP_Label_690d47f2-2d0a-4515-b8de-e13c18f23c62_Name">
    <vt:lpwstr>OFFICIAL</vt:lpwstr>
  </property>
  <property fmtid="{D5CDD505-2E9C-101B-9397-08002B2CF9AE}" pid="11" name="MSIP_Label_690d47f2-2d0a-4515-b8de-e13c18f23c62_SetDate">
    <vt:lpwstr>2021-02-14T23:48:01Z</vt:lpwstr>
  </property>
  <property fmtid="{D5CDD505-2E9C-101B-9397-08002B2CF9AE}" pid="12" name="MSIP_Label_690d47f2-2d0a-4515-b8de-e13c18f23c62_SiteId">
    <vt:lpwstr>b46c1908-0334-4236-b978-585ee88e4199</vt:lpwstr>
  </property>
  <property fmtid="{D5CDD505-2E9C-101B-9397-08002B2CF9AE}" pid="13" name="Objective-Caveats">
    <vt:lpwstr/>
  </property>
  <property fmtid="{D5CDD505-2E9C-101B-9397-08002B2CF9AE}" pid="14" name="Objective-Classification">
    <vt:lpwstr>[Inherited - none]</vt:lpwstr>
  </property>
  <property fmtid="{D5CDD505-2E9C-101B-9397-08002B2CF9AE}" pid="15" name="Objective-Comment">
    <vt:lpwstr/>
  </property>
  <property fmtid="{D5CDD505-2E9C-101B-9397-08002B2CF9AE}" pid="16" name="Objective-Covers Period From [system]">
    <vt:lpwstr/>
  </property>
  <property fmtid="{D5CDD505-2E9C-101B-9397-08002B2CF9AE}" pid="17" name="Objective-Covers Period To [system]">
    <vt:lpwstr/>
  </property>
  <property fmtid="{D5CDD505-2E9C-101B-9397-08002B2CF9AE}" pid="18" name="Objective-CreationStamp">
    <vt:filetime>2023-05-05T07:01:39Z</vt:filetime>
  </property>
  <property fmtid="{D5CDD505-2E9C-101B-9397-08002B2CF9AE}" pid="19" name="Objective-Customers [system]">
    <vt:lpwstr/>
  </property>
  <property fmtid="{D5CDD505-2E9C-101B-9397-08002B2CF9AE}" pid="20" name="Objective-DatePublished">
    <vt:filetime>2023-05-05T08:06:10Z</vt:filetime>
  </property>
  <property fmtid="{D5CDD505-2E9C-101B-9397-08002B2CF9AE}" pid="21" name="Objective-Document Created By [system]">
    <vt:lpwstr>Nathan Buckley</vt:lpwstr>
  </property>
  <property fmtid="{D5CDD505-2E9C-101B-9397-08002B2CF9AE}" pid="22" name="Objective-Document Created On [system]">
    <vt:lpwstr>D:20120625</vt:lpwstr>
  </property>
  <property fmtid="{D5CDD505-2E9C-101B-9397-08002B2CF9AE}" pid="23" name="Objective-Document Type [system]">
    <vt:lpwstr>0-Document</vt:lpwstr>
  </property>
  <property fmtid="{D5CDD505-2E9C-101B-9397-08002B2CF9AE}" pid="24" name="Objective-FileNumber">
    <vt:lpwstr>qA734792</vt:lpwstr>
  </property>
  <property fmtid="{D5CDD505-2E9C-101B-9397-08002B2CF9AE}" pid="25" name="Objective-Id">
    <vt:lpwstr>A41888496</vt:lpwstr>
  </property>
  <property fmtid="{D5CDD505-2E9C-101B-9397-08002B2CF9AE}" pid="26" name="Objective-IsApproved">
    <vt:bool>false</vt:bool>
  </property>
  <property fmtid="{D5CDD505-2E9C-101B-9397-08002B2CF9AE}" pid="27" name="Objective-IsPublished">
    <vt:bool>true</vt:bool>
  </property>
  <property fmtid="{D5CDD505-2E9C-101B-9397-08002B2CF9AE}" pid="28" name="Objective-Jurisdiction [system]">
    <vt:lpwstr>ACT</vt:lpwstr>
  </property>
  <property fmtid="{D5CDD505-2E9C-101B-9397-08002B2CF9AE}" pid="29" name="Objective-Language [system]">
    <vt:lpwstr>English (en)</vt:lpwstr>
  </property>
  <property fmtid="{D5CDD505-2E9C-101B-9397-08002B2CF9AE}" pid="30" name="Objective-ModificationStamp">
    <vt:filetime>2023-05-05T08:06:10Z</vt:filetime>
  </property>
  <property fmtid="{D5CDD505-2E9C-101B-9397-08002B2CF9AE}" pid="31" name="Objective-OM Author Organisation [system]">
    <vt:lpwstr/>
  </property>
  <property fmtid="{D5CDD505-2E9C-101B-9397-08002B2CF9AE}" pid="32" name="Objective-OM Author Type [system]">
    <vt:lpwstr/>
  </property>
  <property fmtid="{D5CDD505-2E9C-101B-9397-08002B2CF9AE}" pid="33" name="Objective-OM Author [system]">
    <vt:lpwstr/>
  </property>
  <property fmtid="{D5CDD505-2E9C-101B-9397-08002B2CF9AE}" pid="34" name="Objective-OM Date Received [system]">
    <vt:lpwstr/>
  </property>
  <property fmtid="{D5CDD505-2E9C-101B-9397-08002B2CF9AE}" pid="35" name="Objective-OM Date of Document [system]">
    <vt:lpwstr/>
  </property>
  <property fmtid="{D5CDD505-2E9C-101B-9397-08002B2CF9AE}" pid="36" name="Objective-OM External Reference [system]">
    <vt:lpwstr/>
  </property>
  <property fmtid="{D5CDD505-2E9C-101B-9397-08002B2CF9AE}" pid="37" name="Objective-OM Reference [system]">
    <vt:lpwstr/>
  </property>
  <property fmtid="{D5CDD505-2E9C-101B-9397-08002B2CF9AE}" pid="38" name="Objective-OM Topic [system]">
    <vt:lpwstr/>
  </property>
  <property fmtid="{D5CDD505-2E9C-101B-9397-08002B2CF9AE}" pid="39" name="Objective-Owner">
    <vt:lpwstr>Georgia Nicolls</vt:lpwstr>
  </property>
  <property fmtid="{D5CDD505-2E9C-101B-9397-08002B2CF9AE}" pid="40" name="Objective-Owner Agency [system]">
    <vt:lpwstr>JACSD</vt:lpwstr>
  </property>
  <property fmtid="{D5CDD505-2E9C-101B-9397-08002B2CF9AE}" pid="41" name="Objective-Parent">
    <vt:lpwstr>TCBS - MIN S2023/01131 - USA Special Visitor Program 10-26 May 2023 - Road Transport legislation exclusion notification - Minister Brief</vt:lpwstr>
  </property>
  <property fmtid="{D5CDD505-2E9C-101B-9397-08002B2CF9AE}" pid="42" name="Objective-Path">
    <vt:lpwstr>Whole of ACT Government:TCCS STRUCTURE - Content Restriction Hierarchy:01. Assembly, Cabinet, Ministerial:03. Ministerials:02. Active:Minister Brief:TCBS - MIN S2023/01131 - USA Special Visitor Program 10-26 May 2023 - Road Transport legislation exclusion notification - Minister Brief:</vt:lpwstr>
  </property>
  <property fmtid="{D5CDD505-2E9C-101B-9397-08002B2CF9AE}" pid="43" name="Objective-Places [system]">
    <vt:lpwstr/>
  </property>
  <property fmtid="{D5CDD505-2E9C-101B-9397-08002B2CF9AE}" pid="44" name="Objective-State">
    <vt:lpwstr>Published</vt:lpwstr>
  </property>
  <property fmtid="{D5CDD505-2E9C-101B-9397-08002B2CF9AE}" pid="45" name="Objective-Suburb [system]">
    <vt:lpwstr/>
  </property>
  <property fmtid="{D5CDD505-2E9C-101B-9397-08002B2CF9AE}" pid="46" name="Objective-Title">
    <vt:lpwstr>Attachment C - Explanatory Statement for the Road Transport (General) Application of Road Transport Legislation Declaration 2023 (No 5)</vt:lpwstr>
  </property>
  <property fmtid="{D5CDD505-2E9C-101B-9397-08002B2CF9AE}" pid="47" name="Objective-Transaction Reference [system]">
    <vt:lpwstr/>
  </property>
  <property fmtid="{D5CDD505-2E9C-101B-9397-08002B2CF9AE}" pid="48" name="Objective-Version">
    <vt:lpwstr>3.0</vt:lpwstr>
  </property>
  <property fmtid="{D5CDD505-2E9C-101B-9397-08002B2CF9AE}" pid="49" name="Objective-VersionComment">
    <vt:lpwstr/>
  </property>
  <property fmtid="{D5CDD505-2E9C-101B-9397-08002B2CF9AE}" pid="50" name="Objective-VersionNumber">
    <vt:r8>4</vt:r8>
  </property>
  <property fmtid="{D5CDD505-2E9C-101B-9397-08002B2CF9AE}" pid="51" name="Producer">
    <vt:lpwstr>Adobe PDF Library 20.13.96</vt:lpwstr>
  </property>
  <property fmtid="{D5CDD505-2E9C-101B-9397-08002B2CF9AE}" pid="52" name="SourceModified">
    <vt:lpwstr>D:20210222033800</vt:lpwstr>
  </property>
  <property fmtid="{D5CDD505-2E9C-101B-9397-08002B2CF9AE}" pid="53" name="Objective-OM Author">
    <vt:lpwstr/>
  </property>
  <property fmtid="{D5CDD505-2E9C-101B-9397-08002B2CF9AE}" pid="54" name="Objective-OM Author Organisation">
    <vt:lpwstr/>
  </property>
  <property fmtid="{D5CDD505-2E9C-101B-9397-08002B2CF9AE}" pid="55" name="Objective-OM Author Type">
    <vt:lpwstr/>
  </property>
  <property fmtid="{D5CDD505-2E9C-101B-9397-08002B2CF9AE}" pid="56" name="Objective-OM Date Received">
    <vt:lpwstr/>
  </property>
  <property fmtid="{D5CDD505-2E9C-101B-9397-08002B2CF9AE}" pid="57" name="Objective-OM Date of Document">
    <vt:lpwstr/>
  </property>
  <property fmtid="{D5CDD505-2E9C-101B-9397-08002B2CF9AE}" pid="58" name="Objective-OM External Reference">
    <vt:lpwstr/>
  </property>
  <property fmtid="{D5CDD505-2E9C-101B-9397-08002B2CF9AE}" pid="59" name="Objective-OM Reference">
    <vt:lpwstr/>
  </property>
  <property fmtid="{D5CDD505-2E9C-101B-9397-08002B2CF9AE}" pid="60" name="Objective-OM Topic">
    <vt:lpwstr/>
  </property>
  <property fmtid="{D5CDD505-2E9C-101B-9397-08002B2CF9AE}" pid="61" name="Objective-Suburb">
    <vt:lpwstr/>
  </property>
  <property fmtid="{D5CDD505-2E9C-101B-9397-08002B2CF9AE}" pid="62" name="CHECKEDOUTFROMJMS">
    <vt:lpwstr/>
  </property>
  <property fmtid="{D5CDD505-2E9C-101B-9397-08002B2CF9AE}" pid="63" name="DMSID">
    <vt:lpwstr>10430900</vt:lpwstr>
  </property>
  <property fmtid="{D5CDD505-2E9C-101B-9397-08002B2CF9AE}" pid="64" name="JMSREQUIREDCHECKIN">
    <vt:lpwstr/>
  </property>
</Properties>
</file>