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3ECB9E69"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C31F4C">
        <w:rPr>
          <w:rFonts w:ascii="Arial" w:hAnsi="Arial" w:cs="Arial"/>
          <w:b/>
          <w:bCs/>
          <w:sz w:val="24"/>
          <w:szCs w:val="24"/>
        </w:rPr>
        <w:t>3</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49A72D50" w:rsidR="00741C4A" w:rsidRPr="00741C4A" w:rsidRDefault="00086D1F" w:rsidP="00741C4A">
      <w:pPr>
        <w:spacing w:after="0"/>
        <w:jc w:val="center"/>
        <w:rPr>
          <w:rFonts w:ascii="Arial" w:hAnsi="Arial" w:cs="Arial"/>
          <w:b/>
          <w:bCs/>
          <w:sz w:val="24"/>
          <w:szCs w:val="24"/>
        </w:rPr>
      </w:pPr>
      <w:r>
        <w:rPr>
          <w:rFonts w:ascii="Arial" w:hAnsi="Arial" w:cs="Arial"/>
          <w:b/>
          <w:bCs/>
          <w:sz w:val="24"/>
          <w:szCs w:val="24"/>
        </w:rPr>
        <w:t>SUPREME COURT AMENDMENT BILL 2023</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337019B5" w:rsidR="00BB387E" w:rsidRDefault="00C31F4C" w:rsidP="00BB387E">
      <w:pPr>
        <w:spacing w:after="0"/>
        <w:ind w:right="686"/>
        <w:jc w:val="right"/>
        <w:rPr>
          <w:rFonts w:ascii="Arial" w:hAnsi="Arial" w:cs="Arial"/>
          <w:b/>
          <w:bCs/>
          <w:sz w:val="24"/>
          <w:szCs w:val="24"/>
        </w:rPr>
      </w:pPr>
      <w:r>
        <w:rPr>
          <w:rFonts w:ascii="Arial" w:hAnsi="Arial" w:cs="Arial"/>
          <w:b/>
          <w:bCs/>
          <w:sz w:val="24"/>
          <w:szCs w:val="24"/>
        </w:rPr>
        <w:t xml:space="preserve">Shane Rattenbury </w:t>
      </w:r>
      <w:r w:rsidR="00E954A1">
        <w:rPr>
          <w:rFonts w:ascii="Arial" w:hAnsi="Arial" w:cs="Arial"/>
          <w:b/>
          <w:bCs/>
          <w:sz w:val="24"/>
          <w:szCs w:val="24"/>
        </w:rPr>
        <w:t>MLA</w:t>
      </w:r>
    </w:p>
    <w:p w14:paraId="6E970B12" w14:textId="77957D1E" w:rsidR="00FA2564" w:rsidRPr="00BB387E" w:rsidRDefault="00FA2564" w:rsidP="00BB387E">
      <w:pPr>
        <w:spacing w:after="0"/>
        <w:ind w:right="686"/>
        <w:jc w:val="right"/>
        <w:rPr>
          <w:rFonts w:ascii="Arial" w:hAnsi="Arial" w:cs="Arial"/>
          <w:b/>
          <w:bCs/>
          <w:sz w:val="24"/>
          <w:szCs w:val="24"/>
        </w:rPr>
      </w:pPr>
      <w:r>
        <w:rPr>
          <w:rFonts w:ascii="Arial" w:hAnsi="Arial" w:cs="Arial"/>
          <w:b/>
          <w:bCs/>
          <w:sz w:val="24"/>
          <w:szCs w:val="24"/>
        </w:rPr>
        <w:t>Attorney-General</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532D274A" w:rsidR="00ED3B77" w:rsidRPr="00BB387E" w:rsidRDefault="005C683E" w:rsidP="008C225D">
      <w:pPr>
        <w:pStyle w:val="Heading1"/>
        <w:jc w:val="center"/>
      </w:pPr>
      <w:r>
        <w:lastRenderedPageBreak/>
        <w:t>SUPREME COURT AMENDMENT BILL</w:t>
      </w:r>
      <w:r w:rsidR="00ED3B77" w:rsidRPr="00BB387E">
        <w:t xml:space="preserve"> </w:t>
      </w:r>
      <w:r w:rsidR="00130A37" w:rsidRPr="00BB387E">
        <w:t>20</w:t>
      </w:r>
      <w:r w:rsidR="00130A37">
        <w:t>2</w:t>
      </w:r>
      <w:r>
        <w:t>3</w:t>
      </w:r>
    </w:p>
    <w:p w14:paraId="2612AE1F" w14:textId="77777777" w:rsidR="00834FC9" w:rsidRDefault="00834FC9" w:rsidP="007F3D56">
      <w:pPr>
        <w:spacing w:after="0"/>
        <w:contextualSpacing/>
        <w:rPr>
          <w:rFonts w:ascii="Arial" w:hAnsi="Arial" w:cs="Arial"/>
          <w:bCs/>
          <w:sz w:val="24"/>
          <w:szCs w:val="24"/>
        </w:rPr>
      </w:pPr>
    </w:p>
    <w:p w14:paraId="1C55190C" w14:textId="198258C8"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0B787B71" w14:textId="360C01BF" w:rsidR="00FA2564" w:rsidRDefault="00FA2564" w:rsidP="00414921">
      <w:pPr>
        <w:rPr>
          <w:rFonts w:ascii="Arial" w:hAnsi="Arial" w:cs="Arial"/>
          <w:iCs/>
          <w:sz w:val="24"/>
          <w:szCs w:val="24"/>
        </w:rPr>
      </w:pPr>
      <w:r>
        <w:rPr>
          <w:rFonts w:ascii="Arial" w:hAnsi="Arial" w:cs="Arial"/>
          <w:iCs/>
          <w:sz w:val="24"/>
          <w:szCs w:val="24"/>
        </w:rPr>
        <w:t xml:space="preserve">The </w:t>
      </w:r>
      <w:r>
        <w:rPr>
          <w:rFonts w:ascii="Arial" w:hAnsi="Arial" w:cs="Arial"/>
          <w:i/>
          <w:sz w:val="24"/>
          <w:szCs w:val="24"/>
        </w:rPr>
        <w:t xml:space="preserve">Supreme Court Amendment Bill 2023 </w:t>
      </w:r>
      <w:r>
        <w:rPr>
          <w:rFonts w:ascii="Arial" w:hAnsi="Arial" w:cs="Arial"/>
          <w:iCs/>
          <w:sz w:val="24"/>
          <w:szCs w:val="24"/>
        </w:rPr>
        <w:t xml:space="preserve">(the Bill) will amend the </w:t>
      </w:r>
      <w:r>
        <w:rPr>
          <w:rFonts w:ascii="Arial" w:hAnsi="Arial" w:cs="Arial"/>
          <w:i/>
          <w:sz w:val="24"/>
          <w:szCs w:val="24"/>
        </w:rPr>
        <w:t xml:space="preserve">Supreme Court Act 1933 </w:t>
      </w:r>
      <w:r>
        <w:rPr>
          <w:rFonts w:ascii="Arial" w:hAnsi="Arial" w:cs="Arial"/>
          <w:iCs/>
          <w:sz w:val="24"/>
          <w:szCs w:val="24"/>
        </w:rPr>
        <w:t xml:space="preserve">to introduce a new right to appeal a conviction or a finding of guilt on the basis of fresh and compelling evidence. </w:t>
      </w:r>
    </w:p>
    <w:p w14:paraId="6A329862" w14:textId="30F8201C" w:rsidR="00256617" w:rsidRDefault="00256617" w:rsidP="00414921">
      <w:pPr>
        <w:rPr>
          <w:rFonts w:ascii="Arial" w:hAnsi="Arial" w:cs="Arial"/>
          <w:iCs/>
          <w:sz w:val="24"/>
          <w:szCs w:val="24"/>
        </w:rPr>
      </w:pPr>
      <w:r>
        <w:rPr>
          <w:rFonts w:ascii="Arial" w:hAnsi="Arial" w:cs="Arial"/>
          <w:iCs/>
          <w:sz w:val="24"/>
          <w:szCs w:val="24"/>
        </w:rPr>
        <w:t xml:space="preserve">Commencement for the Bill is delayed by six months from the day after its notification day to allow sufficient time for the development of appropriate court processes and resources to support the new appeal right. </w:t>
      </w:r>
    </w:p>
    <w:p w14:paraId="76AD3DB1" w14:textId="5EEC67A6" w:rsidR="00FA2564" w:rsidRPr="00FA2564" w:rsidRDefault="00FA2564" w:rsidP="00414921">
      <w:pPr>
        <w:rPr>
          <w:rFonts w:ascii="Arial" w:hAnsi="Arial" w:cs="Arial"/>
          <w:b/>
          <w:bCs/>
          <w:i/>
          <w:sz w:val="24"/>
          <w:szCs w:val="24"/>
        </w:rPr>
      </w:pPr>
      <w:r>
        <w:rPr>
          <w:rFonts w:ascii="Arial" w:hAnsi="Arial" w:cs="Arial"/>
          <w:b/>
          <w:bCs/>
          <w:i/>
          <w:sz w:val="24"/>
          <w:szCs w:val="24"/>
        </w:rPr>
        <w:t>New right to appeal</w:t>
      </w:r>
    </w:p>
    <w:p w14:paraId="6BAEC113" w14:textId="00A864D5" w:rsidR="00FA2564" w:rsidRDefault="00FA2564" w:rsidP="00414921">
      <w:pPr>
        <w:rPr>
          <w:rFonts w:ascii="Arial" w:hAnsi="Arial" w:cs="Arial"/>
          <w:iCs/>
          <w:sz w:val="24"/>
          <w:szCs w:val="24"/>
        </w:rPr>
      </w:pPr>
      <w:r>
        <w:rPr>
          <w:rFonts w:ascii="Arial" w:hAnsi="Arial" w:cs="Arial"/>
          <w:iCs/>
          <w:sz w:val="24"/>
          <w:szCs w:val="24"/>
        </w:rPr>
        <w:t xml:space="preserve">The Bill allows the court to grant leave to a person to bring an appeal against any conviction or finding of guilt if satisfied that: </w:t>
      </w:r>
    </w:p>
    <w:p w14:paraId="5BDD534C" w14:textId="78C5CABF" w:rsidR="00FA2564" w:rsidRDefault="00FA2564">
      <w:pPr>
        <w:pStyle w:val="ListParagraph"/>
        <w:numPr>
          <w:ilvl w:val="0"/>
          <w:numId w:val="4"/>
        </w:numPr>
        <w:rPr>
          <w:rFonts w:ascii="Arial" w:hAnsi="Arial" w:cs="Arial"/>
          <w:iCs/>
          <w:sz w:val="24"/>
          <w:szCs w:val="24"/>
        </w:rPr>
      </w:pPr>
      <w:r>
        <w:rPr>
          <w:rFonts w:ascii="Arial" w:hAnsi="Arial" w:cs="Arial"/>
          <w:iCs/>
          <w:sz w:val="24"/>
          <w:szCs w:val="24"/>
        </w:rPr>
        <w:t xml:space="preserve">there is fresh and compelling evidence in relation to the offence that should be considered on an appeal; and </w:t>
      </w:r>
    </w:p>
    <w:p w14:paraId="570006D3" w14:textId="77777777" w:rsidR="00FA2564" w:rsidRDefault="00FA2564" w:rsidP="00FA2564">
      <w:pPr>
        <w:pStyle w:val="ListParagraph"/>
        <w:rPr>
          <w:rFonts w:ascii="Arial" w:hAnsi="Arial" w:cs="Arial"/>
          <w:iCs/>
          <w:sz w:val="24"/>
          <w:szCs w:val="24"/>
        </w:rPr>
      </w:pPr>
    </w:p>
    <w:p w14:paraId="05F00180" w14:textId="59DEA4DA" w:rsidR="00FA2564" w:rsidRDefault="00FA2564">
      <w:pPr>
        <w:pStyle w:val="ListParagraph"/>
        <w:numPr>
          <w:ilvl w:val="0"/>
          <w:numId w:val="4"/>
        </w:numPr>
        <w:rPr>
          <w:rFonts w:ascii="Arial" w:hAnsi="Arial" w:cs="Arial"/>
          <w:iCs/>
          <w:sz w:val="24"/>
          <w:szCs w:val="24"/>
        </w:rPr>
      </w:pPr>
      <w:r>
        <w:rPr>
          <w:rFonts w:ascii="Arial" w:hAnsi="Arial" w:cs="Arial"/>
          <w:iCs/>
          <w:sz w:val="24"/>
          <w:szCs w:val="24"/>
        </w:rPr>
        <w:t xml:space="preserve">it is in the interests of justice for the order to be made. </w:t>
      </w:r>
    </w:p>
    <w:p w14:paraId="4D671B48" w14:textId="1B7F35EE" w:rsidR="00FA2564" w:rsidRDefault="00FA2564" w:rsidP="00FA2564">
      <w:pPr>
        <w:rPr>
          <w:rFonts w:ascii="Arial" w:hAnsi="Arial" w:cs="Arial"/>
          <w:iCs/>
          <w:sz w:val="24"/>
          <w:szCs w:val="24"/>
        </w:rPr>
      </w:pPr>
    </w:p>
    <w:p w14:paraId="7A44B0D7" w14:textId="4FF66173" w:rsidR="00FA2564" w:rsidRDefault="00FA2564" w:rsidP="00FA2564">
      <w:pPr>
        <w:rPr>
          <w:rFonts w:ascii="Arial" w:hAnsi="Arial" w:cs="Arial"/>
          <w:iCs/>
          <w:sz w:val="24"/>
          <w:szCs w:val="24"/>
        </w:rPr>
      </w:pPr>
      <w:r>
        <w:rPr>
          <w:rFonts w:ascii="Arial" w:hAnsi="Arial" w:cs="Arial"/>
          <w:iCs/>
          <w:sz w:val="24"/>
          <w:szCs w:val="24"/>
        </w:rPr>
        <w:t xml:space="preserve">The test for allowing an appeal is the same test for granting leave to appeal, except for the requirement that there has been a “substantial miscarriage of justice”. </w:t>
      </w:r>
      <w:r w:rsidR="003830A0">
        <w:rPr>
          <w:rFonts w:ascii="Arial" w:hAnsi="Arial" w:cs="Arial"/>
          <w:iCs/>
          <w:sz w:val="24"/>
          <w:szCs w:val="24"/>
        </w:rPr>
        <w:t xml:space="preserve">This higher threshold will help to prevent vexatious and untenable appeals and is consistent with the approaches in South Australia, Tasmania and Victoria. </w:t>
      </w:r>
    </w:p>
    <w:p w14:paraId="5C177D95" w14:textId="50037B43" w:rsidR="00FA2564" w:rsidRDefault="00FA2564" w:rsidP="00FA2564">
      <w:pPr>
        <w:rPr>
          <w:rFonts w:ascii="Arial" w:hAnsi="Arial" w:cs="Arial"/>
          <w:iCs/>
          <w:sz w:val="24"/>
          <w:szCs w:val="24"/>
        </w:rPr>
      </w:pPr>
      <w:r>
        <w:rPr>
          <w:rFonts w:ascii="Arial" w:hAnsi="Arial" w:cs="Arial"/>
          <w:iCs/>
          <w:sz w:val="24"/>
          <w:szCs w:val="24"/>
        </w:rPr>
        <w:t xml:space="preserve">The Bill allows the court to make the following orders when an appeal is allowed: </w:t>
      </w:r>
    </w:p>
    <w:p w14:paraId="309C9AAC" w14:textId="3712AA8A" w:rsidR="00FA2564" w:rsidRDefault="00FA2564">
      <w:pPr>
        <w:pStyle w:val="ListParagraph"/>
        <w:numPr>
          <w:ilvl w:val="0"/>
          <w:numId w:val="5"/>
        </w:numPr>
        <w:rPr>
          <w:rFonts w:ascii="Arial" w:hAnsi="Arial" w:cs="Arial"/>
          <w:iCs/>
          <w:sz w:val="24"/>
          <w:szCs w:val="24"/>
        </w:rPr>
      </w:pPr>
      <w:r>
        <w:rPr>
          <w:rFonts w:ascii="Arial" w:hAnsi="Arial" w:cs="Arial"/>
          <w:iCs/>
          <w:sz w:val="24"/>
          <w:szCs w:val="24"/>
        </w:rPr>
        <w:t>set aside the conviction or finding of guilt; and</w:t>
      </w:r>
    </w:p>
    <w:p w14:paraId="62253A76" w14:textId="77777777" w:rsidR="00FA2564" w:rsidRDefault="00FA2564" w:rsidP="00FA2564">
      <w:pPr>
        <w:pStyle w:val="ListParagraph"/>
        <w:rPr>
          <w:rFonts w:ascii="Arial" w:hAnsi="Arial" w:cs="Arial"/>
          <w:iCs/>
          <w:sz w:val="24"/>
          <w:szCs w:val="24"/>
        </w:rPr>
      </w:pPr>
    </w:p>
    <w:p w14:paraId="4F8FD703" w14:textId="4908BB45" w:rsidR="00FA2564" w:rsidRDefault="00FA2564">
      <w:pPr>
        <w:pStyle w:val="ListParagraph"/>
        <w:numPr>
          <w:ilvl w:val="0"/>
          <w:numId w:val="5"/>
        </w:numPr>
        <w:rPr>
          <w:rFonts w:ascii="Arial" w:hAnsi="Arial" w:cs="Arial"/>
          <w:iCs/>
          <w:sz w:val="24"/>
          <w:szCs w:val="24"/>
        </w:rPr>
      </w:pPr>
      <w:r>
        <w:rPr>
          <w:rFonts w:ascii="Arial" w:hAnsi="Arial" w:cs="Arial"/>
          <w:iCs/>
          <w:sz w:val="24"/>
          <w:szCs w:val="24"/>
        </w:rPr>
        <w:t xml:space="preserve">either order: </w:t>
      </w:r>
    </w:p>
    <w:p w14:paraId="6F052EE3" w14:textId="77777777" w:rsidR="00FA2564" w:rsidRPr="00FA2564" w:rsidRDefault="00FA2564" w:rsidP="00FA2564">
      <w:pPr>
        <w:pStyle w:val="ListParagraph"/>
        <w:rPr>
          <w:rFonts w:ascii="Arial" w:hAnsi="Arial" w:cs="Arial"/>
          <w:iCs/>
          <w:sz w:val="24"/>
          <w:szCs w:val="24"/>
        </w:rPr>
      </w:pPr>
    </w:p>
    <w:p w14:paraId="5C585CA1" w14:textId="5B4001DF" w:rsidR="00FA2564" w:rsidRDefault="00FA2564">
      <w:pPr>
        <w:pStyle w:val="ListParagraph"/>
        <w:numPr>
          <w:ilvl w:val="1"/>
          <w:numId w:val="6"/>
        </w:numPr>
        <w:rPr>
          <w:rFonts w:ascii="Arial" w:hAnsi="Arial" w:cs="Arial"/>
          <w:iCs/>
          <w:sz w:val="24"/>
          <w:szCs w:val="24"/>
        </w:rPr>
      </w:pPr>
      <w:r>
        <w:rPr>
          <w:rFonts w:ascii="Arial" w:hAnsi="Arial" w:cs="Arial"/>
          <w:iCs/>
          <w:sz w:val="24"/>
          <w:szCs w:val="24"/>
        </w:rPr>
        <w:t xml:space="preserve">a verdict of not guilty to be entered; or </w:t>
      </w:r>
    </w:p>
    <w:p w14:paraId="41949D35" w14:textId="77777777" w:rsidR="00FA2564" w:rsidRDefault="00FA2564" w:rsidP="00FA2564">
      <w:pPr>
        <w:pStyle w:val="ListParagraph"/>
        <w:ind w:left="1440"/>
        <w:rPr>
          <w:rFonts w:ascii="Arial" w:hAnsi="Arial" w:cs="Arial"/>
          <w:iCs/>
          <w:sz w:val="24"/>
          <w:szCs w:val="24"/>
        </w:rPr>
      </w:pPr>
    </w:p>
    <w:p w14:paraId="647B2AE5" w14:textId="3BD950BC" w:rsidR="00FA2564" w:rsidRDefault="00FA2564">
      <w:pPr>
        <w:pStyle w:val="ListParagraph"/>
        <w:numPr>
          <w:ilvl w:val="1"/>
          <w:numId w:val="6"/>
        </w:numPr>
        <w:rPr>
          <w:rFonts w:ascii="Arial" w:hAnsi="Arial" w:cs="Arial"/>
          <w:iCs/>
          <w:sz w:val="24"/>
          <w:szCs w:val="24"/>
        </w:rPr>
      </w:pPr>
      <w:r>
        <w:rPr>
          <w:rFonts w:ascii="Arial" w:hAnsi="Arial" w:cs="Arial"/>
          <w:iCs/>
          <w:sz w:val="24"/>
          <w:szCs w:val="24"/>
        </w:rPr>
        <w:t xml:space="preserve">a new trial or hearing. </w:t>
      </w:r>
    </w:p>
    <w:p w14:paraId="1AFAFD90" w14:textId="7D5FC1E2" w:rsidR="00FA2564" w:rsidRDefault="00FA2564" w:rsidP="00FA2564">
      <w:pPr>
        <w:rPr>
          <w:rFonts w:ascii="Arial" w:hAnsi="Arial" w:cs="Arial"/>
          <w:iCs/>
          <w:sz w:val="24"/>
          <w:szCs w:val="24"/>
        </w:rPr>
      </w:pPr>
    </w:p>
    <w:p w14:paraId="7864D2E5" w14:textId="51592625" w:rsidR="003830A0" w:rsidRDefault="003830A0" w:rsidP="00FA2564">
      <w:pPr>
        <w:rPr>
          <w:rFonts w:ascii="Arial" w:hAnsi="Arial" w:cs="Arial"/>
          <w:iCs/>
          <w:sz w:val="24"/>
          <w:szCs w:val="24"/>
        </w:rPr>
      </w:pPr>
      <w:r>
        <w:rPr>
          <w:rFonts w:ascii="Arial" w:hAnsi="Arial" w:cs="Arial"/>
          <w:iCs/>
          <w:sz w:val="24"/>
          <w:szCs w:val="24"/>
        </w:rPr>
        <w:t xml:space="preserve">The Bill adopts the powers of the Court of Appeal when it orders a new trial under section 37P of the Supreme Court in their entirety to ensure consistency in court powers for any type of appeal. </w:t>
      </w:r>
    </w:p>
    <w:p w14:paraId="5D9DEDD1" w14:textId="3A054CEC" w:rsidR="00FA2564" w:rsidRDefault="00FA2564" w:rsidP="00FA2564">
      <w:pPr>
        <w:rPr>
          <w:rFonts w:ascii="Arial" w:hAnsi="Arial" w:cs="Arial"/>
          <w:iCs/>
          <w:sz w:val="24"/>
          <w:szCs w:val="24"/>
        </w:rPr>
      </w:pPr>
      <w:r>
        <w:rPr>
          <w:rFonts w:ascii="Arial" w:hAnsi="Arial" w:cs="Arial"/>
          <w:iCs/>
          <w:sz w:val="24"/>
          <w:szCs w:val="24"/>
        </w:rPr>
        <w:lastRenderedPageBreak/>
        <w:t xml:space="preserve">The new right to appeal will apply retrospectively, and there is no limit on the number of appeals allowed under the new right to appeal. </w:t>
      </w:r>
    </w:p>
    <w:p w14:paraId="0CC83C81" w14:textId="75670668" w:rsidR="00FA2564" w:rsidRDefault="00FA2564" w:rsidP="00FA2564">
      <w:pPr>
        <w:rPr>
          <w:rFonts w:ascii="Arial" w:hAnsi="Arial" w:cs="Arial"/>
          <w:iCs/>
          <w:sz w:val="24"/>
          <w:szCs w:val="24"/>
        </w:rPr>
      </w:pPr>
      <w:r>
        <w:rPr>
          <w:rFonts w:ascii="Arial" w:hAnsi="Arial" w:cs="Arial"/>
          <w:iCs/>
          <w:sz w:val="24"/>
          <w:szCs w:val="24"/>
        </w:rPr>
        <w:t xml:space="preserve">The court’s existing powers in relation to granting bail under the </w:t>
      </w:r>
      <w:r>
        <w:rPr>
          <w:rFonts w:ascii="Arial" w:hAnsi="Arial" w:cs="Arial"/>
          <w:i/>
          <w:sz w:val="24"/>
          <w:szCs w:val="24"/>
        </w:rPr>
        <w:t xml:space="preserve">Bail Act </w:t>
      </w:r>
      <w:r w:rsidR="00B07015">
        <w:rPr>
          <w:rFonts w:ascii="Arial" w:hAnsi="Arial" w:cs="Arial"/>
          <w:i/>
          <w:sz w:val="24"/>
          <w:szCs w:val="24"/>
        </w:rPr>
        <w:t xml:space="preserve">1992 </w:t>
      </w:r>
      <w:r w:rsidR="00B07015">
        <w:rPr>
          <w:rFonts w:ascii="Arial" w:hAnsi="Arial" w:cs="Arial"/>
          <w:iCs/>
          <w:sz w:val="24"/>
          <w:szCs w:val="24"/>
        </w:rPr>
        <w:t xml:space="preserve">will apply to the new right to appeal. </w:t>
      </w:r>
    </w:p>
    <w:p w14:paraId="0C6DC423" w14:textId="5C3AB030" w:rsidR="00B07015" w:rsidRDefault="00B07015" w:rsidP="00FA2564">
      <w:pPr>
        <w:rPr>
          <w:rFonts w:ascii="Arial" w:hAnsi="Arial" w:cs="Arial"/>
          <w:iCs/>
          <w:sz w:val="24"/>
          <w:szCs w:val="24"/>
        </w:rPr>
      </w:pPr>
      <w:r>
        <w:rPr>
          <w:rFonts w:ascii="Arial" w:hAnsi="Arial" w:cs="Arial"/>
          <w:iCs/>
          <w:sz w:val="24"/>
          <w:szCs w:val="24"/>
        </w:rPr>
        <w:t xml:space="preserve">Furthermore, the new right to appeal will engage rights under the Charter of Rights for Victims of Crime in the </w:t>
      </w:r>
      <w:r>
        <w:rPr>
          <w:rFonts w:ascii="Arial" w:hAnsi="Arial" w:cs="Arial"/>
          <w:i/>
          <w:sz w:val="24"/>
          <w:szCs w:val="24"/>
        </w:rPr>
        <w:t>Victims of Crime Act 1994</w:t>
      </w:r>
      <w:r>
        <w:rPr>
          <w:rFonts w:ascii="Arial" w:hAnsi="Arial" w:cs="Arial"/>
          <w:iCs/>
          <w:sz w:val="24"/>
          <w:szCs w:val="24"/>
        </w:rPr>
        <w:t xml:space="preserve"> and victims’ rights will apply equally to the new right to appeal as they do to other criminal law proceedings. </w:t>
      </w:r>
    </w:p>
    <w:p w14:paraId="49B9CE16" w14:textId="77777777" w:rsidR="00927B12" w:rsidRPr="00927B12" w:rsidRDefault="00927B12" w:rsidP="00927B12">
      <w:pPr>
        <w:pStyle w:val="ListParagraph"/>
        <w:rPr>
          <w:rFonts w:ascii="Arial" w:hAnsi="Arial" w:cs="Arial"/>
          <w:iCs/>
          <w:sz w:val="24"/>
          <w:szCs w:val="24"/>
        </w:rPr>
      </w:pPr>
    </w:p>
    <w:p w14:paraId="5D5C6C0D" w14:textId="2824653C"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14D3F6F5" w14:textId="77777777" w:rsidR="00256617" w:rsidRDefault="00256617" w:rsidP="00256617">
      <w:pPr>
        <w:pStyle w:val="Heading2"/>
        <w:spacing w:before="0" w:after="200" w:line="276" w:lineRule="auto"/>
        <w:rPr>
          <w:b w:val="0"/>
          <w:bCs/>
        </w:rPr>
      </w:pPr>
      <w:r>
        <w:rPr>
          <w:b w:val="0"/>
          <w:bCs/>
        </w:rPr>
        <w:t xml:space="preserve">In the </w:t>
      </w:r>
      <w:r>
        <w:rPr>
          <w:b w:val="0"/>
          <w:bCs/>
          <w:i/>
          <w:iCs/>
        </w:rPr>
        <w:t>Parliamentary and Governing Agreement – 10</w:t>
      </w:r>
      <w:r w:rsidRPr="00256617">
        <w:rPr>
          <w:b w:val="0"/>
          <w:bCs/>
          <w:i/>
          <w:iCs/>
          <w:vertAlign w:val="superscript"/>
        </w:rPr>
        <w:t>th</w:t>
      </w:r>
      <w:r>
        <w:rPr>
          <w:b w:val="0"/>
          <w:bCs/>
          <w:i/>
          <w:iCs/>
        </w:rPr>
        <w:t xml:space="preserve"> Legislative Assembly Australian Capital Territory</w:t>
      </w:r>
      <w:r>
        <w:rPr>
          <w:b w:val="0"/>
          <w:bCs/>
        </w:rPr>
        <w:t xml:space="preserve"> the ACT Government committed to “consider amendments to the Supreme Court Act to introduce best practice right to appeal laws” (Appendix 2,16).</w:t>
      </w:r>
    </w:p>
    <w:p w14:paraId="01CB63A2" w14:textId="7B8EC0EC" w:rsidR="00442015" w:rsidRDefault="00256617" w:rsidP="00442015">
      <w:pPr>
        <w:pStyle w:val="Heading2"/>
        <w:spacing w:before="0" w:after="200" w:line="276" w:lineRule="auto"/>
        <w:contextualSpacing/>
        <w:rPr>
          <w:rFonts w:cs="Arial"/>
          <w:b w:val="0"/>
          <w:bCs/>
          <w:szCs w:val="24"/>
        </w:rPr>
      </w:pPr>
      <w:r w:rsidRPr="00256617">
        <w:rPr>
          <w:rFonts w:cs="Arial"/>
          <w:b w:val="0"/>
          <w:bCs/>
          <w:szCs w:val="24"/>
        </w:rPr>
        <w:t xml:space="preserve">On 6 April 2022, the </w:t>
      </w:r>
      <w:r w:rsidRPr="00256617">
        <w:rPr>
          <w:rFonts w:cs="Arial"/>
          <w:b w:val="0"/>
          <w:bCs/>
          <w:i/>
          <w:iCs/>
          <w:szCs w:val="24"/>
        </w:rPr>
        <w:t>Wrongful Conviction: Reforms to the Right to Appeal and Right to Compensation</w:t>
      </w:r>
      <w:r w:rsidRPr="00256617">
        <w:rPr>
          <w:rFonts w:cs="Arial"/>
          <w:b w:val="0"/>
          <w:bCs/>
          <w:szCs w:val="24"/>
        </w:rPr>
        <w:t xml:space="preserve"> </w:t>
      </w:r>
      <w:r w:rsidR="00442015">
        <w:rPr>
          <w:rFonts w:cs="Arial"/>
          <w:b w:val="0"/>
          <w:bCs/>
          <w:szCs w:val="24"/>
        </w:rPr>
        <w:t xml:space="preserve">Discussion Paper </w:t>
      </w:r>
      <w:r w:rsidRPr="00256617">
        <w:rPr>
          <w:rFonts w:cs="Arial"/>
          <w:b w:val="0"/>
          <w:bCs/>
          <w:szCs w:val="24"/>
        </w:rPr>
        <w:t xml:space="preserve">was released on the </w:t>
      </w:r>
      <w:r w:rsidR="00442015">
        <w:rPr>
          <w:rFonts w:cs="Arial"/>
          <w:b w:val="0"/>
          <w:bCs/>
          <w:szCs w:val="24"/>
        </w:rPr>
        <w:t xml:space="preserve">ACT Government YourSay and JACS websites and was sent to targeted stakeholders. Submissions could be made for a period for six weeks and nine submissions were received. </w:t>
      </w:r>
    </w:p>
    <w:p w14:paraId="210877AA" w14:textId="07754464" w:rsidR="00442015" w:rsidRDefault="00442015" w:rsidP="00442015">
      <w:pPr>
        <w:rPr>
          <w:rFonts w:ascii="Arial" w:hAnsi="Arial" w:cs="Arial"/>
          <w:sz w:val="24"/>
          <w:szCs w:val="24"/>
        </w:rPr>
      </w:pPr>
      <w:r w:rsidRPr="00442015">
        <w:rPr>
          <w:rFonts w:ascii="Arial" w:hAnsi="Arial" w:cs="Arial"/>
          <w:sz w:val="24"/>
          <w:szCs w:val="24"/>
        </w:rPr>
        <w:t>A</w:t>
      </w:r>
      <w:r>
        <w:rPr>
          <w:rFonts w:ascii="Arial" w:hAnsi="Arial" w:cs="Arial"/>
          <w:sz w:val="24"/>
          <w:szCs w:val="24"/>
        </w:rPr>
        <w:t xml:space="preserve"> Listening Report on the community and stakeholder feedback received during the consultation was published on 21 November 2022.</w:t>
      </w:r>
    </w:p>
    <w:p w14:paraId="1BFFED83" w14:textId="3901124E" w:rsidR="00442015" w:rsidRDefault="00442015" w:rsidP="00442015">
      <w:pPr>
        <w:rPr>
          <w:rFonts w:ascii="Arial" w:hAnsi="Arial" w:cs="Arial"/>
          <w:sz w:val="24"/>
          <w:szCs w:val="24"/>
        </w:rPr>
      </w:pPr>
      <w:r>
        <w:rPr>
          <w:rFonts w:ascii="Arial" w:hAnsi="Arial" w:cs="Arial"/>
          <w:sz w:val="24"/>
          <w:szCs w:val="24"/>
        </w:rPr>
        <w:t>The ACT Government developed a consultation draft Bill based on community feedback on the Discussion Paper and circulated it to targeted stakeholders for further comment and feedback on 31 January 2023</w:t>
      </w:r>
      <w:r w:rsidR="00CA7D28">
        <w:rPr>
          <w:rFonts w:ascii="Arial" w:hAnsi="Arial" w:cs="Arial"/>
          <w:sz w:val="24"/>
          <w:szCs w:val="24"/>
        </w:rPr>
        <w:t>, receiving eight further submissions</w:t>
      </w:r>
      <w:r>
        <w:rPr>
          <w:rFonts w:ascii="Arial" w:hAnsi="Arial" w:cs="Arial"/>
          <w:sz w:val="24"/>
          <w:szCs w:val="24"/>
        </w:rPr>
        <w:t xml:space="preserve">. </w:t>
      </w:r>
    </w:p>
    <w:p w14:paraId="2E8C15D9" w14:textId="5A9DE759" w:rsidR="00442015" w:rsidRPr="00442015" w:rsidRDefault="00442015" w:rsidP="00442015">
      <w:pPr>
        <w:rPr>
          <w:rFonts w:ascii="Arial" w:hAnsi="Arial" w:cs="Arial"/>
          <w:sz w:val="24"/>
          <w:szCs w:val="24"/>
        </w:rPr>
      </w:pPr>
      <w:r>
        <w:rPr>
          <w:rFonts w:ascii="Arial" w:hAnsi="Arial" w:cs="Arial"/>
          <w:sz w:val="24"/>
          <w:szCs w:val="24"/>
        </w:rPr>
        <w:t>Input and feedback from all stakeholders on the Discussion Paper</w:t>
      </w:r>
      <w:r w:rsidRPr="00442015">
        <w:rPr>
          <w:rFonts w:ascii="Arial" w:hAnsi="Arial" w:cs="Arial"/>
          <w:sz w:val="24"/>
          <w:szCs w:val="24"/>
        </w:rPr>
        <w:t xml:space="preserve"> </w:t>
      </w:r>
      <w:r>
        <w:rPr>
          <w:rFonts w:ascii="Arial" w:hAnsi="Arial" w:cs="Arial"/>
          <w:sz w:val="24"/>
          <w:szCs w:val="24"/>
        </w:rPr>
        <w:t xml:space="preserve">and </w:t>
      </w:r>
      <w:r w:rsidR="00CA7D28">
        <w:rPr>
          <w:rFonts w:ascii="Arial" w:hAnsi="Arial" w:cs="Arial"/>
          <w:sz w:val="24"/>
          <w:szCs w:val="24"/>
        </w:rPr>
        <w:t xml:space="preserve">consultation draft Bill has been used to inform the amendments proposed in this Bill. </w:t>
      </w:r>
    </w:p>
    <w:p w14:paraId="1A2BA5E1" w14:textId="39F4948F" w:rsidR="00790FE4" w:rsidRDefault="00503AAB" w:rsidP="008C225D">
      <w:pPr>
        <w:pStyle w:val="Heading2"/>
      </w:pPr>
      <w:r>
        <w:t xml:space="preserve">CONSISTENCY WITH </w:t>
      </w:r>
      <w:r w:rsidR="00790FE4" w:rsidRPr="008C225D">
        <w:t>HUMAN RIGHTS</w:t>
      </w:r>
    </w:p>
    <w:p w14:paraId="1918D628" w14:textId="77777777" w:rsidR="00C753C2" w:rsidRPr="00414921"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735ECB8D" w14:textId="4AE5823F" w:rsidR="00CA7D28" w:rsidRDefault="00CA7D28" w:rsidP="00CA7D28">
      <w:pPr>
        <w:shd w:val="clear" w:color="auto" w:fill="FFFFFF"/>
        <w:rPr>
          <w:rFonts w:ascii="Arial" w:hAnsi="Arial" w:cs="Arial"/>
          <w:iCs/>
          <w:sz w:val="24"/>
          <w:szCs w:val="24"/>
        </w:rPr>
      </w:pPr>
      <w:r>
        <w:rPr>
          <w:rFonts w:ascii="Arial" w:hAnsi="Arial" w:cs="Arial"/>
          <w:iCs/>
          <w:sz w:val="24"/>
          <w:szCs w:val="24"/>
        </w:rPr>
        <w:t xml:space="preserve">The Bill engages the following rights under the Human Rights Act: </w:t>
      </w:r>
    </w:p>
    <w:p w14:paraId="61C296DB" w14:textId="27CBD33B" w:rsidR="00CA7D28" w:rsidRDefault="00F212CE">
      <w:pPr>
        <w:pStyle w:val="ListParagraph"/>
        <w:numPr>
          <w:ilvl w:val="0"/>
          <w:numId w:val="9"/>
        </w:numPr>
        <w:shd w:val="clear" w:color="auto" w:fill="FFFFFF"/>
        <w:rPr>
          <w:rFonts w:ascii="Arial" w:hAnsi="Arial" w:cs="Arial"/>
          <w:iCs/>
          <w:sz w:val="24"/>
          <w:szCs w:val="24"/>
        </w:rPr>
      </w:pPr>
      <w:r>
        <w:rPr>
          <w:rFonts w:ascii="Arial" w:hAnsi="Arial" w:cs="Arial"/>
          <w:iCs/>
          <w:sz w:val="24"/>
          <w:szCs w:val="24"/>
        </w:rPr>
        <w:t>Section 18 – Right to liberty and security of person (</w:t>
      </w:r>
      <w:r>
        <w:rPr>
          <w:rFonts w:ascii="Arial" w:hAnsi="Arial" w:cs="Arial"/>
          <w:i/>
          <w:sz w:val="24"/>
          <w:szCs w:val="24"/>
        </w:rPr>
        <w:t>promoted</w:t>
      </w:r>
      <w:r>
        <w:rPr>
          <w:rFonts w:ascii="Arial" w:hAnsi="Arial" w:cs="Arial"/>
          <w:iCs/>
          <w:sz w:val="24"/>
          <w:szCs w:val="24"/>
        </w:rPr>
        <w:t>)</w:t>
      </w:r>
    </w:p>
    <w:p w14:paraId="64ED5EB8" w14:textId="3728C755" w:rsidR="00F212CE" w:rsidRDefault="00F212CE">
      <w:pPr>
        <w:pStyle w:val="ListParagraph"/>
        <w:numPr>
          <w:ilvl w:val="0"/>
          <w:numId w:val="9"/>
        </w:numPr>
        <w:shd w:val="clear" w:color="auto" w:fill="FFFFFF"/>
        <w:rPr>
          <w:rFonts w:ascii="Arial" w:hAnsi="Arial" w:cs="Arial"/>
          <w:iCs/>
          <w:sz w:val="24"/>
          <w:szCs w:val="24"/>
        </w:rPr>
      </w:pPr>
      <w:r>
        <w:rPr>
          <w:rFonts w:ascii="Arial" w:hAnsi="Arial" w:cs="Arial"/>
          <w:iCs/>
          <w:sz w:val="24"/>
          <w:szCs w:val="24"/>
        </w:rPr>
        <w:t>Section 21 – Fair trial (</w:t>
      </w:r>
      <w:r>
        <w:rPr>
          <w:rFonts w:ascii="Arial" w:hAnsi="Arial" w:cs="Arial"/>
          <w:i/>
          <w:sz w:val="24"/>
          <w:szCs w:val="24"/>
        </w:rPr>
        <w:t>promoted</w:t>
      </w:r>
      <w:r>
        <w:rPr>
          <w:rFonts w:ascii="Arial" w:hAnsi="Arial" w:cs="Arial"/>
          <w:iCs/>
          <w:sz w:val="24"/>
          <w:szCs w:val="24"/>
        </w:rPr>
        <w:t>)</w:t>
      </w:r>
    </w:p>
    <w:p w14:paraId="5EEA24F6" w14:textId="58BCF3E1" w:rsidR="00F212CE" w:rsidRDefault="00F212CE">
      <w:pPr>
        <w:pStyle w:val="ListParagraph"/>
        <w:numPr>
          <w:ilvl w:val="0"/>
          <w:numId w:val="9"/>
        </w:numPr>
        <w:shd w:val="clear" w:color="auto" w:fill="FFFFFF"/>
        <w:rPr>
          <w:rFonts w:ascii="Arial" w:hAnsi="Arial" w:cs="Arial"/>
          <w:iCs/>
          <w:sz w:val="24"/>
          <w:szCs w:val="24"/>
        </w:rPr>
      </w:pPr>
      <w:r>
        <w:rPr>
          <w:rFonts w:ascii="Arial" w:hAnsi="Arial" w:cs="Arial"/>
          <w:iCs/>
          <w:sz w:val="24"/>
          <w:szCs w:val="24"/>
        </w:rPr>
        <w:t>Section 22 – Rights in criminal proceedings (</w:t>
      </w:r>
      <w:r>
        <w:rPr>
          <w:rFonts w:ascii="Arial" w:hAnsi="Arial" w:cs="Arial"/>
          <w:i/>
          <w:sz w:val="24"/>
          <w:szCs w:val="24"/>
        </w:rPr>
        <w:t>promoted</w:t>
      </w:r>
      <w:r w:rsidR="00C902F4">
        <w:rPr>
          <w:rFonts w:ascii="Arial" w:hAnsi="Arial" w:cs="Arial"/>
          <w:iCs/>
          <w:sz w:val="24"/>
          <w:szCs w:val="24"/>
        </w:rPr>
        <w:t xml:space="preserve"> and </w:t>
      </w:r>
      <w:r w:rsidR="00C902F4">
        <w:rPr>
          <w:rFonts w:ascii="Arial" w:hAnsi="Arial" w:cs="Arial"/>
          <w:i/>
          <w:sz w:val="24"/>
          <w:szCs w:val="24"/>
        </w:rPr>
        <w:t>limited</w:t>
      </w:r>
      <w:r>
        <w:rPr>
          <w:rFonts w:ascii="Arial" w:hAnsi="Arial" w:cs="Arial"/>
          <w:iCs/>
          <w:sz w:val="24"/>
          <w:szCs w:val="24"/>
        </w:rPr>
        <w:t>)</w:t>
      </w:r>
      <w:r w:rsidR="007B1D2C">
        <w:rPr>
          <w:rFonts w:ascii="Arial" w:hAnsi="Arial" w:cs="Arial"/>
          <w:iCs/>
          <w:sz w:val="24"/>
          <w:szCs w:val="24"/>
        </w:rPr>
        <w:t>.</w:t>
      </w:r>
      <w:r w:rsidR="000021D6">
        <w:rPr>
          <w:rFonts w:ascii="Arial" w:hAnsi="Arial" w:cs="Arial"/>
          <w:iCs/>
          <w:sz w:val="24"/>
          <w:szCs w:val="24"/>
        </w:rPr>
        <w:t xml:space="preserve"> </w:t>
      </w:r>
    </w:p>
    <w:p w14:paraId="730E5A67" w14:textId="77777777" w:rsidR="00CA7D28" w:rsidRPr="00CA7D28" w:rsidRDefault="00CA7D28" w:rsidP="00CA7D28">
      <w:pPr>
        <w:pStyle w:val="ListParagraph"/>
        <w:shd w:val="clear" w:color="auto" w:fill="FFFFFF"/>
        <w:rPr>
          <w:rFonts w:ascii="Arial" w:hAnsi="Arial" w:cs="Arial"/>
          <w:iCs/>
          <w:sz w:val="24"/>
          <w:szCs w:val="24"/>
        </w:rPr>
      </w:pPr>
    </w:p>
    <w:p w14:paraId="56D5AAAF" w14:textId="0EB6475E" w:rsidR="00BC3EF0" w:rsidRPr="00BC3EF0" w:rsidRDefault="00BC3EF0" w:rsidP="00414921">
      <w:pPr>
        <w:rPr>
          <w:rFonts w:ascii="Arial" w:hAnsi="Arial" w:cs="Arial"/>
          <w:b/>
          <w:bCs/>
          <w:i/>
          <w:sz w:val="24"/>
          <w:szCs w:val="24"/>
        </w:rPr>
      </w:pPr>
      <w:r w:rsidRPr="00BC3EF0">
        <w:rPr>
          <w:rFonts w:ascii="Arial" w:hAnsi="Arial" w:cs="Arial"/>
          <w:b/>
          <w:bCs/>
          <w:i/>
          <w:sz w:val="24"/>
          <w:szCs w:val="24"/>
        </w:rPr>
        <w:t>Rights Promoted</w:t>
      </w:r>
    </w:p>
    <w:p w14:paraId="79F01D84" w14:textId="2ACC4B5B" w:rsidR="00311A03" w:rsidRDefault="00311A03" w:rsidP="00043055">
      <w:pPr>
        <w:shd w:val="clear" w:color="auto" w:fill="FFFFFF"/>
        <w:rPr>
          <w:rFonts w:ascii="Arial" w:hAnsi="Arial" w:cs="Arial"/>
          <w:iCs/>
          <w:sz w:val="24"/>
          <w:szCs w:val="24"/>
          <w:u w:val="single"/>
        </w:rPr>
      </w:pPr>
      <w:r>
        <w:rPr>
          <w:rFonts w:ascii="Arial" w:hAnsi="Arial" w:cs="Arial"/>
          <w:iCs/>
          <w:sz w:val="24"/>
          <w:szCs w:val="24"/>
          <w:u w:val="single"/>
        </w:rPr>
        <w:t>Section 18 – Right to liberty and security of person</w:t>
      </w:r>
    </w:p>
    <w:p w14:paraId="1C99F924" w14:textId="76D15D10" w:rsidR="005E1123" w:rsidRDefault="005E1123" w:rsidP="00E0588D">
      <w:pPr>
        <w:shd w:val="clear" w:color="auto" w:fill="FFFFFF"/>
        <w:rPr>
          <w:rFonts w:ascii="Arial" w:hAnsi="Arial" w:cs="Arial"/>
          <w:iCs/>
          <w:sz w:val="24"/>
          <w:szCs w:val="24"/>
        </w:rPr>
      </w:pPr>
      <w:r>
        <w:rPr>
          <w:rFonts w:ascii="Arial" w:hAnsi="Arial" w:cs="Arial"/>
          <w:iCs/>
          <w:sz w:val="24"/>
          <w:szCs w:val="24"/>
        </w:rPr>
        <w:t xml:space="preserve">As stated above, the Bail Act will apply equally to the new right to appeal on the grounds of fresh and compelling evidence as it does existing appeal rights. </w:t>
      </w:r>
    </w:p>
    <w:p w14:paraId="681910DD" w14:textId="12EBF48A" w:rsidR="00E0588D" w:rsidRDefault="00E0588D" w:rsidP="00E0588D">
      <w:pPr>
        <w:shd w:val="clear" w:color="auto" w:fill="FFFFFF"/>
        <w:rPr>
          <w:rFonts w:ascii="Arial" w:hAnsi="Arial" w:cs="Arial"/>
          <w:iCs/>
          <w:sz w:val="24"/>
          <w:szCs w:val="24"/>
        </w:rPr>
      </w:pPr>
      <w:r>
        <w:rPr>
          <w:rFonts w:ascii="Arial" w:hAnsi="Arial" w:cs="Arial"/>
          <w:iCs/>
          <w:sz w:val="24"/>
          <w:szCs w:val="24"/>
        </w:rPr>
        <w:lastRenderedPageBreak/>
        <w:t xml:space="preserve">The Bill </w:t>
      </w:r>
      <w:r w:rsidR="005E1123">
        <w:rPr>
          <w:rFonts w:ascii="Arial" w:hAnsi="Arial" w:cs="Arial"/>
          <w:iCs/>
          <w:sz w:val="24"/>
          <w:szCs w:val="24"/>
        </w:rPr>
        <w:t>promotes</w:t>
      </w:r>
      <w:r>
        <w:rPr>
          <w:rFonts w:ascii="Arial" w:hAnsi="Arial" w:cs="Arial"/>
          <w:iCs/>
          <w:sz w:val="24"/>
          <w:szCs w:val="24"/>
        </w:rPr>
        <w:t xml:space="preserve"> the right to liberty and security of person by </w:t>
      </w:r>
      <w:r w:rsidR="00340D30">
        <w:rPr>
          <w:rFonts w:ascii="Arial" w:hAnsi="Arial" w:cs="Arial"/>
          <w:iCs/>
          <w:sz w:val="24"/>
          <w:szCs w:val="24"/>
        </w:rPr>
        <w:t xml:space="preserve">creating further opportunities for someone to be </w:t>
      </w:r>
      <w:r w:rsidR="001F35AB">
        <w:rPr>
          <w:rFonts w:ascii="Arial" w:hAnsi="Arial" w:cs="Arial"/>
          <w:iCs/>
          <w:sz w:val="24"/>
          <w:szCs w:val="24"/>
        </w:rPr>
        <w:t xml:space="preserve">released </w:t>
      </w:r>
      <w:r w:rsidR="005E1123">
        <w:rPr>
          <w:rFonts w:ascii="Arial" w:hAnsi="Arial" w:cs="Arial"/>
          <w:iCs/>
          <w:sz w:val="24"/>
          <w:szCs w:val="24"/>
        </w:rPr>
        <w:t xml:space="preserve">from imprisonment </w:t>
      </w:r>
      <w:r w:rsidR="00774318">
        <w:rPr>
          <w:rFonts w:ascii="Arial" w:hAnsi="Arial" w:cs="Arial"/>
          <w:iCs/>
          <w:sz w:val="24"/>
          <w:szCs w:val="24"/>
        </w:rPr>
        <w:t xml:space="preserve">under the </w:t>
      </w:r>
      <w:r w:rsidR="00774318" w:rsidRPr="005E1123">
        <w:rPr>
          <w:rFonts w:ascii="Arial" w:hAnsi="Arial" w:cs="Arial"/>
          <w:iCs/>
          <w:sz w:val="24"/>
          <w:szCs w:val="24"/>
        </w:rPr>
        <w:t xml:space="preserve">Bail Act </w:t>
      </w:r>
      <w:r w:rsidR="001F35AB">
        <w:rPr>
          <w:rFonts w:ascii="Arial" w:hAnsi="Arial" w:cs="Arial"/>
          <w:iCs/>
          <w:sz w:val="24"/>
          <w:szCs w:val="24"/>
        </w:rPr>
        <w:t xml:space="preserve">pending the outcome of </w:t>
      </w:r>
      <w:r w:rsidR="005E1123">
        <w:rPr>
          <w:rFonts w:ascii="Arial" w:hAnsi="Arial" w:cs="Arial"/>
          <w:iCs/>
          <w:sz w:val="24"/>
          <w:szCs w:val="24"/>
        </w:rPr>
        <w:t>an</w:t>
      </w:r>
      <w:r w:rsidR="001F35AB">
        <w:rPr>
          <w:rFonts w:ascii="Arial" w:hAnsi="Arial" w:cs="Arial"/>
          <w:iCs/>
          <w:sz w:val="24"/>
          <w:szCs w:val="24"/>
        </w:rPr>
        <w:t xml:space="preserve"> appeal</w:t>
      </w:r>
      <w:r w:rsidR="005E1123">
        <w:rPr>
          <w:rFonts w:ascii="Arial" w:hAnsi="Arial" w:cs="Arial"/>
          <w:iCs/>
          <w:sz w:val="24"/>
          <w:szCs w:val="24"/>
        </w:rPr>
        <w:t xml:space="preserve"> (especially where it is possible to discern immediately a patent error in the proceedings which indicates the appellant has a good chance of success)</w:t>
      </w:r>
      <w:r w:rsidR="005E1123">
        <w:rPr>
          <w:rStyle w:val="FootnoteReference"/>
          <w:rFonts w:ascii="Arial" w:hAnsi="Arial"/>
          <w:iCs/>
          <w:sz w:val="24"/>
          <w:szCs w:val="24"/>
        </w:rPr>
        <w:footnoteReference w:id="2"/>
      </w:r>
      <w:r w:rsidR="00774318">
        <w:rPr>
          <w:rFonts w:ascii="Arial" w:hAnsi="Arial" w:cs="Arial"/>
          <w:iCs/>
          <w:sz w:val="24"/>
          <w:szCs w:val="24"/>
        </w:rPr>
        <w:t xml:space="preserve"> or, in certain circumstances, a stay of enforcement or execution of </w:t>
      </w:r>
      <w:r w:rsidR="005E1123">
        <w:rPr>
          <w:rFonts w:ascii="Arial" w:hAnsi="Arial" w:cs="Arial"/>
          <w:iCs/>
          <w:sz w:val="24"/>
          <w:szCs w:val="24"/>
        </w:rPr>
        <w:t>a</w:t>
      </w:r>
      <w:r w:rsidR="00774318">
        <w:rPr>
          <w:rFonts w:ascii="Arial" w:hAnsi="Arial" w:cs="Arial"/>
          <w:iCs/>
          <w:sz w:val="24"/>
          <w:szCs w:val="24"/>
        </w:rPr>
        <w:t xml:space="preserve"> decision, conviction, order, sentence or penalty under section 216 of the </w:t>
      </w:r>
      <w:r w:rsidR="00774318">
        <w:rPr>
          <w:rFonts w:ascii="Arial" w:hAnsi="Arial" w:cs="Arial"/>
          <w:i/>
          <w:sz w:val="24"/>
          <w:szCs w:val="24"/>
        </w:rPr>
        <w:t>Magistrates Court Act 1930</w:t>
      </w:r>
      <w:r w:rsidR="00774318">
        <w:rPr>
          <w:rFonts w:ascii="Arial" w:hAnsi="Arial" w:cs="Arial"/>
          <w:iCs/>
          <w:sz w:val="24"/>
          <w:szCs w:val="24"/>
        </w:rPr>
        <w:t xml:space="preserve">. </w:t>
      </w:r>
    </w:p>
    <w:p w14:paraId="420FF43E" w14:textId="17125B03" w:rsidR="008F315C" w:rsidRDefault="008F315C" w:rsidP="008F315C">
      <w:pPr>
        <w:shd w:val="clear" w:color="auto" w:fill="FFFFFF"/>
        <w:rPr>
          <w:rFonts w:ascii="Arial" w:hAnsi="Arial" w:cs="Arial"/>
          <w:iCs/>
          <w:sz w:val="24"/>
          <w:szCs w:val="24"/>
          <w:u w:val="single"/>
        </w:rPr>
      </w:pPr>
      <w:r>
        <w:rPr>
          <w:rFonts w:ascii="Arial" w:hAnsi="Arial" w:cs="Arial"/>
          <w:iCs/>
          <w:sz w:val="24"/>
          <w:szCs w:val="24"/>
          <w:u w:val="single"/>
        </w:rPr>
        <w:t>Section 21</w:t>
      </w:r>
      <w:r w:rsidR="00C902F4">
        <w:rPr>
          <w:rFonts w:ascii="Arial" w:hAnsi="Arial" w:cs="Arial"/>
          <w:iCs/>
          <w:sz w:val="24"/>
          <w:szCs w:val="24"/>
          <w:u w:val="single"/>
        </w:rPr>
        <w:t xml:space="preserve"> – Fair trial</w:t>
      </w:r>
    </w:p>
    <w:p w14:paraId="2747CF5D" w14:textId="524C2B9F" w:rsidR="00A77EDE" w:rsidRDefault="005E1123" w:rsidP="005E1123">
      <w:pPr>
        <w:shd w:val="clear" w:color="auto" w:fill="FFFFFF"/>
        <w:rPr>
          <w:rFonts w:ascii="Arial" w:hAnsi="Arial" w:cs="Arial"/>
          <w:iCs/>
          <w:sz w:val="24"/>
          <w:szCs w:val="24"/>
        </w:rPr>
      </w:pPr>
      <w:r>
        <w:rPr>
          <w:rFonts w:ascii="Arial" w:hAnsi="Arial" w:cs="Arial"/>
          <w:iCs/>
          <w:sz w:val="24"/>
          <w:szCs w:val="24"/>
        </w:rPr>
        <w:t>The Bill promotes the right to fair trial, particularly the right of everyone to have criminal charges</w:t>
      </w:r>
      <w:r w:rsidR="00A77EDE">
        <w:rPr>
          <w:rFonts w:ascii="Arial" w:hAnsi="Arial" w:cs="Arial"/>
          <w:iCs/>
          <w:sz w:val="24"/>
          <w:szCs w:val="24"/>
        </w:rPr>
        <w:t xml:space="preserve"> decided by a competent, independent and impartial court or tribunal after a fair and public hearing,</w:t>
      </w:r>
      <w:r>
        <w:rPr>
          <w:rFonts w:ascii="Arial" w:hAnsi="Arial" w:cs="Arial"/>
          <w:iCs/>
          <w:sz w:val="24"/>
          <w:szCs w:val="24"/>
        </w:rPr>
        <w:t xml:space="preserve"> by ensuring that the new right to appeal on the grounds of fresh and compelling evidence applies to any conviction or finding of guilt</w:t>
      </w:r>
      <w:r w:rsidR="00A77EDE">
        <w:rPr>
          <w:rFonts w:ascii="Arial" w:hAnsi="Arial" w:cs="Arial"/>
          <w:iCs/>
          <w:sz w:val="24"/>
          <w:szCs w:val="24"/>
        </w:rPr>
        <w:t xml:space="preserve">. </w:t>
      </w:r>
    </w:p>
    <w:p w14:paraId="4F3252F8" w14:textId="5DAF6C24" w:rsidR="00A77EDE" w:rsidRDefault="00A77EDE" w:rsidP="005E1123">
      <w:pPr>
        <w:shd w:val="clear" w:color="auto" w:fill="FFFFFF"/>
        <w:rPr>
          <w:rFonts w:ascii="Arial" w:hAnsi="Arial" w:cs="Arial"/>
          <w:iCs/>
          <w:sz w:val="24"/>
          <w:szCs w:val="24"/>
        </w:rPr>
      </w:pPr>
      <w:r>
        <w:rPr>
          <w:rFonts w:ascii="Arial" w:hAnsi="Arial" w:cs="Arial"/>
          <w:iCs/>
          <w:sz w:val="24"/>
          <w:szCs w:val="24"/>
        </w:rPr>
        <w:t xml:space="preserve">The Bill acknowledges that any conviction or finding of guilt can have a significant impact on an individual. </w:t>
      </w:r>
    </w:p>
    <w:p w14:paraId="56649855" w14:textId="2F5D12E0" w:rsidR="008F315C" w:rsidRDefault="00A77EDE" w:rsidP="005E1123">
      <w:pPr>
        <w:shd w:val="clear" w:color="auto" w:fill="FFFFFF"/>
        <w:rPr>
          <w:rFonts w:ascii="Arial" w:hAnsi="Arial" w:cs="Arial"/>
          <w:iCs/>
          <w:sz w:val="24"/>
          <w:szCs w:val="24"/>
        </w:rPr>
      </w:pPr>
      <w:r>
        <w:rPr>
          <w:rFonts w:ascii="Arial" w:hAnsi="Arial" w:cs="Arial"/>
          <w:iCs/>
          <w:sz w:val="24"/>
          <w:szCs w:val="24"/>
        </w:rPr>
        <w:t xml:space="preserve">The United Nations Human Rights Committee (UNHRC) has stated that: </w:t>
      </w:r>
    </w:p>
    <w:p w14:paraId="20A9EA47" w14:textId="626E812C" w:rsidR="00A77EDE" w:rsidRDefault="00A77EDE" w:rsidP="00A77EDE">
      <w:pPr>
        <w:shd w:val="clear" w:color="auto" w:fill="FFFFFF"/>
        <w:ind w:left="720"/>
        <w:rPr>
          <w:rFonts w:ascii="Arial" w:hAnsi="Arial" w:cs="Arial"/>
          <w:iCs/>
        </w:rPr>
      </w:pPr>
      <w:r>
        <w:rPr>
          <w:rFonts w:ascii="Arial" w:hAnsi="Arial" w:cs="Arial"/>
          <w:iCs/>
        </w:rPr>
        <w:t xml:space="preserve">anyone convicted of a crime shall have the right to have their conviction and sentence reviewed by a higher tribunal according to law. As the different languages (crime, </w:t>
      </w:r>
      <w:r>
        <w:rPr>
          <w:rFonts w:ascii="Arial" w:hAnsi="Arial" w:cs="Arial"/>
          <w:i/>
        </w:rPr>
        <w:t>infraction</w:t>
      </w:r>
      <w:r>
        <w:rPr>
          <w:rFonts w:ascii="Arial" w:hAnsi="Arial" w:cs="Arial"/>
          <w:iCs/>
        </w:rPr>
        <w:t xml:space="preserve">, </w:t>
      </w:r>
      <w:r>
        <w:rPr>
          <w:rFonts w:ascii="Arial" w:hAnsi="Arial" w:cs="Arial"/>
          <w:i/>
        </w:rPr>
        <w:t>delito</w:t>
      </w:r>
      <w:r>
        <w:rPr>
          <w:rFonts w:ascii="Arial" w:hAnsi="Arial" w:cs="Arial"/>
          <w:iCs/>
        </w:rPr>
        <w:t>) show, the guarantee is not confided to the most serious offences.</w:t>
      </w:r>
      <w:r w:rsidR="00845D7B">
        <w:rPr>
          <w:rStyle w:val="FootnoteReference"/>
          <w:rFonts w:ascii="Arial" w:hAnsi="Arial"/>
          <w:iCs/>
        </w:rPr>
        <w:footnoteReference w:id="3"/>
      </w:r>
      <w:r>
        <w:rPr>
          <w:rFonts w:ascii="Arial" w:hAnsi="Arial" w:cs="Arial"/>
          <w:iCs/>
        </w:rPr>
        <w:t xml:space="preserve"> </w:t>
      </w:r>
    </w:p>
    <w:p w14:paraId="445E6839" w14:textId="2989CD67" w:rsidR="00845D7B" w:rsidRDefault="00845D7B" w:rsidP="00845D7B">
      <w:pPr>
        <w:shd w:val="clear" w:color="auto" w:fill="FFFFFF"/>
        <w:rPr>
          <w:rFonts w:ascii="Arial" w:hAnsi="Arial" w:cs="Arial"/>
          <w:iCs/>
          <w:sz w:val="24"/>
          <w:szCs w:val="24"/>
        </w:rPr>
      </w:pPr>
      <w:r>
        <w:rPr>
          <w:rFonts w:ascii="Arial" w:hAnsi="Arial" w:cs="Arial"/>
          <w:iCs/>
          <w:sz w:val="24"/>
          <w:szCs w:val="24"/>
        </w:rPr>
        <w:t xml:space="preserve">Therefore, by applying the new right to appeal to all offences, the Bill promotes the right to fair trial. </w:t>
      </w:r>
    </w:p>
    <w:p w14:paraId="2699AD48" w14:textId="75998BC8" w:rsidR="00410064" w:rsidRDefault="00410064" w:rsidP="00845D7B">
      <w:pPr>
        <w:shd w:val="clear" w:color="auto" w:fill="FFFFFF"/>
        <w:rPr>
          <w:rFonts w:ascii="Arial" w:hAnsi="Arial" w:cs="Arial"/>
          <w:iCs/>
          <w:sz w:val="24"/>
          <w:szCs w:val="24"/>
          <w:u w:val="single"/>
        </w:rPr>
      </w:pPr>
      <w:r>
        <w:rPr>
          <w:rFonts w:ascii="Arial" w:hAnsi="Arial" w:cs="Arial"/>
          <w:iCs/>
          <w:sz w:val="24"/>
          <w:szCs w:val="24"/>
          <w:u w:val="single"/>
        </w:rPr>
        <w:t>Section 22 – Rights in criminal proceedings</w:t>
      </w:r>
    </w:p>
    <w:p w14:paraId="1E946BA6" w14:textId="41343B6B" w:rsidR="00410064" w:rsidRDefault="007D2310" w:rsidP="00845D7B">
      <w:pPr>
        <w:shd w:val="clear" w:color="auto" w:fill="FFFFFF"/>
        <w:rPr>
          <w:rFonts w:ascii="Arial" w:hAnsi="Arial" w:cs="Arial"/>
          <w:iCs/>
          <w:sz w:val="24"/>
          <w:szCs w:val="24"/>
        </w:rPr>
      </w:pPr>
      <w:r>
        <w:rPr>
          <w:rFonts w:ascii="Arial" w:hAnsi="Arial" w:cs="Arial"/>
          <w:iCs/>
          <w:sz w:val="24"/>
          <w:szCs w:val="24"/>
        </w:rPr>
        <w:t xml:space="preserve">The Bill promotes rights in criminal proceedings, particularly the right of anyone convicted of a criminal offence to have the conviction and sentence reviewed by a higher court in accordance with law, by introducing a new right to appeal on the grounds of fresh and compelling evidence. </w:t>
      </w:r>
    </w:p>
    <w:p w14:paraId="4468EBE3" w14:textId="77777777" w:rsidR="0093316D" w:rsidRPr="0093316D" w:rsidRDefault="0093316D" w:rsidP="0093316D">
      <w:pPr>
        <w:pStyle w:val="ListParagraph"/>
        <w:shd w:val="clear" w:color="auto" w:fill="FFFFFF"/>
        <w:rPr>
          <w:rFonts w:ascii="Arial" w:hAnsi="Arial" w:cs="Arial"/>
          <w:iCs/>
          <w:sz w:val="24"/>
          <w:szCs w:val="24"/>
        </w:rPr>
      </w:pPr>
    </w:p>
    <w:p w14:paraId="265D5486" w14:textId="77777777" w:rsidR="00BC3EF0" w:rsidRPr="00BC3EF0" w:rsidRDefault="00BC3EF0" w:rsidP="00414921">
      <w:pPr>
        <w:rPr>
          <w:rFonts w:ascii="Arial" w:hAnsi="Arial" w:cs="Arial"/>
          <w:b/>
          <w:bCs/>
          <w:i/>
          <w:sz w:val="24"/>
          <w:szCs w:val="24"/>
        </w:rPr>
      </w:pPr>
      <w:r w:rsidRPr="00BC3EF0">
        <w:rPr>
          <w:rFonts w:ascii="Arial" w:hAnsi="Arial" w:cs="Arial"/>
          <w:b/>
          <w:bCs/>
          <w:i/>
          <w:sz w:val="24"/>
          <w:szCs w:val="24"/>
        </w:rPr>
        <w:t>Rights Limited</w:t>
      </w:r>
    </w:p>
    <w:p w14:paraId="7C3B0F88" w14:textId="7BADEE42" w:rsidR="00BC3EF0" w:rsidRPr="005C6C39" w:rsidRDefault="005C6C39" w:rsidP="00414921">
      <w:pPr>
        <w:rPr>
          <w:rFonts w:ascii="Arial" w:hAnsi="Arial" w:cs="Arial"/>
          <w:iCs/>
          <w:sz w:val="24"/>
          <w:szCs w:val="24"/>
          <w:u w:val="single"/>
        </w:rPr>
      </w:pPr>
      <w:r w:rsidRPr="005C6C39">
        <w:rPr>
          <w:rFonts w:ascii="Arial" w:hAnsi="Arial" w:cs="Arial"/>
          <w:iCs/>
          <w:sz w:val="24"/>
          <w:szCs w:val="24"/>
          <w:u w:val="single"/>
        </w:rPr>
        <w:t xml:space="preserve">Section </w:t>
      </w:r>
      <w:r>
        <w:rPr>
          <w:rFonts w:ascii="Arial" w:hAnsi="Arial" w:cs="Arial"/>
          <w:iCs/>
          <w:sz w:val="24"/>
          <w:szCs w:val="24"/>
          <w:u w:val="single"/>
        </w:rPr>
        <w:t>22 – Rights in criminal proceedings</w:t>
      </w:r>
    </w:p>
    <w:p w14:paraId="05BFF737" w14:textId="6856C85F" w:rsidR="00376166" w:rsidRPr="005C6C39" w:rsidRDefault="007C565D">
      <w:pPr>
        <w:pStyle w:val="ListParagraph"/>
        <w:numPr>
          <w:ilvl w:val="0"/>
          <w:numId w:val="3"/>
        </w:numPr>
        <w:rPr>
          <w:rFonts w:ascii="Arial" w:hAnsi="Arial" w:cs="Arial"/>
          <w:i/>
          <w:sz w:val="24"/>
          <w:szCs w:val="24"/>
        </w:rPr>
      </w:pPr>
      <w:r w:rsidRPr="005C6C39">
        <w:rPr>
          <w:rFonts w:ascii="Arial" w:hAnsi="Arial" w:cs="Arial"/>
          <w:i/>
          <w:sz w:val="24"/>
          <w:szCs w:val="24"/>
        </w:rPr>
        <w:t>Nature of the right and the limitation (s28(a) and</w:t>
      </w:r>
      <w:r w:rsidR="00414921" w:rsidRPr="005C6C39">
        <w:rPr>
          <w:rFonts w:ascii="Arial" w:hAnsi="Arial" w:cs="Arial"/>
          <w:i/>
          <w:sz w:val="24"/>
          <w:szCs w:val="24"/>
        </w:rPr>
        <w:t xml:space="preserve"> </w:t>
      </w:r>
      <w:r w:rsidRPr="005C6C39">
        <w:rPr>
          <w:rFonts w:ascii="Arial" w:hAnsi="Arial" w:cs="Arial"/>
          <w:i/>
          <w:sz w:val="24"/>
          <w:szCs w:val="24"/>
        </w:rPr>
        <w:t>(c))</w:t>
      </w:r>
    </w:p>
    <w:p w14:paraId="4E59EDBA" w14:textId="77777777" w:rsidR="007C565D" w:rsidRDefault="007C565D" w:rsidP="00414921">
      <w:pPr>
        <w:pStyle w:val="ListParagraph"/>
        <w:ind w:left="360"/>
        <w:rPr>
          <w:rFonts w:ascii="Arial" w:hAnsi="Arial" w:cs="Arial"/>
          <w:i/>
          <w:color w:val="FF0000"/>
          <w:sz w:val="24"/>
          <w:szCs w:val="24"/>
        </w:rPr>
      </w:pPr>
    </w:p>
    <w:p w14:paraId="667B79F7" w14:textId="29AF9EAB" w:rsidR="006555E3" w:rsidRPr="005C6C39" w:rsidRDefault="005C6C39" w:rsidP="005C6C39">
      <w:pPr>
        <w:rPr>
          <w:rFonts w:ascii="Arial" w:hAnsi="Arial" w:cs="Arial"/>
          <w:sz w:val="24"/>
          <w:szCs w:val="24"/>
        </w:rPr>
      </w:pPr>
      <w:r>
        <w:rPr>
          <w:rFonts w:ascii="Arial" w:hAnsi="Arial" w:cs="Arial"/>
          <w:sz w:val="24"/>
          <w:szCs w:val="24"/>
        </w:rPr>
        <w:t xml:space="preserve">As set out above, anyone convicted of a criminal offence has the right to have the conviction and sentence reviewed by a higher court in accordance with law. </w:t>
      </w:r>
      <w:r w:rsidR="00176D37">
        <w:rPr>
          <w:rFonts w:ascii="Arial" w:hAnsi="Arial" w:cs="Arial"/>
          <w:sz w:val="24"/>
          <w:szCs w:val="24"/>
        </w:rPr>
        <w:t xml:space="preserve">The threshold for allowing the new right to appeal includes that there has been a </w:t>
      </w:r>
      <w:r w:rsidR="00176D37">
        <w:rPr>
          <w:rFonts w:ascii="Arial" w:hAnsi="Arial" w:cs="Arial"/>
          <w:sz w:val="24"/>
          <w:szCs w:val="24"/>
        </w:rPr>
        <w:lastRenderedPageBreak/>
        <w:t xml:space="preserve">“substantial miscarriage of justice”. This limits the right by providing a higher threshold than required to grant leave to appeal, and an additional criterion to “fresh and compelling evidence”. </w:t>
      </w:r>
    </w:p>
    <w:p w14:paraId="4C31D8E5" w14:textId="7ED1D899" w:rsidR="007C565D" w:rsidRPr="00AB5F4A" w:rsidRDefault="007C565D">
      <w:pPr>
        <w:pStyle w:val="ListParagraph"/>
        <w:numPr>
          <w:ilvl w:val="0"/>
          <w:numId w:val="3"/>
        </w:numPr>
        <w:rPr>
          <w:rFonts w:ascii="Arial" w:hAnsi="Arial" w:cs="Arial"/>
          <w:i/>
          <w:sz w:val="24"/>
          <w:szCs w:val="24"/>
        </w:rPr>
      </w:pPr>
      <w:r w:rsidRPr="00AB5F4A">
        <w:rPr>
          <w:rFonts w:ascii="Arial" w:hAnsi="Arial" w:cs="Arial"/>
          <w:i/>
          <w:sz w:val="24"/>
          <w:szCs w:val="24"/>
        </w:rPr>
        <w:t>Legitimate purpose (s28(b))</w:t>
      </w:r>
    </w:p>
    <w:p w14:paraId="66D48279" w14:textId="77777777" w:rsidR="007C565D" w:rsidRDefault="007C565D" w:rsidP="007C565D">
      <w:pPr>
        <w:pStyle w:val="ListParagraph"/>
        <w:ind w:left="360"/>
        <w:rPr>
          <w:rFonts w:ascii="Arial" w:hAnsi="Arial" w:cs="Arial"/>
          <w:i/>
          <w:color w:val="FF0000"/>
          <w:sz w:val="24"/>
          <w:szCs w:val="24"/>
        </w:rPr>
      </w:pPr>
    </w:p>
    <w:p w14:paraId="606A0DEF" w14:textId="50127966" w:rsidR="00516421" w:rsidRDefault="00516421" w:rsidP="00176D37">
      <w:pPr>
        <w:rPr>
          <w:rFonts w:ascii="Arial" w:hAnsi="Arial" w:cs="Arial"/>
          <w:iCs/>
          <w:sz w:val="24"/>
          <w:szCs w:val="24"/>
        </w:rPr>
      </w:pPr>
      <w:r>
        <w:rPr>
          <w:rFonts w:ascii="Arial" w:hAnsi="Arial" w:cs="Arial"/>
          <w:iCs/>
          <w:sz w:val="24"/>
          <w:szCs w:val="24"/>
        </w:rPr>
        <w:t xml:space="preserve">Rights in criminal proceedings may be subject to restrictions, set by law, necessary to support the efficient administration of justice by preventing appeals that are unlikely to succeed or are not in the public interest. </w:t>
      </w:r>
    </w:p>
    <w:p w14:paraId="2239E25C" w14:textId="4745EB8B" w:rsidR="007C565D" w:rsidRPr="00176D37" w:rsidRDefault="00176D37" w:rsidP="00176D37">
      <w:pPr>
        <w:rPr>
          <w:rFonts w:ascii="Arial" w:hAnsi="Arial" w:cs="Arial"/>
          <w:iCs/>
          <w:sz w:val="24"/>
          <w:szCs w:val="24"/>
        </w:rPr>
      </w:pPr>
      <w:r>
        <w:rPr>
          <w:rFonts w:ascii="Arial" w:hAnsi="Arial" w:cs="Arial"/>
          <w:iCs/>
          <w:sz w:val="24"/>
          <w:szCs w:val="24"/>
        </w:rPr>
        <w:t xml:space="preserve">The purpose of the limitation is to prevent vexatious and untenable appeals, </w:t>
      </w:r>
      <w:r w:rsidR="00516421">
        <w:rPr>
          <w:rFonts w:ascii="Arial" w:hAnsi="Arial" w:cs="Arial"/>
          <w:iCs/>
          <w:sz w:val="24"/>
          <w:szCs w:val="24"/>
        </w:rPr>
        <w:t xml:space="preserve">promote trust in the criminal justice system and to use a test that has been consistently used in case law and other jurisdictions in Australia. </w:t>
      </w:r>
    </w:p>
    <w:p w14:paraId="28129201" w14:textId="5B5F740C" w:rsidR="007C565D" w:rsidRPr="00AB5F4A" w:rsidRDefault="00376166">
      <w:pPr>
        <w:pStyle w:val="ListParagraph"/>
        <w:numPr>
          <w:ilvl w:val="0"/>
          <w:numId w:val="3"/>
        </w:numPr>
        <w:rPr>
          <w:rFonts w:ascii="Arial" w:hAnsi="Arial" w:cs="Arial"/>
          <w:i/>
          <w:sz w:val="24"/>
          <w:szCs w:val="24"/>
        </w:rPr>
      </w:pPr>
      <w:r w:rsidRPr="00AB5F4A">
        <w:rPr>
          <w:rFonts w:ascii="Arial" w:hAnsi="Arial" w:cs="Arial"/>
          <w:i/>
          <w:sz w:val="24"/>
          <w:szCs w:val="24"/>
        </w:rPr>
        <w:t xml:space="preserve">Rational connection </w:t>
      </w:r>
      <w:r w:rsidR="007C565D" w:rsidRPr="00AB5F4A">
        <w:rPr>
          <w:rFonts w:ascii="Arial" w:hAnsi="Arial" w:cs="Arial"/>
          <w:i/>
          <w:sz w:val="24"/>
          <w:szCs w:val="24"/>
        </w:rPr>
        <w:t>between the limitation and the purpose (s28(d))</w:t>
      </w:r>
    </w:p>
    <w:p w14:paraId="4C51CABB" w14:textId="77777777" w:rsidR="007C565D" w:rsidRDefault="007C565D" w:rsidP="007C565D">
      <w:pPr>
        <w:pStyle w:val="ListParagraph"/>
        <w:ind w:left="360"/>
        <w:rPr>
          <w:rFonts w:ascii="Arial" w:hAnsi="Arial" w:cs="Arial"/>
          <w:i/>
          <w:color w:val="FF0000"/>
          <w:sz w:val="24"/>
          <w:szCs w:val="24"/>
        </w:rPr>
      </w:pPr>
    </w:p>
    <w:p w14:paraId="52BC82AA" w14:textId="49E19EFC" w:rsidR="007C565D" w:rsidRPr="001F2C3B" w:rsidRDefault="00516421" w:rsidP="00516421">
      <w:pPr>
        <w:rPr>
          <w:rFonts w:ascii="Arial" w:hAnsi="Arial" w:cs="Arial"/>
          <w:iCs/>
          <w:sz w:val="24"/>
          <w:szCs w:val="24"/>
        </w:rPr>
      </w:pPr>
      <w:r>
        <w:rPr>
          <w:rFonts w:ascii="Arial" w:hAnsi="Arial" w:cs="Arial"/>
          <w:iCs/>
          <w:sz w:val="24"/>
          <w:szCs w:val="24"/>
        </w:rPr>
        <w:t>The test of “substantial miscarriage of justice” is likely to achieve the objective of preventing appeals that are unlikely to succeed due to the test being used consistently across the jurisdictions. The test has been endorsed by the High Court (</w:t>
      </w:r>
      <w:r>
        <w:rPr>
          <w:rFonts w:ascii="Arial" w:hAnsi="Arial" w:cs="Arial"/>
          <w:i/>
          <w:sz w:val="24"/>
          <w:szCs w:val="24"/>
        </w:rPr>
        <w:t xml:space="preserve">Van Beelen v The Queen </w:t>
      </w:r>
      <w:r>
        <w:rPr>
          <w:rFonts w:ascii="Arial" w:hAnsi="Arial" w:cs="Arial"/>
          <w:iCs/>
          <w:sz w:val="24"/>
          <w:szCs w:val="24"/>
        </w:rPr>
        <w:t>[2017] HCA 48) and has been adopted in South Australia (</w:t>
      </w:r>
      <w:r w:rsidR="001F2C3B">
        <w:rPr>
          <w:rFonts w:ascii="Arial" w:hAnsi="Arial" w:cs="Arial"/>
          <w:i/>
          <w:sz w:val="24"/>
          <w:szCs w:val="24"/>
        </w:rPr>
        <w:t xml:space="preserve">R v Keogh (No 2) </w:t>
      </w:r>
      <w:r w:rsidR="001F2C3B">
        <w:rPr>
          <w:rFonts w:ascii="Arial" w:hAnsi="Arial" w:cs="Arial"/>
          <w:iCs/>
          <w:sz w:val="24"/>
          <w:szCs w:val="24"/>
        </w:rPr>
        <w:t>[2014] SASCFC 136) and Tasmania (</w:t>
      </w:r>
      <w:r w:rsidR="001F2C3B">
        <w:rPr>
          <w:rFonts w:ascii="Arial" w:hAnsi="Arial" w:cs="Arial"/>
          <w:i/>
          <w:sz w:val="24"/>
          <w:szCs w:val="24"/>
        </w:rPr>
        <w:t xml:space="preserve">Neill-Fraser v Tasmania </w:t>
      </w:r>
      <w:r w:rsidR="001F2C3B">
        <w:rPr>
          <w:rFonts w:ascii="Arial" w:hAnsi="Arial" w:cs="Arial"/>
          <w:iCs/>
          <w:sz w:val="24"/>
          <w:szCs w:val="24"/>
        </w:rPr>
        <w:t xml:space="preserve">[2019] TASSC 10). </w:t>
      </w:r>
      <w:r w:rsidR="00AB5F4A">
        <w:rPr>
          <w:rFonts w:ascii="Arial" w:hAnsi="Arial" w:cs="Arial"/>
          <w:iCs/>
          <w:sz w:val="24"/>
          <w:szCs w:val="24"/>
        </w:rPr>
        <w:t xml:space="preserve">Using the same test as other jurisdictions will also allow the ACT courts to rely on analogous case law when making decisions about cases in the ACT about the new right to appeal. </w:t>
      </w:r>
    </w:p>
    <w:p w14:paraId="2F822F2C" w14:textId="017C7172" w:rsidR="00376166" w:rsidRPr="00414921" w:rsidRDefault="00376166" w:rsidP="00414921">
      <w:pPr>
        <w:pStyle w:val="ListParagraph"/>
        <w:rPr>
          <w:rFonts w:ascii="Arial" w:hAnsi="Arial" w:cs="Arial"/>
          <w:i/>
          <w:color w:val="FF0000"/>
          <w:sz w:val="24"/>
          <w:szCs w:val="24"/>
        </w:rPr>
      </w:pPr>
    </w:p>
    <w:p w14:paraId="29C39D87" w14:textId="6C1E3077" w:rsidR="007D660F" w:rsidRPr="00AB5F4A" w:rsidRDefault="007C565D">
      <w:pPr>
        <w:pStyle w:val="ListParagraph"/>
        <w:numPr>
          <w:ilvl w:val="0"/>
          <w:numId w:val="3"/>
        </w:numPr>
        <w:rPr>
          <w:rFonts w:ascii="Arial" w:hAnsi="Arial" w:cs="Arial"/>
          <w:i/>
          <w:sz w:val="24"/>
          <w:szCs w:val="24"/>
        </w:rPr>
      </w:pPr>
      <w:r w:rsidRPr="00AB5F4A">
        <w:rPr>
          <w:rFonts w:ascii="Arial" w:hAnsi="Arial" w:cs="Arial"/>
          <w:i/>
          <w:sz w:val="24"/>
          <w:szCs w:val="24"/>
        </w:rPr>
        <w:t>Proportionality</w:t>
      </w:r>
      <w:r w:rsidR="003F68EE" w:rsidRPr="00AB5F4A">
        <w:rPr>
          <w:rFonts w:ascii="Arial" w:hAnsi="Arial" w:cs="Arial"/>
          <w:i/>
          <w:sz w:val="24"/>
          <w:szCs w:val="24"/>
        </w:rPr>
        <w:t xml:space="preserve"> (s28</w:t>
      </w:r>
      <w:r w:rsidR="007D6581" w:rsidRPr="00AB5F4A">
        <w:rPr>
          <w:rFonts w:ascii="Arial" w:hAnsi="Arial" w:cs="Arial"/>
          <w:i/>
          <w:sz w:val="24"/>
          <w:szCs w:val="24"/>
        </w:rPr>
        <w:t xml:space="preserve"> </w:t>
      </w:r>
      <w:r w:rsidR="003F68EE" w:rsidRPr="00AB5F4A">
        <w:rPr>
          <w:rFonts w:ascii="Arial" w:hAnsi="Arial" w:cs="Arial"/>
          <w:i/>
          <w:sz w:val="24"/>
          <w:szCs w:val="24"/>
        </w:rPr>
        <w:t>(e))</w:t>
      </w:r>
    </w:p>
    <w:p w14:paraId="5D362703" w14:textId="77777777" w:rsidR="006555E3" w:rsidRPr="00414921" w:rsidRDefault="006555E3" w:rsidP="006555E3">
      <w:pPr>
        <w:pStyle w:val="ListParagraph"/>
        <w:ind w:left="360"/>
        <w:rPr>
          <w:rFonts w:ascii="Arial" w:hAnsi="Arial" w:cs="Arial"/>
          <w:b/>
          <w:bCs/>
          <w:i/>
          <w:sz w:val="24"/>
          <w:szCs w:val="24"/>
        </w:rPr>
      </w:pPr>
    </w:p>
    <w:p w14:paraId="6577ED66" w14:textId="74575AE2" w:rsidR="001F2C3B" w:rsidRDefault="001F2C3B" w:rsidP="001F2C3B">
      <w:pPr>
        <w:rPr>
          <w:rFonts w:ascii="Arial" w:hAnsi="Arial" w:cs="Arial"/>
          <w:iCs/>
          <w:sz w:val="24"/>
          <w:szCs w:val="24"/>
        </w:rPr>
      </w:pPr>
      <w:r>
        <w:rPr>
          <w:rFonts w:ascii="Arial" w:hAnsi="Arial" w:cs="Arial"/>
          <w:iCs/>
          <w:sz w:val="24"/>
          <w:szCs w:val="24"/>
        </w:rPr>
        <w:t xml:space="preserve">A lesser test that was proposed for the new right to appeal was a “potential miscarriage of justice”, on the basis that this would broaden the test further. However, based on existing case law, the test of “substantial miscarriage of justice” has already been interpreted sufficiently broadly and there was nothing to suggest that the word “potential” would broaden the test in practice. </w:t>
      </w:r>
    </w:p>
    <w:p w14:paraId="605CD83E" w14:textId="6E8E7EEB" w:rsidR="00674074" w:rsidRDefault="001F2C3B" w:rsidP="001F2C3B">
      <w:pPr>
        <w:rPr>
          <w:rFonts w:ascii="Arial" w:hAnsi="Arial" w:cs="Arial"/>
          <w:iCs/>
          <w:sz w:val="24"/>
          <w:szCs w:val="24"/>
        </w:rPr>
      </w:pPr>
      <w:r>
        <w:rPr>
          <w:rFonts w:ascii="Arial" w:hAnsi="Arial" w:cs="Arial"/>
          <w:iCs/>
          <w:sz w:val="24"/>
          <w:szCs w:val="24"/>
        </w:rPr>
        <w:t>Furthermore, this test aligns with a test that already exists in section 37O(3) of the Supreme Court Act, as well as tests that have been adopted in South Australia, Tasmania and Victoria</w:t>
      </w:r>
      <w:r w:rsidR="00AB5F4A">
        <w:rPr>
          <w:rFonts w:ascii="Arial" w:hAnsi="Arial" w:cs="Arial"/>
          <w:iCs/>
          <w:sz w:val="24"/>
          <w:szCs w:val="24"/>
        </w:rPr>
        <w:t xml:space="preserve">. Using a different test would create inconsistency within the Supreme Court Act and could mean that ACT courts would have to develop new jurisprudence about its meaning and application. </w:t>
      </w:r>
    </w:p>
    <w:p w14:paraId="37BB1DCA" w14:textId="3CFA7D72" w:rsidR="00AB5F4A" w:rsidRPr="001F2C3B" w:rsidRDefault="00AB5F4A" w:rsidP="001F2C3B">
      <w:pPr>
        <w:rPr>
          <w:rFonts w:ascii="Arial" w:hAnsi="Arial" w:cs="Arial"/>
          <w:i/>
          <w:sz w:val="24"/>
          <w:szCs w:val="24"/>
        </w:rPr>
      </w:pPr>
      <w:r>
        <w:rPr>
          <w:rFonts w:ascii="Arial" w:hAnsi="Arial" w:cs="Arial"/>
          <w:iCs/>
          <w:sz w:val="24"/>
          <w:szCs w:val="24"/>
        </w:rPr>
        <w:t xml:space="preserve">Given this, the limitation on the rights in criminal proceedings in relation to appeals is considered reasonable and proportionate given the purpose of preventing vexatious and untenable appeals and promoting consistency across the jurisdictions and the statute book. </w:t>
      </w:r>
    </w:p>
    <w:p w14:paraId="04F50CE4" w14:textId="57ABFD10" w:rsidR="00774277" w:rsidRDefault="00774277">
      <w:pPr>
        <w:spacing w:after="0" w:line="240" w:lineRule="auto"/>
        <w:rPr>
          <w:rFonts w:asciiTheme="minorHAnsi" w:eastAsiaTheme="majorEastAsia" w:hAnsiTheme="minorHAnsi" w:cs="Arial"/>
          <w:sz w:val="28"/>
          <w:szCs w:val="28"/>
          <w:lang w:eastAsia="en-AU"/>
        </w:rPr>
      </w:pPr>
      <w:bookmarkStart w:id="0" w:name="OLE_LINK1"/>
      <w:r>
        <w:rPr>
          <w:rFonts w:asciiTheme="minorHAnsi" w:hAnsiTheme="minorHAnsi" w:cs="Arial"/>
          <w:b/>
          <w:sz w:val="28"/>
          <w:szCs w:val="28"/>
          <w:lang w:eastAsia="en-AU"/>
        </w:rPr>
        <w:br w:type="page"/>
      </w:r>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59C53FA6" w:rsidR="00E574DD" w:rsidRPr="00943C7F" w:rsidRDefault="00010BE1"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Supreme Court Amendment Bill</w:t>
      </w:r>
      <w:r w:rsidR="00E574DD" w:rsidRPr="00943C7F">
        <w:rPr>
          <w:rFonts w:asciiTheme="minorHAnsi" w:hAnsiTheme="minorHAnsi" w:cs="Arial"/>
          <w:b w:val="0"/>
          <w:sz w:val="28"/>
          <w:szCs w:val="28"/>
          <w:lang w:eastAsia="en-AU"/>
        </w:rPr>
        <w:t xml:space="preserve"> 20</w:t>
      </w:r>
      <w:r w:rsidR="00774277">
        <w:rPr>
          <w:rFonts w:asciiTheme="minorHAnsi" w:hAnsiTheme="minorHAnsi" w:cs="Arial"/>
          <w:b w:val="0"/>
          <w:sz w:val="28"/>
          <w:szCs w:val="28"/>
          <w:lang w:eastAsia="en-AU"/>
        </w:rPr>
        <w:t>2</w:t>
      </w:r>
      <w:r>
        <w:rPr>
          <w:rFonts w:asciiTheme="minorHAnsi" w:hAnsiTheme="minorHAnsi" w:cs="Arial"/>
          <w:b w:val="0"/>
          <w:sz w:val="28"/>
          <w:szCs w:val="28"/>
          <w:lang w:eastAsia="en-AU"/>
        </w:rPr>
        <w:t>3</w:t>
      </w:r>
    </w:p>
    <w:bookmarkEnd w:id="0"/>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78912451"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010BE1">
        <w:rPr>
          <w:rFonts w:asciiTheme="minorHAnsi" w:hAnsiTheme="minorHAnsi"/>
          <w:b/>
        </w:rPr>
        <w:t>Supreme Court Amendment</w:t>
      </w:r>
      <w:r>
        <w:rPr>
          <w:rFonts w:asciiTheme="minorHAnsi" w:hAnsiTheme="minorHAnsi"/>
          <w:b/>
        </w:rPr>
        <w:t> Bill</w:t>
      </w:r>
      <w:r w:rsidR="00A5201D">
        <w:rPr>
          <w:rFonts w:asciiTheme="minorHAnsi" w:hAnsiTheme="minorHAnsi"/>
          <w:b/>
        </w:rPr>
        <w:t xml:space="preserve"> </w:t>
      </w:r>
      <w:r>
        <w:rPr>
          <w:rFonts w:asciiTheme="minorHAnsi" w:hAnsiTheme="minorHAnsi"/>
          <w:b/>
        </w:rPr>
        <w:t>20</w:t>
      </w:r>
      <w:r w:rsidR="00774277">
        <w:rPr>
          <w:rFonts w:asciiTheme="minorHAnsi" w:hAnsiTheme="minorHAnsi"/>
          <w:b/>
        </w:rPr>
        <w:t>2</w:t>
      </w:r>
      <w:r w:rsidR="00893FB9">
        <w:rPr>
          <w:rFonts w:asciiTheme="minorHAnsi" w:hAnsiTheme="minorHAnsi"/>
          <w:b/>
        </w:rPr>
        <w:t>3</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B873D7">
        <w:rPr>
          <w:rFonts w:asciiTheme="minorHAnsi" w:hAnsiTheme="minorHAnsi"/>
        </w:rPr>
        <w:t>Assembly</w:t>
      </w:r>
      <w:r w:rsidR="00424FBB" w:rsidRPr="00B873D7">
        <w:rPr>
          <w:rFonts w:asciiTheme="minorHAnsi" w:hAnsiTheme="minorHAnsi"/>
          <w:b/>
        </w:rPr>
        <w:t xml:space="preserve"> </w:t>
      </w:r>
      <w:r w:rsidRPr="00B873D7">
        <w:rPr>
          <w:rFonts w:asciiTheme="minorHAnsi" w:hAnsiTheme="minorHAnsi"/>
          <w:b/>
        </w:rPr>
        <w:t xml:space="preserve">is </w:t>
      </w:r>
      <w:r w:rsidRPr="00B873D7">
        <w:rPr>
          <w:rFonts w:asciiTheme="minorHAnsi" w:hAnsiTheme="minorHAnsi"/>
        </w:rPr>
        <w:t>consistent with</w:t>
      </w:r>
      <w:r w:rsidRPr="00521950">
        <w:rPr>
          <w:rFonts w:asciiTheme="minorHAnsi" w:hAnsiTheme="minorHAnsi"/>
        </w:rPr>
        <w:t xml:space="preserve">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4DCC8030" w:rsidR="00E574DD" w:rsidRDefault="00A921C6"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Default="008C76C4">
      <w:pPr>
        <w:pStyle w:val="Heading2"/>
        <w:pageBreakBefore/>
        <w:spacing w:before="240" w:after="240"/>
      </w:pPr>
      <w:r w:rsidRPr="008C225D">
        <w:lastRenderedPageBreak/>
        <w:t>CLAUSE NOTES</w:t>
      </w:r>
    </w:p>
    <w:p w14:paraId="0E2E8CBE" w14:textId="77777777" w:rsidR="00E76504" w:rsidRPr="00E76504" w:rsidRDefault="00E76504" w:rsidP="00E76504"/>
    <w:p w14:paraId="27FB735B" w14:textId="5356B3DC" w:rsidR="00C61B07" w:rsidRDefault="00C61B07" w:rsidP="00C65E0C">
      <w:pPr>
        <w:pStyle w:val="Heading3"/>
      </w:pPr>
      <w:r w:rsidRPr="00ED3B77">
        <w:t>Clause 1</w:t>
      </w:r>
      <w:r w:rsidRPr="00ED3B77">
        <w:tab/>
        <w:t>Name of Act</w:t>
      </w:r>
    </w:p>
    <w:p w14:paraId="403EDE9B" w14:textId="5EF73A2D" w:rsidR="007B1D2C" w:rsidRPr="00173E39" w:rsidRDefault="007B1D2C" w:rsidP="00173E39">
      <w:pPr>
        <w:rPr>
          <w:rFonts w:cs="Arial"/>
        </w:rPr>
      </w:pPr>
      <w:r w:rsidRPr="00173E39">
        <w:rPr>
          <w:rFonts w:ascii="Arial" w:hAnsi="Arial" w:cs="Arial"/>
          <w:sz w:val="24"/>
          <w:szCs w:val="24"/>
        </w:rPr>
        <w:t xml:space="preserve">This </w:t>
      </w:r>
      <w:r>
        <w:rPr>
          <w:rFonts w:ascii="Arial" w:hAnsi="Arial" w:cs="Arial"/>
          <w:sz w:val="24"/>
          <w:szCs w:val="24"/>
        </w:rPr>
        <w:t xml:space="preserve">clause provides that the name of the Act is the </w:t>
      </w:r>
      <w:r>
        <w:rPr>
          <w:rFonts w:ascii="Arial" w:hAnsi="Arial" w:cs="Arial"/>
          <w:i/>
          <w:iCs/>
          <w:sz w:val="24"/>
          <w:szCs w:val="24"/>
        </w:rPr>
        <w:t>Supreme Court Amendment Act 2023</w:t>
      </w:r>
      <w:r>
        <w:rPr>
          <w:rFonts w:ascii="Arial" w:hAnsi="Arial" w:cs="Arial"/>
          <w:sz w:val="24"/>
          <w:szCs w:val="24"/>
        </w:rPr>
        <w:t xml:space="preserve">. </w:t>
      </w:r>
    </w:p>
    <w:p w14:paraId="341827EE" w14:textId="69764580" w:rsidR="00C61B07" w:rsidRDefault="00C61B07" w:rsidP="008C225D">
      <w:pPr>
        <w:pStyle w:val="Heading3"/>
      </w:pPr>
      <w:r w:rsidRPr="00ED3B77">
        <w:t>Clause 2</w:t>
      </w:r>
      <w:r w:rsidRPr="00ED3B77">
        <w:tab/>
        <w:t>Commencement</w:t>
      </w:r>
    </w:p>
    <w:p w14:paraId="79553FED" w14:textId="01F4F23C" w:rsidR="007B1D2C" w:rsidRPr="00173E39" w:rsidRDefault="007B1D2C" w:rsidP="00173E39">
      <w:pPr>
        <w:rPr>
          <w:rFonts w:cs="Arial"/>
        </w:rPr>
      </w:pPr>
      <w:r w:rsidRPr="00173E39">
        <w:rPr>
          <w:rFonts w:ascii="Arial" w:hAnsi="Arial" w:cs="Arial"/>
          <w:sz w:val="24"/>
          <w:szCs w:val="24"/>
        </w:rPr>
        <w:t>This clause provides</w:t>
      </w:r>
      <w:r>
        <w:rPr>
          <w:rFonts w:ascii="Arial" w:hAnsi="Arial" w:cs="Arial"/>
          <w:sz w:val="24"/>
          <w:szCs w:val="24"/>
        </w:rPr>
        <w:t xml:space="preserve"> for the Act to commence 6 months after its notification day to allow sufficient time for implementation. </w:t>
      </w:r>
    </w:p>
    <w:p w14:paraId="03E3F0B8" w14:textId="77777777" w:rsidR="00C61B07" w:rsidRPr="007B1D2C" w:rsidRDefault="00C61B07" w:rsidP="008C225D">
      <w:pPr>
        <w:pStyle w:val="Heading3"/>
        <w:rPr>
          <w:rFonts w:cs="Arial"/>
          <w:b w:val="0"/>
        </w:rPr>
      </w:pPr>
      <w:r w:rsidRPr="007B1D2C">
        <w:rPr>
          <w:rFonts w:cs="Arial"/>
        </w:rPr>
        <w:t>Clause 3</w:t>
      </w:r>
      <w:r w:rsidRPr="007B1D2C">
        <w:rPr>
          <w:rFonts w:cs="Arial"/>
        </w:rPr>
        <w:tab/>
        <w:t>Legislation amended</w:t>
      </w:r>
    </w:p>
    <w:p w14:paraId="6C3CA2DF" w14:textId="2CC454A9" w:rsidR="00D3034B" w:rsidRPr="007B1D2C" w:rsidRDefault="007B1D2C" w:rsidP="00D3034B">
      <w:pPr>
        <w:rPr>
          <w:rFonts w:ascii="Arial" w:hAnsi="Arial" w:cs="Arial"/>
          <w:sz w:val="24"/>
          <w:szCs w:val="24"/>
        </w:rPr>
      </w:pPr>
      <w:r>
        <w:rPr>
          <w:rFonts w:ascii="Arial" w:hAnsi="Arial" w:cs="Arial"/>
          <w:sz w:val="24"/>
          <w:szCs w:val="24"/>
        </w:rPr>
        <w:t xml:space="preserve">This clause identifies that the Act will amend the </w:t>
      </w:r>
      <w:r>
        <w:rPr>
          <w:rFonts w:ascii="Arial" w:hAnsi="Arial" w:cs="Arial"/>
          <w:i/>
          <w:iCs/>
          <w:sz w:val="24"/>
          <w:szCs w:val="24"/>
        </w:rPr>
        <w:t xml:space="preserve">Supreme Court Act </w:t>
      </w:r>
      <w:r w:rsidRPr="007B1D2C">
        <w:rPr>
          <w:rFonts w:ascii="Arial" w:hAnsi="Arial" w:cs="Arial"/>
          <w:i/>
          <w:iCs/>
          <w:sz w:val="24"/>
          <w:szCs w:val="24"/>
        </w:rPr>
        <w:t>1933</w:t>
      </w:r>
      <w:r>
        <w:rPr>
          <w:rFonts w:ascii="Arial" w:hAnsi="Arial" w:cs="Arial"/>
          <w:sz w:val="24"/>
          <w:szCs w:val="24"/>
        </w:rPr>
        <w:t xml:space="preserve">. </w:t>
      </w:r>
    </w:p>
    <w:p w14:paraId="0B0F1143" w14:textId="18CE03C6" w:rsidR="00BB5AB1" w:rsidRDefault="00BB5AB1" w:rsidP="00D3034B">
      <w:pPr>
        <w:rPr>
          <w:rFonts w:ascii="Arial" w:hAnsi="Arial" w:cs="Arial"/>
          <w:b/>
          <w:bCs/>
          <w:sz w:val="24"/>
          <w:szCs w:val="24"/>
        </w:rPr>
      </w:pPr>
      <w:r>
        <w:rPr>
          <w:rFonts w:ascii="Arial" w:hAnsi="Arial" w:cs="Arial"/>
          <w:b/>
          <w:bCs/>
          <w:sz w:val="24"/>
          <w:szCs w:val="24"/>
        </w:rPr>
        <w:t>Clause 4</w:t>
      </w:r>
      <w:r>
        <w:rPr>
          <w:rFonts w:ascii="Arial" w:hAnsi="Arial" w:cs="Arial"/>
          <w:b/>
          <w:bCs/>
          <w:sz w:val="24"/>
          <w:szCs w:val="24"/>
        </w:rPr>
        <w:tab/>
        <w:t>Appellate jurisdiction</w:t>
      </w:r>
      <w:r>
        <w:rPr>
          <w:rFonts w:ascii="Arial" w:hAnsi="Arial" w:cs="Arial"/>
          <w:b/>
          <w:bCs/>
          <w:sz w:val="24"/>
          <w:szCs w:val="24"/>
        </w:rPr>
        <w:br/>
      </w:r>
      <w:r>
        <w:rPr>
          <w:rFonts w:ascii="Arial" w:hAnsi="Arial" w:cs="Arial"/>
          <w:b/>
          <w:bCs/>
          <w:sz w:val="24"/>
          <w:szCs w:val="24"/>
        </w:rPr>
        <w:tab/>
      </w:r>
      <w:r>
        <w:rPr>
          <w:rFonts w:ascii="Arial" w:hAnsi="Arial" w:cs="Arial"/>
          <w:b/>
          <w:bCs/>
          <w:sz w:val="24"/>
          <w:szCs w:val="24"/>
        </w:rPr>
        <w:tab/>
        <w:t>New section 37E (2) (e)</w:t>
      </w:r>
    </w:p>
    <w:p w14:paraId="327388EA" w14:textId="36280415" w:rsidR="00BB5AB1" w:rsidRDefault="00BB5AB1" w:rsidP="00D3034B">
      <w:pPr>
        <w:rPr>
          <w:rFonts w:ascii="Arial" w:hAnsi="Arial" w:cs="Arial"/>
          <w:sz w:val="24"/>
          <w:szCs w:val="24"/>
        </w:rPr>
      </w:pPr>
      <w:r>
        <w:rPr>
          <w:rFonts w:ascii="Arial" w:hAnsi="Arial" w:cs="Arial"/>
          <w:sz w:val="24"/>
          <w:szCs w:val="24"/>
        </w:rPr>
        <w:t xml:space="preserve">This clause inserts new section 37E(2)(e) to make it clear that applications and appeals under new part 8AB (Appeals against conviction for fresh and compelling evidence) may be brought before, and heard by, the Court of Appeal. </w:t>
      </w:r>
    </w:p>
    <w:p w14:paraId="3831677B" w14:textId="5502A28F" w:rsidR="00BB5AB1" w:rsidRDefault="00BB5AB1" w:rsidP="00D3034B">
      <w:pPr>
        <w:rPr>
          <w:rFonts w:ascii="Arial" w:hAnsi="Arial" w:cs="Arial"/>
          <w:b/>
          <w:bCs/>
          <w:sz w:val="24"/>
          <w:szCs w:val="24"/>
        </w:rPr>
      </w:pPr>
      <w:r>
        <w:rPr>
          <w:rFonts w:ascii="Arial" w:hAnsi="Arial" w:cs="Arial"/>
          <w:b/>
          <w:bCs/>
          <w:sz w:val="24"/>
          <w:szCs w:val="24"/>
        </w:rPr>
        <w:t>Clause 5</w:t>
      </w:r>
      <w:r>
        <w:rPr>
          <w:rFonts w:ascii="Arial" w:hAnsi="Arial" w:cs="Arial"/>
          <w:b/>
          <w:bCs/>
          <w:sz w:val="24"/>
          <w:szCs w:val="24"/>
        </w:rPr>
        <w:tab/>
        <w:t>New part 8AB</w:t>
      </w:r>
    </w:p>
    <w:p w14:paraId="6123265B" w14:textId="4A553D0B" w:rsidR="00BB5AB1" w:rsidRDefault="00BB5AB1" w:rsidP="00D3034B">
      <w:pPr>
        <w:rPr>
          <w:rFonts w:ascii="Arial" w:hAnsi="Arial" w:cs="Arial"/>
          <w:sz w:val="24"/>
          <w:szCs w:val="24"/>
        </w:rPr>
      </w:pPr>
      <w:r>
        <w:rPr>
          <w:rFonts w:ascii="Arial" w:hAnsi="Arial" w:cs="Arial"/>
          <w:sz w:val="24"/>
          <w:szCs w:val="24"/>
        </w:rPr>
        <w:t xml:space="preserve">This clause inserts new part 8AB to provide for appeals against conviction on the grounds of fresh and compelling evidence. </w:t>
      </w:r>
    </w:p>
    <w:p w14:paraId="43139CD9" w14:textId="34B2FF15" w:rsidR="00BB5AB1" w:rsidRDefault="00BB5AB1" w:rsidP="00D3034B">
      <w:pPr>
        <w:rPr>
          <w:rFonts w:ascii="Arial" w:hAnsi="Arial" w:cs="Arial"/>
          <w:sz w:val="24"/>
          <w:szCs w:val="24"/>
          <w:u w:val="single"/>
        </w:rPr>
      </w:pPr>
      <w:r>
        <w:rPr>
          <w:rFonts w:ascii="Arial" w:hAnsi="Arial" w:cs="Arial"/>
          <w:sz w:val="24"/>
          <w:szCs w:val="24"/>
          <w:u w:val="single"/>
        </w:rPr>
        <w:t>Section 68ZC – Application—Pt 8AB</w:t>
      </w:r>
    </w:p>
    <w:p w14:paraId="51F08E3D" w14:textId="186BF468" w:rsidR="00BB5AB1" w:rsidRPr="00010BE1" w:rsidRDefault="00BB5AB1" w:rsidP="00D3034B">
      <w:pPr>
        <w:rPr>
          <w:rFonts w:ascii="Arial" w:hAnsi="Arial" w:cs="Arial"/>
          <w:sz w:val="24"/>
          <w:szCs w:val="24"/>
        </w:rPr>
      </w:pPr>
      <w:r w:rsidRPr="00010BE1">
        <w:rPr>
          <w:rFonts w:ascii="Arial" w:hAnsi="Arial" w:cs="Arial"/>
          <w:sz w:val="24"/>
          <w:szCs w:val="24"/>
        </w:rPr>
        <w:t xml:space="preserve">New section 68ZC makes it clear that the part applies to convictions and findings of guilt of offences in both the Supreme Court and the Magistrates Court, and that the new right to appeal is intended to apply retrospectively. </w:t>
      </w:r>
    </w:p>
    <w:p w14:paraId="27F5544C" w14:textId="776B2582" w:rsidR="00BB5AB1" w:rsidRDefault="00BB5AB1" w:rsidP="00D3034B">
      <w:pPr>
        <w:rPr>
          <w:rFonts w:ascii="Arial" w:hAnsi="Arial" w:cs="Arial"/>
          <w:sz w:val="24"/>
          <w:szCs w:val="24"/>
          <w:u w:val="single"/>
        </w:rPr>
      </w:pPr>
      <w:r>
        <w:rPr>
          <w:rFonts w:ascii="Arial" w:hAnsi="Arial" w:cs="Arial"/>
          <w:sz w:val="24"/>
          <w:szCs w:val="24"/>
          <w:u w:val="single"/>
        </w:rPr>
        <w:t>Section 68ZD – Definitions—pt 8AB</w:t>
      </w:r>
    </w:p>
    <w:p w14:paraId="648AEB74" w14:textId="6E402483" w:rsidR="00BB5AB1" w:rsidRDefault="00BB5AB1" w:rsidP="00D3034B">
      <w:pPr>
        <w:rPr>
          <w:rFonts w:ascii="Arial" w:hAnsi="Arial" w:cs="Arial"/>
          <w:sz w:val="24"/>
          <w:szCs w:val="24"/>
        </w:rPr>
      </w:pPr>
      <w:r w:rsidRPr="00173E39">
        <w:rPr>
          <w:rFonts w:ascii="Arial" w:hAnsi="Arial" w:cs="Arial"/>
          <w:sz w:val="24"/>
          <w:szCs w:val="24"/>
        </w:rPr>
        <w:t xml:space="preserve">New section 68ZD provides signpost definitions for </w:t>
      </w:r>
      <w:r w:rsidRPr="00173E39">
        <w:rPr>
          <w:rFonts w:ascii="Arial" w:hAnsi="Arial" w:cs="Arial"/>
          <w:b/>
          <w:bCs/>
          <w:i/>
          <w:iCs/>
          <w:sz w:val="24"/>
          <w:szCs w:val="24"/>
        </w:rPr>
        <w:t>compelling</w:t>
      </w:r>
      <w:r w:rsidRPr="00173E39">
        <w:rPr>
          <w:rFonts w:ascii="Arial" w:hAnsi="Arial" w:cs="Arial"/>
          <w:sz w:val="24"/>
          <w:szCs w:val="24"/>
        </w:rPr>
        <w:t xml:space="preserve">, </w:t>
      </w:r>
      <w:r w:rsidRPr="00173E39">
        <w:rPr>
          <w:rFonts w:ascii="Arial" w:hAnsi="Arial" w:cs="Arial"/>
          <w:b/>
          <w:bCs/>
          <w:i/>
          <w:iCs/>
          <w:sz w:val="24"/>
          <w:szCs w:val="24"/>
        </w:rPr>
        <w:t>convicted person</w:t>
      </w:r>
      <w:r w:rsidRPr="00173E39">
        <w:rPr>
          <w:rFonts w:ascii="Arial" w:hAnsi="Arial" w:cs="Arial"/>
          <w:sz w:val="24"/>
          <w:szCs w:val="24"/>
        </w:rPr>
        <w:t xml:space="preserve"> and </w:t>
      </w:r>
      <w:r w:rsidRPr="00173E39">
        <w:rPr>
          <w:rFonts w:ascii="Arial" w:hAnsi="Arial" w:cs="Arial"/>
          <w:b/>
          <w:bCs/>
          <w:i/>
          <w:iCs/>
          <w:sz w:val="24"/>
          <w:szCs w:val="24"/>
        </w:rPr>
        <w:t>fresh</w:t>
      </w:r>
      <w:r w:rsidRPr="00173E39">
        <w:rPr>
          <w:rFonts w:ascii="Arial" w:hAnsi="Arial" w:cs="Arial"/>
          <w:sz w:val="24"/>
          <w:szCs w:val="24"/>
        </w:rPr>
        <w:t xml:space="preserve"> </w:t>
      </w:r>
      <w:r w:rsidR="00FF2AFA">
        <w:rPr>
          <w:rFonts w:ascii="Arial" w:hAnsi="Arial" w:cs="Arial"/>
          <w:sz w:val="24"/>
          <w:szCs w:val="24"/>
        </w:rPr>
        <w:t xml:space="preserve">which appear elsewhere in the Supreme Court Act </w:t>
      </w:r>
      <w:r w:rsidRPr="00173E39">
        <w:rPr>
          <w:rFonts w:ascii="Arial" w:hAnsi="Arial" w:cs="Arial"/>
          <w:sz w:val="24"/>
          <w:szCs w:val="24"/>
        </w:rPr>
        <w:t>and ma</w:t>
      </w:r>
      <w:r>
        <w:rPr>
          <w:rFonts w:ascii="Arial" w:hAnsi="Arial" w:cs="Arial"/>
          <w:sz w:val="24"/>
          <w:szCs w:val="24"/>
        </w:rPr>
        <w:t xml:space="preserve">kes it clear that </w:t>
      </w:r>
      <w:r>
        <w:rPr>
          <w:rFonts w:ascii="Arial" w:hAnsi="Arial" w:cs="Arial"/>
          <w:b/>
          <w:bCs/>
          <w:i/>
          <w:iCs/>
          <w:sz w:val="24"/>
          <w:szCs w:val="24"/>
        </w:rPr>
        <w:t>court</w:t>
      </w:r>
      <w:r>
        <w:rPr>
          <w:rFonts w:ascii="Arial" w:hAnsi="Arial" w:cs="Arial"/>
          <w:sz w:val="24"/>
          <w:szCs w:val="24"/>
        </w:rPr>
        <w:t xml:space="preserve"> means the Court of Appeal. </w:t>
      </w:r>
    </w:p>
    <w:p w14:paraId="2DC5B6B1" w14:textId="65B14E02" w:rsidR="00FF2AFA" w:rsidRDefault="00FF2AFA" w:rsidP="00D3034B">
      <w:pPr>
        <w:rPr>
          <w:rFonts w:ascii="Arial" w:hAnsi="Arial" w:cs="Arial"/>
          <w:sz w:val="24"/>
          <w:szCs w:val="24"/>
          <w:u w:val="single"/>
        </w:rPr>
      </w:pPr>
      <w:r>
        <w:rPr>
          <w:rFonts w:ascii="Arial" w:hAnsi="Arial" w:cs="Arial"/>
          <w:sz w:val="24"/>
          <w:szCs w:val="24"/>
          <w:u w:val="single"/>
        </w:rPr>
        <w:t xml:space="preserve">Section 68ZE – Meaning of </w:t>
      </w:r>
      <w:r>
        <w:rPr>
          <w:rFonts w:ascii="Arial" w:hAnsi="Arial" w:cs="Arial"/>
          <w:i/>
          <w:iCs/>
          <w:sz w:val="24"/>
          <w:szCs w:val="24"/>
          <w:u w:val="single"/>
        </w:rPr>
        <w:t>fresh</w:t>
      </w:r>
      <w:r>
        <w:rPr>
          <w:rFonts w:ascii="Arial" w:hAnsi="Arial" w:cs="Arial"/>
          <w:sz w:val="24"/>
          <w:szCs w:val="24"/>
          <w:u w:val="single"/>
        </w:rPr>
        <w:t xml:space="preserve"> and </w:t>
      </w:r>
      <w:r>
        <w:rPr>
          <w:rFonts w:ascii="Arial" w:hAnsi="Arial" w:cs="Arial"/>
          <w:i/>
          <w:iCs/>
          <w:sz w:val="24"/>
          <w:szCs w:val="24"/>
          <w:u w:val="single"/>
        </w:rPr>
        <w:t>compelling</w:t>
      </w:r>
      <w:r>
        <w:rPr>
          <w:rFonts w:ascii="Arial" w:hAnsi="Arial" w:cs="Arial"/>
          <w:sz w:val="24"/>
          <w:szCs w:val="24"/>
          <w:u w:val="single"/>
        </w:rPr>
        <w:t xml:space="preserve"> evidence—pt 8AB</w:t>
      </w:r>
    </w:p>
    <w:p w14:paraId="5E0A82C8" w14:textId="15B38A99" w:rsidR="00FF2AFA" w:rsidRDefault="00FF2AFA" w:rsidP="00D3034B">
      <w:pPr>
        <w:rPr>
          <w:rFonts w:ascii="Arial" w:hAnsi="Arial" w:cs="Arial"/>
          <w:sz w:val="24"/>
          <w:szCs w:val="24"/>
        </w:rPr>
      </w:pPr>
      <w:r>
        <w:rPr>
          <w:rFonts w:ascii="Arial" w:hAnsi="Arial" w:cs="Arial"/>
          <w:sz w:val="24"/>
          <w:szCs w:val="24"/>
        </w:rPr>
        <w:t>New section 68ZE defines the term</w:t>
      </w:r>
      <w:r w:rsidR="00BE168C">
        <w:rPr>
          <w:rFonts w:ascii="Arial" w:hAnsi="Arial" w:cs="Arial"/>
          <w:sz w:val="24"/>
          <w:szCs w:val="24"/>
        </w:rPr>
        <w:t>s</w:t>
      </w:r>
      <w:r>
        <w:rPr>
          <w:rFonts w:ascii="Arial" w:hAnsi="Arial" w:cs="Arial"/>
          <w:sz w:val="24"/>
          <w:szCs w:val="24"/>
        </w:rPr>
        <w:t xml:space="preserve"> </w:t>
      </w:r>
      <w:r>
        <w:rPr>
          <w:rFonts w:ascii="Arial" w:hAnsi="Arial" w:cs="Arial"/>
          <w:b/>
          <w:bCs/>
          <w:i/>
          <w:iCs/>
          <w:sz w:val="24"/>
          <w:szCs w:val="24"/>
        </w:rPr>
        <w:t>fresh</w:t>
      </w:r>
      <w:r>
        <w:rPr>
          <w:rFonts w:ascii="Arial" w:hAnsi="Arial" w:cs="Arial"/>
          <w:sz w:val="24"/>
          <w:szCs w:val="24"/>
        </w:rPr>
        <w:t xml:space="preserve"> </w:t>
      </w:r>
      <w:r w:rsidR="00BE168C">
        <w:rPr>
          <w:rFonts w:ascii="Arial" w:hAnsi="Arial" w:cs="Arial"/>
          <w:sz w:val="24"/>
          <w:szCs w:val="24"/>
        </w:rPr>
        <w:t xml:space="preserve">and </w:t>
      </w:r>
      <w:r w:rsidR="00BE168C">
        <w:rPr>
          <w:rFonts w:ascii="Arial" w:hAnsi="Arial" w:cs="Arial"/>
          <w:b/>
          <w:bCs/>
          <w:i/>
          <w:iCs/>
          <w:sz w:val="24"/>
          <w:szCs w:val="24"/>
        </w:rPr>
        <w:t xml:space="preserve">compelling </w:t>
      </w:r>
      <w:r>
        <w:rPr>
          <w:rFonts w:ascii="Arial" w:hAnsi="Arial" w:cs="Arial"/>
          <w:sz w:val="24"/>
          <w:szCs w:val="24"/>
        </w:rPr>
        <w:t>with respect to evidence in relation to an offence</w:t>
      </w:r>
      <w:r w:rsidR="00AD6F32">
        <w:rPr>
          <w:rFonts w:ascii="Arial" w:hAnsi="Arial" w:cs="Arial"/>
          <w:sz w:val="24"/>
          <w:szCs w:val="24"/>
        </w:rPr>
        <w:t>. This section</w:t>
      </w:r>
      <w:r w:rsidR="00BE168C">
        <w:rPr>
          <w:rFonts w:ascii="Arial" w:hAnsi="Arial" w:cs="Arial"/>
          <w:sz w:val="24"/>
          <w:szCs w:val="24"/>
        </w:rPr>
        <w:t xml:space="preserve"> mirrors the existing definitions of </w:t>
      </w:r>
      <w:r w:rsidR="00BE168C">
        <w:rPr>
          <w:rFonts w:ascii="Arial" w:hAnsi="Arial" w:cs="Arial"/>
          <w:b/>
          <w:bCs/>
          <w:i/>
          <w:iCs/>
          <w:sz w:val="24"/>
          <w:szCs w:val="24"/>
        </w:rPr>
        <w:t>fresh</w:t>
      </w:r>
      <w:r w:rsidR="00BE168C">
        <w:rPr>
          <w:rFonts w:ascii="Arial" w:hAnsi="Arial" w:cs="Arial"/>
          <w:sz w:val="24"/>
          <w:szCs w:val="24"/>
        </w:rPr>
        <w:t xml:space="preserve"> and </w:t>
      </w:r>
      <w:r w:rsidR="00BE168C">
        <w:rPr>
          <w:rFonts w:ascii="Arial" w:hAnsi="Arial" w:cs="Arial"/>
          <w:b/>
          <w:bCs/>
          <w:i/>
          <w:iCs/>
          <w:sz w:val="24"/>
          <w:szCs w:val="24"/>
        </w:rPr>
        <w:t xml:space="preserve">compelling </w:t>
      </w:r>
      <w:r w:rsidR="00BE168C">
        <w:rPr>
          <w:rFonts w:ascii="Arial" w:hAnsi="Arial" w:cs="Arial"/>
          <w:sz w:val="24"/>
          <w:szCs w:val="24"/>
        </w:rPr>
        <w:t>in section 68K of the Supreme Court Act</w:t>
      </w:r>
      <w:r w:rsidR="00AD6F32">
        <w:rPr>
          <w:rFonts w:ascii="Arial" w:hAnsi="Arial" w:cs="Arial"/>
          <w:sz w:val="24"/>
          <w:szCs w:val="24"/>
        </w:rPr>
        <w:t xml:space="preserve"> in relation to appealing acquittals to ensure consistency within the Act</w:t>
      </w:r>
      <w:r w:rsidR="00BE168C">
        <w:rPr>
          <w:rFonts w:ascii="Arial" w:hAnsi="Arial" w:cs="Arial"/>
          <w:sz w:val="24"/>
          <w:szCs w:val="24"/>
        </w:rPr>
        <w:t xml:space="preserve">. </w:t>
      </w:r>
    </w:p>
    <w:p w14:paraId="23D8D425" w14:textId="2AB26C98" w:rsidR="00EC7EF3" w:rsidRDefault="00EC7EF3" w:rsidP="000C02CB">
      <w:pPr>
        <w:keepNext/>
        <w:rPr>
          <w:rFonts w:ascii="Arial" w:hAnsi="Arial" w:cs="Arial"/>
          <w:sz w:val="24"/>
          <w:szCs w:val="24"/>
          <w:u w:val="single"/>
        </w:rPr>
      </w:pPr>
      <w:r>
        <w:rPr>
          <w:rFonts w:ascii="Arial" w:hAnsi="Arial" w:cs="Arial"/>
          <w:sz w:val="24"/>
          <w:szCs w:val="24"/>
          <w:u w:val="single"/>
        </w:rPr>
        <w:lastRenderedPageBreak/>
        <w:t>Section 68ZF – Certain provisions of pt 2A taken to apply</w:t>
      </w:r>
    </w:p>
    <w:p w14:paraId="19FCCFDF" w14:textId="57F3EEC4" w:rsidR="00EC7EF3" w:rsidRPr="00C902F4" w:rsidRDefault="00EC7EF3" w:rsidP="00D3034B">
      <w:pPr>
        <w:rPr>
          <w:rFonts w:ascii="Arial" w:hAnsi="Arial" w:cs="Arial"/>
          <w:sz w:val="24"/>
          <w:szCs w:val="24"/>
        </w:rPr>
      </w:pPr>
      <w:r w:rsidRPr="00C902F4">
        <w:rPr>
          <w:rFonts w:ascii="Arial" w:hAnsi="Arial" w:cs="Arial"/>
          <w:sz w:val="24"/>
          <w:szCs w:val="24"/>
        </w:rPr>
        <w:t xml:space="preserve">New section 68ZF makes it clear that provisions under Part 2A relating to the Court of Appeal, namely section 37E (appellate jurisdiction), section 37H (appeal bench), section 37I (presiding judge), section 37J (appeal court constituted by a single judge), section 37K (decision-making), section 37L (appeal judge unable to continue sitting), section 37M (reserved judgments), section 37N (evidence on appeal), section 37P (new trials) and section 37Q (bail time on appeal does not count towards sentence). </w:t>
      </w:r>
    </w:p>
    <w:p w14:paraId="441BAF58" w14:textId="601DAD07" w:rsidR="00EC7EF3" w:rsidRDefault="00EC7EF3" w:rsidP="00D3034B">
      <w:pPr>
        <w:rPr>
          <w:rFonts w:ascii="Arial" w:hAnsi="Arial" w:cs="Arial"/>
          <w:iCs/>
          <w:sz w:val="24"/>
          <w:szCs w:val="24"/>
        </w:rPr>
      </w:pPr>
      <w:r w:rsidRPr="00C902F4">
        <w:rPr>
          <w:rFonts w:ascii="Arial" w:hAnsi="Arial" w:cs="Arial"/>
          <w:sz w:val="24"/>
          <w:szCs w:val="24"/>
        </w:rPr>
        <w:t>Of note, this section</w:t>
      </w:r>
      <w:r w:rsidR="000C02CB">
        <w:rPr>
          <w:rFonts w:ascii="Arial" w:hAnsi="Arial" w:cs="Arial"/>
          <w:sz w:val="24"/>
          <w:szCs w:val="24"/>
        </w:rPr>
        <w:t xml:space="preserve"> </w:t>
      </w:r>
      <w:r>
        <w:rPr>
          <w:rFonts w:ascii="Arial" w:hAnsi="Arial" w:cs="Arial"/>
          <w:iCs/>
          <w:sz w:val="24"/>
          <w:szCs w:val="24"/>
        </w:rPr>
        <w:t>adopts the powers of the Court of Appeal when it orders a new trial under section 37P of the Supreme Court in their entirety to ensure consistency in court powers for any type of appeal.</w:t>
      </w:r>
    </w:p>
    <w:p w14:paraId="03521256" w14:textId="43AFC507" w:rsidR="00EC7EF3" w:rsidRDefault="00EC7EF3" w:rsidP="00D3034B">
      <w:pPr>
        <w:rPr>
          <w:rFonts w:ascii="Arial" w:hAnsi="Arial" w:cs="Arial"/>
          <w:iCs/>
          <w:sz w:val="24"/>
          <w:szCs w:val="24"/>
        </w:rPr>
      </w:pPr>
      <w:r>
        <w:rPr>
          <w:rFonts w:ascii="Arial" w:hAnsi="Arial" w:cs="Arial"/>
          <w:iCs/>
          <w:sz w:val="24"/>
          <w:szCs w:val="24"/>
          <w:u w:val="single"/>
        </w:rPr>
        <w:t>Section 68ZG – Court may grant leave to appeal conviction</w:t>
      </w:r>
    </w:p>
    <w:p w14:paraId="492677FB" w14:textId="5B9A510F" w:rsidR="00EC7EF3" w:rsidRDefault="00EC7EF3" w:rsidP="00D3034B">
      <w:pPr>
        <w:rPr>
          <w:rFonts w:ascii="Arial" w:hAnsi="Arial" w:cs="Arial"/>
          <w:iCs/>
          <w:sz w:val="24"/>
          <w:szCs w:val="24"/>
        </w:rPr>
      </w:pPr>
      <w:r>
        <w:rPr>
          <w:rFonts w:ascii="Arial" w:hAnsi="Arial" w:cs="Arial"/>
          <w:iCs/>
          <w:sz w:val="24"/>
          <w:szCs w:val="24"/>
        </w:rPr>
        <w:t xml:space="preserve">New section 68ZG permits the court to grant leave to appeal a conviction or finding of guilt where there is fresh and compelling evidence in relation to the offence and it is in the interests of justice. </w:t>
      </w:r>
    </w:p>
    <w:p w14:paraId="4A249AF8" w14:textId="031581EC" w:rsidR="00EC7EF3" w:rsidRDefault="00EC7EF3" w:rsidP="00D3034B">
      <w:pPr>
        <w:rPr>
          <w:rFonts w:ascii="Arial" w:hAnsi="Arial" w:cs="Arial"/>
          <w:iCs/>
          <w:sz w:val="24"/>
          <w:szCs w:val="24"/>
        </w:rPr>
      </w:pPr>
      <w:r>
        <w:rPr>
          <w:rFonts w:ascii="Arial" w:hAnsi="Arial" w:cs="Arial"/>
          <w:iCs/>
          <w:sz w:val="24"/>
          <w:szCs w:val="24"/>
        </w:rPr>
        <w:t xml:space="preserve">This section makes it clear that there is no limit on the number of times a convicted person may apply for leave to appeal under this section. </w:t>
      </w:r>
    </w:p>
    <w:p w14:paraId="6B25FB9F" w14:textId="0FC550C5" w:rsidR="00EC7EF3" w:rsidRDefault="00EC7EF3" w:rsidP="00D3034B">
      <w:pPr>
        <w:rPr>
          <w:rFonts w:ascii="Arial" w:hAnsi="Arial" w:cs="Arial"/>
          <w:iCs/>
          <w:sz w:val="24"/>
          <w:szCs w:val="24"/>
        </w:rPr>
      </w:pPr>
      <w:r>
        <w:rPr>
          <w:rFonts w:ascii="Arial" w:hAnsi="Arial" w:cs="Arial"/>
          <w:iCs/>
          <w:sz w:val="24"/>
          <w:szCs w:val="24"/>
          <w:u w:val="single"/>
        </w:rPr>
        <w:t>Section 68ZH – Orders on appeal against conviction</w:t>
      </w:r>
    </w:p>
    <w:p w14:paraId="1FB85662" w14:textId="6A3BEBA5" w:rsidR="00EC7EF3" w:rsidRDefault="00696186" w:rsidP="00D3034B">
      <w:pPr>
        <w:rPr>
          <w:rFonts w:ascii="Arial" w:hAnsi="Arial" w:cs="Arial"/>
          <w:iCs/>
          <w:sz w:val="24"/>
          <w:szCs w:val="24"/>
        </w:rPr>
      </w:pPr>
      <w:r>
        <w:rPr>
          <w:rFonts w:ascii="Arial" w:hAnsi="Arial" w:cs="Arial"/>
          <w:iCs/>
          <w:sz w:val="24"/>
          <w:szCs w:val="24"/>
        </w:rPr>
        <w:t xml:space="preserve">New section 68ZH permits the court to allow an appeal under section 68ZG where there is fresh and compelling evidence and, after taking into account the fresh and compelling evidence, there has been a substantial miscarriage of justice, or to dismiss the appeal. </w:t>
      </w:r>
    </w:p>
    <w:p w14:paraId="17CC03DE" w14:textId="76117318" w:rsidR="00696186" w:rsidRDefault="00696186" w:rsidP="00D3034B">
      <w:pPr>
        <w:rPr>
          <w:rFonts w:ascii="Arial" w:hAnsi="Arial" w:cs="Arial"/>
          <w:iCs/>
          <w:sz w:val="24"/>
          <w:szCs w:val="24"/>
        </w:rPr>
      </w:pPr>
      <w:r>
        <w:rPr>
          <w:rFonts w:ascii="Arial" w:hAnsi="Arial" w:cs="Arial"/>
          <w:iCs/>
          <w:sz w:val="24"/>
          <w:szCs w:val="24"/>
        </w:rPr>
        <w:t xml:space="preserve">The threshold for allowing the appeal is higher than the threshold for granting leave to appeal to prevent vexatious or untenable appeals. </w:t>
      </w:r>
    </w:p>
    <w:p w14:paraId="16794B05" w14:textId="3822E9EE" w:rsidR="00696186" w:rsidRDefault="00696186" w:rsidP="00D3034B">
      <w:pPr>
        <w:rPr>
          <w:rFonts w:ascii="Arial" w:hAnsi="Arial" w:cs="Arial"/>
          <w:iCs/>
          <w:sz w:val="24"/>
          <w:szCs w:val="24"/>
        </w:rPr>
      </w:pPr>
      <w:r>
        <w:rPr>
          <w:rFonts w:ascii="Arial" w:hAnsi="Arial" w:cs="Arial"/>
          <w:iCs/>
          <w:sz w:val="24"/>
          <w:szCs w:val="24"/>
        </w:rPr>
        <w:t xml:space="preserve">If the court allows the appeal, this section requires the court to set aside the conviction or finding of guilt and either order a verdict of not guilty to be entered or a new trial or hearing. </w:t>
      </w:r>
    </w:p>
    <w:p w14:paraId="2E752C73" w14:textId="20D5EADD" w:rsidR="00696186" w:rsidRDefault="00696186" w:rsidP="00D3034B">
      <w:pPr>
        <w:rPr>
          <w:rFonts w:ascii="Arial" w:hAnsi="Arial" w:cs="Arial"/>
          <w:iCs/>
          <w:sz w:val="24"/>
          <w:szCs w:val="24"/>
        </w:rPr>
      </w:pPr>
      <w:r>
        <w:rPr>
          <w:rFonts w:ascii="Arial" w:hAnsi="Arial" w:cs="Arial"/>
          <w:b/>
          <w:bCs/>
          <w:iCs/>
          <w:sz w:val="24"/>
          <w:szCs w:val="24"/>
        </w:rPr>
        <w:t>Clause 6</w:t>
      </w:r>
      <w:r>
        <w:rPr>
          <w:rFonts w:ascii="Arial" w:hAnsi="Arial" w:cs="Arial"/>
          <w:b/>
          <w:bCs/>
          <w:iCs/>
          <w:sz w:val="24"/>
          <w:szCs w:val="24"/>
        </w:rPr>
        <w:tab/>
        <w:t>Dictionary, notes 1 and 2</w:t>
      </w:r>
    </w:p>
    <w:p w14:paraId="499FDD94" w14:textId="3FFAC08D" w:rsidR="00696186" w:rsidRDefault="00696186" w:rsidP="00D3034B">
      <w:pPr>
        <w:rPr>
          <w:rFonts w:ascii="Arial" w:hAnsi="Arial" w:cs="Arial"/>
          <w:iCs/>
          <w:sz w:val="24"/>
          <w:szCs w:val="24"/>
        </w:rPr>
      </w:pPr>
      <w:r>
        <w:rPr>
          <w:rFonts w:ascii="Arial" w:hAnsi="Arial" w:cs="Arial"/>
          <w:iCs/>
          <w:sz w:val="24"/>
          <w:szCs w:val="24"/>
        </w:rPr>
        <w:t xml:space="preserve">This clause substitutes existing Notes 1 and 2 of the Dictionary to create a new note that states the Legislation Act contains definitions relevant to this Act, and adds the terms </w:t>
      </w:r>
      <w:r>
        <w:rPr>
          <w:rFonts w:ascii="Arial" w:hAnsi="Arial" w:cs="Arial"/>
          <w:i/>
          <w:sz w:val="24"/>
          <w:szCs w:val="24"/>
        </w:rPr>
        <w:t>director of public prosecutions</w:t>
      </w:r>
      <w:r>
        <w:rPr>
          <w:rFonts w:ascii="Arial" w:hAnsi="Arial" w:cs="Arial"/>
          <w:iCs/>
          <w:sz w:val="24"/>
          <w:szCs w:val="24"/>
        </w:rPr>
        <w:t xml:space="preserve">, </w:t>
      </w:r>
      <w:r>
        <w:rPr>
          <w:rFonts w:ascii="Arial" w:hAnsi="Arial" w:cs="Arial"/>
          <w:i/>
          <w:sz w:val="24"/>
          <w:szCs w:val="24"/>
        </w:rPr>
        <w:t>legal practitioner</w:t>
      </w:r>
      <w:r>
        <w:rPr>
          <w:rFonts w:ascii="Arial" w:hAnsi="Arial" w:cs="Arial"/>
          <w:iCs/>
          <w:sz w:val="24"/>
          <w:szCs w:val="24"/>
        </w:rPr>
        <w:t xml:space="preserve">, </w:t>
      </w:r>
      <w:r>
        <w:rPr>
          <w:rFonts w:ascii="Arial" w:hAnsi="Arial" w:cs="Arial"/>
          <w:i/>
          <w:sz w:val="24"/>
          <w:szCs w:val="24"/>
        </w:rPr>
        <w:t>may</w:t>
      </w:r>
      <w:r>
        <w:rPr>
          <w:rFonts w:ascii="Arial" w:hAnsi="Arial" w:cs="Arial"/>
          <w:iCs/>
          <w:sz w:val="24"/>
          <w:szCs w:val="24"/>
        </w:rPr>
        <w:t xml:space="preserve"> (see s 146), </w:t>
      </w:r>
      <w:r>
        <w:rPr>
          <w:rFonts w:ascii="Arial" w:hAnsi="Arial" w:cs="Arial"/>
          <w:i/>
          <w:sz w:val="24"/>
          <w:szCs w:val="24"/>
        </w:rPr>
        <w:t>month</w:t>
      </w:r>
      <w:r w:rsidR="00021455">
        <w:rPr>
          <w:rFonts w:ascii="Arial" w:hAnsi="Arial" w:cs="Arial"/>
          <w:i/>
          <w:sz w:val="24"/>
          <w:szCs w:val="24"/>
        </w:rPr>
        <w:t xml:space="preserve"> </w:t>
      </w:r>
      <w:r w:rsidR="00021455">
        <w:rPr>
          <w:rFonts w:ascii="Arial" w:hAnsi="Arial" w:cs="Arial"/>
          <w:iCs/>
          <w:sz w:val="24"/>
          <w:szCs w:val="24"/>
        </w:rPr>
        <w:t>and</w:t>
      </w:r>
      <w:r>
        <w:rPr>
          <w:rFonts w:ascii="Arial" w:hAnsi="Arial" w:cs="Arial"/>
          <w:iCs/>
          <w:sz w:val="24"/>
          <w:szCs w:val="24"/>
        </w:rPr>
        <w:t xml:space="preserve"> </w:t>
      </w:r>
      <w:r>
        <w:rPr>
          <w:rFonts w:ascii="Arial" w:hAnsi="Arial" w:cs="Arial"/>
          <w:i/>
          <w:sz w:val="24"/>
          <w:szCs w:val="24"/>
        </w:rPr>
        <w:t>must</w:t>
      </w:r>
      <w:r w:rsidR="00021455">
        <w:rPr>
          <w:rFonts w:ascii="Arial" w:hAnsi="Arial" w:cs="Arial"/>
          <w:i/>
          <w:sz w:val="24"/>
          <w:szCs w:val="24"/>
        </w:rPr>
        <w:t xml:space="preserve"> </w:t>
      </w:r>
      <w:r w:rsidR="00021455">
        <w:rPr>
          <w:rFonts w:ascii="Arial" w:hAnsi="Arial" w:cs="Arial"/>
          <w:iCs/>
          <w:sz w:val="24"/>
          <w:szCs w:val="24"/>
        </w:rPr>
        <w:t xml:space="preserve">(see s 146). </w:t>
      </w:r>
      <w:r w:rsidR="00021455">
        <w:rPr>
          <w:rFonts w:ascii="Arial" w:hAnsi="Arial" w:cs="Arial"/>
          <w:i/>
          <w:sz w:val="24"/>
          <w:szCs w:val="24"/>
        </w:rPr>
        <w:t xml:space="preserve"> </w:t>
      </w:r>
      <w:r>
        <w:rPr>
          <w:rFonts w:ascii="Arial" w:hAnsi="Arial" w:cs="Arial"/>
          <w:iCs/>
          <w:sz w:val="24"/>
          <w:szCs w:val="24"/>
        </w:rPr>
        <w:t xml:space="preserve"> </w:t>
      </w:r>
    </w:p>
    <w:p w14:paraId="11B9B752" w14:textId="39A75FF9" w:rsidR="00021455" w:rsidRDefault="00021455" w:rsidP="00D3034B">
      <w:pPr>
        <w:rPr>
          <w:rFonts w:ascii="Arial" w:hAnsi="Arial" w:cs="Arial"/>
          <w:b/>
          <w:bCs/>
          <w:iCs/>
          <w:sz w:val="24"/>
          <w:szCs w:val="24"/>
        </w:rPr>
      </w:pPr>
      <w:r>
        <w:rPr>
          <w:rFonts w:ascii="Arial" w:hAnsi="Arial" w:cs="Arial"/>
          <w:b/>
          <w:bCs/>
          <w:iCs/>
          <w:sz w:val="24"/>
          <w:szCs w:val="24"/>
        </w:rPr>
        <w:t>Clause 7</w:t>
      </w:r>
      <w:r>
        <w:rPr>
          <w:rFonts w:ascii="Arial" w:hAnsi="Arial" w:cs="Arial"/>
          <w:b/>
          <w:bCs/>
          <w:iCs/>
          <w:sz w:val="24"/>
          <w:szCs w:val="24"/>
        </w:rPr>
        <w:tab/>
        <w:t xml:space="preserve">Dictionary, definition of </w:t>
      </w:r>
      <w:r>
        <w:rPr>
          <w:rFonts w:ascii="Arial" w:hAnsi="Arial" w:cs="Arial"/>
          <w:b/>
          <w:bCs/>
          <w:i/>
          <w:sz w:val="24"/>
          <w:szCs w:val="24"/>
        </w:rPr>
        <w:t>compelling</w:t>
      </w:r>
    </w:p>
    <w:p w14:paraId="2F82100E" w14:textId="7516072E" w:rsidR="00021455" w:rsidRDefault="00021455" w:rsidP="00D3034B">
      <w:pPr>
        <w:rPr>
          <w:rFonts w:ascii="Arial" w:hAnsi="Arial" w:cs="Arial"/>
          <w:iCs/>
          <w:sz w:val="24"/>
          <w:szCs w:val="24"/>
        </w:rPr>
      </w:pPr>
      <w:r>
        <w:rPr>
          <w:rFonts w:ascii="Arial" w:hAnsi="Arial" w:cs="Arial"/>
          <w:iCs/>
          <w:sz w:val="24"/>
          <w:szCs w:val="24"/>
        </w:rPr>
        <w:t xml:space="preserve">This clause substitutes the definition of </w:t>
      </w:r>
      <w:r>
        <w:rPr>
          <w:rFonts w:ascii="Arial" w:hAnsi="Arial" w:cs="Arial"/>
          <w:b/>
          <w:bCs/>
          <w:i/>
          <w:sz w:val="24"/>
          <w:szCs w:val="24"/>
        </w:rPr>
        <w:t>compelling</w:t>
      </w:r>
      <w:r>
        <w:rPr>
          <w:rFonts w:ascii="Arial" w:hAnsi="Arial" w:cs="Arial"/>
          <w:b/>
          <w:bCs/>
          <w:iCs/>
          <w:sz w:val="24"/>
          <w:szCs w:val="24"/>
        </w:rPr>
        <w:t xml:space="preserve"> </w:t>
      </w:r>
      <w:r>
        <w:rPr>
          <w:rFonts w:ascii="Arial" w:hAnsi="Arial" w:cs="Arial"/>
          <w:iCs/>
          <w:sz w:val="24"/>
          <w:szCs w:val="24"/>
        </w:rPr>
        <w:t xml:space="preserve">to reflect the definitions in new section 68ZE(3) as well as the existing definition in section 68K. </w:t>
      </w:r>
    </w:p>
    <w:p w14:paraId="691E6B57" w14:textId="0185F6FD" w:rsidR="00021455" w:rsidRDefault="00021455" w:rsidP="00B873D7">
      <w:pPr>
        <w:keepNext/>
        <w:rPr>
          <w:rFonts w:ascii="Arial" w:hAnsi="Arial" w:cs="Arial"/>
          <w:b/>
          <w:bCs/>
          <w:iCs/>
          <w:sz w:val="24"/>
          <w:szCs w:val="24"/>
        </w:rPr>
      </w:pPr>
      <w:r>
        <w:rPr>
          <w:rFonts w:ascii="Arial" w:hAnsi="Arial" w:cs="Arial"/>
          <w:b/>
          <w:bCs/>
          <w:iCs/>
          <w:sz w:val="24"/>
          <w:szCs w:val="24"/>
        </w:rPr>
        <w:lastRenderedPageBreak/>
        <w:t>Clause 8</w:t>
      </w:r>
      <w:r>
        <w:rPr>
          <w:rFonts w:ascii="Arial" w:hAnsi="Arial" w:cs="Arial"/>
          <w:b/>
          <w:bCs/>
          <w:iCs/>
          <w:sz w:val="24"/>
          <w:szCs w:val="24"/>
        </w:rPr>
        <w:tab/>
        <w:t xml:space="preserve">Dictionary, new definition of </w:t>
      </w:r>
      <w:r>
        <w:rPr>
          <w:rFonts w:ascii="Arial" w:hAnsi="Arial" w:cs="Arial"/>
          <w:b/>
          <w:bCs/>
          <w:i/>
          <w:sz w:val="24"/>
          <w:szCs w:val="24"/>
        </w:rPr>
        <w:t>convicted person</w:t>
      </w:r>
    </w:p>
    <w:p w14:paraId="0B60FC37" w14:textId="09DC96AA" w:rsidR="00021455" w:rsidRPr="00021455" w:rsidRDefault="00021455" w:rsidP="00D3034B">
      <w:pPr>
        <w:rPr>
          <w:rFonts w:ascii="Arial" w:hAnsi="Arial" w:cs="Arial"/>
          <w:iCs/>
          <w:sz w:val="24"/>
          <w:szCs w:val="24"/>
        </w:rPr>
      </w:pPr>
      <w:r w:rsidRPr="00173E39">
        <w:rPr>
          <w:rFonts w:ascii="Arial" w:hAnsi="Arial" w:cs="Arial"/>
          <w:iCs/>
          <w:sz w:val="24"/>
          <w:szCs w:val="24"/>
        </w:rPr>
        <w:t>This clause inserts a new</w:t>
      </w:r>
      <w:r>
        <w:rPr>
          <w:rFonts w:ascii="Arial" w:hAnsi="Arial" w:cs="Arial"/>
          <w:iCs/>
          <w:sz w:val="24"/>
          <w:szCs w:val="24"/>
        </w:rPr>
        <w:t xml:space="preserve"> signpost definition of </w:t>
      </w:r>
      <w:r>
        <w:rPr>
          <w:rFonts w:ascii="Arial" w:hAnsi="Arial" w:cs="Arial"/>
          <w:b/>
          <w:bCs/>
          <w:i/>
          <w:sz w:val="24"/>
          <w:szCs w:val="24"/>
        </w:rPr>
        <w:t>convicted person</w:t>
      </w:r>
      <w:r>
        <w:rPr>
          <w:rFonts w:ascii="Arial" w:hAnsi="Arial" w:cs="Arial"/>
          <w:b/>
          <w:bCs/>
          <w:iCs/>
          <w:sz w:val="24"/>
          <w:szCs w:val="24"/>
        </w:rPr>
        <w:t xml:space="preserve"> </w:t>
      </w:r>
      <w:r>
        <w:rPr>
          <w:rFonts w:ascii="Arial" w:hAnsi="Arial" w:cs="Arial"/>
          <w:iCs/>
          <w:sz w:val="24"/>
          <w:szCs w:val="24"/>
        </w:rPr>
        <w:t xml:space="preserve">for new Part 8AB (Appeals against conviction for fresh and compelling evidence) and refers to new section 68ZC(1). </w:t>
      </w:r>
    </w:p>
    <w:p w14:paraId="79ED16A7" w14:textId="7D4DD257" w:rsidR="00021455" w:rsidRDefault="00021455" w:rsidP="00D3034B">
      <w:pPr>
        <w:rPr>
          <w:rFonts w:ascii="Arial" w:hAnsi="Arial" w:cs="Arial"/>
          <w:b/>
          <w:bCs/>
          <w:iCs/>
          <w:sz w:val="24"/>
          <w:szCs w:val="24"/>
        </w:rPr>
      </w:pPr>
      <w:r>
        <w:rPr>
          <w:rFonts w:ascii="Arial" w:hAnsi="Arial" w:cs="Arial"/>
          <w:b/>
          <w:bCs/>
          <w:iCs/>
          <w:sz w:val="24"/>
          <w:szCs w:val="24"/>
        </w:rPr>
        <w:t>Clause 9</w:t>
      </w:r>
      <w:r>
        <w:rPr>
          <w:rFonts w:ascii="Arial" w:hAnsi="Arial" w:cs="Arial"/>
          <w:b/>
          <w:bCs/>
          <w:iCs/>
          <w:sz w:val="24"/>
          <w:szCs w:val="24"/>
        </w:rPr>
        <w:tab/>
        <w:t xml:space="preserve">Dictionary, definition of </w:t>
      </w:r>
      <w:r>
        <w:rPr>
          <w:rFonts w:ascii="Arial" w:hAnsi="Arial" w:cs="Arial"/>
          <w:b/>
          <w:bCs/>
          <w:i/>
          <w:sz w:val="24"/>
          <w:szCs w:val="24"/>
        </w:rPr>
        <w:t>court</w:t>
      </w:r>
      <w:r>
        <w:rPr>
          <w:rFonts w:ascii="Arial" w:hAnsi="Arial" w:cs="Arial"/>
          <w:b/>
          <w:bCs/>
          <w:iCs/>
          <w:sz w:val="24"/>
          <w:szCs w:val="24"/>
        </w:rPr>
        <w:t xml:space="preserve">, new paragraph </w:t>
      </w:r>
      <w:r w:rsidR="00C902F4">
        <w:rPr>
          <w:rFonts w:ascii="Arial" w:hAnsi="Arial" w:cs="Arial"/>
          <w:b/>
          <w:bCs/>
          <w:iCs/>
          <w:sz w:val="24"/>
          <w:szCs w:val="24"/>
        </w:rPr>
        <w:t>(c)</w:t>
      </w:r>
    </w:p>
    <w:p w14:paraId="10586900" w14:textId="722B446F" w:rsidR="00021455" w:rsidRDefault="00021455" w:rsidP="00D3034B">
      <w:pPr>
        <w:rPr>
          <w:rFonts w:ascii="Arial" w:hAnsi="Arial" w:cs="Arial"/>
          <w:iCs/>
          <w:sz w:val="24"/>
          <w:szCs w:val="24"/>
        </w:rPr>
      </w:pPr>
      <w:r>
        <w:rPr>
          <w:rFonts w:ascii="Arial" w:hAnsi="Arial" w:cs="Arial"/>
          <w:iCs/>
          <w:sz w:val="24"/>
          <w:szCs w:val="24"/>
        </w:rPr>
        <w:t xml:space="preserve">This clause inserts a new signpost definition for </w:t>
      </w:r>
      <w:r>
        <w:rPr>
          <w:rFonts w:ascii="Arial" w:hAnsi="Arial" w:cs="Arial"/>
          <w:b/>
          <w:bCs/>
          <w:i/>
          <w:sz w:val="24"/>
          <w:szCs w:val="24"/>
        </w:rPr>
        <w:t>court</w:t>
      </w:r>
      <w:r>
        <w:rPr>
          <w:rFonts w:ascii="Arial" w:hAnsi="Arial" w:cs="Arial"/>
          <w:b/>
          <w:bCs/>
          <w:iCs/>
          <w:sz w:val="24"/>
          <w:szCs w:val="24"/>
        </w:rPr>
        <w:t xml:space="preserve"> </w:t>
      </w:r>
      <w:r>
        <w:rPr>
          <w:rFonts w:ascii="Arial" w:hAnsi="Arial" w:cs="Arial"/>
          <w:iCs/>
          <w:sz w:val="24"/>
          <w:szCs w:val="24"/>
        </w:rPr>
        <w:t xml:space="preserve">for new Part 8AB (Appeals against conviction for fresh and compelling evidence) and refers to new section 68ZD. </w:t>
      </w:r>
    </w:p>
    <w:p w14:paraId="00ED3A95" w14:textId="2AB8F8CF" w:rsidR="00021455" w:rsidRDefault="00021455" w:rsidP="00D3034B">
      <w:pPr>
        <w:rPr>
          <w:rFonts w:ascii="Arial" w:hAnsi="Arial" w:cs="Arial"/>
          <w:b/>
          <w:bCs/>
          <w:iCs/>
          <w:sz w:val="24"/>
          <w:szCs w:val="24"/>
        </w:rPr>
      </w:pPr>
      <w:r>
        <w:rPr>
          <w:rFonts w:ascii="Arial" w:hAnsi="Arial" w:cs="Arial"/>
          <w:b/>
          <w:bCs/>
          <w:iCs/>
          <w:sz w:val="24"/>
          <w:szCs w:val="24"/>
        </w:rPr>
        <w:t>Clause 10</w:t>
      </w:r>
      <w:r>
        <w:rPr>
          <w:rFonts w:ascii="Arial" w:hAnsi="Arial" w:cs="Arial"/>
          <w:b/>
          <w:bCs/>
          <w:iCs/>
          <w:sz w:val="24"/>
          <w:szCs w:val="24"/>
        </w:rPr>
        <w:tab/>
        <w:t>Dictionary</w:t>
      </w:r>
    </w:p>
    <w:p w14:paraId="152DF518" w14:textId="48DFB696" w:rsidR="00E71D06" w:rsidRPr="00E71D06" w:rsidRDefault="00E71D06" w:rsidP="00D3034B">
      <w:pPr>
        <w:rPr>
          <w:rFonts w:ascii="Arial" w:hAnsi="Arial" w:cs="Arial"/>
          <w:iCs/>
          <w:sz w:val="24"/>
          <w:szCs w:val="24"/>
        </w:rPr>
      </w:pPr>
      <w:r>
        <w:rPr>
          <w:rFonts w:ascii="Arial" w:hAnsi="Arial" w:cs="Arial"/>
          <w:iCs/>
          <w:sz w:val="24"/>
          <w:szCs w:val="24"/>
        </w:rPr>
        <w:t xml:space="preserve">This clause substitutes the definition of </w:t>
      </w:r>
      <w:r>
        <w:rPr>
          <w:rFonts w:ascii="Arial" w:hAnsi="Arial" w:cs="Arial"/>
          <w:b/>
          <w:bCs/>
          <w:i/>
          <w:sz w:val="24"/>
          <w:szCs w:val="24"/>
        </w:rPr>
        <w:t>fresh</w:t>
      </w:r>
      <w:r>
        <w:rPr>
          <w:rFonts w:ascii="Arial" w:hAnsi="Arial" w:cs="Arial"/>
          <w:iCs/>
          <w:sz w:val="24"/>
          <w:szCs w:val="24"/>
        </w:rPr>
        <w:t xml:space="preserve"> to reflect the definitions in new section 68ZE(1) as well as the existing definition in section 68K. </w:t>
      </w:r>
    </w:p>
    <w:sectPr w:rsidR="00E71D06" w:rsidRPr="00E71D06" w:rsidSect="00F41A2F">
      <w:footerReference w:type="default" r:id="rId18"/>
      <w:footerReference w:type="first" r:id="rId19"/>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585F" w14:textId="77777777" w:rsidR="00457039" w:rsidRDefault="00457039">
      <w:pPr>
        <w:spacing w:after="0" w:line="240" w:lineRule="auto"/>
      </w:pPr>
      <w:r>
        <w:separator/>
      </w:r>
    </w:p>
  </w:endnote>
  <w:endnote w:type="continuationSeparator" w:id="0">
    <w:p w14:paraId="2B420802" w14:textId="77777777" w:rsidR="00457039" w:rsidRDefault="00457039">
      <w:pPr>
        <w:spacing w:after="0" w:line="240" w:lineRule="auto"/>
      </w:pPr>
      <w:r>
        <w:continuationSeparator/>
      </w:r>
    </w:p>
  </w:endnote>
  <w:endnote w:type="continuationNotice" w:id="1">
    <w:p w14:paraId="0C87F951" w14:textId="77777777" w:rsidR="00457039" w:rsidRDefault="00457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9C55" w14:textId="77777777" w:rsidR="00A05179" w:rsidRDefault="00A05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9797" w14:textId="121C5108" w:rsidR="00EA5523" w:rsidRPr="00A05179" w:rsidRDefault="00A05179" w:rsidP="00A05179">
    <w:pPr>
      <w:pStyle w:val="Footer"/>
      <w:jc w:val="center"/>
      <w:rPr>
        <w:rFonts w:cs="Arial"/>
        <w:sz w:val="14"/>
      </w:rPr>
    </w:pPr>
    <w:r w:rsidRPr="00A0517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2D3F7E65"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77E0C47A" w14:textId="04DE69B8" w:rsidR="00A05179" w:rsidRPr="00A05179" w:rsidRDefault="00A05179" w:rsidP="00A05179">
    <w:pPr>
      <w:pStyle w:val="Footer"/>
      <w:spacing w:before="60" w:line="240" w:lineRule="auto"/>
      <w:jc w:val="center"/>
      <w:rPr>
        <w:rFonts w:cs="Arial"/>
        <w:sz w:val="14"/>
      </w:rPr>
    </w:pPr>
    <w:r w:rsidRPr="00A05179">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9E6A" w14:textId="635D65D0" w:rsidR="00EA5523" w:rsidRDefault="009028C1" w:rsidP="0098373F">
    <w:pPr>
      <w:pStyle w:val="Footer"/>
      <w:jc w:val="right"/>
    </w:pPr>
    <w:r>
      <w:fldChar w:fldCharType="begin"/>
    </w:r>
    <w:r>
      <w:instrText xml:space="preserve"> PAGE   \* MERGEFORMAT </w:instrText>
    </w:r>
    <w:r>
      <w:fldChar w:fldCharType="separate"/>
    </w:r>
    <w:r w:rsidR="0057382D">
      <w:rPr>
        <w:noProof/>
      </w:rPr>
      <w:t>1</w:t>
    </w:r>
    <w:r>
      <w:fldChar w:fldCharType="end"/>
    </w:r>
  </w:p>
  <w:p w14:paraId="1117C876" w14:textId="58721FEC" w:rsidR="00A05179" w:rsidRPr="00A05179" w:rsidRDefault="00A05179" w:rsidP="00A05179">
    <w:pPr>
      <w:pStyle w:val="Footer"/>
      <w:jc w:val="center"/>
      <w:rPr>
        <w:rFonts w:cs="Arial"/>
        <w:sz w:val="14"/>
      </w:rPr>
    </w:pPr>
    <w:r w:rsidRPr="00A05179">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7082" w14:textId="77777777" w:rsidR="00457039" w:rsidRDefault="00457039">
      <w:pPr>
        <w:spacing w:after="0" w:line="240" w:lineRule="auto"/>
      </w:pPr>
      <w:r>
        <w:separator/>
      </w:r>
    </w:p>
  </w:footnote>
  <w:footnote w:type="continuationSeparator" w:id="0">
    <w:p w14:paraId="71332463" w14:textId="77777777" w:rsidR="00457039" w:rsidRDefault="00457039">
      <w:pPr>
        <w:spacing w:after="0" w:line="240" w:lineRule="auto"/>
      </w:pPr>
      <w:r>
        <w:continuationSeparator/>
      </w:r>
    </w:p>
  </w:footnote>
  <w:footnote w:type="continuationNotice" w:id="1">
    <w:p w14:paraId="1195E911" w14:textId="77777777" w:rsidR="00457039" w:rsidRDefault="00457039">
      <w:pPr>
        <w:spacing w:after="0" w:line="240" w:lineRule="auto"/>
      </w:pPr>
    </w:p>
  </w:footnote>
  <w:footnote w:id="2">
    <w:p w14:paraId="6CADE670" w14:textId="2CAB6092" w:rsidR="005E1123" w:rsidRPr="005E1123" w:rsidRDefault="005E1123">
      <w:pPr>
        <w:pStyle w:val="FootnoteText"/>
        <w:rPr>
          <w:lang w:val="en-AU"/>
        </w:rPr>
      </w:pPr>
      <w:r>
        <w:rPr>
          <w:rStyle w:val="FootnoteReference"/>
        </w:rPr>
        <w:footnoteRef/>
      </w:r>
      <w:r>
        <w:t xml:space="preserve"> </w:t>
      </w:r>
      <w:r>
        <w:rPr>
          <w:lang w:val="en-AU"/>
        </w:rPr>
        <w:t xml:space="preserve">See e.g. </w:t>
      </w:r>
      <w:r>
        <w:rPr>
          <w:i/>
          <w:iCs/>
          <w:lang w:val="en-AU"/>
        </w:rPr>
        <w:t xml:space="preserve">Kelly v The Queen </w:t>
      </w:r>
      <w:r>
        <w:rPr>
          <w:lang w:val="en-AU"/>
        </w:rPr>
        <w:t xml:space="preserve">[2015] ACTCA 35 [29]. </w:t>
      </w:r>
    </w:p>
  </w:footnote>
  <w:footnote w:id="3">
    <w:p w14:paraId="5B20819D" w14:textId="4804278F" w:rsidR="00845D7B" w:rsidRPr="00845D7B" w:rsidRDefault="00845D7B">
      <w:pPr>
        <w:pStyle w:val="FootnoteText"/>
        <w:rPr>
          <w:lang w:val="en-AU"/>
        </w:rPr>
      </w:pPr>
      <w:r>
        <w:rPr>
          <w:rStyle w:val="FootnoteReference"/>
        </w:rPr>
        <w:footnoteRef/>
      </w:r>
      <w:r>
        <w:t xml:space="preserve"> UN Human Rights Committee, </w:t>
      </w:r>
      <w:r>
        <w:rPr>
          <w:i/>
          <w:iCs/>
        </w:rPr>
        <w:t xml:space="preserve">General Comment No. 32, Article 14, Right to equality before courts and tribunals and to fair trial </w:t>
      </w:r>
      <w:r>
        <w:t>(2007) [45] (</w:t>
      </w:r>
      <w:hyperlink r:id="rId1" w:history="1">
        <w:r w:rsidRPr="007B5456">
          <w:rPr>
            <w:rStyle w:val="Hyperlink"/>
          </w:rPr>
          <w:t>https://www.refworld.org/docid/478b2b2f2.html</w:t>
        </w:r>
      </w:hyperlink>
      <w:r>
        <w:t>, accessed 5 April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8DA2" w14:textId="77777777" w:rsidR="00A05179" w:rsidRDefault="00A05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5C1B" w14:textId="77777777" w:rsidR="00A05179" w:rsidRDefault="00A05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454D" w14:textId="77777777" w:rsidR="00EA5523" w:rsidRDefault="00EA5523" w:rsidP="00EA55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614"/>
    <w:multiLevelType w:val="hybridMultilevel"/>
    <w:tmpl w:val="32B47940"/>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B76179"/>
    <w:multiLevelType w:val="hybridMultilevel"/>
    <w:tmpl w:val="B36241B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D34677"/>
    <w:multiLevelType w:val="hybridMultilevel"/>
    <w:tmpl w:val="0BF8776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BA493F"/>
    <w:multiLevelType w:val="hybridMultilevel"/>
    <w:tmpl w:val="5AEC80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1E66D7"/>
    <w:multiLevelType w:val="hybridMultilevel"/>
    <w:tmpl w:val="4520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7C397660"/>
    <w:multiLevelType w:val="hybridMultilevel"/>
    <w:tmpl w:val="37004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CD1E88"/>
    <w:multiLevelType w:val="hybridMultilevel"/>
    <w:tmpl w:val="544093F4"/>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934664">
    <w:abstractNumId w:val="6"/>
  </w:num>
  <w:num w:numId="2" w16cid:durableId="1007093813">
    <w:abstractNumId w:val="7"/>
  </w:num>
  <w:num w:numId="3" w16cid:durableId="1660111657">
    <w:abstractNumId w:val="1"/>
  </w:num>
  <w:num w:numId="4" w16cid:durableId="5638464">
    <w:abstractNumId w:val="0"/>
  </w:num>
  <w:num w:numId="5" w16cid:durableId="1467165956">
    <w:abstractNumId w:val="3"/>
  </w:num>
  <w:num w:numId="6" w16cid:durableId="2117091326">
    <w:abstractNumId w:val="9"/>
  </w:num>
  <w:num w:numId="7" w16cid:durableId="1532643280">
    <w:abstractNumId w:val="4"/>
  </w:num>
  <w:num w:numId="8" w16cid:durableId="2027519451">
    <w:abstractNumId w:val="2"/>
  </w:num>
  <w:num w:numId="9" w16cid:durableId="417945078">
    <w:abstractNumId w:val="8"/>
  </w:num>
  <w:num w:numId="10" w16cid:durableId="129552623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21D6"/>
    <w:rsid w:val="00003193"/>
    <w:rsid w:val="000031D2"/>
    <w:rsid w:val="000037CA"/>
    <w:rsid w:val="00003B06"/>
    <w:rsid w:val="00003E8C"/>
    <w:rsid w:val="00003E9C"/>
    <w:rsid w:val="000044DF"/>
    <w:rsid w:val="00005792"/>
    <w:rsid w:val="000065F2"/>
    <w:rsid w:val="00006A9D"/>
    <w:rsid w:val="00006CBF"/>
    <w:rsid w:val="00007947"/>
    <w:rsid w:val="00007EB9"/>
    <w:rsid w:val="00010BE1"/>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1455"/>
    <w:rsid w:val="00022161"/>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055"/>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D1F"/>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517"/>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02CB"/>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6ECF"/>
    <w:rsid w:val="000D703B"/>
    <w:rsid w:val="000D724C"/>
    <w:rsid w:val="000D758B"/>
    <w:rsid w:val="000D7F4E"/>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3C2F"/>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53"/>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3E39"/>
    <w:rsid w:val="001756D8"/>
    <w:rsid w:val="0017626F"/>
    <w:rsid w:val="00176D37"/>
    <w:rsid w:val="001773B7"/>
    <w:rsid w:val="00177C96"/>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2C3B"/>
    <w:rsid w:val="001F35AB"/>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9EE"/>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617"/>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1A58"/>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B7DF3"/>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1A03"/>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1E4D"/>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0D30"/>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30A0"/>
    <w:rsid w:val="0038423E"/>
    <w:rsid w:val="00384870"/>
    <w:rsid w:val="0038506B"/>
    <w:rsid w:val="0038545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064"/>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2F62"/>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015"/>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039"/>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7BC"/>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6421"/>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149"/>
    <w:rsid w:val="005C67DC"/>
    <w:rsid w:val="005C683E"/>
    <w:rsid w:val="005C6966"/>
    <w:rsid w:val="005C6B99"/>
    <w:rsid w:val="005C6C3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1123"/>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186"/>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ACE"/>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B21"/>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4318"/>
    <w:rsid w:val="0077563E"/>
    <w:rsid w:val="00775C60"/>
    <w:rsid w:val="0077749D"/>
    <w:rsid w:val="007774BB"/>
    <w:rsid w:val="00777D35"/>
    <w:rsid w:val="00777F5D"/>
    <w:rsid w:val="0078002B"/>
    <w:rsid w:val="0078071F"/>
    <w:rsid w:val="00780DDC"/>
    <w:rsid w:val="00781C4A"/>
    <w:rsid w:val="00781DFE"/>
    <w:rsid w:val="00781E2B"/>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1D2C"/>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310"/>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C2C"/>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5D7B"/>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B9"/>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20C"/>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15C"/>
    <w:rsid w:val="008F3F04"/>
    <w:rsid w:val="008F4176"/>
    <w:rsid w:val="008F464D"/>
    <w:rsid w:val="008F6E12"/>
    <w:rsid w:val="008F6E89"/>
    <w:rsid w:val="008F7F74"/>
    <w:rsid w:val="009008B1"/>
    <w:rsid w:val="00900EA4"/>
    <w:rsid w:val="009028C1"/>
    <w:rsid w:val="00903434"/>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27B12"/>
    <w:rsid w:val="009301EF"/>
    <w:rsid w:val="009307A7"/>
    <w:rsid w:val="00932784"/>
    <w:rsid w:val="00932BCC"/>
    <w:rsid w:val="00933059"/>
    <w:rsid w:val="0093316D"/>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373F"/>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179"/>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478CA"/>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2AAD"/>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77EDE"/>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1C6"/>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5F4A"/>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6F32"/>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15"/>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873D7"/>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AB1"/>
    <w:rsid w:val="00BB5BB8"/>
    <w:rsid w:val="00BB6406"/>
    <w:rsid w:val="00BB695E"/>
    <w:rsid w:val="00BB79B5"/>
    <w:rsid w:val="00BB7B42"/>
    <w:rsid w:val="00BC069F"/>
    <w:rsid w:val="00BC0A98"/>
    <w:rsid w:val="00BC0B02"/>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68C"/>
    <w:rsid w:val="00BE1856"/>
    <w:rsid w:val="00BE2372"/>
    <w:rsid w:val="00BE268F"/>
    <w:rsid w:val="00BE3E6C"/>
    <w:rsid w:val="00BE4168"/>
    <w:rsid w:val="00BE455B"/>
    <w:rsid w:val="00BE4AF1"/>
    <w:rsid w:val="00BE4B47"/>
    <w:rsid w:val="00BE5D4F"/>
    <w:rsid w:val="00BE640F"/>
    <w:rsid w:val="00BE6CD5"/>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085"/>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1F4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2F4"/>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35E4"/>
    <w:rsid w:val="00CA4367"/>
    <w:rsid w:val="00CA48F1"/>
    <w:rsid w:val="00CA4D8F"/>
    <w:rsid w:val="00CA4E70"/>
    <w:rsid w:val="00CA5371"/>
    <w:rsid w:val="00CA5B43"/>
    <w:rsid w:val="00CA5CD2"/>
    <w:rsid w:val="00CA6606"/>
    <w:rsid w:val="00CA6F7D"/>
    <w:rsid w:val="00CA7122"/>
    <w:rsid w:val="00CA7D28"/>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2E99"/>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1F3"/>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A7EA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00"/>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88D"/>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D06"/>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23"/>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79"/>
    <w:rsid w:val="00EC3BC2"/>
    <w:rsid w:val="00EC44A3"/>
    <w:rsid w:val="00EC45EE"/>
    <w:rsid w:val="00EC53B1"/>
    <w:rsid w:val="00EC5428"/>
    <w:rsid w:val="00EC5BD6"/>
    <w:rsid w:val="00EC6041"/>
    <w:rsid w:val="00EC65B9"/>
    <w:rsid w:val="00EC6820"/>
    <w:rsid w:val="00EC71B4"/>
    <w:rsid w:val="00EC7EF3"/>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12CE"/>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CAD"/>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564"/>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53"/>
    <w:rsid w:val="00FE67A0"/>
    <w:rsid w:val="00FE6AE2"/>
    <w:rsid w:val="00FE6FD9"/>
    <w:rsid w:val="00FE736D"/>
    <w:rsid w:val="00FE7656"/>
    <w:rsid w:val="00FE7FD8"/>
    <w:rsid w:val="00FF014A"/>
    <w:rsid w:val="00FF0BFE"/>
    <w:rsid w:val="00FF0E16"/>
    <w:rsid w:val="00FF17FD"/>
    <w:rsid w:val="00FF251E"/>
    <w:rsid w:val="00FF28E1"/>
    <w:rsid w:val="00FF2991"/>
    <w:rsid w:val="00FF2AFA"/>
    <w:rsid w:val="00FF2BE2"/>
    <w:rsid w:val="00FF3545"/>
    <w:rsid w:val="00FF3ACF"/>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BC0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fworld.org/docid/478b2b2f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83FA8CEF0157054DAFCC2DD83F48090D" ma:contentTypeVersion="6" ma:contentTypeDescription="Create a new document." ma:contentTypeScope="" ma:versionID="e5c6dbbe6162e7128e75f9bad9072cf0">
  <xsd:schema xmlns:xsd="http://www.w3.org/2001/XMLSchema" xmlns:xs="http://www.w3.org/2001/XMLSchema" xmlns:p="http://schemas.microsoft.com/office/2006/metadata/properties" xmlns:ns2="06296216-7410-451c-a1d1-78ce4675fba5" targetNamespace="http://schemas.microsoft.com/office/2006/metadata/properties" ma:root="true" ma:fieldsID="264971d301498744779bf8e0efe701aa" ns2:_="">
    <xsd:import namespace="06296216-7410-451c-a1d1-78ce4675fb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96216-7410-451c-a1d1-78ce4675f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612BA-CC90-415A-945C-52F790244E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3.xml><?xml version="1.0" encoding="utf-8"?>
<ds:datastoreItem xmlns:ds="http://schemas.openxmlformats.org/officeDocument/2006/customXml" ds:itemID="{C5E9AE05-E920-4603-8CFD-FE8A265BE995}">
  <ds:schemaRefs>
    <ds:schemaRef ds:uri="http://schemas.microsoft.com/sharepoint/v3/contenttype/forms"/>
  </ds:schemaRefs>
</ds:datastoreItem>
</file>

<file path=customXml/itemProps4.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5.xml><?xml version="1.0" encoding="utf-8"?>
<ds:datastoreItem xmlns:ds="http://schemas.openxmlformats.org/officeDocument/2006/customXml" ds:itemID="{5BA58BF6-29C3-441E-8D0A-9771C4E1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96216-7410-451c-a1d1-78ce4675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2260</Words>
  <Characters>11545</Characters>
  <Application>Microsoft Office Word</Application>
  <DocSecurity>0</DocSecurity>
  <Lines>277</Lines>
  <Paragraphs>109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2023-05-09T02:26:00Z</dcterms:created>
  <dcterms:modified xsi:type="dcterms:W3CDTF">2023-05-09T02:26:00Z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0x01010083FA8CEF0157054DAFCC2DD83F48090D</vt:lpwstr>
  </property>
  <property fmtid="{D5CDD505-2E9C-101B-9397-08002B2CF9AE}" pid="3" name="Directorate">
    <vt:lpwstr>3</vt:lpwstr>
  </property>
</Properties>
</file>