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7EC11" w14:textId="77777777" w:rsidR="00AC60D4" w:rsidRDefault="00AC60D4" w:rsidP="00AC60D4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5F83412" w14:textId="37796273" w:rsidR="00AC60D4" w:rsidRDefault="00131A39" w:rsidP="00AC60D4">
      <w:pPr>
        <w:pStyle w:val="Billname"/>
        <w:spacing w:before="700"/>
      </w:pPr>
      <w:r>
        <w:t>Victims of Crime Amendment Regulation 2023</w:t>
      </w:r>
      <w:r w:rsidR="001378FC">
        <w:t xml:space="preserve"> (No 1)</w:t>
      </w:r>
    </w:p>
    <w:p w14:paraId="7DF285F4" w14:textId="46C29504" w:rsidR="00AC60D4" w:rsidRDefault="00AC60D4" w:rsidP="00AC60D4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Subordinate </w:t>
      </w:r>
      <w:r w:rsidR="00022328"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</w:rPr>
        <w:t xml:space="preserve">aw </w:t>
      </w:r>
      <w:r w:rsidRPr="006914DB">
        <w:rPr>
          <w:rFonts w:ascii="Arial" w:hAnsi="Arial" w:cs="Arial"/>
          <w:b/>
          <w:bCs/>
        </w:rPr>
        <w:t>SL202</w:t>
      </w:r>
      <w:r w:rsidR="00131A39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-</w:t>
      </w:r>
      <w:r w:rsidR="001378FC">
        <w:rPr>
          <w:rFonts w:ascii="Arial" w:hAnsi="Arial" w:cs="Arial"/>
          <w:b/>
          <w:bCs/>
        </w:rPr>
        <w:t>9</w:t>
      </w:r>
    </w:p>
    <w:p w14:paraId="5C09E5AA" w14:textId="77777777" w:rsidR="00AC60D4" w:rsidRPr="00C37CAC" w:rsidRDefault="00AC60D4" w:rsidP="00AC60D4">
      <w:pPr>
        <w:pStyle w:val="madeunder"/>
        <w:spacing w:before="300" w:after="0"/>
        <w:rPr>
          <w:rFonts w:ascii="Arial" w:hAnsi="Arial" w:cs="Arial"/>
          <w:sz w:val="20"/>
        </w:rPr>
      </w:pPr>
      <w:r w:rsidRPr="00C37CAC">
        <w:rPr>
          <w:rFonts w:ascii="Arial" w:hAnsi="Arial" w:cs="Arial"/>
          <w:sz w:val="20"/>
        </w:rPr>
        <w:t xml:space="preserve">made under the  </w:t>
      </w:r>
    </w:p>
    <w:p w14:paraId="02BC86B3" w14:textId="4585DE8C" w:rsidR="00AC60D4" w:rsidRPr="005D763D" w:rsidRDefault="00131A39" w:rsidP="00AC60D4">
      <w:pPr>
        <w:pStyle w:val="CoverActName"/>
        <w:spacing w:before="320" w:after="0"/>
        <w:rPr>
          <w:rFonts w:cs="Arial"/>
          <w:i/>
          <w:iCs/>
          <w:sz w:val="20"/>
        </w:rPr>
      </w:pPr>
      <w:r w:rsidRPr="005D763D">
        <w:rPr>
          <w:rFonts w:cs="Arial"/>
          <w:i/>
          <w:iCs/>
          <w:sz w:val="20"/>
        </w:rPr>
        <w:t>Victims of Crime Act 1994</w:t>
      </w:r>
    </w:p>
    <w:p w14:paraId="15882FA3" w14:textId="77777777" w:rsidR="00AC60D4" w:rsidRDefault="00AC60D4" w:rsidP="00AC60D4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249832F2" w14:textId="77777777" w:rsidR="00AC60D4" w:rsidRDefault="00AC60D4" w:rsidP="00AC60D4">
      <w:pPr>
        <w:pStyle w:val="N-line3"/>
        <w:pBdr>
          <w:bottom w:val="none" w:sz="0" w:space="0" w:color="auto"/>
        </w:pBdr>
      </w:pPr>
    </w:p>
    <w:p w14:paraId="7DE73744" w14:textId="77777777" w:rsidR="00AC60D4" w:rsidRPr="00EF6C88" w:rsidRDefault="00AC60D4" w:rsidP="00AC60D4">
      <w:pPr>
        <w:pStyle w:val="N-line3"/>
        <w:pBdr>
          <w:top w:val="single" w:sz="12" w:space="1" w:color="auto"/>
          <w:bottom w:val="none" w:sz="0" w:space="0" w:color="auto"/>
        </w:pBdr>
        <w:rPr>
          <w:rFonts w:ascii="Arial" w:hAnsi="Arial" w:cs="Arial"/>
          <w:szCs w:val="24"/>
        </w:rPr>
      </w:pPr>
    </w:p>
    <w:bookmarkEnd w:id="0"/>
    <w:p w14:paraId="43AA66A6" w14:textId="77777777" w:rsidR="00F34B5A" w:rsidRDefault="00F34B5A" w:rsidP="00F34B5A">
      <w:pPr>
        <w:rPr>
          <w:rFonts w:ascii="Arial" w:hAnsi="Arial" w:cs="Arial"/>
          <w:sz w:val="24"/>
          <w:szCs w:val="24"/>
        </w:rPr>
      </w:pPr>
      <w:r w:rsidRPr="001F55E2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>E</w:t>
      </w:r>
      <w:r w:rsidRPr="001F55E2">
        <w:rPr>
          <w:rFonts w:ascii="Arial" w:hAnsi="Arial" w:cs="Arial"/>
          <w:sz w:val="24"/>
          <w:szCs w:val="24"/>
        </w:rPr>
        <w:t xml:space="preserve">xplanatory </w:t>
      </w:r>
      <w:r>
        <w:rPr>
          <w:rFonts w:ascii="Arial" w:hAnsi="Arial" w:cs="Arial"/>
          <w:sz w:val="24"/>
          <w:szCs w:val="24"/>
        </w:rPr>
        <w:t>S</w:t>
      </w:r>
      <w:r w:rsidRPr="001F55E2">
        <w:rPr>
          <w:rFonts w:ascii="Arial" w:hAnsi="Arial" w:cs="Arial"/>
          <w:sz w:val="24"/>
          <w:szCs w:val="24"/>
        </w:rPr>
        <w:t xml:space="preserve">tatement </w:t>
      </w:r>
      <w:r>
        <w:rPr>
          <w:rFonts w:ascii="Arial" w:hAnsi="Arial" w:cs="Arial"/>
          <w:sz w:val="24"/>
          <w:szCs w:val="24"/>
        </w:rPr>
        <w:t xml:space="preserve">is designed </w:t>
      </w:r>
      <w:r w:rsidRPr="001F55E2">
        <w:rPr>
          <w:rFonts w:ascii="Arial" w:hAnsi="Arial" w:cs="Arial"/>
          <w:sz w:val="24"/>
          <w:szCs w:val="24"/>
        </w:rPr>
        <w:t xml:space="preserve">to assist the reader of the regulation. It </w:t>
      </w:r>
      <w:r w:rsidRPr="005C2AA9">
        <w:rPr>
          <w:rFonts w:ascii="Arial" w:hAnsi="Arial" w:cs="Arial"/>
          <w:sz w:val="24"/>
          <w:szCs w:val="24"/>
        </w:rPr>
        <w:t>must be read in conjunction with the regulation</w:t>
      </w:r>
      <w:r>
        <w:rPr>
          <w:rFonts w:ascii="Arial" w:hAnsi="Arial" w:cs="Arial"/>
          <w:sz w:val="24"/>
          <w:szCs w:val="24"/>
        </w:rPr>
        <w:t xml:space="preserve"> but</w:t>
      </w:r>
      <w:r w:rsidRPr="00F34B5A">
        <w:rPr>
          <w:rFonts w:ascii="Arial" w:hAnsi="Arial" w:cs="Arial"/>
          <w:sz w:val="24"/>
          <w:szCs w:val="24"/>
        </w:rPr>
        <w:t xml:space="preserve"> </w:t>
      </w:r>
      <w:r w:rsidRPr="001F55E2">
        <w:rPr>
          <w:rFonts w:ascii="Arial" w:hAnsi="Arial" w:cs="Arial"/>
          <w:sz w:val="24"/>
          <w:szCs w:val="24"/>
        </w:rPr>
        <w:t>does not form part of the regulation.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C7D36F3" w14:textId="752DB916" w:rsidR="00191F2C" w:rsidRPr="00F34B5A" w:rsidRDefault="00F34B5A" w:rsidP="00AC60D4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BACKGROUND</w:t>
      </w:r>
    </w:p>
    <w:p w14:paraId="30AA3833" w14:textId="08FB0473" w:rsidR="00131A39" w:rsidRDefault="00022328" w:rsidP="00AC60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i/>
          <w:iCs/>
          <w:sz w:val="24"/>
          <w:szCs w:val="24"/>
        </w:rPr>
        <w:t xml:space="preserve">Victims of Crime Act 1994 </w:t>
      </w:r>
      <w:r>
        <w:rPr>
          <w:rFonts w:ascii="Arial" w:hAnsi="Arial" w:cs="Arial"/>
          <w:sz w:val="24"/>
          <w:szCs w:val="24"/>
        </w:rPr>
        <w:t xml:space="preserve">(the Act) helps victims of crime in the ACT deal with the effects of criminal offences and provides </w:t>
      </w:r>
      <w:r w:rsidR="002B09BA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 xml:space="preserve">the delivery of support services to victims of crime. The </w:t>
      </w:r>
      <w:r>
        <w:rPr>
          <w:rFonts w:ascii="Arial" w:hAnsi="Arial" w:cs="Arial"/>
          <w:i/>
          <w:iCs/>
          <w:sz w:val="24"/>
          <w:szCs w:val="24"/>
        </w:rPr>
        <w:t xml:space="preserve">Victims of Crime Regulation 2000 </w:t>
      </w:r>
      <w:r>
        <w:rPr>
          <w:rFonts w:ascii="Arial" w:hAnsi="Arial" w:cs="Arial"/>
          <w:sz w:val="24"/>
          <w:szCs w:val="24"/>
        </w:rPr>
        <w:t>(the Regulation)</w:t>
      </w:r>
      <w:r w:rsidRPr="00F34B5A">
        <w:rPr>
          <w:rFonts w:ascii="Arial" w:hAnsi="Arial" w:cs="Arial"/>
          <w:i/>
          <w:iCs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made under the Act, establishes the </w:t>
      </w:r>
      <w:r w:rsidR="00AB0258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ictims </w:t>
      </w:r>
      <w:r w:rsidR="00AB025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ervices </w:t>
      </w:r>
      <w:r w:rsidR="00AB025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cheme</w:t>
      </w:r>
      <w:r w:rsidR="00AB0258">
        <w:rPr>
          <w:rFonts w:ascii="Arial" w:hAnsi="Arial" w:cs="Arial"/>
          <w:sz w:val="24"/>
          <w:szCs w:val="24"/>
        </w:rPr>
        <w:t xml:space="preserve"> (the Scheme)</w:t>
      </w:r>
      <w:r>
        <w:rPr>
          <w:rFonts w:ascii="Arial" w:hAnsi="Arial" w:cs="Arial"/>
          <w:sz w:val="24"/>
          <w:szCs w:val="24"/>
        </w:rPr>
        <w:t xml:space="preserve">, </w:t>
      </w:r>
      <w:r w:rsidR="00AB0258">
        <w:rPr>
          <w:rFonts w:ascii="Arial" w:hAnsi="Arial" w:cs="Arial"/>
          <w:sz w:val="24"/>
          <w:szCs w:val="24"/>
        </w:rPr>
        <w:t>and determines</w:t>
      </w:r>
      <w:r>
        <w:rPr>
          <w:rFonts w:ascii="Arial" w:hAnsi="Arial" w:cs="Arial"/>
          <w:sz w:val="24"/>
          <w:szCs w:val="24"/>
        </w:rPr>
        <w:t xml:space="preserve"> eligibility </w:t>
      </w:r>
      <w:r w:rsidR="00AB0258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 xml:space="preserve">entitlement </w:t>
      </w:r>
      <w:r w:rsidR="00AB0258">
        <w:rPr>
          <w:rFonts w:ascii="Arial" w:hAnsi="Arial" w:cs="Arial"/>
          <w:sz w:val="24"/>
          <w:szCs w:val="24"/>
        </w:rPr>
        <w:t xml:space="preserve">to certain types of </w:t>
      </w:r>
      <w:r w:rsidR="002B09BA">
        <w:rPr>
          <w:rFonts w:ascii="Arial" w:hAnsi="Arial" w:cs="Arial"/>
          <w:sz w:val="24"/>
          <w:szCs w:val="24"/>
        </w:rPr>
        <w:t>support and assistance</w:t>
      </w:r>
      <w:r w:rsidR="00AB0258">
        <w:rPr>
          <w:rFonts w:ascii="Arial" w:hAnsi="Arial" w:cs="Arial"/>
          <w:sz w:val="24"/>
          <w:szCs w:val="24"/>
        </w:rPr>
        <w:t xml:space="preserve"> under the Scheme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8B611D2" w14:textId="00A029D2" w:rsidR="00191F2C" w:rsidRPr="00F34B5A" w:rsidRDefault="00F20737" w:rsidP="00AC60D4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OVERVIEW OF THE REGULATION</w:t>
      </w:r>
    </w:p>
    <w:p w14:paraId="1DD66662" w14:textId="11647FDF" w:rsidR="00AB0258" w:rsidRDefault="00191F2C" w:rsidP="00AC60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i/>
          <w:iCs/>
          <w:sz w:val="24"/>
          <w:szCs w:val="24"/>
        </w:rPr>
        <w:t>Victims of Crime Amendment Regulation 2023</w:t>
      </w:r>
      <w:r w:rsidR="001378FC">
        <w:rPr>
          <w:rFonts w:ascii="Arial" w:hAnsi="Arial" w:cs="Arial"/>
          <w:i/>
          <w:iCs/>
          <w:sz w:val="24"/>
          <w:szCs w:val="24"/>
        </w:rPr>
        <w:t xml:space="preserve"> (No 1)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A05FDA">
        <w:rPr>
          <w:rFonts w:ascii="Arial" w:hAnsi="Arial" w:cs="Arial"/>
          <w:sz w:val="24"/>
          <w:szCs w:val="24"/>
        </w:rPr>
        <w:t>(the Amendment Regulation)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amends the Regulation by</w:t>
      </w:r>
      <w:r w:rsidR="008D730B">
        <w:rPr>
          <w:rFonts w:ascii="Arial" w:hAnsi="Arial" w:cs="Arial"/>
          <w:sz w:val="24"/>
          <w:szCs w:val="24"/>
        </w:rPr>
        <w:t xml:space="preserve"> increas</w:t>
      </w:r>
      <w:r>
        <w:rPr>
          <w:rFonts w:ascii="Arial" w:hAnsi="Arial" w:cs="Arial"/>
          <w:sz w:val="24"/>
          <w:szCs w:val="24"/>
        </w:rPr>
        <w:t>ing</w:t>
      </w:r>
      <w:r w:rsidR="008D730B">
        <w:rPr>
          <w:rFonts w:ascii="Arial" w:hAnsi="Arial" w:cs="Arial"/>
          <w:sz w:val="24"/>
          <w:szCs w:val="24"/>
        </w:rPr>
        <w:t xml:space="preserve"> the pool of victims eligible to access </w:t>
      </w:r>
      <w:r w:rsidR="00AB0258">
        <w:rPr>
          <w:rFonts w:ascii="Arial" w:hAnsi="Arial" w:cs="Arial"/>
          <w:sz w:val="24"/>
          <w:szCs w:val="24"/>
        </w:rPr>
        <w:t xml:space="preserve">support under </w:t>
      </w:r>
      <w:r w:rsidR="008D730B">
        <w:rPr>
          <w:rFonts w:ascii="Arial" w:hAnsi="Arial" w:cs="Arial"/>
          <w:sz w:val="24"/>
          <w:szCs w:val="24"/>
        </w:rPr>
        <w:t>the Scheme to include family members of victims who have been killed in motor vehicle accidents</w:t>
      </w:r>
      <w:r w:rsidR="00AB0258">
        <w:rPr>
          <w:rFonts w:ascii="Arial" w:hAnsi="Arial" w:cs="Arial"/>
          <w:sz w:val="24"/>
          <w:szCs w:val="24"/>
        </w:rPr>
        <w:t xml:space="preserve"> involving an offence</w:t>
      </w:r>
      <w:r w:rsidR="008D730B">
        <w:rPr>
          <w:rFonts w:ascii="Arial" w:hAnsi="Arial" w:cs="Arial"/>
          <w:sz w:val="24"/>
          <w:szCs w:val="24"/>
        </w:rPr>
        <w:t xml:space="preserve">. </w:t>
      </w:r>
    </w:p>
    <w:p w14:paraId="58CF524D" w14:textId="75746B16" w:rsidR="008D730B" w:rsidRDefault="008D730B" w:rsidP="00AC60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AB025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mendment</w:t>
      </w:r>
      <w:r w:rsidR="00AB0258">
        <w:rPr>
          <w:rFonts w:ascii="Arial" w:hAnsi="Arial" w:cs="Arial"/>
          <w:sz w:val="24"/>
          <w:szCs w:val="24"/>
        </w:rPr>
        <w:t xml:space="preserve"> Regulation also deletes a duplicate provision in the Regulation.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CA09A3D" w14:textId="2510DBF4" w:rsidR="00191F2C" w:rsidRPr="00F34B5A" w:rsidRDefault="00191F2C" w:rsidP="00AC60D4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CONSISTENCY WITH HUMAN RIGHTS</w:t>
      </w:r>
    </w:p>
    <w:p w14:paraId="71662351" w14:textId="5F4A2BAE" w:rsidR="00F20737" w:rsidRDefault="00F20737" w:rsidP="00D80336">
      <w:pPr>
        <w:rPr>
          <w:rFonts w:ascii="Arial" w:hAnsi="Arial" w:cs="Arial"/>
          <w:sz w:val="24"/>
          <w:szCs w:val="24"/>
        </w:rPr>
      </w:pPr>
      <w:r w:rsidRPr="00F20737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Amendment Regulation supports the </w:t>
      </w:r>
      <w:r w:rsidR="004A209B">
        <w:rPr>
          <w:rFonts w:ascii="Arial" w:hAnsi="Arial" w:cs="Arial"/>
          <w:sz w:val="24"/>
          <w:szCs w:val="24"/>
        </w:rPr>
        <w:t>protection of the family and children under section 11 of the</w:t>
      </w:r>
      <w:r>
        <w:rPr>
          <w:rFonts w:ascii="Arial" w:hAnsi="Arial" w:cs="Arial"/>
          <w:sz w:val="24"/>
          <w:szCs w:val="24"/>
        </w:rPr>
        <w:t xml:space="preserve"> </w:t>
      </w:r>
      <w:r w:rsidRPr="00F20737">
        <w:rPr>
          <w:rFonts w:ascii="Arial" w:hAnsi="Arial" w:cs="Arial"/>
          <w:i/>
          <w:iCs/>
          <w:sz w:val="24"/>
          <w:szCs w:val="24"/>
        </w:rPr>
        <w:t>Human Rights Act 2004</w:t>
      </w:r>
      <w:r>
        <w:rPr>
          <w:rFonts w:ascii="Arial" w:hAnsi="Arial" w:cs="Arial"/>
          <w:sz w:val="24"/>
          <w:szCs w:val="24"/>
        </w:rPr>
        <w:t xml:space="preserve"> (HR Act</w:t>
      </w:r>
      <w:r w:rsidR="004A209B">
        <w:rPr>
          <w:rFonts w:ascii="Arial" w:hAnsi="Arial" w:cs="Arial"/>
          <w:sz w:val="24"/>
          <w:szCs w:val="24"/>
        </w:rPr>
        <w:t>)</w:t>
      </w:r>
      <w:r w:rsidR="00153872">
        <w:rPr>
          <w:rFonts w:ascii="Arial" w:hAnsi="Arial" w:cs="Arial"/>
          <w:sz w:val="24"/>
          <w:szCs w:val="24"/>
        </w:rPr>
        <w:t xml:space="preserve"> by facilitating access of family members of a victim </w:t>
      </w:r>
      <w:r w:rsidR="00C73C85">
        <w:rPr>
          <w:rFonts w:ascii="Arial" w:hAnsi="Arial" w:cs="Arial"/>
          <w:sz w:val="24"/>
          <w:szCs w:val="24"/>
        </w:rPr>
        <w:t xml:space="preserve">who has been killed in motor vehicle accidents involving an offence </w:t>
      </w:r>
      <w:r w:rsidR="00153872">
        <w:rPr>
          <w:rFonts w:ascii="Arial" w:hAnsi="Arial" w:cs="Arial"/>
          <w:sz w:val="24"/>
          <w:szCs w:val="24"/>
        </w:rPr>
        <w:t>to support and assistance under the Scheme</w:t>
      </w:r>
      <w:r w:rsidR="004A209B">
        <w:rPr>
          <w:rFonts w:ascii="Arial" w:hAnsi="Arial" w:cs="Arial"/>
          <w:sz w:val="24"/>
          <w:szCs w:val="24"/>
        </w:rPr>
        <w:t xml:space="preserve">. This includes access to immediate </w:t>
      </w:r>
      <w:r w:rsidR="004A209B" w:rsidRPr="004A209B">
        <w:rPr>
          <w:rFonts w:ascii="Arial" w:hAnsi="Arial" w:cs="Arial"/>
          <w:sz w:val="24"/>
          <w:szCs w:val="24"/>
        </w:rPr>
        <w:t>crisis counselling, case coordination and ongoing therapeutic support.</w:t>
      </w:r>
    </w:p>
    <w:p w14:paraId="56443D80" w14:textId="472F53A7" w:rsidR="00AC60D4" w:rsidRDefault="00191F2C" w:rsidP="00AC60D4">
      <w:pPr>
        <w:rPr>
          <w:rFonts w:ascii="Arial" w:hAnsi="Arial" w:cs="Arial"/>
          <w:b/>
          <w:bCs/>
          <w:sz w:val="24"/>
          <w:szCs w:val="24"/>
        </w:rPr>
      </w:pPr>
      <w:r w:rsidRPr="00EF6C88">
        <w:rPr>
          <w:rFonts w:ascii="Arial" w:hAnsi="Arial" w:cs="Arial"/>
          <w:b/>
          <w:bCs/>
          <w:sz w:val="24"/>
          <w:szCs w:val="24"/>
        </w:rPr>
        <w:t xml:space="preserve">CLAUSE NOTES </w:t>
      </w:r>
    </w:p>
    <w:p w14:paraId="7EE8DAAD" w14:textId="7F5EC6B0" w:rsidR="00E60105" w:rsidRDefault="00E60105" w:rsidP="00AC6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Clause 1 </w:t>
      </w:r>
      <w:r>
        <w:rPr>
          <w:rFonts w:ascii="Arial" w:hAnsi="Arial" w:cs="Arial"/>
          <w:b/>
          <w:bCs/>
          <w:sz w:val="24"/>
          <w:szCs w:val="24"/>
        </w:rPr>
        <w:tab/>
        <w:t>Name of regulation</w:t>
      </w:r>
    </w:p>
    <w:p w14:paraId="71F95B06" w14:textId="0AFE3ED5" w:rsidR="00E60105" w:rsidRDefault="00E60105" w:rsidP="002B09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This clause provides that the name of the regulation is the </w:t>
      </w:r>
      <w:r>
        <w:rPr>
          <w:rFonts w:ascii="Arial" w:hAnsi="Arial" w:cs="Arial"/>
          <w:i/>
          <w:iCs/>
          <w:sz w:val="24"/>
          <w:szCs w:val="24"/>
        </w:rPr>
        <w:t>Victims of Crime Amendment Regulation 2023</w:t>
      </w:r>
      <w:r w:rsidR="001378FC">
        <w:rPr>
          <w:rFonts w:ascii="Arial" w:hAnsi="Arial" w:cs="Arial"/>
          <w:i/>
          <w:iCs/>
          <w:sz w:val="24"/>
          <w:szCs w:val="24"/>
        </w:rPr>
        <w:t xml:space="preserve"> (No 1)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962950E" w14:textId="7BC8A9E4" w:rsidR="00E60105" w:rsidRDefault="00E60105" w:rsidP="002B09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Clause 2 </w:t>
      </w:r>
      <w:r>
        <w:rPr>
          <w:rFonts w:ascii="Arial" w:hAnsi="Arial" w:cs="Arial"/>
          <w:b/>
          <w:bCs/>
          <w:sz w:val="24"/>
          <w:szCs w:val="24"/>
        </w:rPr>
        <w:tab/>
        <w:t xml:space="preserve">Commencement </w:t>
      </w:r>
    </w:p>
    <w:p w14:paraId="5C2A8444" w14:textId="08E80D24" w:rsidR="00E60105" w:rsidRDefault="00E60105" w:rsidP="002B09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clause provides that the regulation commences on the day after its notification day. </w:t>
      </w:r>
    </w:p>
    <w:p w14:paraId="494CE124" w14:textId="51141D84" w:rsidR="00E60105" w:rsidRDefault="00E60105" w:rsidP="002B09B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Clause 3 </w:t>
      </w:r>
      <w:r>
        <w:rPr>
          <w:rFonts w:ascii="Arial" w:hAnsi="Arial" w:cs="Arial"/>
          <w:b/>
          <w:bCs/>
          <w:sz w:val="24"/>
          <w:szCs w:val="24"/>
        </w:rPr>
        <w:tab/>
        <w:t>Legislation amended</w:t>
      </w:r>
    </w:p>
    <w:p w14:paraId="0BBD2626" w14:textId="52E95CE9" w:rsidR="00E60105" w:rsidRDefault="00E60105" w:rsidP="002B09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clause provides that the regulation amends the </w:t>
      </w:r>
      <w:r>
        <w:rPr>
          <w:rFonts w:ascii="Arial" w:hAnsi="Arial" w:cs="Arial"/>
          <w:i/>
          <w:iCs/>
          <w:sz w:val="24"/>
          <w:szCs w:val="24"/>
        </w:rPr>
        <w:t>Victims of Crime Regulation 2000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D9E2DDC" w14:textId="755F762E" w:rsidR="00E60105" w:rsidRDefault="00E60105" w:rsidP="002B09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Clause 4</w:t>
      </w:r>
      <w:r>
        <w:rPr>
          <w:rFonts w:ascii="Arial" w:hAnsi="Arial" w:cs="Arial"/>
          <w:b/>
          <w:bCs/>
          <w:sz w:val="24"/>
          <w:szCs w:val="24"/>
        </w:rPr>
        <w:tab/>
        <w:t>Section 24 heading</w:t>
      </w:r>
    </w:p>
    <w:p w14:paraId="7F2F723D" w14:textId="3B333762" w:rsidR="00153872" w:rsidRPr="00153872" w:rsidRDefault="00153872" w:rsidP="002B09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current heading for section 24 is ‘</w:t>
      </w:r>
      <w:r w:rsidRPr="00153872">
        <w:rPr>
          <w:rFonts w:ascii="Arial" w:hAnsi="Arial" w:cs="Arial"/>
          <w:b/>
          <w:bCs/>
          <w:sz w:val="24"/>
          <w:szCs w:val="24"/>
        </w:rPr>
        <w:t>Eligible victims under the victims services schem</w:t>
      </w:r>
      <w:r>
        <w:rPr>
          <w:rFonts w:ascii="Arial" w:hAnsi="Arial" w:cs="Arial"/>
          <w:b/>
          <w:bCs/>
          <w:sz w:val="24"/>
          <w:szCs w:val="24"/>
        </w:rPr>
        <w:t>e’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1015CE6" w14:textId="766331A7" w:rsidR="00A72DE9" w:rsidRDefault="00AB0258" w:rsidP="002B09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clause </w:t>
      </w:r>
      <w:r w:rsidR="00E60105" w:rsidRPr="00AB0258">
        <w:rPr>
          <w:rFonts w:ascii="Arial" w:hAnsi="Arial" w:cs="Arial"/>
          <w:sz w:val="24"/>
          <w:szCs w:val="24"/>
        </w:rPr>
        <w:t>substitutes</w:t>
      </w:r>
      <w:r w:rsidR="00E60105">
        <w:rPr>
          <w:rFonts w:ascii="Arial" w:hAnsi="Arial" w:cs="Arial"/>
          <w:sz w:val="24"/>
          <w:szCs w:val="24"/>
        </w:rPr>
        <w:t xml:space="preserve"> th</w:t>
      </w:r>
      <w:r w:rsidR="00153872">
        <w:rPr>
          <w:rFonts w:ascii="Arial" w:hAnsi="Arial" w:cs="Arial"/>
          <w:sz w:val="24"/>
          <w:szCs w:val="24"/>
        </w:rPr>
        <w:t>at</w:t>
      </w:r>
      <w:r w:rsidR="00E601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heading </w:t>
      </w:r>
      <w:r w:rsidR="00E60105">
        <w:rPr>
          <w:rFonts w:ascii="Arial" w:hAnsi="Arial" w:cs="Arial"/>
          <w:sz w:val="24"/>
          <w:szCs w:val="24"/>
        </w:rPr>
        <w:t xml:space="preserve">with </w:t>
      </w:r>
      <w:r w:rsidR="00153872">
        <w:rPr>
          <w:rFonts w:ascii="Arial" w:hAnsi="Arial" w:cs="Arial"/>
          <w:sz w:val="24"/>
          <w:szCs w:val="24"/>
        </w:rPr>
        <w:t>‘</w:t>
      </w:r>
      <w:r w:rsidR="00153872">
        <w:rPr>
          <w:rFonts w:ascii="Arial" w:hAnsi="Arial" w:cs="Arial"/>
          <w:b/>
          <w:bCs/>
          <w:sz w:val="24"/>
          <w:szCs w:val="24"/>
        </w:rPr>
        <w:t>Victims who are not eligible for assistance under victims services scheme</w:t>
      </w:r>
      <w:r w:rsidR="00153872">
        <w:rPr>
          <w:rFonts w:ascii="Arial" w:hAnsi="Arial" w:cs="Arial"/>
          <w:sz w:val="24"/>
          <w:szCs w:val="24"/>
        </w:rPr>
        <w:t xml:space="preserve">'. </w:t>
      </w:r>
    </w:p>
    <w:p w14:paraId="6A45C10A" w14:textId="0090F719" w:rsidR="00E60105" w:rsidRPr="00E60105" w:rsidRDefault="00153872" w:rsidP="002B09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AB0258">
        <w:rPr>
          <w:rFonts w:ascii="Arial" w:hAnsi="Arial" w:cs="Arial"/>
          <w:sz w:val="24"/>
          <w:szCs w:val="24"/>
        </w:rPr>
        <w:t xml:space="preserve"> new heading more accurately describes the operation of the provision</w:t>
      </w:r>
      <w:r>
        <w:rPr>
          <w:rFonts w:ascii="Arial" w:hAnsi="Arial" w:cs="Arial"/>
          <w:sz w:val="24"/>
          <w:szCs w:val="24"/>
        </w:rPr>
        <w:t xml:space="preserve"> as amended by clause 5, </w:t>
      </w:r>
      <w:r w:rsidR="00A72DE9"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z w:val="24"/>
          <w:szCs w:val="24"/>
        </w:rPr>
        <w:t xml:space="preserve"> </w:t>
      </w:r>
      <w:r w:rsidR="00AB0258">
        <w:rPr>
          <w:rFonts w:ascii="Arial" w:hAnsi="Arial" w:cs="Arial"/>
          <w:sz w:val="24"/>
          <w:szCs w:val="24"/>
        </w:rPr>
        <w:t>mak</w:t>
      </w:r>
      <w:r w:rsidR="00A72DE9">
        <w:rPr>
          <w:rFonts w:ascii="Arial" w:hAnsi="Arial" w:cs="Arial"/>
          <w:sz w:val="24"/>
          <w:szCs w:val="24"/>
        </w:rPr>
        <w:t>ing</w:t>
      </w:r>
      <w:r w:rsidR="00AB0258">
        <w:rPr>
          <w:rFonts w:ascii="Arial" w:hAnsi="Arial" w:cs="Arial"/>
          <w:sz w:val="24"/>
          <w:szCs w:val="24"/>
        </w:rPr>
        <w:t xml:space="preserve"> it clear that the provision identifies </w:t>
      </w:r>
      <w:r w:rsidR="00E60105">
        <w:rPr>
          <w:rFonts w:ascii="Arial" w:hAnsi="Arial" w:cs="Arial"/>
          <w:sz w:val="24"/>
          <w:szCs w:val="24"/>
        </w:rPr>
        <w:t xml:space="preserve">victims who are </w:t>
      </w:r>
      <w:r w:rsidR="00AB0258">
        <w:rPr>
          <w:rFonts w:ascii="Arial" w:hAnsi="Arial" w:cs="Arial"/>
          <w:sz w:val="24"/>
          <w:szCs w:val="24"/>
        </w:rPr>
        <w:t>‘</w:t>
      </w:r>
      <w:r w:rsidR="00E60105">
        <w:rPr>
          <w:rFonts w:ascii="Arial" w:hAnsi="Arial" w:cs="Arial"/>
          <w:sz w:val="24"/>
          <w:szCs w:val="24"/>
        </w:rPr>
        <w:t>not</w:t>
      </w:r>
      <w:r w:rsidR="00AB0258">
        <w:rPr>
          <w:rFonts w:ascii="Arial" w:hAnsi="Arial" w:cs="Arial"/>
          <w:sz w:val="24"/>
          <w:szCs w:val="24"/>
        </w:rPr>
        <w:t>’</w:t>
      </w:r>
      <w:r w:rsidR="00E60105">
        <w:rPr>
          <w:rFonts w:ascii="Arial" w:hAnsi="Arial" w:cs="Arial"/>
          <w:sz w:val="24"/>
          <w:szCs w:val="24"/>
        </w:rPr>
        <w:t xml:space="preserve"> eligible for assistance under </w:t>
      </w:r>
      <w:r w:rsidR="00AB0258">
        <w:rPr>
          <w:rFonts w:ascii="Arial" w:hAnsi="Arial" w:cs="Arial"/>
          <w:sz w:val="24"/>
          <w:szCs w:val="24"/>
        </w:rPr>
        <w:t>the S</w:t>
      </w:r>
      <w:r w:rsidR="00E60105">
        <w:rPr>
          <w:rFonts w:ascii="Arial" w:hAnsi="Arial" w:cs="Arial"/>
          <w:sz w:val="24"/>
          <w:szCs w:val="24"/>
        </w:rPr>
        <w:t>cheme</w:t>
      </w:r>
      <w:r w:rsidR="00A72DE9">
        <w:rPr>
          <w:rFonts w:ascii="Arial" w:hAnsi="Arial" w:cs="Arial"/>
          <w:sz w:val="24"/>
          <w:szCs w:val="24"/>
        </w:rPr>
        <w:t xml:space="preserve"> rather than seeking to define or identify all eligible victims</w:t>
      </w:r>
      <w:r w:rsidR="00E60105">
        <w:rPr>
          <w:rFonts w:ascii="Arial" w:hAnsi="Arial" w:cs="Arial"/>
          <w:sz w:val="24"/>
          <w:szCs w:val="24"/>
        </w:rPr>
        <w:t xml:space="preserve">. </w:t>
      </w:r>
    </w:p>
    <w:p w14:paraId="18F43AA2" w14:textId="190C0322" w:rsidR="00AC60D4" w:rsidRDefault="00E60105" w:rsidP="002B09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Clause 5</w:t>
      </w:r>
      <w:r>
        <w:rPr>
          <w:rFonts w:ascii="Arial" w:hAnsi="Arial" w:cs="Arial"/>
          <w:b/>
          <w:bCs/>
          <w:sz w:val="24"/>
          <w:szCs w:val="24"/>
        </w:rPr>
        <w:tab/>
        <w:t>Section 24 (1) and (2)</w:t>
      </w:r>
    </w:p>
    <w:p w14:paraId="3C18067C" w14:textId="57CC486A" w:rsidR="00AB0258" w:rsidRDefault="00AB0258" w:rsidP="002B09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clause </w:t>
      </w:r>
      <w:r w:rsidR="00153872">
        <w:rPr>
          <w:rFonts w:ascii="Arial" w:hAnsi="Arial" w:cs="Arial"/>
          <w:sz w:val="24"/>
          <w:szCs w:val="24"/>
        </w:rPr>
        <w:t xml:space="preserve">substitutes </w:t>
      </w:r>
      <w:r w:rsidR="003B0779">
        <w:rPr>
          <w:rFonts w:ascii="Arial" w:hAnsi="Arial" w:cs="Arial"/>
          <w:sz w:val="24"/>
          <w:szCs w:val="24"/>
        </w:rPr>
        <w:t xml:space="preserve">current </w:t>
      </w:r>
      <w:r>
        <w:rPr>
          <w:rFonts w:ascii="Arial" w:hAnsi="Arial" w:cs="Arial"/>
          <w:sz w:val="24"/>
          <w:szCs w:val="24"/>
        </w:rPr>
        <w:t>section</w:t>
      </w:r>
      <w:r w:rsidR="0015387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24(1) </w:t>
      </w:r>
      <w:r w:rsidR="003B0779">
        <w:rPr>
          <w:rFonts w:ascii="Arial" w:hAnsi="Arial" w:cs="Arial"/>
          <w:sz w:val="24"/>
          <w:szCs w:val="24"/>
        </w:rPr>
        <w:t>and 24(2) and inserts a new section 24(1). New section 24(1)</w:t>
      </w:r>
      <w:r>
        <w:rPr>
          <w:rFonts w:ascii="Arial" w:hAnsi="Arial" w:cs="Arial"/>
          <w:sz w:val="24"/>
          <w:szCs w:val="24"/>
        </w:rPr>
        <w:t xml:space="preserve"> expand</w:t>
      </w:r>
      <w:r w:rsidR="003B077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the pool of eligible victims under the Scheme </w:t>
      </w:r>
      <w:r w:rsidR="003B0779">
        <w:rPr>
          <w:rFonts w:ascii="Arial" w:hAnsi="Arial" w:cs="Arial"/>
          <w:sz w:val="24"/>
          <w:szCs w:val="24"/>
        </w:rPr>
        <w:t>to include family members of primary victims killed in a motor vehicle accident involving an offence.</w:t>
      </w:r>
      <w:r>
        <w:rPr>
          <w:rFonts w:ascii="Arial" w:hAnsi="Arial" w:cs="Arial"/>
          <w:sz w:val="24"/>
          <w:szCs w:val="24"/>
        </w:rPr>
        <w:t xml:space="preserve"> </w:t>
      </w:r>
      <w:r w:rsidR="003B0779">
        <w:rPr>
          <w:rFonts w:ascii="Arial" w:hAnsi="Arial" w:cs="Arial"/>
          <w:sz w:val="24"/>
          <w:szCs w:val="24"/>
        </w:rPr>
        <w:t xml:space="preserve">As </w:t>
      </w:r>
      <w:r>
        <w:rPr>
          <w:rFonts w:ascii="Arial" w:hAnsi="Arial" w:cs="Arial"/>
          <w:sz w:val="24"/>
          <w:szCs w:val="24"/>
        </w:rPr>
        <w:t>section 24(2) duplicates a provision in the Act</w:t>
      </w:r>
      <w:r w:rsidR="003B0779">
        <w:rPr>
          <w:rFonts w:ascii="Arial" w:hAnsi="Arial" w:cs="Arial"/>
          <w:sz w:val="24"/>
          <w:szCs w:val="24"/>
        </w:rPr>
        <w:t>, no new provision is inserted into the Regulation</w:t>
      </w:r>
      <w:r>
        <w:rPr>
          <w:rFonts w:ascii="Arial" w:hAnsi="Arial" w:cs="Arial"/>
          <w:sz w:val="24"/>
          <w:szCs w:val="24"/>
        </w:rPr>
        <w:t>.</w:t>
      </w:r>
    </w:p>
    <w:p w14:paraId="1AC74A2C" w14:textId="4FDEAD7A" w:rsidR="00F425C6" w:rsidRPr="00F34B5A" w:rsidRDefault="00F425C6" w:rsidP="002B09BA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Section 24(1)</w:t>
      </w:r>
    </w:p>
    <w:p w14:paraId="44753404" w14:textId="77777777" w:rsidR="00A72DE9" w:rsidRDefault="00E60105" w:rsidP="00A72D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Section 24(1) of the Regulation</w:t>
      </w:r>
      <w:r w:rsidR="00E26B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currently provides that all victims are eligible for the Scheme except for those </w:t>
      </w:r>
      <w:r w:rsidR="00101B46">
        <w:rPr>
          <w:rFonts w:ascii="Arial" w:hAnsi="Arial" w:cs="Arial"/>
          <w:sz w:val="24"/>
          <w:szCs w:val="24"/>
        </w:rPr>
        <w:t>excluded by</w:t>
      </w:r>
      <w:r>
        <w:rPr>
          <w:rFonts w:ascii="Arial" w:hAnsi="Arial" w:cs="Arial"/>
          <w:sz w:val="24"/>
          <w:szCs w:val="24"/>
        </w:rPr>
        <w:t xml:space="preserve"> section </w:t>
      </w:r>
      <w:r w:rsidR="00E26B96">
        <w:rPr>
          <w:rFonts w:ascii="Arial" w:hAnsi="Arial" w:cs="Arial"/>
          <w:sz w:val="24"/>
          <w:szCs w:val="24"/>
        </w:rPr>
        <w:t>24(</w:t>
      </w:r>
      <w:r>
        <w:rPr>
          <w:rFonts w:ascii="Arial" w:hAnsi="Arial" w:cs="Arial"/>
          <w:sz w:val="24"/>
          <w:szCs w:val="24"/>
        </w:rPr>
        <w:t>2</w:t>
      </w:r>
      <w:r w:rsidR="00E26B96">
        <w:rPr>
          <w:rFonts w:ascii="Arial" w:hAnsi="Arial" w:cs="Arial"/>
          <w:sz w:val="24"/>
          <w:szCs w:val="24"/>
        </w:rPr>
        <w:t>).</w:t>
      </w:r>
      <w:r w:rsidR="00101B46">
        <w:rPr>
          <w:rFonts w:ascii="Arial" w:hAnsi="Arial" w:cs="Arial"/>
          <w:sz w:val="24"/>
          <w:szCs w:val="24"/>
        </w:rPr>
        <w:t xml:space="preserve"> </w:t>
      </w:r>
      <w:r w:rsidR="00A72DE9">
        <w:rPr>
          <w:rFonts w:ascii="Arial" w:hAnsi="Arial" w:cs="Arial"/>
          <w:sz w:val="24"/>
          <w:szCs w:val="24"/>
        </w:rPr>
        <w:t xml:space="preserve">This means individuals who suffer harm as a result of the death of a family member in a motor vehicle involving a serious crime are not eligible for assistance under the Scheme. </w:t>
      </w:r>
    </w:p>
    <w:p w14:paraId="74FA0304" w14:textId="3E83FAD8" w:rsidR="00A72DE9" w:rsidRDefault="00A72DE9" w:rsidP="002B09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gap has been raised by individuals and advocacy services and was also identified in the Projects Assisting Victims’ Experience and Recovery (PAVER) Review completed in February 2021.   </w:t>
      </w:r>
    </w:p>
    <w:p w14:paraId="0B4958CB" w14:textId="75E65FFC" w:rsidR="00F425C6" w:rsidRDefault="00101B46" w:rsidP="002B09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section 24(1) specifies that a person is not eligible for assistance under the Scheme if the victim </w:t>
      </w:r>
      <w:r w:rsidR="00E60105">
        <w:rPr>
          <w:rFonts w:ascii="Arial" w:hAnsi="Arial" w:cs="Arial"/>
          <w:sz w:val="24"/>
          <w:szCs w:val="24"/>
        </w:rPr>
        <w:t>suffer</w:t>
      </w:r>
      <w:r>
        <w:rPr>
          <w:rFonts w:ascii="Arial" w:hAnsi="Arial" w:cs="Arial"/>
          <w:sz w:val="24"/>
          <w:szCs w:val="24"/>
        </w:rPr>
        <w:t>ed</w:t>
      </w:r>
      <w:r w:rsidR="00E60105">
        <w:rPr>
          <w:rFonts w:ascii="Arial" w:hAnsi="Arial" w:cs="Arial"/>
          <w:sz w:val="24"/>
          <w:szCs w:val="24"/>
        </w:rPr>
        <w:t xml:space="preserve"> harm caused by, or arising out of the use of, a motor vehicle, and </w:t>
      </w:r>
      <w:r>
        <w:rPr>
          <w:rFonts w:ascii="Arial" w:hAnsi="Arial" w:cs="Arial"/>
          <w:sz w:val="24"/>
          <w:szCs w:val="24"/>
        </w:rPr>
        <w:t>no primary victim died because of the</w:t>
      </w:r>
      <w:r w:rsidR="00E60105">
        <w:rPr>
          <w:rFonts w:ascii="Arial" w:hAnsi="Arial" w:cs="Arial"/>
          <w:sz w:val="24"/>
          <w:szCs w:val="24"/>
        </w:rPr>
        <w:t xml:space="preserve"> harm </w:t>
      </w:r>
      <w:r>
        <w:rPr>
          <w:rFonts w:ascii="Arial" w:hAnsi="Arial" w:cs="Arial"/>
          <w:sz w:val="24"/>
          <w:szCs w:val="24"/>
        </w:rPr>
        <w:t>suffered</w:t>
      </w:r>
      <w:r w:rsidR="00E6010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Th</w:t>
      </w:r>
      <w:r w:rsidR="00F425C6">
        <w:rPr>
          <w:rFonts w:ascii="Arial" w:hAnsi="Arial" w:cs="Arial"/>
          <w:sz w:val="24"/>
          <w:szCs w:val="24"/>
        </w:rPr>
        <w:t xml:space="preserve">e effect of this amendment, when read in conjunction with the Act, </w:t>
      </w:r>
      <w:r>
        <w:rPr>
          <w:rFonts w:ascii="Arial" w:hAnsi="Arial" w:cs="Arial"/>
          <w:sz w:val="24"/>
          <w:szCs w:val="24"/>
        </w:rPr>
        <w:t xml:space="preserve">is </w:t>
      </w:r>
      <w:r w:rsidR="00F425C6">
        <w:rPr>
          <w:rFonts w:ascii="Arial" w:hAnsi="Arial" w:cs="Arial"/>
          <w:sz w:val="24"/>
          <w:szCs w:val="24"/>
        </w:rPr>
        <w:t xml:space="preserve">that the </w:t>
      </w:r>
      <w:r>
        <w:rPr>
          <w:rFonts w:ascii="Arial" w:hAnsi="Arial" w:cs="Arial"/>
          <w:sz w:val="24"/>
          <w:szCs w:val="24"/>
        </w:rPr>
        <w:t xml:space="preserve">family member of a primary victim who died </w:t>
      </w:r>
      <w:r w:rsidR="00F425C6">
        <w:rPr>
          <w:rFonts w:ascii="Arial" w:hAnsi="Arial" w:cs="Arial"/>
          <w:sz w:val="24"/>
          <w:szCs w:val="24"/>
        </w:rPr>
        <w:t xml:space="preserve">as a result of the motor vehicle accident involving an offence </w:t>
      </w:r>
      <w:r w:rsidR="00F425C6">
        <w:rPr>
          <w:rFonts w:ascii="Arial" w:hAnsi="Arial" w:cs="Arial"/>
          <w:sz w:val="24"/>
          <w:szCs w:val="24"/>
        </w:rPr>
        <w:lastRenderedPageBreak/>
        <w:t>will now be eligible for assistance</w:t>
      </w:r>
      <w:r w:rsidR="00A72DE9">
        <w:rPr>
          <w:rFonts w:ascii="Arial" w:hAnsi="Arial" w:cs="Arial"/>
          <w:sz w:val="24"/>
          <w:szCs w:val="24"/>
        </w:rPr>
        <w:t>, such as immediate therapeutic support,</w:t>
      </w:r>
      <w:r w:rsidR="00F425C6">
        <w:rPr>
          <w:rFonts w:ascii="Arial" w:hAnsi="Arial" w:cs="Arial"/>
          <w:sz w:val="24"/>
          <w:szCs w:val="24"/>
        </w:rPr>
        <w:t xml:space="preserve"> under the Scheme.</w:t>
      </w:r>
    </w:p>
    <w:p w14:paraId="0086016D" w14:textId="74DD5335" w:rsidR="00F425C6" w:rsidRDefault="00F425C6" w:rsidP="002B09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Section 24(2)</w:t>
      </w:r>
    </w:p>
    <w:p w14:paraId="4E64EB85" w14:textId="4B1A21E4" w:rsidR="00E511B1" w:rsidRDefault="00F425C6" w:rsidP="002B09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Section 24(2) of the Regulation duplicates section 6(2) of the Act and is not required.</w:t>
      </w:r>
      <w:r w:rsidR="008C2268">
        <w:rPr>
          <w:rFonts w:ascii="Arial" w:hAnsi="Arial" w:cs="Arial"/>
          <w:sz w:val="24"/>
          <w:szCs w:val="24"/>
        </w:rPr>
        <w:t xml:space="preserve"> </w:t>
      </w:r>
      <w:r w:rsidR="00E511B1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amendment </w:t>
      </w:r>
      <w:r w:rsidR="009917A2">
        <w:rPr>
          <w:rFonts w:ascii="Arial" w:hAnsi="Arial" w:cs="Arial"/>
          <w:sz w:val="24"/>
          <w:szCs w:val="24"/>
        </w:rPr>
        <w:t>omits</w:t>
      </w:r>
      <w:r>
        <w:rPr>
          <w:rFonts w:ascii="Arial" w:hAnsi="Arial" w:cs="Arial"/>
          <w:sz w:val="24"/>
          <w:szCs w:val="24"/>
        </w:rPr>
        <w:t xml:space="preserve"> s</w:t>
      </w:r>
      <w:r w:rsidR="00E511B1">
        <w:rPr>
          <w:rFonts w:ascii="Arial" w:hAnsi="Arial" w:cs="Arial"/>
          <w:sz w:val="24"/>
          <w:szCs w:val="24"/>
        </w:rPr>
        <w:t xml:space="preserve">ection 24(2) of the Regulation. </w:t>
      </w:r>
    </w:p>
    <w:p w14:paraId="437DA51F" w14:textId="33A03C51" w:rsidR="00E511B1" w:rsidRPr="00E511B1" w:rsidRDefault="00E511B1" w:rsidP="002B09B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Clause 6</w:t>
      </w:r>
      <w:r>
        <w:rPr>
          <w:rFonts w:ascii="Arial" w:hAnsi="Arial" w:cs="Arial"/>
          <w:b/>
          <w:bCs/>
          <w:sz w:val="24"/>
          <w:szCs w:val="24"/>
        </w:rPr>
        <w:tab/>
        <w:t>Section 24 (3)</w:t>
      </w:r>
    </w:p>
    <w:p w14:paraId="2EEC50FC" w14:textId="5FEF2B56" w:rsidR="00C20F05" w:rsidRDefault="00C20F05" w:rsidP="002B09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Section 24(3) of the Regulation sets out the </w:t>
      </w:r>
      <w:r w:rsidR="00D76F34">
        <w:rPr>
          <w:rFonts w:ascii="Arial" w:hAnsi="Arial" w:cs="Arial"/>
          <w:sz w:val="24"/>
          <w:szCs w:val="24"/>
        </w:rPr>
        <w:t>matters</w:t>
      </w:r>
      <w:r>
        <w:rPr>
          <w:rFonts w:ascii="Arial" w:hAnsi="Arial" w:cs="Arial"/>
          <w:sz w:val="24"/>
          <w:szCs w:val="24"/>
        </w:rPr>
        <w:t xml:space="preserve"> to which the </w:t>
      </w:r>
      <w:r w:rsidR="009D55AD">
        <w:rPr>
          <w:rFonts w:ascii="Arial" w:hAnsi="Arial" w:cs="Arial"/>
          <w:sz w:val="24"/>
          <w:szCs w:val="24"/>
        </w:rPr>
        <w:t>Victims of Crime C</w:t>
      </w:r>
      <w:r>
        <w:rPr>
          <w:rFonts w:ascii="Arial" w:hAnsi="Arial" w:cs="Arial"/>
          <w:sz w:val="24"/>
          <w:szCs w:val="24"/>
        </w:rPr>
        <w:t xml:space="preserve">ommissioner may have regard when deciding </w:t>
      </w:r>
      <w:r w:rsidR="00D76F34">
        <w:rPr>
          <w:rFonts w:ascii="Arial" w:hAnsi="Arial" w:cs="Arial"/>
          <w:sz w:val="24"/>
          <w:szCs w:val="24"/>
        </w:rPr>
        <w:t>‘</w:t>
      </w:r>
      <w:r>
        <w:rPr>
          <w:rFonts w:ascii="Arial" w:hAnsi="Arial" w:cs="Arial"/>
          <w:sz w:val="24"/>
          <w:szCs w:val="24"/>
        </w:rPr>
        <w:t>whether a person is an eligible victim’ under the Scheme.</w:t>
      </w:r>
    </w:p>
    <w:p w14:paraId="70A0198E" w14:textId="57920A82" w:rsidR="00670BAC" w:rsidRDefault="00670BAC" w:rsidP="002B09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E511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amendment to </w:t>
      </w:r>
      <w:r w:rsidR="00C20F05">
        <w:rPr>
          <w:rFonts w:ascii="Arial" w:hAnsi="Arial" w:cs="Arial"/>
          <w:sz w:val="24"/>
          <w:szCs w:val="24"/>
        </w:rPr>
        <w:t>s</w:t>
      </w:r>
      <w:r w:rsidR="00E511B1">
        <w:rPr>
          <w:rFonts w:ascii="Arial" w:hAnsi="Arial" w:cs="Arial"/>
          <w:sz w:val="24"/>
          <w:szCs w:val="24"/>
        </w:rPr>
        <w:t xml:space="preserve">ection 24(3) </w:t>
      </w:r>
      <w:r>
        <w:rPr>
          <w:rFonts w:ascii="Arial" w:hAnsi="Arial" w:cs="Arial"/>
          <w:sz w:val="24"/>
          <w:szCs w:val="24"/>
        </w:rPr>
        <w:t xml:space="preserve">changes the language to provide that </w:t>
      </w:r>
      <w:r w:rsidR="00E511B1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commissioner may consider the matters </w:t>
      </w:r>
      <w:r w:rsidR="002B09BA">
        <w:rPr>
          <w:rFonts w:ascii="Arial" w:hAnsi="Arial" w:cs="Arial"/>
          <w:sz w:val="24"/>
          <w:szCs w:val="24"/>
        </w:rPr>
        <w:t xml:space="preserve">listed in sections 24(3)(a) and (b) of the Regulation </w:t>
      </w:r>
      <w:r w:rsidR="00D76F34">
        <w:rPr>
          <w:rFonts w:ascii="Arial" w:hAnsi="Arial" w:cs="Arial"/>
          <w:sz w:val="24"/>
          <w:szCs w:val="24"/>
        </w:rPr>
        <w:t>when deciding ‘a person’s eligibility for assistance’ under the Scheme.</w:t>
      </w:r>
      <w:r w:rsidR="00E511B1">
        <w:rPr>
          <w:rFonts w:ascii="Arial" w:hAnsi="Arial" w:cs="Arial"/>
          <w:sz w:val="24"/>
          <w:szCs w:val="24"/>
        </w:rPr>
        <w:t xml:space="preserve"> </w:t>
      </w:r>
      <w:r w:rsidR="008130EF">
        <w:rPr>
          <w:rFonts w:ascii="Arial" w:hAnsi="Arial" w:cs="Arial"/>
          <w:sz w:val="24"/>
          <w:szCs w:val="24"/>
        </w:rPr>
        <w:t xml:space="preserve">This amendment alters the language of the subsection to be consistent with the language used in the other amendments of this Regulation. </w:t>
      </w:r>
    </w:p>
    <w:p w14:paraId="07F0AFD2" w14:textId="1B4AEF30" w:rsidR="00E511B1" w:rsidRDefault="00E511B1" w:rsidP="002B09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Clause 7</w:t>
      </w:r>
      <w:r>
        <w:rPr>
          <w:rFonts w:ascii="Arial" w:hAnsi="Arial" w:cs="Arial"/>
          <w:b/>
          <w:bCs/>
          <w:sz w:val="24"/>
          <w:szCs w:val="24"/>
        </w:rPr>
        <w:tab/>
        <w:t>Dictionary, note 3</w:t>
      </w:r>
    </w:p>
    <w:p w14:paraId="490FC571" w14:textId="70152E17" w:rsidR="00A2295B" w:rsidRDefault="00670BAC" w:rsidP="002B09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definition of </w:t>
      </w:r>
      <w:r w:rsidRPr="00F34B5A">
        <w:rPr>
          <w:rFonts w:ascii="Arial" w:hAnsi="Arial" w:cs="Arial"/>
          <w:b/>
          <w:bCs/>
          <w:i/>
          <w:iCs/>
          <w:sz w:val="24"/>
          <w:szCs w:val="24"/>
        </w:rPr>
        <w:t>harm</w:t>
      </w:r>
      <w:r w:rsidR="00191F2C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the Regulation is not required because </w:t>
      </w:r>
      <w:r w:rsidR="008C2268">
        <w:rPr>
          <w:rFonts w:ascii="Arial" w:hAnsi="Arial" w:cs="Arial"/>
          <w:sz w:val="24"/>
          <w:szCs w:val="24"/>
        </w:rPr>
        <w:t xml:space="preserve">subsection 6(3) of the Act provides a relevant definition of </w:t>
      </w:r>
      <w:r>
        <w:rPr>
          <w:rFonts w:ascii="Arial" w:hAnsi="Arial" w:cs="Arial"/>
          <w:sz w:val="24"/>
          <w:szCs w:val="24"/>
        </w:rPr>
        <w:t xml:space="preserve">harm. </w:t>
      </w:r>
      <w:r w:rsidR="008A6ECF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amendment </w:t>
      </w:r>
      <w:r w:rsidR="009917A2">
        <w:rPr>
          <w:rFonts w:ascii="Arial" w:hAnsi="Arial" w:cs="Arial"/>
          <w:sz w:val="24"/>
          <w:szCs w:val="24"/>
        </w:rPr>
        <w:t>omits</w:t>
      </w:r>
      <w:r w:rsidR="008A6ECF">
        <w:rPr>
          <w:rFonts w:ascii="Arial" w:hAnsi="Arial" w:cs="Arial"/>
          <w:sz w:val="24"/>
          <w:szCs w:val="24"/>
        </w:rPr>
        <w:t xml:space="preserve"> th</w:t>
      </w:r>
      <w:r w:rsidR="00191F2C">
        <w:rPr>
          <w:rFonts w:ascii="Arial" w:hAnsi="Arial" w:cs="Arial"/>
          <w:sz w:val="24"/>
          <w:szCs w:val="24"/>
        </w:rPr>
        <w:t>e</w:t>
      </w:r>
      <w:r w:rsidR="00A2295B">
        <w:rPr>
          <w:rFonts w:ascii="Arial" w:hAnsi="Arial" w:cs="Arial"/>
          <w:sz w:val="24"/>
          <w:szCs w:val="24"/>
        </w:rPr>
        <w:t xml:space="preserve"> </w:t>
      </w:r>
      <w:r w:rsidR="00191F2C">
        <w:rPr>
          <w:rFonts w:ascii="Arial" w:hAnsi="Arial" w:cs="Arial"/>
          <w:sz w:val="24"/>
          <w:szCs w:val="24"/>
        </w:rPr>
        <w:t xml:space="preserve">unnecessary </w:t>
      </w:r>
      <w:r w:rsidR="00A2295B">
        <w:rPr>
          <w:rFonts w:ascii="Arial" w:hAnsi="Arial" w:cs="Arial"/>
          <w:sz w:val="24"/>
          <w:szCs w:val="24"/>
        </w:rPr>
        <w:t>definition</w:t>
      </w:r>
      <w:r>
        <w:rPr>
          <w:rFonts w:ascii="Arial" w:hAnsi="Arial" w:cs="Arial"/>
          <w:sz w:val="24"/>
          <w:szCs w:val="24"/>
        </w:rPr>
        <w:t xml:space="preserve"> </w:t>
      </w:r>
      <w:r w:rsidR="00191F2C">
        <w:rPr>
          <w:rFonts w:ascii="Arial" w:hAnsi="Arial" w:cs="Arial"/>
          <w:sz w:val="24"/>
          <w:szCs w:val="24"/>
        </w:rPr>
        <w:t xml:space="preserve">of harm </w:t>
      </w:r>
      <w:r>
        <w:rPr>
          <w:rFonts w:ascii="Arial" w:hAnsi="Arial" w:cs="Arial"/>
          <w:sz w:val="24"/>
          <w:szCs w:val="24"/>
        </w:rPr>
        <w:t>from the Dictionary in the Regulation</w:t>
      </w:r>
      <w:r w:rsidR="00A2295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A2295B">
        <w:rPr>
          <w:rFonts w:ascii="Arial" w:hAnsi="Arial" w:cs="Arial"/>
          <w:sz w:val="24"/>
          <w:szCs w:val="24"/>
        </w:rPr>
        <w:t xml:space="preserve"> </w:t>
      </w:r>
    </w:p>
    <w:p w14:paraId="24C6C63A" w14:textId="6616D977" w:rsidR="00E511B1" w:rsidRDefault="00A2295B" w:rsidP="002B09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new definition of </w:t>
      </w:r>
      <w:r w:rsidRPr="00F34B5A">
        <w:rPr>
          <w:rFonts w:ascii="Arial" w:hAnsi="Arial" w:cs="Arial"/>
          <w:b/>
          <w:bCs/>
          <w:i/>
          <w:iCs/>
          <w:sz w:val="24"/>
          <w:szCs w:val="24"/>
        </w:rPr>
        <w:t>harm</w:t>
      </w:r>
      <w:r>
        <w:rPr>
          <w:rFonts w:ascii="Arial" w:hAnsi="Arial" w:cs="Arial"/>
          <w:sz w:val="24"/>
          <w:szCs w:val="24"/>
        </w:rPr>
        <w:t xml:space="preserve"> is </w:t>
      </w:r>
      <w:r w:rsidR="00670BAC">
        <w:rPr>
          <w:rFonts w:ascii="Arial" w:hAnsi="Arial" w:cs="Arial"/>
          <w:sz w:val="24"/>
          <w:szCs w:val="24"/>
        </w:rPr>
        <w:t xml:space="preserve">inserted into the Dictionary in the Regulation by </w:t>
      </w:r>
      <w:r>
        <w:rPr>
          <w:rFonts w:ascii="Arial" w:hAnsi="Arial" w:cs="Arial"/>
          <w:sz w:val="24"/>
          <w:szCs w:val="24"/>
        </w:rPr>
        <w:t>Clause</w:t>
      </w:r>
      <w:r w:rsidR="00670BAC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9.</w:t>
      </w:r>
    </w:p>
    <w:p w14:paraId="6B449BD9" w14:textId="7DDBA817" w:rsidR="00A2295B" w:rsidRDefault="00A2295B" w:rsidP="002B09B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Clause 8</w:t>
      </w:r>
      <w:r>
        <w:rPr>
          <w:rFonts w:ascii="Arial" w:hAnsi="Arial" w:cs="Arial"/>
          <w:b/>
          <w:bCs/>
          <w:sz w:val="24"/>
          <w:szCs w:val="24"/>
        </w:rPr>
        <w:tab/>
        <w:t xml:space="preserve">Dictionary, definition of </w:t>
      </w:r>
      <w:r w:rsidRPr="00A2295B">
        <w:rPr>
          <w:rFonts w:ascii="Arial" w:hAnsi="Arial" w:cs="Arial"/>
          <w:b/>
          <w:bCs/>
          <w:i/>
          <w:iCs/>
          <w:sz w:val="24"/>
          <w:szCs w:val="24"/>
        </w:rPr>
        <w:t>eligible victim</w:t>
      </w:r>
    </w:p>
    <w:p w14:paraId="4123829B" w14:textId="77777777" w:rsidR="00670BAC" w:rsidRDefault="00670BAC" w:rsidP="002B09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amendment is consequential to the removal of section 24(2) from the Regulation.</w:t>
      </w:r>
    </w:p>
    <w:p w14:paraId="60A7F4C9" w14:textId="6EC4A4B5" w:rsidR="00670BAC" w:rsidRDefault="00670BAC" w:rsidP="002B09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definition of </w:t>
      </w:r>
      <w:r w:rsidRPr="00F34B5A">
        <w:rPr>
          <w:rFonts w:ascii="Arial" w:hAnsi="Arial" w:cs="Arial"/>
          <w:b/>
          <w:bCs/>
          <w:i/>
          <w:iCs/>
          <w:sz w:val="24"/>
          <w:szCs w:val="24"/>
        </w:rPr>
        <w:t>eligible victim</w:t>
      </w:r>
      <w:r>
        <w:rPr>
          <w:rFonts w:ascii="Arial" w:hAnsi="Arial" w:cs="Arial"/>
          <w:sz w:val="24"/>
          <w:szCs w:val="24"/>
        </w:rPr>
        <w:t xml:space="preserve"> in the Regulation current refers to the eligibility provision in section 24(2). The Amendment Regulation </w:t>
      </w:r>
      <w:r w:rsidR="009917A2">
        <w:rPr>
          <w:rFonts w:ascii="Arial" w:hAnsi="Arial" w:cs="Arial"/>
          <w:sz w:val="24"/>
          <w:szCs w:val="24"/>
        </w:rPr>
        <w:t>omits</w:t>
      </w:r>
      <w:r>
        <w:rPr>
          <w:rFonts w:ascii="Arial" w:hAnsi="Arial" w:cs="Arial"/>
          <w:sz w:val="24"/>
          <w:szCs w:val="24"/>
        </w:rPr>
        <w:t xml:space="preserve"> section 24(2) from the Regulation. Accordingly, this amendment inserts a new definition of ‘eligible victim’ into the Regulation.</w:t>
      </w:r>
    </w:p>
    <w:p w14:paraId="346D034B" w14:textId="6D08F578" w:rsidR="00A4006A" w:rsidRDefault="00A4006A" w:rsidP="002B09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new definition provides that an </w:t>
      </w:r>
      <w:r w:rsidRPr="00F34B5A">
        <w:rPr>
          <w:rFonts w:ascii="Arial" w:hAnsi="Arial" w:cs="Arial"/>
          <w:b/>
          <w:bCs/>
          <w:i/>
          <w:iCs/>
          <w:sz w:val="24"/>
          <w:szCs w:val="24"/>
        </w:rPr>
        <w:t>eligible victim</w:t>
      </w:r>
      <w:r>
        <w:rPr>
          <w:rFonts w:ascii="Arial" w:hAnsi="Arial" w:cs="Arial"/>
          <w:sz w:val="24"/>
          <w:szCs w:val="24"/>
        </w:rPr>
        <w:t xml:space="preserve"> is a victim other than a victim who is not eligible for assistance under the Scheme under new section 24(1) of the Regulation as inserted by the Amendment Regulation.</w:t>
      </w:r>
    </w:p>
    <w:p w14:paraId="6513969B" w14:textId="6D05240E" w:rsidR="00A2295B" w:rsidRPr="00A2295B" w:rsidRDefault="00A2295B" w:rsidP="002B09B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Clause 9</w:t>
      </w:r>
      <w:r>
        <w:rPr>
          <w:rFonts w:ascii="Arial" w:hAnsi="Arial" w:cs="Arial"/>
          <w:b/>
          <w:bCs/>
          <w:sz w:val="24"/>
          <w:szCs w:val="24"/>
        </w:rPr>
        <w:tab/>
        <w:t xml:space="preserve">Dictionary, new definition of </w:t>
      </w:r>
      <w:r w:rsidRPr="00F34B5A">
        <w:rPr>
          <w:rFonts w:ascii="Arial" w:hAnsi="Arial" w:cs="Arial"/>
          <w:b/>
          <w:bCs/>
          <w:i/>
          <w:iCs/>
          <w:sz w:val="24"/>
          <w:szCs w:val="24"/>
        </w:rPr>
        <w:t>harm</w:t>
      </w:r>
    </w:p>
    <w:p w14:paraId="2DA80678" w14:textId="410AC96F" w:rsidR="00F34B5A" w:rsidRDefault="00F34B5A" w:rsidP="002B09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amendment is consequential to the amendment made by Clause 6 which </w:t>
      </w:r>
      <w:r w:rsidR="009917A2">
        <w:rPr>
          <w:rFonts w:ascii="Arial" w:hAnsi="Arial" w:cs="Arial"/>
          <w:sz w:val="24"/>
          <w:szCs w:val="24"/>
        </w:rPr>
        <w:t>omits</w:t>
      </w:r>
      <w:r>
        <w:rPr>
          <w:rFonts w:ascii="Arial" w:hAnsi="Arial" w:cs="Arial"/>
          <w:sz w:val="24"/>
          <w:szCs w:val="24"/>
        </w:rPr>
        <w:t xml:space="preserve"> the definition of harm from the Dictionary in the Regulation.</w:t>
      </w:r>
    </w:p>
    <w:p w14:paraId="11132D26" w14:textId="113E3412" w:rsidR="00A2295B" w:rsidRPr="00A2295B" w:rsidRDefault="00A2295B" w:rsidP="002B09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clause inserts a new definition of the term </w:t>
      </w:r>
      <w:r w:rsidRPr="00F34B5A">
        <w:rPr>
          <w:rFonts w:ascii="Arial" w:hAnsi="Arial" w:cs="Arial"/>
          <w:b/>
          <w:bCs/>
          <w:i/>
          <w:iCs/>
          <w:sz w:val="24"/>
          <w:szCs w:val="24"/>
        </w:rPr>
        <w:t>harm</w:t>
      </w:r>
      <w:r>
        <w:rPr>
          <w:rFonts w:ascii="Arial" w:hAnsi="Arial" w:cs="Arial"/>
          <w:sz w:val="24"/>
          <w:szCs w:val="24"/>
        </w:rPr>
        <w:t xml:space="preserve"> to have the same meaning as </w:t>
      </w:r>
      <w:r w:rsidR="00191F2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ection 6(3) of the Act. </w:t>
      </w:r>
    </w:p>
    <w:p w14:paraId="03013D16" w14:textId="77777777" w:rsidR="004E7885" w:rsidRDefault="004E7885" w:rsidP="002B09BA">
      <w:pPr>
        <w:jc w:val="both"/>
      </w:pPr>
    </w:p>
    <w:sectPr w:rsidR="004E7885" w:rsidSect="00F41A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40" w:bottom="1440" w:left="1440" w:header="709" w:footer="67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5DC67" w14:textId="77777777" w:rsidR="00AF04D2" w:rsidRDefault="00AF04D2">
      <w:pPr>
        <w:spacing w:after="0" w:line="240" w:lineRule="auto"/>
      </w:pPr>
      <w:r>
        <w:separator/>
      </w:r>
    </w:p>
  </w:endnote>
  <w:endnote w:type="continuationSeparator" w:id="0">
    <w:p w14:paraId="2E87607B" w14:textId="77777777" w:rsidR="00AF04D2" w:rsidRDefault="00AF0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A03C0" w14:textId="77777777" w:rsidR="006D2508" w:rsidRDefault="006D25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80431" w14:textId="771049CB" w:rsidR="009028C1" w:rsidRDefault="008D730B" w:rsidP="00937954">
    <w:pPr>
      <w:pStyle w:val="Footer"/>
      <w:spacing w:before="60"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14:paraId="46EBEC74" w14:textId="63DAF3C8" w:rsidR="000E2CF7" w:rsidRPr="000E2CF7" w:rsidRDefault="000E2CF7" w:rsidP="000E2CF7">
    <w:pPr>
      <w:pStyle w:val="Footer"/>
      <w:spacing w:before="60" w:line="240" w:lineRule="auto"/>
      <w:jc w:val="center"/>
      <w:rPr>
        <w:rFonts w:cs="Arial"/>
        <w:sz w:val="14"/>
      </w:rPr>
    </w:pPr>
    <w:r w:rsidRPr="000E2CF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3978B" w14:textId="3884F65B" w:rsidR="009028C1" w:rsidRDefault="008D730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5FEBCCF6" w14:textId="7422D347" w:rsidR="000E2CF7" w:rsidRPr="000E2CF7" w:rsidRDefault="000E2CF7" w:rsidP="000E2CF7">
    <w:pPr>
      <w:pStyle w:val="Footer"/>
      <w:jc w:val="center"/>
      <w:rPr>
        <w:rFonts w:cs="Arial"/>
        <w:sz w:val="14"/>
      </w:rPr>
    </w:pPr>
    <w:r w:rsidRPr="000E2CF7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2E391" w14:textId="77777777" w:rsidR="00AF04D2" w:rsidRDefault="00AF04D2">
      <w:pPr>
        <w:spacing w:after="0" w:line="240" w:lineRule="auto"/>
      </w:pPr>
      <w:r>
        <w:separator/>
      </w:r>
    </w:p>
  </w:footnote>
  <w:footnote w:type="continuationSeparator" w:id="0">
    <w:p w14:paraId="3DDEBCD6" w14:textId="77777777" w:rsidR="00AF04D2" w:rsidRDefault="00AF0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F6ED2" w14:textId="77777777" w:rsidR="006D2508" w:rsidRDefault="006D25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546E0" w14:textId="77777777" w:rsidR="006D2508" w:rsidRDefault="006D25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BA318" w14:textId="77777777" w:rsidR="006D2508" w:rsidRDefault="006D25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872B8"/>
    <w:multiLevelType w:val="hybridMultilevel"/>
    <w:tmpl w:val="36244B00"/>
    <w:lvl w:ilvl="0" w:tplc="6DBAF65E">
      <w:start w:val="1"/>
      <w:numFmt w:val="decimal"/>
      <w:pStyle w:val="CS-Paragraphnumbering"/>
      <w:lvlText w:val="%1."/>
      <w:lvlJc w:val="left"/>
      <w:pPr>
        <w:ind w:left="720" w:hanging="360"/>
      </w:pPr>
      <w:rPr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B5A7C"/>
    <w:multiLevelType w:val="hybridMultilevel"/>
    <w:tmpl w:val="2520AF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59485">
    <w:abstractNumId w:val="1"/>
  </w:num>
  <w:num w:numId="2" w16cid:durableId="607783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0D4"/>
    <w:rsid w:val="00022328"/>
    <w:rsid w:val="000568C8"/>
    <w:rsid w:val="000E2CF7"/>
    <w:rsid w:val="00101B46"/>
    <w:rsid w:val="00131A39"/>
    <w:rsid w:val="001378FC"/>
    <w:rsid w:val="00153872"/>
    <w:rsid w:val="0018136E"/>
    <w:rsid w:val="00191F2C"/>
    <w:rsid w:val="0019669A"/>
    <w:rsid w:val="002A4F31"/>
    <w:rsid w:val="002B09BA"/>
    <w:rsid w:val="00363AEC"/>
    <w:rsid w:val="003B0779"/>
    <w:rsid w:val="003F3BD1"/>
    <w:rsid w:val="0049192E"/>
    <w:rsid w:val="004A209B"/>
    <w:rsid w:val="004E7885"/>
    <w:rsid w:val="00522A9B"/>
    <w:rsid w:val="005D763D"/>
    <w:rsid w:val="00625414"/>
    <w:rsid w:val="00641FB6"/>
    <w:rsid w:val="00670BAC"/>
    <w:rsid w:val="006D2508"/>
    <w:rsid w:val="0070067F"/>
    <w:rsid w:val="00741371"/>
    <w:rsid w:val="007B319A"/>
    <w:rsid w:val="007F7192"/>
    <w:rsid w:val="008130EF"/>
    <w:rsid w:val="008A6ECF"/>
    <w:rsid w:val="008C2268"/>
    <w:rsid w:val="008D730B"/>
    <w:rsid w:val="00905A90"/>
    <w:rsid w:val="00915764"/>
    <w:rsid w:val="00923383"/>
    <w:rsid w:val="009722E6"/>
    <w:rsid w:val="009917A2"/>
    <w:rsid w:val="009D55AD"/>
    <w:rsid w:val="009F67E2"/>
    <w:rsid w:val="00A2295B"/>
    <w:rsid w:val="00A4006A"/>
    <w:rsid w:val="00A72DE9"/>
    <w:rsid w:val="00AB0258"/>
    <w:rsid w:val="00AC26E6"/>
    <w:rsid w:val="00AC60D4"/>
    <w:rsid w:val="00AF04D2"/>
    <w:rsid w:val="00C20F05"/>
    <w:rsid w:val="00C73C85"/>
    <w:rsid w:val="00D50254"/>
    <w:rsid w:val="00D76F34"/>
    <w:rsid w:val="00D80336"/>
    <w:rsid w:val="00E26B96"/>
    <w:rsid w:val="00E479BE"/>
    <w:rsid w:val="00E511B1"/>
    <w:rsid w:val="00E60105"/>
    <w:rsid w:val="00F20737"/>
    <w:rsid w:val="00F34B5A"/>
    <w:rsid w:val="00F425C6"/>
    <w:rsid w:val="00F7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F2EA7B"/>
  <w15:chartTrackingRefBased/>
  <w15:docId w15:val="{4FB9E501-CFEE-4FF5-96CA-5C711128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0D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C60D4"/>
    <w:pPr>
      <w:spacing w:before="120" w:after="60" w:line="240" w:lineRule="exact"/>
    </w:pPr>
    <w:rPr>
      <w:rFonts w:ascii="Arial" w:hAnsi="Arial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C60D4"/>
    <w:rPr>
      <w:rFonts w:ascii="Arial" w:eastAsia="Times New Roman" w:hAnsi="Arial" w:cs="Times New Roman"/>
      <w:sz w:val="18"/>
      <w:szCs w:val="20"/>
    </w:rPr>
  </w:style>
  <w:style w:type="paragraph" w:customStyle="1" w:styleId="Billname">
    <w:name w:val="Billname"/>
    <w:basedOn w:val="Normal"/>
    <w:rsid w:val="00AC60D4"/>
    <w:pPr>
      <w:tabs>
        <w:tab w:val="left" w:pos="2400"/>
        <w:tab w:val="left" w:pos="2880"/>
      </w:tabs>
      <w:spacing w:before="1220" w:after="100" w:line="240" w:lineRule="auto"/>
    </w:pPr>
    <w:rPr>
      <w:rFonts w:ascii="Arial" w:hAnsi="Arial"/>
      <w:b/>
      <w:sz w:val="40"/>
      <w:szCs w:val="20"/>
    </w:rPr>
  </w:style>
  <w:style w:type="paragraph" w:customStyle="1" w:styleId="N-line3">
    <w:name w:val="N-line3"/>
    <w:basedOn w:val="Normal"/>
    <w:next w:val="Normal"/>
    <w:rsid w:val="00AC60D4"/>
    <w:pPr>
      <w:pBdr>
        <w:bottom w:val="single" w:sz="12" w:space="1" w:color="auto"/>
      </w:pBd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madeunder">
    <w:name w:val="made under"/>
    <w:basedOn w:val="Normal"/>
    <w:rsid w:val="00AC60D4"/>
    <w:pPr>
      <w:spacing w:before="180" w:after="6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CoverActName">
    <w:name w:val="CoverActName"/>
    <w:basedOn w:val="Normal"/>
    <w:rsid w:val="00AC60D4"/>
    <w:pPr>
      <w:tabs>
        <w:tab w:val="left" w:pos="2600"/>
      </w:tabs>
      <w:spacing w:before="200" w:after="60" w:line="240" w:lineRule="auto"/>
      <w:jc w:val="both"/>
    </w:pPr>
    <w:rPr>
      <w:rFonts w:ascii="Arial" w:hAnsi="Arial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E511B1"/>
    <w:pPr>
      <w:ind w:left="720"/>
      <w:contextualSpacing/>
    </w:pPr>
  </w:style>
  <w:style w:type="paragraph" w:styleId="Revision">
    <w:name w:val="Revision"/>
    <w:hidden/>
    <w:uiPriority w:val="99"/>
    <w:semiHidden/>
    <w:rsid w:val="00022328"/>
    <w:pPr>
      <w:spacing w:after="0" w:line="240" w:lineRule="auto"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34B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4B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4B5A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B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B5A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CS-Paragraphnumbering">
    <w:name w:val="CS - Paragraph numbering"/>
    <w:basedOn w:val="Normal"/>
    <w:rsid w:val="003B0779"/>
    <w:pPr>
      <w:numPr>
        <w:numId w:val="2"/>
      </w:numPr>
      <w:spacing w:after="120"/>
      <w:ind w:right="-45"/>
    </w:pPr>
    <w:rPr>
      <w:rFonts w:asciiTheme="minorHAnsi" w:eastAsiaTheme="minorHAnsi" w:hAnsiTheme="minorHAnsi"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5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951</Words>
  <Characters>4970</Characters>
  <Application>Microsoft Office Word</Application>
  <DocSecurity>0</DocSecurity>
  <Lines>99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Cunningham, Joshua</dc:creator>
  <cp:keywords>2</cp:keywords>
  <dc:description/>
  <cp:lastModifiedBy>PCODCS</cp:lastModifiedBy>
  <cp:revision>4</cp:revision>
  <dcterms:created xsi:type="dcterms:W3CDTF">2023-05-30T00:16:00Z</dcterms:created>
  <dcterms:modified xsi:type="dcterms:W3CDTF">2023-05-30T00:16:00Z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10549527</vt:lpwstr>
  </property>
  <property fmtid="{D5CDD505-2E9C-101B-9397-08002B2CF9AE}" pid="4" name="JMSREQUIREDCHECKIN">
    <vt:lpwstr/>
  </property>
</Properties>
</file>