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3E18" w14:textId="77777777" w:rsidR="00685A3D" w:rsidRDefault="00685A3D" w:rsidP="00685A3D">
      <w:pPr>
        <w:spacing w:before="120"/>
        <w:rPr>
          <w:rFonts w:ascii="Arial" w:hAnsi="Arial" w:cs="Arial"/>
        </w:rPr>
      </w:pPr>
      <w:bookmarkStart w:id="0" w:name="_Toc44738651"/>
      <w:r>
        <w:rPr>
          <w:rFonts w:ascii="Arial" w:hAnsi="Arial" w:cs="Arial"/>
        </w:rPr>
        <w:t>Australian Capital Territory</w:t>
      </w:r>
    </w:p>
    <w:p w14:paraId="676111BB" w14:textId="28756079" w:rsidR="00685A3D" w:rsidRPr="002F1A2A" w:rsidRDefault="00685A3D" w:rsidP="00685A3D">
      <w:pPr>
        <w:pStyle w:val="Heading1"/>
      </w:pPr>
      <w:r>
        <w:t>City Renewal Authority and Suburban Land Agency</w:t>
      </w:r>
      <w:r w:rsidRPr="002F1A2A">
        <w:t xml:space="preserve"> (</w:t>
      </w:r>
      <w:r>
        <w:t xml:space="preserve">Agency </w:t>
      </w:r>
      <w:r w:rsidR="002502AE">
        <w:t xml:space="preserve">Board </w:t>
      </w:r>
      <w:r>
        <w:t>Member</w:t>
      </w:r>
      <w:r w:rsidRPr="002F1A2A">
        <w:t xml:space="preserve">) </w:t>
      </w:r>
      <w:r>
        <w:t>Appointment 20</w:t>
      </w:r>
      <w:r w:rsidR="00001693">
        <w:t>2</w:t>
      </w:r>
      <w:r w:rsidR="00350F09">
        <w:t>3</w:t>
      </w:r>
      <w:r>
        <w:t xml:space="preserve"> (No </w:t>
      </w:r>
      <w:r w:rsidR="00AF467C">
        <w:t>2</w:t>
      </w:r>
      <w:r>
        <w:t>)</w:t>
      </w:r>
    </w:p>
    <w:p w14:paraId="11F22C2C" w14:textId="005D452E" w:rsidR="00685A3D" w:rsidRPr="002F1A2A" w:rsidRDefault="00685A3D" w:rsidP="002E1078">
      <w:pPr>
        <w:pStyle w:val="Heading2"/>
        <w:spacing w:before="340" w:after="0"/>
      </w:pPr>
      <w:r w:rsidRPr="002F1A2A">
        <w:t>Disallowable instrument DI</w:t>
      </w:r>
      <w:r>
        <w:t>20</w:t>
      </w:r>
      <w:r w:rsidR="00001693">
        <w:t>2</w:t>
      </w:r>
      <w:r w:rsidR="00350F09">
        <w:t>3</w:t>
      </w:r>
      <w:r>
        <w:t>-</w:t>
      </w:r>
      <w:r w:rsidR="007D11F4">
        <w:t>131</w:t>
      </w:r>
    </w:p>
    <w:p w14:paraId="1295436B" w14:textId="77777777" w:rsidR="00685A3D" w:rsidRDefault="00685A3D" w:rsidP="002E1078">
      <w:pPr>
        <w:pStyle w:val="madeunder"/>
        <w:spacing w:before="300" w:after="0"/>
      </w:pPr>
      <w:r>
        <w:t xml:space="preserve">made under the  </w:t>
      </w:r>
    </w:p>
    <w:p w14:paraId="03481287" w14:textId="0CA51B5A" w:rsidR="00685A3D" w:rsidRPr="005F6FB4" w:rsidRDefault="00685A3D" w:rsidP="002E1078">
      <w:pPr>
        <w:pStyle w:val="CoverActName"/>
        <w:spacing w:before="300" w:after="0"/>
        <w:jc w:val="left"/>
      </w:pPr>
      <w:r>
        <w:rPr>
          <w:rFonts w:cs="Arial"/>
          <w:sz w:val="20"/>
        </w:rPr>
        <w:t>City Renewal Authority and Suburban Land Agency Act 2017, s</w:t>
      </w:r>
      <w:r w:rsidR="002E1078">
        <w:rPr>
          <w:rFonts w:cs="Arial"/>
          <w:sz w:val="20"/>
        </w:rPr>
        <w:t xml:space="preserve"> </w:t>
      </w:r>
      <w:r>
        <w:rPr>
          <w:rFonts w:cs="Arial"/>
          <w:sz w:val="20"/>
        </w:rPr>
        <w:t>45 (Establishment of governing board for agency)</w:t>
      </w:r>
    </w:p>
    <w:p w14:paraId="7EFB706C" w14:textId="77777777" w:rsidR="00685A3D" w:rsidRPr="002F1A2A" w:rsidRDefault="00685A3D" w:rsidP="002E1078">
      <w:pPr>
        <w:pStyle w:val="Heading3"/>
        <w:spacing w:before="360" w:after="0"/>
      </w:pPr>
      <w:r w:rsidRPr="002F1A2A">
        <w:t>EXPLANATORY STATEMENT</w:t>
      </w:r>
    </w:p>
    <w:p w14:paraId="0F14E5F6" w14:textId="77777777" w:rsidR="00685A3D" w:rsidRDefault="00685A3D" w:rsidP="00685A3D">
      <w:pPr>
        <w:pStyle w:val="N-line3"/>
        <w:pBdr>
          <w:bottom w:val="none" w:sz="0" w:space="0" w:color="auto"/>
        </w:pBdr>
      </w:pPr>
    </w:p>
    <w:p w14:paraId="2FC6C930" w14:textId="77777777" w:rsidR="00685A3D" w:rsidRDefault="00685A3D" w:rsidP="00685A3D">
      <w:pPr>
        <w:pStyle w:val="N-line3"/>
        <w:pBdr>
          <w:top w:val="single" w:sz="12" w:space="1" w:color="auto"/>
          <w:bottom w:val="none" w:sz="0" w:space="0" w:color="auto"/>
        </w:pBdr>
      </w:pPr>
    </w:p>
    <w:bookmarkEnd w:id="0"/>
    <w:p w14:paraId="78210077" w14:textId="1644A5FF" w:rsidR="00685A3D" w:rsidRDefault="00685A3D" w:rsidP="00685A3D">
      <w:r>
        <w:t xml:space="preserve">This explanatory statement relates to the </w:t>
      </w:r>
      <w:r>
        <w:rPr>
          <w:i/>
        </w:rPr>
        <w:t xml:space="preserve">City Renewal Authority and Suburban Land Agency (Agency </w:t>
      </w:r>
      <w:r w:rsidR="002502AE">
        <w:rPr>
          <w:i/>
        </w:rPr>
        <w:t xml:space="preserve">Board </w:t>
      </w:r>
      <w:r>
        <w:rPr>
          <w:i/>
        </w:rPr>
        <w:t>Member) Appointment 20</w:t>
      </w:r>
      <w:r w:rsidR="00001693">
        <w:rPr>
          <w:i/>
        </w:rPr>
        <w:t>2</w:t>
      </w:r>
      <w:r w:rsidR="00350F09">
        <w:rPr>
          <w:i/>
        </w:rPr>
        <w:t>3</w:t>
      </w:r>
      <w:r>
        <w:rPr>
          <w:i/>
        </w:rPr>
        <w:t xml:space="preserve"> (No </w:t>
      </w:r>
      <w:r w:rsidR="00AF467C">
        <w:rPr>
          <w:i/>
        </w:rPr>
        <w:t>2</w:t>
      </w:r>
      <w:r>
        <w:rPr>
          <w:i/>
        </w:rPr>
        <w:t xml:space="preserve">) </w:t>
      </w:r>
      <w:r>
        <w:t xml:space="preserve">as made by the </w:t>
      </w:r>
      <w:r w:rsidR="00736E10">
        <w:t>Minister for Housing and Suburban Development</w:t>
      </w:r>
      <w:r>
        <w:t xml:space="preserve"> and presented to the Legislative Assembly. It has been prepared in order to assist the reader of the instrument and to help inform debate on it. It does not form part of the instrument and has not been endorsed by the Legislative Assembly.</w:t>
      </w:r>
    </w:p>
    <w:p w14:paraId="251BC0C1" w14:textId="77777777" w:rsidR="00685A3D" w:rsidRDefault="00685A3D" w:rsidP="00685A3D">
      <w:pPr>
        <w:jc w:val="center"/>
      </w:pPr>
    </w:p>
    <w:p w14:paraId="34BE78C4" w14:textId="77777777" w:rsidR="00685A3D" w:rsidRDefault="00685A3D" w:rsidP="00685A3D">
      <w:pPr>
        <w:rPr>
          <w:b/>
        </w:rPr>
      </w:pPr>
      <w:r>
        <w:rPr>
          <w:b/>
        </w:rPr>
        <w:t>Overview</w:t>
      </w:r>
    </w:p>
    <w:p w14:paraId="0A2BCA14" w14:textId="77777777" w:rsidR="00685A3D" w:rsidRDefault="00685A3D" w:rsidP="00685A3D"/>
    <w:p w14:paraId="61163990" w14:textId="3266668A" w:rsidR="0029749F" w:rsidRDefault="0029749F" w:rsidP="0029749F">
      <w:r w:rsidRPr="00A23983">
        <w:t xml:space="preserve">Section 37 of the </w:t>
      </w:r>
      <w:r w:rsidRPr="002E1078">
        <w:rPr>
          <w:i/>
          <w:iCs/>
        </w:rPr>
        <w:t>City Renewal Authority and Suburban Land Agency Act 2017</w:t>
      </w:r>
      <w:r w:rsidRPr="00A23983">
        <w:t xml:space="preserve"> (the</w:t>
      </w:r>
      <w:r w:rsidR="00A10ABB">
        <w:t> </w:t>
      </w:r>
      <w:r w:rsidRPr="002E1078">
        <w:rPr>
          <w:b/>
          <w:bCs/>
          <w:i/>
          <w:iCs/>
        </w:rPr>
        <w:t>Act</w:t>
      </w:r>
      <w:r w:rsidRPr="00A23983">
        <w:t xml:space="preserve">) establishes the Suburban Land Agency (the </w:t>
      </w:r>
      <w:r w:rsidRPr="002E1078">
        <w:rPr>
          <w:b/>
          <w:bCs/>
          <w:i/>
          <w:iCs/>
        </w:rPr>
        <w:t>agency</w:t>
      </w:r>
      <w:r w:rsidRPr="00A23983">
        <w:t xml:space="preserve">). Section 45 of the Act establishes the governing board for the agency (the </w:t>
      </w:r>
      <w:r w:rsidRPr="002E1078">
        <w:rPr>
          <w:b/>
          <w:bCs/>
          <w:i/>
          <w:iCs/>
        </w:rPr>
        <w:t>board</w:t>
      </w:r>
      <w:r w:rsidRPr="00A23983">
        <w:t xml:space="preserve">). For the purposes of the </w:t>
      </w:r>
      <w:r w:rsidRPr="002E1078">
        <w:rPr>
          <w:i/>
          <w:iCs/>
        </w:rPr>
        <w:t>Financial Management Act 1996</w:t>
      </w:r>
      <w:r w:rsidRPr="00A23983">
        <w:t xml:space="preserve"> (the </w:t>
      </w:r>
      <w:r w:rsidRPr="002E1078">
        <w:rPr>
          <w:b/>
          <w:bCs/>
          <w:i/>
          <w:iCs/>
        </w:rPr>
        <w:t>FMA</w:t>
      </w:r>
      <w:r w:rsidRPr="00A23983">
        <w:t>)</w:t>
      </w:r>
      <w:r w:rsidR="002E1078">
        <w:t>,</w:t>
      </w:r>
      <w:r w:rsidRPr="00A23983">
        <w:t xml:space="preserve"> the agency is a territory authority, and therefore parts 8 and 9 of the FMA apply. Section 78</w:t>
      </w:r>
      <w:r w:rsidR="002E1078">
        <w:t xml:space="preserve"> </w:t>
      </w:r>
      <w:r w:rsidRPr="00A23983">
        <w:t>(7)</w:t>
      </w:r>
      <w:r w:rsidR="002E1078">
        <w:t xml:space="preserve"> </w:t>
      </w:r>
      <w:r w:rsidRPr="00A23983">
        <w:t>(b) of the FMA provides that an appointment of a member to a board of a territory authority is an appointment made under the provision of the establishing Act that establishes the governing board. In this case, section 45 of the Act is the relevant provision of the establishing Act</w:t>
      </w:r>
      <w:r>
        <w:t>.</w:t>
      </w:r>
    </w:p>
    <w:p w14:paraId="2CAB2E3E" w14:textId="77777777" w:rsidR="0029749F" w:rsidRDefault="0029749F" w:rsidP="0029749F"/>
    <w:p w14:paraId="3E19CDB3" w14:textId="3F49F288" w:rsidR="0029749F" w:rsidRDefault="0029749F" w:rsidP="0029749F">
      <w:r>
        <w:t>Section 78 of the FMA provides for the appointment of governing boards generally. The Minister with responsibility for a territory authority may appoint members of the authority. The Minister must apply the criteria in section 78 of the FMA and must, as far as practicable, ensure that each discipline and area of expertise mentioned in section 48</w:t>
      </w:r>
      <w:r w:rsidR="002E1078">
        <w:t xml:space="preserve"> </w:t>
      </w:r>
      <w:r>
        <w:t>(2) of the Act is represented among the appointed members. A member must have knowledge of and experience in at least one of the disciplines and area of expertise prescribed in section 48</w:t>
      </w:r>
      <w:r w:rsidR="002E1078">
        <w:t xml:space="preserve"> </w:t>
      </w:r>
      <w:r>
        <w:t>(2) of the Act.</w:t>
      </w:r>
    </w:p>
    <w:p w14:paraId="55A7285C" w14:textId="77777777" w:rsidR="00685A3D" w:rsidRDefault="00685A3D" w:rsidP="00685A3D"/>
    <w:p w14:paraId="6C819AE7" w14:textId="4DC8D215" w:rsidR="00001693" w:rsidRPr="002502AE" w:rsidRDefault="00685A3D" w:rsidP="000C572D">
      <w:r w:rsidRPr="002502AE">
        <w:t xml:space="preserve">This instrument </w:t>
      </w:r>
      <w:r w:rsidRPr="00A507D6">
        <w:t xml:space="preserve">appoints </w:t>
      </w:r>
      <w:r w:rsidR="001A7D3F" w:rsidRPr="00A507D6">
        <w:t xml:space="preserve">Ms </w:t>
      </w:r>
      <w:r w:rsidR="004B3C83" w:rsidRPr="00A507D6">
        <w:t>Jennifer Cunich</w:t>
      </w:r>
      <w:r w:rsidRPr="00A507D6">
        <w:t xml:space="preserve"> as</w:t>
      </w:r>
      <w:r w:rsidRPr="002502AE">
        <w:t xml:space="preserve"> a</w:t>
      </w:r>
      <w:r w:rsidR="00001693" w:rsidRPr="002502AE">
        <w:t xml:space="preserve">n expert </w:t>
      </w:r>
      <w:r w:rsidRPr="002502AE">
        <w:t xml:space="preserve">member of the </w:t>
      </w:r>
      <w:r w:rsidR="002E1078">
        <w:t>b</w:t>
      </w:r>
      <w:r w:rsidRPr="002502AE">
        <w:t xml:space="preserve">oard </w:t>
      </w:r>
      <w:bookmarkStart w:id="1" w:name="_Hlk99456460"/>
      <w:r w:rsidR="00DE4E38">
        <w:t>until</w:t>
      </w:r>
      <w:r w:rsidR="00001693" w:rsidRPr="002502AE">
        <w:t xml:space="preserve"> </w:t>
      </w:r>
      <w:r w:rsidR="00D45BC9">
        <w:t>22 June</w:t>
      </w:r>
      <w:r w:rsidR="00722ABC" w:rsidRPr="002502AE">
        <w:t xml:space="preserve"> </w:t>
      </w:r>
      <w:r w:rsidR="00001693" w:rsidRPr="002502AE">
        <w:t>202</w:t>
      </w:r>
      <w:bookmarkEnd w:id="1"/>
      <w:r w:rsidR="00D97550">
        <w:t>6</w:t>
      </w:r>
      <w:r w:rsidR="00001693" w:rsidRPr="002502AE">
        <w:t xml:space="preserve">. </w:t>
      </w:r>
    </w:p>
    <w:p w14:paraId="4BFD403D" w14:textId="77777777" w:rsidR="000C572D" w:rsidRPr="003D5609" w:rsidRDefault="000C572D" w:rsidP="000C572D"/>
    <w:p w14:paraId="0695E311" w14:textId="77777777" w:rsidR="006A0DAA" w:rsidRPr="00A507D6" w:rsidRDefault="001A7D3F" w:rsidP="00722ABC">
      <w:r w:rsidRPr="00A507D6">
        <w:lastRenderedPageBreak/>
        <w:t>Ms Cunich has over 30 years’ experience in the business and property sectors, with a strong background in housing and planning</w:t>
      </w:r>
      <w:r w:rsidR="006A0DAA" w:rsidRPr="00A507D6">
        <w:t xml:space="preserve">, having been a former Non-Executive Director of the Victorian Planning Authority, CEO of the Australian Institute of Architects and Executive Director of the Property Council of Australia. </w:t>
      </w:r>
    </w:p>
    <w:p w14:paraId="65CE4523" w14:textId="77777777" w:rsidR="006A0DAA" w:rsidRPr="00A507D6" w:rsidRDefault="006A0DAA" w:rsidP="00722ABC"/>
    <w:p w14:paraId="408BE22E" w14:textId="35EB27AE" w:rsidR="006A0DAA" w:rsidRPr="00A507D6" w:rsidRDefault="00074447" w:rsidP="00722ABC">
      <w:pPr>
        <w:rPr>
          <w:rFonts w:cs="Arial"/>
          <w:szCs w:val="24"/>
        </w:rPr>
      </w:pPr>
      <w:r w:rsidRPr="00A507D6">
        <w:t xml:space="preserve">As the </w:t>
      </w:r>
      <w:r w:rsidR="006A0DAA" w:rsidRPr="00A507D6">
        <w:t xml:space="preserve">current </w:t>
      </w:r>
      <w:r w:rsidRPr="00A507D6">
        <w:t xml:space="preserve">Independent </w:t>
      </w:r>
      <w:r w:rsidR="006A0DAA" w:rsidRPr="00A507D6">
        <w:t xml:space="preserve">Chair of the Australian Housing and Research Institute, Ms Cunich </w:t>
      </w:r>
      <w:r w:rsidRPr="00A507D6">
        <w:t>brings</w:t>
      </w:r>
      <w:r w:rsidR="006A0DAA" w:rsidRPr="00A507D6">
        <w:t xml:space="preserve"> a bre</w:t>
      </w:r>
      <w:r w:rsidRPr="00A507D6">
        <w:t>a</w:t>
      </w:r>
      <w:r w:rsidR="006A0DAA" w:rsidRPr="00A507D6">
        <w:t>dth of experience in policy development, advocacy, financial management, governance and team leadership in the area of planning development and design</w:t>
      </w:r>
      <w:r w:rsidR="005F4F6A" w:rsidRPr="00A507D6">
        <w:rPr>
          <w:rFonts w:cs="Arial"/>
          <w:szCs w:val="24"/>
        </w:rPr>
        <w:t>.</w:t>
      </w:r>
      <w:r w:rsidR="006A0DAA" w:rsidRPr="00A507D6">
        <w:rPr>
          <w:rFonts w:cs="Arial"/>
          <w:szCs w:val="24"/>
        </w:rPr>
        <w:t xml:space="preserve"> </w:t>
      </w:r>
    </w:p>
    <w:p w14:paraId="703A453C" w14:textId="77777777" w:rsidR="000C572D" w:rsidRPr="00A507D6" w:rsidRDefault="000C572D" w:rsidP="000C572D">
      <w:pPr>
        <w:rPr>
          <w:color w:val="FF0000"/>
          <w:szCs w:val="24"/>
        </w:rPr>
      </w:pPr>
    </w:p>
    <w:p w14:paraId="19A372CA" w14:textId="0A39D15D" w:rsidR="0029749F" w:rsidRPr="00A507D6" w:rsidRDefault="0029749F" w:rsidP="000C572D">
      <w:r w:rsidRPr="00A507D6">
        <w:t>Section 48</w:t>
      </w:r>
      <w:r w:rsidR="009B617C" w:rsidRPr="00A507D6">
        <w:t xml:space="preserve"> </w:t>
      </w:r>
      <w:r w:rsidRPr="00A507D6">
        <w:t>(4) of the Act provides that a</w:t>
      </w:r>
      <w:r w:rsidR="004B1228" w:rsidRPr="00A507D6">
        <w:t>n</w:t>
      </w:r>
      <w:r w:rsidRPr="00A507D6">
        <w:t xml:space="preserve"> </w:t>
      </w:r>
      <w:r w:rsidR="00956859" w:rsidRPr="00A507D6">
        <w:t xml:space="preserve">expert </w:t>
      </w:r>
      <w:r w:rsidRPr="00A507D6">
        <w:t xml:space="preserve">member of the board must not be a public servant. </w:t>
      </w:r>
      <w:r w:rsidR="001A7D3F" w:rsidRPr="00A507D6">
        <w:t xml:space="preserve">Ms </w:t>
      </w:r>
      <w:r w:rsidR="004B3C83" w:rsidRPr="00A507D6">
        <w:t xml:space="preserve">Cunich </w:t>
      </w:r>
      <w:r w:rsidRPr="00A507D6">
        <w:t>is not a public servant</w:t>
      </w:r>
      <w:r w:rsidR="001C2293" w:rsidRPr="00A507D6">
        <w:t>.</w:t>
      </w:r>
    </w:p>
    <w:p w14:paraId="2E77694E" w14:textId="77777777" w:rsidR="0029749F" w:rsidRPr="00A507D6" w:rsidRDefault="0029749F" w:rsidP="000C572D"/>
    <w:p w14:paraId="360F9879" w14:textId="7F9B07D9" w:rsidR="0029749F" w:rsidRDefault="0029749F" w:rsidP="0029749F">
      <w:r w:rsidRPr="00A507D6">
        <w:t xml:space="preserve">Division 19.3.3 of the </w:t>
      </w:r>
      <w:bookmarkStart w:id="2" w:name="_Hlk133839422"/>
      <w:r w:rsidR="0062489B" w:rsidRPr="00492C69">
        <w:rPr>
          <w:i/>
          <w:iCs/>
        </w:rPr>
        <w:t>Legislation Act 2001</w:t>
      </w:r>
      <w:r w:rsidR="0062489B">
        <w:t xml:space="preserve"> (the </w:t>
      </w:r>
      <w:bookmarkEnd w:id="2"/>
      <w:r w:rsidRPr="00492C69">
        <w:rPr>
          <w:b/>
          <w:bCs/>
          <w:i/>
          <w:iCs/>
        </w:rPr>
        <w:t>Legislation Act</w:t>
      </w:r>
      <w:r w:rsidR="0062489B">
        <w:t>)</w:t>
      </w:r>
      <w:r w:rsidRPr="00A507D6">
        <w:t xml:space="preserve"> applies as</w:t>
      </w:r>
      <w:r w:rsidR="00A42DA6" w:rsidRPr="00A507D6">
        <w:t xml:space="preserve"> </w:t>
      </w:r>
      <w:r w:rsidR="001A7D3F" w:rsidRPr="00A507D6">
        <w:t>Ms</w:t>
      </w:r>
      <w:r w:rsidR="0062489B">
        <w:t> </w:t>
      </w:r>
      <w:r w:rsidR="004B3C83" w:rsidRPr="00A507D6">
        <w:t>Cunich</w:t>
      </w:r>
      <w:r w:rsidRPr="00A507D6">
        <w:t xml:space="preserve"> is not a</w:t>
      </w:r>
      <w:r w:rsidR="009816CD" w:rsidRPr="00A507D6">
        <w:t>n ACT</w:t>
      </w:r>
      <w:r w:rsidRPr="00A507D6">
        <w:t xml:space="preserve"> public</w:t>
      </w:r>
      <w:r>
        <w:t xml:space="preserve"> servant, is appointed for longer than 6 months and will have functions beyond advising the Minister. In accordance with section 228 of the Legislation Act, the </w:t>
      </w:r>
      <w:r w:rsidRPr="00F46D12">
        <w:t>Standing Committee on Planning, Transport and City Services</w:t>
      </w:r>
      <w:r w:rsidRPr="00906D8B">
        <w:rPr>
          <w:color w:val="FF0000"/>
        </w:rPr>
        <w:t xml:space="preserve"> </w:t>
      </w:r>
      <w:r>
        <w:t>has been consulted and noted the appointment. The appointment is a disallowable instrument by operation of section 229 of the Legislation Act.</w:t>
      </w:r>
    </w:p>
    <w:p w14:paraId="0F592A35" w14:textId="77777777" w:rsidR="0029749F" w:rsidRDefault="0029749F" w:rsidP="0029749F"/>
    <w:p w14:paraId="6AB4FB55" w14:textId="7D39617A" w:rsidR="0029749F" w:rsidRPr="00F46D12" w:rsidRDefault="0029749F" w:rsidP="0029749F">
      <w:r w:rsidRPr="00F46D12">
        <w:t xml:space="preserve">The instrument is not likely to impose appreciable costs on the community, or part of the community and therefore a regulatory impact statement (a </w:t>
      </w:r>
      <w:r w:rsidRPr="00F46D12">
        <w:rPr>
          <w:b/>
          <w:bCs/>
          <w:i/>
          <w:iCs/>
        </w:rPr>
        <w:t>RIS</w:t>
      </w:r>
      <w:r w:rsidRPr="00F46D12">
        <w:t>) is not required under section 34 of the Legislation Act. Further, a RIS is unnecessary, in accordance with section 36</w:t>
      </w:r>
      <w:r w:rsidR="00B35577">
        <w:t xml:space="preserve"> </w:t>
      </w:r>
      <w:r w:rsidRPr="00F46D12">
        <w:t>(1)</w:t>
      </w:r>
      <w:r w:rsidR="00B35577">
        <w:t xml:space="preserve"> </w:t>
      </w:r>
      <w:r w:rsidRPr="00F46D12">
        <w:t>(b) of the Legislation Act, as the instrument does not operate to the disadvantage of anyone by adversely affecting the person’s rights, or imposing liabilities on the person.</w:t>
      </w:r>
    </w:p>
    <w:p w14:paraId="3C1AE20B" w14:textId="77777777" w:rsidR="0029749F" w:rsidRDefault="0029749F" w:rsidP="0029749F"/>
    <w:p w14:paraId="6E5E84A1" w14:textId="4C00535D" w:rsidR="0029749F" w:rsidRPr="00906D8B" w:rsidRDefault="0029749F" w:rsidP="0029749F">
      <w:bookmarkStart w:id="3" w:name="_Hlk133840241"/>
      <w:r w:rsidRPr="00906D8B">
        <w:t xml:space="preserve">Remuneration for the board is set by the </w:t>
      </w:r>
      <w:r w:rsidRPr="0062489B">
        <w:t>ACT Remuneration Tribunal under</w:t>
      </w:r>
      <w:r w:rsidRPr="00492C69">
        <w:rPr>
          <w:i/>
          <w:iCs/>
        </w:rPr>
        <w:t xml:space="preserve"> Determination 13 of 202</w:t>
      </w:r>
      <w:r w:rsidR="0062489B" w:rsidRPr="00492C69">
        <w:rPr>
          <w:i/>
          <w:iCs/>
        </w:rPr>
        <w:t>2</w:t>
      </w:r>
      <w:r w:rsidRPr="00492C69">
        <w:rPr>
          <w:i/>
          <w:iCs/>
        </w:rPr>
        <w:t xml:space="preserve"> </w:t>
      </w:r>
      <w:r w:rsidR="0062489B">
        <w:rPr>
          <w:i/>
          <w:iCs/>
        </w:rPr>
        <w:t xml:space="preserve">- </w:t>
      </w:r>
      <w:r w:rsidRPr="00492C69">
        <w:rPr>
          <w:i/>
          <w:iCs/>
        </w:rPr>
        <w:t>Part-time Public Office Holders</w:t>
      </w:r>
      <w:r w:rsidRPr="00906D8B">
        <w:t xml:space="preserve"> </w:t>
      </w:r>
      <w:bookmarkEnd w:id="3"/>
      <w:r w:rsidRPr="00906D8B">
        <w:t>and is met by the agency budget.</w:t>
      </w:r>
    </w:p>
    <w:p w14:paraId="37B85EF5" w14:textId="77777777" w:rsidR="0029749F" w:rsidRDefault="0029749F" w:rsidP="0029749F"/>
    <w:p w14:paraId="6B392E90" w14:textId="77777777" w:rsidR="00685A3D" w:rsidRPr="00492A9A" w:rsidRDefault="00685A3D" w:rsidP="00685A3D">
      <w:pPr>
        <w:rPr>
          <w:szCs w:val="24"/>
        </w:rPr>
      </w:pPr>
      <w:r w:rsidRPr="0081787C">
        <w:t xml:space="preserve">The instrument is consistent </w:t>
      </w:r>
      <w:r w:rsidRPr="00492A9A">
        <w:rPr>
          <w:szCs w:val="24"/>
        </w:rPr>
        <w:t>with the Legislative Assembly’s Scrutiny of Bills Committee Terms of Reference. In particular, the instrument:</w:t>
      </w:r>
    </w:p>
    <w:p w14:paraId="0BBC4D84" w14:textId="36351037" w:rsidR="00685A3D" w:rsidRPr="00492A9A" w:rsidRDefault="00685A3D" w:rsidP="00685A3D">
      <w:pPr>
        <w:pStyle w:val="ListParagraph"/>
        <w:numPr>
          <w:ilvl w:val="0"/>
          <w:numId w:val="1"/>
        </w:numPr>
        <w:rPr>
          <w:rFonts w:ascii="Times New Roman" w:hAnsi="Times New Roman"/>
          <w:sz w:val="24"/>
          <w:szCs w:val="24"/>
        </w:rPr>
      </w:pPr>
      <w:r w:rsidRPr="00492A9A">
        <w:rPr>
          <w:rFonts w:ascii="Times New Roman" w:hAnsi="Times New Roman"/>
          <w:sz w:val="24"/>
          <w:szCs w:val="24"/>
        </w:rPr>
        <w:t>Is made under a ministerial power found in the Act</w:t>
      </w:r>
      <w:r w:rsidR="00001693">
        <w:rPr>
          <w:rFonts w:ascii="Times New Roman" w:hAnsi="Times New Roman"/>
          <w:sz w:val="24"/>
          <w:szCs w:val="24"/>
        </w:rPr>
        <w:t xml:space="preserve"> (see section </w:t>
      </w:r>
      <w:r w:rsidRPr="00492A9A">
        <w:rPr>
          <w:rFonts w:ascii="Times New Roman" w:hAnsi="Times New Roman"/>
          <w:sz w:val="24"/>
          <w:szCs w:val="24"/>
        </w:rPr>
        <w:t>45 of the Act and s</w:t>
      </w:r>
      <w:r w:rsidR="006061E2">
        <w:rPr>
          <w:rFonts w:ascii="Times New Roman" w:hAnsi="Times New Roman"/>
          <w:sz w:val="24"/>
          <w:szCs w:val="24"/>
        </w:rPr>
        <w:t xml:space="preserve">ection </w:t>
      </w:r>
      <w:r w:rsidR="00483897">
        <w:rPr>
          <w:rFonts w:ascii="Times New Roman" w:hAnsi="Times New Roman"/>
          <w:sz w:val="24"/>
          <w:szCs w:val="24"/>
        </w:rPr>
        <w:t xml:space="preserve">78 </w:t>
      </w:r>
      <w:r w:rsidRPr="00492A9A">
        <w:rPr>
          <w:rFonts w:ascii="Times New Roman" w:hAnsi="Times New Roman"/>
          <w:sz w:val="24"/>
          <w:szCs w:val="24"/>
        </w:rPr>
        <w:t>of the FMA</w:t>
      </w:r>
      <w:r w:rsidR="00001693">
        <w:rPr>
          <w:rFonts w:ascii="Times New Roman" w:hAnsi="Times New Roman"/>
          <w:sz w:val="24"/>
          <w:szCs w:val="24"/>
        </w:rPr>
        <w:t>)</w:t>
      </w:r>
      <w:r w:rsidRPr="00492A9A">
        <w:rPr>
          <w:rFonts w:ascii="Times New Roman" w:hAnsi="Times New Roman"/>
          <w:sz w:val="24"/>
          <w:szCs w:val="24"/>
        </w:rPr>
        <w:t>.</w:t>
      </w:r>
    </w:p>
    <w:p w14:paraId="51F67687" w14:textId="6BFC20C5" w:rsidR="00685A3D" w:rsidRPr="00575BE1" w:rsidRDefault="00685A3D" w:rsidP="00685A3D">
      <w:pPr>
        <w:pStyle w:val="ListParagraph"/>
        <w:numPr>
          <w:ilvl w:val="0"/>
          <w:numId w:val="1"/>
        </w:numPr>
        <w:rPr>
          <w:rFonts w:ascii="Times New Roman" w:hAnsi="Times New Roman"/>
          <w:sz w:val="24"/>
          <w:szCs w:val="24"/>
        </w:rPr>
      </w:pPr>
      <w:r w:rsidRPr="00492A9A">
        <w:rPr>
          <w:rFonts w:ascii="Times New Roman" w:hAnsi="Times New Roman"/>
          <w:sz w:val="24"/>
          <w:szCs w:val="24"/>
        </w:rPr>
        <w:t>Is in accord</w:t>
      </w:r>
      <w:r>
        <w:rPr>
          <w:rFonts w:ascii="Times New Roman" w:hAnsi="Times New Roman"/>
          <w:sz w:val="24"/>
          <w:szCs w:val="24"/>
        </w:rPr>
        <w:t>ance</w:t>
      </w:r>
      <w:r w:rsidRPr="00492A9A">
        <w:rPr>
          <w:rFonts w:ascii="Times New Roman" w:hAnsi="Times New Roman"/>
          <w:sz w:val="24"/>
          <w:szCs w:val="24"/>
        </w:rPr>
        <w:t xml:space="preserve"> with the general objects of the Act under which it is made. The </w:t>
      </w:r>
      <w:r>
        <w:rPr>
          <w:rFonts w:ascii="Times New Roman" w:hAnsi="Times New Roman"/>
          <w:sz w:val="24"/>
          <w:szCs w:val="24"/>
        </w:rPr>
        <w:t xml:space="preserve">appointment of members to the </w:t>
      </w:r>
      <w:r w:rsidR="00521256">
        <w:rPr>
          <w:rFonts w:ascii="Times New Roman" w:hAnsi="Times New Roman"/>
          <w:sz w:val="24"/>
          <w:szCs w:val="24"/>
        </w:rPr>
        <w:t>b</w:t>
      </w:r>
      <w:r w:rsidRPr="00492A9A">
        <w:rPr>
          <w:rFonts w:ascii="Times New Roman" w:hAnsi="Times New Roman"/>
          <w:sz w:val="24"/>
          <w:szCs w:val="24"/>
        </w:rPr>
        <w:t xml:space="preserve">oard of the </w:t>
      </w:r>
      <w:r w:rsidR="00521256">
        <w:rPr>
          <w:rFonts w:ascii="Times New Roman" w:hAnsi="Times New Roman"/>
          <w:sz w:val="24"/>
          <w:szCs w:val="24"/>
        </w:rPr>
        <w:t>a</w:t>
      </w:r>
      <w:r w:rsidR="0003263F">
        <w:rPr>
          <w:rFonts w:ascii="Times New Roman" w:hAnsi="Times New Roman"/>
          <w:sz w:val="24"/>
          <w:szCs w:val="24"/>
        </w:rPr>
        <w:t>gency</w:t>
      </w:r>
      <w:r w:rsidRPr="00492A9A">
        <w:rPr>
          <w:rFonts w:ascii="Times New Roman" w:hAnsi="Times New Roman"/>
          <w:sz w:val="24"/>
          <w:szCs w:val="24"/>
        </w:rPr>
        <w:t xml:space="preserve"> is integral to </w:t>
      </w:r>
      <w:r>
        <w:rPr>
          <w:rFonts w:ascii="Times New Roman" w:hAnsi="Times New Roman"/>
          <w:sz w:val="24"/>
          <w:szCs w:val="24"/>
        </w:rPr>
        <w:t xml:space="preserve">its </w:t>
      </w:r>
      <w:r w:rsidRPr="00575BE1">
        <w:rPr>
          <w:rFonts w:ascii="Times New Roman" w:hAnsi="Times New Roman"/>
          <w:sz w:val="24"/>
          <w:szCs w:val="24"/>
        </w:rPr>
        <w:t>operation and achieving the objects of the Act.</w:t>
      </w:r>
    </w:p>
    <w:p w14:paraId="772DEE02" w14:textId="77777777" w:rsidR="00685A3D" w:rsidRPr="00575BE1" w:rsidRDefault="00685A3D" w:rsidP="00685A3D">
      <w:pPr>
        <w:pStyle w:val="ListParagraph"/>
        <w:numPr>
          <w:ilvl w:val="0"/>
          <w:numId w:val="1"/>
        </w:numPr>
        <w:rPr>
          <w:rFonts w:ascii="Times New Roman" w:hAnsi="Times New Roman"/>
          <w:sz w:val="24"/>
          <w:szCs w:val="24"/>
        </w:rPr>
      </w:pPr>
      <w:r w:rsidRPr="00575BE1">
        <w:rPr>
          <w:rFonts w:ascii="Times New Roman" w:hAnsi="Times New Roman"/>
          <w:sz w:val="24"/>
          <w:szCs w:val="24"/>
        </w:rPr>
        <w:t>Does not unduly trespass on rights previously established by law.</w:t>
      </w:r>
    </w:p>
    <w:p w14:paraId="4292A647" w14:textId="63A650E2" w:rsidR="000C572D" w:rsidRPr="000C572D" w:rsidRDefault="00685A3D" w:rsidP="00685A3D">
      <w:pPr>
        <w:pStyle w:val="ListParagraph"/>
        <w:numPr>
          <w:ilvl w:val="0"/>
          <w:numId w:val="1"/>
        </w:numPr>
        <w:rPr>
          <w:b/>
          <w:bCs/>
          <w:szCs w:val="24"/>
          <w:lang w:eastAsia="en-AU"/>
        </w:rPr>
      </w:pPr>
      <w:r w:rsidRPr="00575BE1">
        <w:rPr>
          <w:rFonts w:ascii="Times New Roman" w:hAnsi="Times New Roman"/>
          <w:sz w:val="24"/>
          <w:szCs w:val="24"/>
        </w:rPr>
        <w:t>Does not make rights, liberties and/or obligations unduly depended upon non</w:t>
      </w:r>
      <w:r w:rsidRPr="00575BE1">
        <w:rPr>
          <w:rFonts w:ascii="Times New Roman" w:hAnsi="Times New Roman"/>
          <w:sz w:val="24"/>
          <w:szCs w:val="24"/>
        </w:rPr>
        <w:noBreakHyphen/>
        <w:t xml:space="preserve">reviewable decisions. The instrument enables formal appointment of a member to the </w:t>
      </w:r>
      <w:r w:rsidR="00521256">
        <w:rPr>
          <w:rFonts w:ascii="Times New Roman" w:hAnsi="Times New Roman"/>
          <w:sz w:val="24"/>
          <w:szCs w:val="24"/>
        </w:rPr>
        <w:t>a</w:t>
      </w:r>
      <w:r w:rsidR="0003263F">
        <w:rPr>
          <w:rFonts w:ascii="Times New Roman" w:hAnsi="Times New Roman"/>
          <w:sz w:val="24"/>
          <w:szCs w:val="24"/>
        </w:rPr>
        <w:t>gency</w:t>
      </w:r>
      <w:r w:rsidRPr="00575BE1">
        <w:rPr>
          <w:rFonts w:ascii="Times New Roman" w:hAnsi="Times New Roman"/>
          <w:sz w:val="24"/>
          <w:szCs w:val="24"/>
        </w:rPr>
        <w:t xml:space="preserve"> </w:t>
      </w:r>
      <w:r w:rsidR="00521256">
        <w:rPr>
          <w:rFonts w:ascii="Times New Roman" w:hAnsi="Times New Roman"/>
          <w:sz w:val="24"/>
          <w:szCs w:val="24"/>
        </w:rPr>
        <w:t>b</w:t>
      </w:r>
      <w:r w:rsidRPr="00575BE1">
        <w:rPr>
          <w:rFonts w:ascii="Times New Roman" w:hAnsi="Times New Roman"/>
          <w:sz w:val="24"/>
          <w:szCs w:val="24"/>
        </w:rPr>
        <w:t>oard.</w:t>
      </w:r>
    </w:p>
    <w:p w14:paraId="2788BD4F" w14:textId="25B61000" w:rsidR="003D5609" w:rsidRDefault="003D5609">
      <w:pPr>
        <w:spacing w:after="160" w:line="259" w:lineRule="auto"/>
        <w:rPr>
          <w:b/>
          <w:bCs/>
          <w:szCs w:val="24"/>
          <w:lang w:eastAsia="en-AU"/>
        </w:rPr>
      </w:pPr>
    </w:p>
    <w:sectPr w:rsidR="003D5609" w:rsidSect="004C4A40">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00F4C" w14:textId="77777777" w:rsidR="00E72A2B" w:rsidRDefault="00E72A2B">
      <w:r>
        <w:separator/>
      </w:r>
    </w:p>
  </w:endnote>
  <w:endnote w:type="continuationSeparator" w:id="0">
    <w:p w14:paraId="2A0493A4" w14:textId="77777777" w:rsidR="00E72A2B" w:rsidRDefault="00E7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1B2E" w14:textId="77777777" w:rsidR="006C02E1" w:rsidRDefault="006C0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A7C2" w14:textId="71E5AC46" w:rsidR="001E61DB" w:rsidRDefault="00685A3D">
    <w:pPr>
      <w:pStyle w:val="Footer"/>
      <w:jc w:val="center"/>
    </w:pPr>
    <w:r>
      <w:fldChar w:fldCharType="begin"/>
    </w:r>
    <w:r>
      <w:instrText xml:space="preserve"> PAGE   \* MERGEFORMAT </w:instrText>
    </w:r>
    <w:r>
      <w:fldChar w:fldCharType="separate"/>
    </w:r>
    <w:r>
      <w:rPr>
        <w:noProof/>
      </w:rPr>
      <w:t>1</w:t>
    </w:r>
    <w:r>
      <w:fldChar w:fldCharType="end"/>
    </w:r>
  </w:p>
  <w:p w14:paraId="130EEDCC" w14:textId="3EC56208" w:rsidR="006C02E1" w:rsidRPr="006C02E1" w:rsidRDefault="006C02E1" w:rsidP="006C02E1">
    <w:pPr>
      <w:pStyle w:val="Footer"/>
      <w:jc w:val="center"/>
      <w:rPr>
        <w:rFonts w:cs="Arial"/>
        <w:sz w:val="14"/>
      </w:rPr>
    </w:pPr>
    <w:r w:rsidRPr="006C02E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F772" w14:textId="77777777" w:rsidR="006C02E1" w:rsidRDefault="006C0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0E04F" w14:textId="77777777" w:rsidR="00E72A2B" w:rsidRDefault="00E72A2B">
      <w:r>
        <w:separator/>
      </w:r>
    </w:p>
  </w:footnote>
  <w:footnote w:type="continuationSeparator" w:id="0">
    <w:p w14:paraId="5BBA531D" w14:textId="77777777" w:rsidR="00E72A2B" w:rsidRDefault="00E7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4249" w14:textId="77777777" w:rsidR="006C02E1" w:rsidRDefault="006C0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71FE" w14:textId="77777777" w:rsidR="006C02E1" w:rsidRDefault="006C02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8910" w14:textId="77777777" w:rsidR="006C02E1" w:rsidRDefault="006C0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52A"/>
    <w:multiLevelType w:val="hybridMultilevel"/>
    <w:tmpl w:val="806E64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0BD0BC6"/>
    <w:multiLevelType w:val="hybridMultilevel"/>
    <w:tmpl w:val="E8A21048"/>
    <w:lvl w:ilvl="0" w:tplc="D6728A2A">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1834487618">
    <w:abstractNumId w:val="1"/>
  </w:num>
  <w:num w:numId="2" w16cid:durableId="62682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3D"/>
    <w:rsid w:val="00001693"/>
    <w:rsid w:val="000041AA"/>
    <w:rsid w:val="00006141"/>
    <w:rsid w:val="0003263F"/>
    <w:rsid w:val="00074447"/>
    <w:rsid w:val="00091FB9"/>
    <w:rsid w:val="000C572D"/>
    <w:rsid w:val="000D506F"/>
    <w:rsid w:val="000D668C"/>
    <w:rsid w:val="000F1D42"/>
    <w:rsid w:val="000F65E5"/>
    <w:rsid w:val="00104EEF"/>
    <w:rsid w:val="001A7D3F"/>
    <w:rsid w:val="001B7536"/>
    <w:rsid w:val="001C2293"/>
    <w:rsid w:val="001F5D1F"/>
    <w:rsid w:val="002042B1"/>
    <w:rsid w:val="002502AE"/>
    <w:rsid w:val="002802B1"/>
    <w:rsid w:val="0029749F"/>
    <w:rsid w:val="002E1078"/>
    <w:rsid w:val="0032773A"/>
    <w:rsid w:val="00333736"/>
    <w:rsid w:val="003477E4"/>
    <w:rsid w:val="00350F09"/>
    <w:rsid w:val="00373EE4"/>
    <w:rsid w:val="00382FD6"/>
    <w:rsid w:val="00392652"/>
    <w:rsid w:val="003A62A5"/>
    <w:rsid w:val="003C2FD5"/>
    <w:rsid w:val="003D5609"/>
    <w:rsid w:val="003E2AA1"/>
    <w:rsid w:val="00426628"/>
    <w:rsid w:val="00452020"/>
    <w:rsid w:val="00483897"/>
    <w:rsid w:val="00492C69"/>
    <w:rsid w:val="004B1228"/>
    <w:rsid w:val="004B3C83"/>
    <w:rsid w:val="004E43B7"/>
    <w:rsid w:val="00502A74"/>
    <w:rsid w:val="00516B74"/>
    <w:rsid w:val="00521256"/>
    <w:rsid w:val="00547D30"/>
    <w:rsid w:val="005A020A"/>
    <w:rsid w:val="005F4F6A"/>
    <w:rsid w:val="006061E2"/>
    <w:rsid w:val="006218B1"/>
    <w:rsid w:val="0062466D"/>
    <w:rsid w:val="0062489B"/>
    <w:rsid w:val="0063207F"/>
    <w:rsid w:val="00685A3D"/>
    <w:rsid w:val="006A0DAA"/>
    <w:rsid w:val="006B08E4"/>
    <w:rsid w:val="006C02E1"/>
    <w:rsid w:val="006E1797"/>
    <w:rsid w:val="006E3ADE"/>
    <w:rsid w:val="006E6162"/>
    <w:rsid w:val="00722ABC"/>
    <w:rsid w:val="00736E10"/>
    <w:rsid w:val="00745DF1"/>
    <w:rsid w:val="007636A7"/>
    <w:rsid w:val="007B0E74"/>
    <w:rsid w:val="007D06F2"/>
    <w:rsid w:val="007D11F4"/>
    <w:rsid w:val="008274D1"/>
    <w:rsid w:val="00895FA8"/>
    <w:rsid w:val="008C0A75"/>
    <w:rsid w:val="008D1591"/>
    <w:rsid w:val="0092516E"/>
    <w:rsid w:val="00956859"/>
    <w:rsid w:val="00963177"/>
    <w:rsid w:val="00963C6D"/>
    <w:rsid w:val="009816CD"/>
    <w:rsid w:val="009A3006"/>
    <w:rsid w:val="009B617C"/>
    <w:rsid w:val="009F5371"/>
    <w:rsid w:val="00A10ABB"/>
    <w:rsid w:val="00A42DA6"/>
    <w:rsid w:val="00A507D6"/>
    <w:rsid w:val="00A541D6"/>
    <w:rsid w:val="00A8521F"/>
    <w:rsid w:val="00A8796E"/>
    <w:rsid w:val="00AB4CAD"/>
    <w:rsid w:val="00AD19D1"/>
    <w:rsid w:val="00AD7A05"/>
    <w:rsid w:val="00AE0F7C"/>
    <w:rsid w:val="00AF467C"/>
    <w:rsid w:val="00B35577"/>
    <w:rsid w:val="00B61859"/>
    <w:rsid w:val="00B62AC0"/>
    <w:rsid w:val="00BB24C8"/>
    <w:rsid w:val="00BC2B90"/>
    <w:rsid w:val="00C02B1F"/>
    <w:rsid w:val="00CA7A18"/>
    <w:rsid w:val="00CB2493"/>
    <w:rsid w:val="00CD0D70"/>
    <w:rsid w:val="00D31FA7"/>
    <w:rsid w:val="00D4119D"/>
    <w:rsid w:val="00D45BC9"/>
    <w:rsid w:val="00D74EAD"/>
    <w:rsid w:val="00D7552A"/>
    <w:rsid w:val="00D97550"/>
    <w:rsid w:val="00DE4E38"/>
    <w:rsid w:val="00E03608"/>
    <w:rsid w:val="00E05865"/>
    <w:rsid w:val="00E6605B"/>
    <w:rsid w:val="00E72A2B"/>
    <w:rsid w:val="00EA13EF"/>
    <w:rsid w:val="00EF66A4"/>
    <w:rsid w:val="00F017FA"/>
    <w:rsid w:val="00F3392B"/>
    <w:rsid w:val="00F94CE3"/>
    <w:rsid w:val="00FC4E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47408"/>
  <w15:chartTrackingRefBased/>
  <w15:docId w15:val="{6F1BAD7B-5319-4494-81F8-C72F8BC2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A3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85A3D"/>
    <w:pPr>
      <w:tabs>
        <w:tab w:val="left" w:pos="2400"/>
        <w:tab w:val="left" w:pos="2880"/>
      </w:tabs>
      <w:spacing w:before="700" w:after="100"/>
      <w:outlineLvl w:val="0"/>
    </w:pPr>
    <w:rPr>
      <w:rFonts w:ascii="Arial" w:hAnsi="Arial"/>
      <w:b/>
      <w:sz w:val="40"/>
    </w:rPr>
  </w:style>
  <w:style w:type="paragraph" w:styleId="Heading2">
    <w:name w:val="heading 2"/>
    <w:basedOn w:val="Normal"/>
    <w:next w:val="Normal"/>
    <w:link w:val="Heading2Char"/>
    <w:uiPriority w:val="9"/>
    <w:qFormat/>
    <w:rsid w:val="00685A3D"/>
    <w:pPr>
      <w:spacing w:before="240" w:after="60"/>
      <w:outlineLvl w:val="1"/>
    </w:pPr>
    <w:rPr>
      <w:rFonts w:ascii="Arial" w:hAnsi="Arial" w:cs="Arial"/>
      <w:b/>
      <w:bCs/>
    </w:rPr>
  </w:style>
  <w:style w:type="paragraph" w:styleId="Heading3">
    <w:name w:val="heading 3"/>
    <w:basedOn w:val="Normal"/>
    <w:next w:val="Normal"/>
    <w:link w:val="Heading3Char"/>
    <w:uiPriority w:val="9"/>
    <w:qFormat/>
    <w:rsid w:val="00685A3D"/>
    <w:pPr>
      <w:spacing w:before="240" w:after="60"/>
      <w:ind w:left="720" w:hanging="72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A3D"/>
    <w:rPr>
      <w:rFonts w:ascii="Arial" w:eastAsia="Times New Roman" w:hAnsi="Arial" w:cs="Times New Roman"/>
      <w:b/>
      <w:sz w:val="40"/>
      <w:szCs w:val="20"/>
    </w:rPr>
  </w:style>
  <w:style w:type="character" w:customStyle="1" w:styleId="Heading2Char">
    <w:name w:val="Heading 2 Char"/>
    <w:basedOn w:val="DefaultParagraphFont"/>
    <w:link w:val="Heading2"/>
    <w:uiPriority w:val="9"/>
    <w:rsid w:val="00685A3D"/>
    <w:rPr>
      <w:rFonts w:ascii="Arial" w:eastAsia="Times New Roman" w:hAnsi="Arial" w:cs="Arial"/>
      <w:b/>
      <w:bCs/>
      <w:sz w:val="24"/>
      <w:szCs w:val="20"/>
    </w:rPr>
  </w:style>
  <w:style w:type="character" w:customStyle="1" w:styleId="Heading3Char">
    <w:name w:val="Heading 3 Char"/>
    <w:basedOn w:val="DefaultParagraphFont"/>
    <w:link w:val="Heading3"/>
    <w:uiPriority w:val="9"/>
    <w:rsid w:val="00685A3D"/>
    <w:rPr>
      <w:rFonts w:ascii="Arial" w:eastAsia="Times New Roman" w:hAnsi="Arial" w:cs="Arial"/>
      <w:b/>
      <w:bCs/>
      <w:sz w:val="24"/>
      <w:szCs w:val="20"/>
    </w:rPr>
  </w:style>
  <w:style w:type="paragraph" w:customStyle="1" w:styleId="N-line3">
    <w:name w:val="N-line3"/>
    <w:basedOn w:val="Normal"/>
    <w:next w:val="Normal"/>
    <w:rsid w:val="00685A3D"/>
    <w:pPr>
      <w:pBdr>
        <w:bottom w:val="single" w:sz="12" w:space="1" w:color="auto"/>
      </w:pBdr>
      <w:jc w:val="both"/>
    </w:pPr>
  </w:style>
  <w:style w:type="paragraph" w:customStyle="1" w:styleId="madeunder">
    <w:name w:val="made under"/>
    <w:basedOn w:val="Normal"/>
    <w:rsid w:val="00685A3D"/>
    <w:pPr>
      <w:spacing w:before="180" w:after="60"/>
      <w:jc w:val="both"/>
    </w:pPr>
  </w:style>
  <w:style w:type="paragraph" w:customStyle="1" w:styleId="CoverActName">
    <w:name w:val="CoverActName"/>
    <w:basedOn w:val="Normal"/>
    <w:rsid w:val="00685A3D"/>
    <w:pPr>
      <w:tabs>
        <w:tab w:val="left" w:pos="2600"/>
      </w:tabs>
      <w:spacing w:before="200" w:after="60"/>
      <w:jc w:val="both"/>
    </w:pPr>
    <w:rPr>
      <w:rFonts w:ascii="Arial" w:hAnsi="Arial"/>
      <w:b/>
    </w:rPr>
  </w:style>
  <w:style w:type="paragraph" w:styleId="ListParagraph">
    <w:name w:val="List Paragraph"/>
    <w:basedOn w:val="Normal"/>
    <w:uiPriority w:val="34"/>
    <w:qFormat/>
    <w:rsid w:val="00685A3D"/>
    <w:pPr>
      <w:spacing w:after="160" w:line="259" w:lineRule="auto"/>
      <w:ind w:left="720"/>
      <w:contextualSpacing/>
    </w:pPr>
    <w:rPr>
      <w:rFonts w:asciiTheme="minorHAnsi" w:hAnsiTheme="minorHAnsi"/>
      <w:sz w:val="22"/>
      <w:szCs w:val="22"/>
    </w:rPr>
  </w:style>
  <w:style w:type="paragraph" w:customStyle="1" w:styleId="Default">
    <w:name w:val="Default"/>
    <w:rsid w:val="00685A3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Footer">
    <w:name w:val="footer"/>
    <w:basedOn w:val="Normal"/>
    <w:link w:val="FooterChar"/>
    <w:uiPriority w:val="99"/>
    <w:rsid w:val="00685A3D"/>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rsid w:val="00685A3D"/>
    <w:rPr>
      <w:rFonts w:ascii="Arial" w:eastAsia="Times New Roman" w:hAnsi="Arial" w:cs="Times New Roman"/>
      <w:sz w:val="18"/>
      <w:szCs w:val="20"/>
    </w:rPr>
  </w:style>
  <w:style w:type="paragraph" w:styleId="Header">
    <w:name w:val="header"/>
    <w:basedOn w:val="Normal"/>
    <w:link w:val="HeaderChar"/>
    <w:uiPriority w:val="99"/>
    <w:unhideWhenUsed/>
    <w:rsid w:val="00D4119D"/>
    <w:pPr>
      <w:tabs>
        <w:tab w:val="center" w:pos="4513"/>
        <w:tab w:val="right" w:pos="9026"/>
      </w:tabs>
    </w:pPr>
  </w:style>
  <w:style w:type="character" w:customStyle="1" w:styleId="HeaderChar">
    <w:name w:val="Header Char"/>
    <w:basedOn w:val="DefaultParagraphFont"/>
    <w:link w:val="Header"/>
    <w:uiPriority w:val="99"/>
    <w:rsid w:val="00D4119D"/>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6061E2"/>
    <w:rPr>
      <w:sz w:val="16"/>
      <w:szCs w:val="16"/>
    </w:rPr>
  </w:style>
  <w:style w:type="paragraph" w:styleId="CommentText">
    <w:name w:val="annotation text"/>
    <w:basedOn w:val="Normal"/>
    <w:link w:val="CommentTextChar"/>
    <w:uiPriority w:val="99"/>
    <w:semiHidden/>
    <w:unhideWhenUsed/>
    <w:rsid w:val="006061E2"/>
    <w:rPr>
      <w:sz w:val="20"/>
    </w:rPr>
  </w:style>
  <w:style w:type="character" w:customStyle="1" w:styleId="CommentTextChar">
    <w:name w:val="Comment Text Char"/>
    <w:basedOn w:val="DefaultParagraphFont"/>
    <w:link w:val="CommentText"/>
    <w:uiPriority w:val="99"/>
    <w:semiHidden/>
    <w:rsid w:val="006061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1E2"/>
    <w:rPr>
      <w:b/>
      <w:bCs/>
    </w:rPr>
  </w:style>
  <w:style w:type="character" w:customStyle="1" w:styleId="CommentSubjectChar">
    <w:name w:val="Comment Subject Char"/>
    <w:basedOn w:val="CommentTextChar"/>
    <w:link w:val="CommentSubject"/>
    <w:uiPriority w:val="99"/>
    <w:semiHidden/>
    <w:rsid w:val="006061E2"/>
    <w:rPr>
      <w:rFonts w:ascii="Times New Roman" w:eastAsia="Times New Roman" w:hAnsi="Times New Roman" w:cs="Times New Roman"/>
      <w:b/>
      <w:bCs/>
      <w:sz w:val="20"/>
      <w:szCs w:val="20"/>
    </w:rPr>
  </w:style>
  <w:style w:type="paragraph" w:styleId="Revision">
    <w:name w:val="Revision"/>
    <w:hidden/>
    <w:uiPriority w:val="99"/>
    <w:semiHidden/>
    <w:rsid w:val="002042B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3806</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Wrigley, Bronwyn</dc:creator>
  <cp:keywords/>
  <dc:description/>
  <cp:lastModifiedBy>PCODCS</cp:lastModifiedBy>
  <cp:revision>4</cp:revision>
  <dcterms:created xsi:type="dcterms:W3CDTF">2023-06-20T05:10:00Z</dcterms:created>
  <dcterms:modified xsi:type="dcterms:W3CDTF">2023-06-20T05:10:00Z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A41154575</vt:lpwstr>
  </property>
  <property fmtid="{D5CDD505-2E9C-101B-9397-08002B2CF9AE}" pid="4" name="Objective-Title">
    <vt:lpwstr>DI2023-131 Explanatory Statement -  Jennifer Cunich</vt:lpwstr>
  </property>
  <property fmtid="{D5CDD505-2E9C-101B-9397-08002B2CF9AE}" pid="5" name="Objective-Comment">
    <vt:lpwstr/>
  </property>
  <property fmtid="{D5CDD505-2E9C-101B-9397-08002B2CF9AE}" pid="6" name="Objective-CreationStamp">
    <vt:filetime>2023-02-28T05:19:50Z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2023-06-20T02:45:47Z</vt:filetime>
  </property>
  <property fmtid="{D5CDD505-2E9C-101B-9397-08002B2CF9AE}" pid="10" name="Objective-ModificationStamp">
    <vt:filetime>2023-06-20T02:45:47Z</vt:filetime>
  </property>
  <property fmtid="{D5CDD505-2E9C-101B-9397-08002B2CF9AE}" pid="11" name="Objective-Owner">
    <vt:lpwstr>Julia Forner</vt:lpwstr>
  </property>
  <property fmtid="{D5CDD505-2E9C-101B-9397-08002B2CF9AE}" pid="12" name="Objective-Path">
    <vt:lpwstr>Whole of ACT Government:EPSDD - Environment Planning and Sustainable Development Directorate:07. Ministerial, Cabinet and Government Relations:05. Cabinet:02. ACTIVE Cabinet Submissions:00. Waiting on Decision:23/230 - Cabinet - Suburban Land Agency Board Appointment - April 2023:03. Post-Cabinet Documentation:02. Appointment Letters &amp; Instruments:</vt:lpwstr>
  </property>
  <property fmtid="{D5CDD505-2E9C-101B-9397-08002B2CF9AE}" pid="13" name="Objective-Parent">
    <vt:lpwstr>02. Appointment Letters &amp; Instruments</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1-2023/10389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SLA</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ies>
</file>