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5396452B" w:rsidR="00BB387E" w:rsidRPr="00BB387E" w:rsidRDefault="00414BA9"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643391">
        <w:rPr>
          <w:rFonts w:ascii="Arial" w:hAnsi="Arial" w:cs="Arial"/>
          <w:b/>
          <w:bCs/>
          <w:sz w:val="24"/>
          <w:szCs w:val="24"/>
        </w:rPr>
        <w:t>3</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7D5F80E9" w:rsidR="00741C4A" w:rsidRPr="00741C4A" w:rsidRDefault="00121967" w:rsidP="00741C4A">
      <w:pPr>
        <w:spacing w:after="0"/>
        <w:jc w:val="center"/>
        <w:rPr>
          <w:rFonts w:ascii="Arial" w:hAnsi="Arial" w:cs="Arial"/>
          <w:b/>
          <w:bCs/>
          <w:sz w:val="24"/>
          <w:szCs w:val="24"/>
        </w:rPr>
      </w:pPr>
      <w:r>
        <w:rPr>
          <w:rFonts w:ascii="Arial" w:hAnsi="Arial" w:cs="Arial"/>
          <w:b/>
          <w:bCs/>
          <w:sz w:val="24"/>
          <w:szCs w:val="24"/>
        </w:rPr>
        <w:t>COURTS LEGISLATION AMENDMENT</w:t>
      </w:r>
      <w:r w:rsidR="006D7F01" w:rsidRPr="00741C4A">
        <w:rPr>
          <w:rFonts w:ascii="Arial" w:hAnsi="Arial" w:cs="Arial"/>
          <w:b/>
          <w:bCs/>
          <w:sz w:val="24"/>
          <w:szCs w:val="24"/>
        </w:rPr>
        <w:t xml:space="preserve"> </w:t>
      </w:r>
      <w:r w:rsidR="00741C4A" w:rsidRPr="00741C4A">
        <w:rPr>
          <w:rFonts w:ascii="Arial" w:hAnsi="Arial" w:cs="Arial"/>
          <w:b/>
          <w:bCs/>
          <w:sz w:val="24"/>
          <w:szCs w:val="24"/>
        </w:rPr>
        <w:t xml:space="preserve">BILL </w:t>
      </w:r>
      <w:r w:rsidR="00414BA9" w:rsidRPr="00741C4A">
        <w:rPr>
          <w:rFonts w:ascii="Arial" w:hAnsi="Arial" w:cs="Arial"/>
          <w:b/>
          <w:bCs/>
          <w:sz w:val="24"/>
          <w:szCs w:val="24"/>
        </w:rPr>
        <w:t>20</w:t>
      </w:r>
      <w:r w:rsidR="00414BA9">
        <w:rPr>
          <w:rFonts w:ascii="Arial" w:hAnsi="Arial" w:cs="Arial"/>
          <w:b/>
          <w:bCs/>
          <w:sz w:val="24"/>
          <w:szCs w:val="24"/>
        </w:rPr>
        <w:t>2</w:t>
      </w:r>
      <w:r w:rsidR="00643391">
        <w:rPr>
          <w:rFonts w:ascii="Arial" w:hAnsi="Arial" w:cs="Arial"/>
          <w:b/>
          <w:bCs/>
          <w:sz w:val="24"/>
          <w:szCs w:val="24"/>
        </w:rPr>
        <w:t>3</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318A6A43" w:rsidR="00BB387E" w:rsidRDefault="00071A66" w:rsidP="00BB387E">
      <w:pPr>
        <w:spacing w:after="0"/>
        <w:ind w:right="686"/>
        <w:jc w:val="right"/>
        <w:rPr>
          <w:rFonts w:ascii="Arial" w:hAnsi="Arial" w:cs="Arial"/>
          <w:b/>
          <w:bCs/>
          <w:sz w:val="24"/>
          <w:szCs w:val="24"/>
        </w:rPr>
      </w:pPr>
      <w:r>
        <w:rPr>
          <w:rFonts w:ascii="Arial" w:hAnsi="Arial" w:cs="Arial"/>
          <w:b/>
          <w:bCs/>
          <w:sz w:val="24"/>
          <w:szCs w:val="24"/>
        </w:rPr>
        <w:t xml:space="preserve">Shane Rattenbury </w:t>
      </w:r>
      <w:r w:rsidR="00E954A1">
        <w:rPr>
          <w:rFonts w:ascii="Arial" w:hAnsi="Arial" w:cs="Arial"/>
          <w:b/>
          <w:bCs/>
          <w:sz w:val="24"/>
          <w:szCs w:val="24"/>
        </w:rPr>
        <w:t>MLA</w:t>
      </w:r>
    </w:p>
    <w:p w14:paraId="261B534D" w14:textId="2D91C419" w:rsidR="00B5097A" w:rsidRPr="00BB387E" w:rsidRDefault="00B5097A" w:rsidP="00BB387E">
      <w:pPr>
        <w:spacing w:after="0"/>
        <w:ind w:right="686"/>
        <w:jc w:val="right"/>
        <w:rPr>
          <w:rFonts w:ascii="Arial" w:hAnsi="Arial" w:cs="Arial"/>
          <w:b/>
          <w:bCs/>
          <w:sz w:val="24"/>
          <w:szCs w:val="24"/>
        </w:rPr>
      </w:pPr>
      <w:r>
        <w:rPr>
          <w:rFonts w:ascii="Arial" w:hAnsi="Arial" w:cs="Arial"/>
          <w:b/>
          <w:bCs/>
          <w:sz w:val="24"/>
          <w:szCs w:val="24"/>
        </w:rPr>
        <w:t xml:space="preserve">Attorney-General </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068E1E08" w:rsidR="00ED3B77" w:rsidRPr="00BB387E" w:rsidRDefault="00073F18" w:rsidP="008C225D">
      <w:pPr>
        <w:pStyle w:val="Heading1"/>
        <w:jc w:val="center"/>
      </w:pPr>
      <w:r>
        <w:lastRenderedPageBreak/>
        <w:t xml:space="preserve">COURTS LEGISLATION AMENDMENT </w:t>
      </w:r>
      <w:r w:rsidR="00ED3B77" w:rsidRPr="00BB387E">
        <w:t xml:space="preserve">BILL </w:t>
      </w:r>
      <w:r w:rsidR="005B7158" w:rsidRPr="00BB387E">
        <w:t>20</w:t>
      </w:r>
      <w:r w:rsidR="005B7158">
        <w:t>2</w:t>
      </w:r>
      <w:r w:rsidR="00643391">
        <w:t>3</w:t>
      </w:r>
    </w:p>
    <w:p w14:paraId="2612AE1F" w14:textId="77777777" w:rsidR="00834FC9" w:rsidRDefault="00834FC9" w:rsidP="007F3D56">
      <w:pPr>
        <w:spacing w:after="0"/>
        <w:contextualSpacing/>
        <w:rPr>
          <w:rFonts w:ascii="Arial" w:hAnsi="Arial" w:cs="Arial"/>
          <w:bCs/>
          <w:sz w:val="24"/>
          <w:szCs w:val="24"/>
        </w:rPr>
      </w:pPr>
    </w:p>
    <w:p w14:paraId="1C55190C" w14:textId="7BF71BEE"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00643391">
        <w:rPr>
          <w:rFonts w:ascii="Arial" w:hAnsi="Arial" w:cs="Arial"/>
          <w:b/>
          <w:sz w:val="24"/>
          <w:szCs w:val="24"/>
        </w:rPr>
        <w:t>is</w:t>
      </w:r>
      <w:r w:rsidRPr="00834FC9">
        <w:rPr>
          <w:rFonts w:ascii="Arial" w:hAnsi="Arial" w:cs="Arial"/>
          <w:bCs/>
          <w:sz w:val="24"/>
          <w:szCs w:val="24"/>
        </w:rPr>
        <w:t xml:space="preserve"> </w:t>
      </w:r>
      <w:r w:rsidRPr="00732142">
        <w:rPr>
          <w:rFonts w:ascii="Arial" w:hAnsi="Arial" w:cs="Arial"/>
          <w:b/>
          <w:sz w:val="24"/>
          <w:szCs w:val="24"/>
        </w:rPr>
        <w:t>not</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59279090" w14:textId="00FBC009" w:rsidR="007B6A78" w:rsidRDefault="00643391" w:rsidP="004D0E75">
      <w:pPr>
        <w:spacing w:after="120"/>
        <w:ind w:right="-45"/>
        <w:rPr>
          <w:rFonts w:ascii="Arial" w:hAnsi="Arial" w:cs="Arial"/>
          <w:iCs/>
          <w:sz w:val="24"/>
          <w:szCs w:val="24"/>
        </w:rPr>
      </w:pPr>
      <w:r w:rsidRPr="00643391">
        <w:rPr>
          <w:rFonts w:ascii="Arial" w:hAnsi="Arial" w:cs="Arial"/>
          <w:iCs/>
          <w:sz w:val="24"/>
          <w:szCs w:val="24"/>
        </w:rPr>
        <w:t>The Courts Legislation Amendment Bill 2023</w:t>
      </w:r>
      <w:r w:rsidR="00585405">
        <w:rPr>
          <w:rFonts w:ascii="Arial" w:hAnsi="Arial" w:cs="Arial"/>
          <w:iCs/>
          <w:sz w:val="24"/>
          <w:szCs w:val="24"/>
        </w:rPr>
        <w:t xml:space="preserve"> (the Bill) will introduce a range of </w:t>
      </w:r>
      <w:r w:rsidR="00781DEE">
        <w:rPr>
          <w:rFonts w:ascii="Arial" w:hAnsi="Arial" w:cs="Arial"/>
          <w:iCs/>
          <w:sz w:val="24"/>
          <w:szCs w:val="24"/>
        </w:rPr>
        <w:t>changes</w:t>
      </w:r>
      <w:r w:rsidR="00585405">
        <w:rPr>
          <w:rFonts w:ascii="Arial" w:hAnsi="Arial" w:cs="Arial"/>
          <w:iCs/>
          <w:sz w:val="24"/>
          <w:szCs w:val="24"/>
        </w:rPr>
        <w:t xml:space="preserve"> to courts legislation. The </w:t>
      </w:r>
      <w:r w:rsidR="00173CE7">
        <w:rPr>
          <w:rFonts w:ascii="Arial" w:hAnsi="Arial" w:cs="Arial"/>
          <w:iCs/>
          <w:sz w:val="24"/>
          <w:szCs w:val="24"/>
        </w:rPr>
        <w:t>amendments</w:t>
      </w:r>
      <w:r w:rsidRPr="00643391">
        <w:rPr>
          <w:rFonts w:ascii="Arial" w:hAnsi="Arial" w:cs="Arial"/>
          <w:iCs/>
          <w:sz w:val="24"/>
          <w:szCs w:val="24"/>
        </w:rPr>
        <w:t xml:space="preserve"> </w:t>
      </w:r>
      <w:r w:rsidR="00585405">
        <w:rPr>
          <w:rFonts w:ascii="Arial" w:hAnsi="Arial" w:cs="Arial"/>
          <w:iCs/>
          <w:sz w:val="24"/>
          <w:szCs w:val="24"/>
        </w:rPr>
        <w:t>will</w:t>
      </w:r>
      <w:r w:rsidRPr="00643391">
        <w:rPr>
          <w:rFonts w:ascii="Arial" w:hAnsi="Arial" w:cs="Arial"/>
          <w:iCs/>
          <w:sz w:val="24"/>
          <w:szCs w:val="24"/>
        </w:rPr>
        <w:t xml:space="preserve"> improve</w:t>
      </w:r>
      <w:r w:rsidR="00173CE7">
        <w:rPr>
          <w:rFonts w:ascii="Arial" w:hAnsi="Arial" w:cs="Arial"/>
          <w:iCs/>
          <w:sz w:val="24"/>
          <w:szCs w:val="24"/>
        </w:rPr>
        <w:t xml:space="preserve"> the</w:t>
      </w:r>
      <w:r w:rsidR="00585405">
        <w:rPr>
          <w:rFonts w:ascii="Arial" w:hAnsi="Arial" w:cs="Arial"/>
          <w:iCs/>
          <w:sz w:val="24"/>
          <w:szCs w:val="24"/>
        </w:rPr>
        <w:t xml:space="preserve"> </w:t>
      </w:r>
      <w:r w:rsidRPr="00643391">
        <w:rPr>
          <w:rFonts w:ascii="Arial" w:hAnsi="Arial" w:cs="Arial"/>
          <w:iCs/>
          <w:sz w:val="24"/>
          <w:szCs w:val="24"/>
        </w:rPr>
        <w:t xml:space="preserve">efficiency of ACT </w:t>
      </w:r>
      <w:r w:rsidR="00F02C3D">
        <w:rPr>
          <w:rFonts w:ascii="Arial" w:hAnsi="Arial" w:cs="Arial"/>
          <w:iCs/>
          <w:sz w:val="24"/>
          <w:szCs w:val="24"/>
        </w:rPr>
        <w:t>c</w:t>
      </w:r>
      <w:r w:rsidRPr="00643391">
        <w:rPr>
          <w:rFonts w:ascii="Arial" w:hAnsi="Arial" w:cs="Arial"/>
          <w:iCs/>
          <w:sz w:val="24"/>
          <w:szCs w:val="24"/>
        </w:rPr>
        <w:t xml:space="preserve">ourt operations, </w:t>
      </w:r>
      <w:r w:rsidR="00686CE0">
        <w:rPr>
          <w:rFonts w:ascii="Arial" w:hAnsi="Arial" w:cs="Arial"/>
          <w:iCs/>
          <w:sz w:val="24"/>
          <w:szCs w:val="24"/>
        </w:rPr>
        <w:t xml:space="preserve">organisation </w:t>
      </w:r>
      <w:r w:rsidRPr="00643391">
        <w:rPr>
          <w:rFonts w:ascii="Arial" w:hAnsi="Arial" w:cs="Arial"/>
          <w:iCs/>
          <w:sz w:val="24"/>
          <w:szCs w:val="24"/>
        </w:rPr>
        <w:t>structures, and processes</w:t>
      </w:r>
      <w:r w:rsidR="00585405">
        <w:rPr>
          <w:rFonts w:ascii="Arial" w:hAnsi="Arial" w:cs="Arial"/>
          <w:iCs/>
          <w:sz w:val="24"/>
          <w:szCs w:val="24"/>
        </w:rPr>
        <w:t xml:space="preserve"> to ultimately make it quicker and easier for people to access justice.</w:t>
      </w:r>
    </w:p>
    <w:p w14:paraId="2EF220CC" w14:textId="17FDA330" w:rsidR="00585405" w:rsidRPr="00585405" w:rsidRDefault="00585405" w:rsidP="004D0E75">
      <w:pPr>
        <w:spacing w:after="120"/>
        <w:ind w:right="-45"/>
        <w:rPr>
          <w:rFonts w:ascii="Arial" w:hAnsi="Arial" w:cs="Arial"/>
          <w:b/>
          <w:bCs/>
          <w:iCs/>
          <w:sz w:val="24"/>
          <w:szCs w:val="24"/>
        </w:rPr>
      </w:pPr>
      <w:r w:rsidRPr="00585405">
        <w:rPr>
          <w:rFonts w:ascii="Arial" w:hAnsi="Arial" w:cs="Arial"/>
          <w:b/>
          <w:bCs/>
          <w:iCs/>
          <w:sz w:val="24"/>
          <w:szCs w:val="24"/>
        </w:rPr>
        <w:t>Amendments</w:t>
      </w:r>
    </w:p>
    <w:p w14:paraId="4EF738FB" w14:textId="40978E02" w:rsidR="00F02C3D" w:rsidRDefault="0093599A" w:rsidP="00F02C3D">
      <w:pPr>
        <w:spacing w:before="240" w:after="120"/>
        <w:rPr>
          <w:rFonts w:ascii="Arial" w:hAnsi="Arial" w:cs="Arial"/>
          <w:iCs/>
          <w:sz w:val="24"/>
          <w:szCs w:val="24"/>
        </w:rPr>
      </w:pPr>
      <w:r>
        <w:rPr>
          <w:rFonts w:ascii="Arial" w:hAnsi="Arial" w:cs="Arial"/>
          <w:sz w:val="24"/>
          <w:szCs w:val="24"/>
        </w:rPr>
        <w:t xml:space="preserve">Amendment 1- </w:t>
      </w:r>
      <w:r w:rsidR="00F02C3D" w:rsidRPr="003419E9">
        <w:rPr>
          <w:rFonts w:ascii="Arial" w:hAnsi="Arial" w:cs="Arial"/>
          <w:sz w:val="24"/>
          <w:szCs w:val="24"/>
        </w:rPr>
        <w:t xml:space="preserve">The Bill </w:t>
      </w:r>
      <w:r w:rsidR="00F02C3D" w:rsidRPr="00585405">
        <w:rPr>
          <w:rFonts w:ascii="Arial" w:hAnsi="Arial" w:cs="Arial"/>
          <w:iCs/>
          <w:sz w:val="24"/>
          <w:szCs w:val="24"/>
        </w:rPr>
        <w:t>remove</w:t>
      </w:r>
      <w:r w:rsidR="00F02C3D">
        <w:rPr>
          <w:rFonts w:ascii="Arial" w:hAnsi="Arial" w:cs="Arial"/>
          <w:iCs/>
          <w:sz w:val="24"/>
          <w:szCs w:val="24"/>
        </w:rPr>
        <w:t>s</w:t>
      </w:r>
      <w:r w:rsidR="00F02C3D" w:rsidRPr="00585405">
        <w:rPr>
          <w:rFonts w:ascii="Arial" w:hAnsi="Arial" w:cs="Arial"/>
          <w:iCs/>
          <w:sz w:val="24"/>
          <w:szCs w:val="24"/>
        </w:rPr>
        <w:t xml:space="preserve"> the position of Associate Judge</w:t>
      </w:r>
      <w:r w:rsidR="00F02C3D">
        <w:rPr>
          <w:rFonts w:ascii="Arial" w:hAnsi="Arial" w:cs="Arial"/>
          <w:iCs/>
          <w:sz w:val="24"/>
          <w:szCs w:val="24"/>
        </w:rPr>
        <w:t xml:space="preserve"> under the</w:t>
      </w:r>
      <w:r w:rsidR="00F02C3D" w:rsidRPr="00585405">
        <w:rPr>
          <w:rFonts w:ascii="Arial" w:hAnsi="Arial" w:cs="Arial"/>
          <w:iCs/>
          <w:sz w:val="24"/>
          <w:szCs w:val="24"/>
        </w:rPr>
        <w:t xml:space="preserve"> </w:t>
      </w:r>
      <w:r w:rsidR="00F02C3D" w:rsidRPr="00C815EE">
        <w:rPr>
          <w:rFonts w:ascii="Arial" w:hAnsi="Arial" w:cs="Arial"/>
          <w:i/>
          <w:iCs/>
          <w:sz w:val="24"/>
          <w:szCs w:val="24"/>
        </w:rPr>
        <w:t>Supreme Court Act 1933</w:t>
      </w:r>
      <w:r w:rsidR="008164D3">
        <w:rPr>
          <w:rFonts w:ascii="Arial" w:hAnsi="Arial" w:cs="Arial"/>
          <w:i/>
          <w:iCs/>
          <w:sz w:val="24"/>
          <w:szCs w:val="24"/>
        </w:rPr>
        <w:t xml:space="preserve">, </w:t>
      </w:r>
      <w:r w:rsidR="008164D3" w:rsidRPr="008164D3">
        <w:rPr>
          <w:rFonts w:ascii="Arial" w:hAnsi="Arial" w:cs="Arial"/>
          <w:iCs/>
          <w:sz w:val="24"/>
          <w:szCs w:val="24"/>
        </w:rPr>
        <w:t xml:space="preserve">which will be replaced </w:t>
      </w:r>
      <w:r w:rsidR="000E571C">
        <w:rPr>
          <w:rFonts w:ascii="Arial" w:hAnsi="Arial" w:cs="Arial"/>
          <w:iCs/>
          <w:sz w:val="24"/>
          <w:szCs w:val="24"/>
        </w:rPr>
        <w:t>with the</w:t>
      </w:r>
      <w:r w:rsidR="008164D3">
        <w:rPr>
          <w:rFonts w:ascii="Arial" w:hAnsi="Arial" w:cs="Arial"/>
          <w:iCs/>
          <w:sz w:val="24"/>
          <w:szCs w:val="24"/>
        </w:rPr>
        <w:t xml:space="preserve"> </w:t>
      </w:r>
      <w:r w:rsidR="00AE419E">
        <w:rPr>
          <w:rFonts w:ascii="Arial" w:hAnsi="Arial" w:cs="Arial"/>
          <w:iCs/>
          <w:sz w:val="24"/>
          <w:szCs w:val="24"/>
        </w:rPr>
        <w:t xml:space="preserve">appointment of an additional </w:t>
      </w:r>
      <w:r w:rsidR="00F02C3D" w:rsidRPr="00585405">
        <w:rPr>
          <w:rFonts w:ascii="Arial" w:hAnsi="Arial" w:cs="Arial"/>
          <w:iCs/>
          <w:sz w:val="24"/>
          <w:szCs w:val="24"/>
        </w:rPr>
        <w:t>Resident Judge positio</w:t>
      </w:r>
      <w:r w:rsidR="00F02C3D">
        <w:rPr>
          <w:rFonts w:ascii="Arial" w:hAnsi="Arial" w:cs="Arial"/>
          <w:iCs/>
          <w:sz w:val="24"/>
          <w:szCs w:val="24"/>
        </w:rPr>
        <w:t>n</w:t>
      </w:r>
      <w:r w:rsidR="00F02C3D">
        <w:rPr>
          <w:rFonts w:ascii="Arial" w:hAnsi="Arial" w:cs="Arial"/>
          <w:sz w:val="24"/>
          <w:szCs w:val="24"/>
        </w:rPr>
        <w:t>. This change is intended to promote court efficiencies, provide for greater flexibility in the allocation of court resources, and achieve</w:t>
      </w:r>
      <w:r w:rsidR="00F02C3D" w:rsidRPr="00585405">
        <w:rPr>
          <w:rFonts w:ascii="Arial" w:hAnsi="Arial" w:cs="Arial"/>
          <w:iCs/>
          <w:sz w:val="24"/>
          <w:szCs w:val="24"/>
        </w:rPr>
        <w:t xml:space="preserve"> greater equity within the courts</w:t>
      </w:r>
      <w:r w:rsidR="00F02C3D">
        <w:rPr>
          <w:rFonts w:ascii="Arial" w:hAnsi="Arial" w:cs="Arial"/>
          <w:iCs/>
          <w:sz w:val="24"/>
          <w:szCs w:val="24"/>
        </w:rPr>
        <w:t xml:space="preserve"> in reflection of the evolved scope of the Associate Judge’s scope of duties.</w:t>
      </w:r>
      <w:r w:rsidR="00F02C3D" w:rsidRPr="003419E9">
        <w:rPr>
          <w:rFonts w:ascii="Arial" w:hAnsi="Arial" w:cs="Arial"/>
          <w:iCs/>
          <w:sz w:val="24"/>
          <w:szCs w:val="24"/>
        </w:rPr>
        <w:t xml:space="preserve"> </w:t>
      </w:r>
    </w:p>
    <w:p w14:paraId="72E52139" w14:textId="47CFC2FB" w:rsidR="00F02C3D" w:rsidRDefault="00F02C3D" w:rsidP="00F02C3D">
      <w:pPr>
        <w:spacing w:before="240" w:after="120"/>
        <w:rPr>
          <w:rFonts w:ascii="Arial" w:hAnsi="Arial" w:cs="Arial"/>
          <w:iCs/>
          <w:sz w:val="24"/>
          <w:szCs w:val="24"/>
        </w:rPr>
      </w:pPr>
      <w:r>
        <w:rPr>
          <w:rFonts w:ascii="Arial" w:hAnsi="Arial" w:cs="Arial"/>
          <w:iCs/>
          <w:sz w:val="24"/>
          <w:szCs w:val="24"/>
        </w:rPr>
        <w:t>S</w:t>
      </w:r>
      <w:r w:rsidRPr="00CB3E02">
        <w:rPr>
          <w:rFonts w:ascii="Arial" w:hAnsi="Arial" w:cs="Arial"/>
          <w:iCs/>
          <w:sz w:val="24"/>
          <w:szCs w:val="24"/>
        </w:rPr>
        <w:t>ince the introduction of the</w:t>
      </w:r>
      <w:r>
        <w:rPr>
          <w:rFonts w:ascii="Arial" w:hAnsi="Arial" w:cs="Arial"/>
          <w:iCs/>
          <w:sz w:val="24"/>
          <w:szCs w:val="24"/>
        </w:rPr>
        <w:t xml:space="preserve"> Associate Judge</w:t>
      </w:r>
      <w:r w:rsidRPr="00CB3E02">
        <w:rPr>
          <w:rFonts w:ascii="Arial" w:hAnsi="Arial" w:cs="Arial"/>
          <w:iCs/>
          <w:sz w:val="24"/>
          <w:szCs w:val="24"/>
        </w:rPr>
        <w:t xml:space="preserve"> role</w:t>
      </w:r>
      <w:r>
        <w:rPr>
          <w:rFonts w:ascii="Arial" w:hAnsi="Arial" w:cs="Arial"/>
          <w:iCs/>
          <w:sz w:val="24"/>
          <w:szCs w:val="24"/>
        </w:rPr>
        <w:t xml:space="preserve"> (or ‘Master’ as it was initially called)</w:t>
      </w:r>
      <w:r w:rsidRPr="00CB3E02">
        <w:rPr>
          <w:rFonts w:ascii="Arial" w:hAnsi="Arial" w:cs="Arial"/>
          <w:iCs/>
          <w:sz w:val="24"/>
          <w:szCs w:val="24"/>
        </w:rPr>
        <w:t xml:space="preserve">, </w:t>
      </w:r>
      <w:r>
        <w:rPr>
          <w:rFonts w:ascii="Arial" w:hAnsi="Arial" w:cs="Arial"/>
          <w:iCs/>
          <w:sz w:val="24"/>
          <w:szCs w:val="24"/>
        </w:rPr>
        <w:t>its</w:t>
      </w:r>
      <w:r w:rsidRPr="00CB3E02">
        <w:rPr>
          <w:rFonts w:ascii="Arial" w:hAnsi="Arial" w:cs="Arial"/>
          <w:iCs/>
          <w:sz w:val="24"/>
          <w:szCs w:val="24"/>
        </w:rPr>
        <w:t xml:space="preserve"> jurisdiction </w:t>
      </w:r>
      <w:r>
        <w:rPr>
          <w:rFonts w:ascii="Arial" w:hAnsi="Arial" w:cs="Arial"/>
          <w:iCs/>
          <w:sz w:val="24"/>
          <w:szCs w:val="24"/>
        </w:rPr>
        <w:t>expanded</w:t>
      </w:r>
      <w:r w:rsidRPr="00CB3E02">
        <w:rPr>
          <w:rFonts w:ascii="Arial" w:hAnsi="Arial" w:cs="Arial"/>
          <w:iCs/>
          <w:sz w:val="24"/>
          <w:szCs w:val="24"/>
        </w:rPr>
        <w:t xml:space="preserve"> significantly </w:t>
      </w:r>
      <w:r>
        <w:rPr>
          <w:rFonts w:ascii="Arial" w:hAnsi="Arial" w:cs="Arial"/>
          <w:iCs/>
          <w:sz w:val="24"/>
          <w:szCs w:val="24"/>
        </w:rPr>
        <w:t>over time through numerous legislative amendments. It was originally intended as a more junior judicial role that would predominantly preside over interlocutory work and limited civil matters</w:t>
      </w:r>
      <w:r w:rsidR="00686CE0">
        <w:rPr>
          <w:rFonts w:ascii="Arial" w:hAnsi="Arial" w:cs="Arial"/>
          <w:iCs/>
          <w:sz w:val="24"/>
          <w:szCs w:val="24"/>
        </w:rPr>
        <w:t xml:space="preserve"> (such as</w:t>
      </w:r>
      <w:r w:rsidR="0047521F">
        <w:rPr>
          <w:rFonts w:ascii="Arial" w:hAnsi="Arial" w:cs="Arial"/>
          <w:iCs/>
          <w:sz w:val="24"/>
          <w:szCs w:val="24"/>
        </w:rPr>
        <w:t xml:space="preserve"> applications for discovery and applications concerning summary or default judgments</w:t>
      </w:r>
      <w:r w:rsidR="00686CE0">
        <w:rPr>
          <w:rFonts w:ascii="Arial" w:hAnsi="Arial" w:cs="Arial"/>
          <w:iCs/>
          <w:sz w:val="24"/>
          <w:szCs w:val="24"/>
        </w:rPr>
        <w:t>)</w:t>
      </w:r>
      <w:r>
        <w:rPr>
          <w:rFonts w:ascii="Arial" w:hAnsi="Arial" w:cs="Arial"/>
          <w:iCs/>
          <w:sz w:val="24"/>
          <w:szCs w:val="24"/>
        </w:rPr>
        <w:t xml:space="preserve">. As its role expanded, the Associate Judge role </w:t>
      </w:r>
      <w:r w:rsidR="00686CE0">
        <w:rPr>
          <w:rFonts w:ascii="Arial" w:hAnsi="Arial" w:cs="Arial"/>
          <w:iCs/>
          <w:sz w:val="24"/>
          <w:szCs w:val="24"/>
        </w:rPr>
        <w:t>evolved to now</w:t>
      </w:r>
      <w:r w:rsidR="0047521F">
        <w:rPr>
          <w:rFonts w:ascii="Arial" w:hAnsi="Arial" w:cs="Arial"/>
          <w:iCs/>
          <w:sz w:val="24"/>
          <w:szCs w:val="24"/>
        </w:rPr>
        <w:t xml:space="preserve"> </w:t>
      </w:r>
      <w:r>
        <w:rPr>
          <w:rFonts w:ascii="Arial" w:hAnsi="Arial" w:cs="Arial"/>
          <w:iCs/>
          <w:sz w:val="24"/>
          <w:szCs w:val="24"/>
        </w:rPr>
        <w:t xml:space="preserve">currently </w:t>
      </w:r>
      <w:r w:rsidR="00686CE0">
        <w:rPr>
          <w:rFonts w:ascii="Arial" w:hAnsi="Arial" w:cs="Arial"/>
          <w:iCs/>
          <w:sz w:val="24"/>
          <w:szCs w:val="24"/>
        </w:rPr>
        <w:t xml:space="preserve">being </w:t>
      </w:r>
      <w:r>
        <w:rPr>
          <w:rFonts w:ascii="Arial" w:hAnsi="Arial" w:cs="Arial"/>
          <w:iCs/>
          <w:sz w:val="24"/>
          <w:szCs w:val="24"/>
        </w:rPr>
        <w:t>very similar</w:t>
      </w:r>
      <w:r w:rsidRPr="00CB3E02">
        <w:rPr>
          <w:rFonts w:ascii="Arial" w:hAnsi="Arial" w:cs="Arial"/>
          <w:iCs/>
          <w:sz w:val="24"/>
          <w:szCs w:val="24"/>
        </w:rPr>
        <w:t xml:space="preserve"> </w:t>
      </w:r>
      <w:r>
        <w:rPr>
          <w:rFonts w:ascii="Arial" w:hAnsi="Arial" w:cs="Arial"/>
          <w:iCs/>
          <w:sz w:val="24"/>
          <w:szCs w:val="24"/>
        </w:rPr>
        <w:t>in</w:t>
      </w:r>
      <w:r w:rsidRPr="00CB3E02">
        <w:rPr>
          <w:rFonts w:ascii="Arial" w:hAnsi="Arial" w:cs="Arial"/>
          <w:iCs/>
          <w:sz w:val="24"/>
          <w:szCs w:val="24"/>
        </w:rPr>
        <w:t xml:space="preserve"> </w:t>
      </w:r>
      <w:r>
        <w:rPr>
          <w:rFonts w:ascii="Arial" w:hAnsi="Arial" w:cs="Arial"/>
          <w:iCs/>
          <w:sz w:val="24"/>
          <w:szCs w:val="24"/>
        </w:rPr>
        <w:t>scope to the role of a</w:t>
      </w:r>
      <w:r w:rsidRPr="00CB3E02">
        <w:rPr>
          <w:rFonts w:ascii="Arial" w:hAnsi="Arial" w:cs="Arial"/>
          <w:iCs/>
          <w:sz w:val="24"/>
          <w:szCs w:val="24"/>
        </w:rPr>
        <w:t xml:space="preserve"> Resident Judge. There is little justification for keeping the two roles distinct</w:t>
      </w:r>
      <w:r w:rsidR="00E0565A">
        <w:rPr>
          <w:rFonts w:ascii="Arial" w:hAnsi="Arial" w:cs="Arial"/>
          <w:iCs/>
          <w:sz w:val="24"/>
          <w:szCs w:val="24"/>
        </w:rPr>
        <w:t>.</w:t>
      </w:r>
    </w:p>
    <w:p w14:paraId="2E1CCFF9" w14:textId="62C74791" w:rsidR="00E0565A" w:rsidRDefault="00E0565A" w:rsidP="00F02C3D">
      <w:pPr>
        <w:spacing w:before="240" w:after="120"/>
        <w:rPr>
          <w:rFonts w:ascii="Arial" w:hAnsi="Arial" w:cs="Arial"/>
          <w:iCs/>
          <w:sz w:val="24"/>
          <w:szCs w:val="24"/>
        </w:rPr>
      </w:pPr>
      <w:r>
        <w:rPr>
          <w:rFonts w:ascii="Arial" w:hAnsi="Arial" w:cs="Arial"/>
          <w:iCs/>
          <w:sz w:val="24"/>
          <w:szCs w:val="24"/>
        </w:rPr>
        <w:t xml:space="preserve">Additionally, </w:t>
      </w:r>
      <w:r w:rsidR="00CE0B68" w:rsidRPr="00CE0B68">
        <w:rPr>
          <w:rFonts w:ascii="Arial" w:hAnsi="Arial" w:cs="Arial"/>
          <w:iCs/>
          <w:sz w:val="24"/>
          <w:szCs w:val="24"/>
        </w:rPr>
        <w:t>abolishing the Assoc</w:t>
      </w:r>
      <w:r w:rsidR="00CE0B68">
        <w:rPr>
          <w:rFonts w:ascii="Arial" w:hAnsi="Arial" w:cs="Arial"/>
          <w:iCs/>
          <w:sz w:val="24"/>
          <w:szCs w:val="24"/>
        </w:rPr>
        <w:t>iate</w:t>
      </w:r>
      <w:r w:rsidR="00CE0B68" w:rsidRPr="00CE0B68">
        <w:rPr>
          <w:rFonts w:ascii="Arial" w:hAnsi="Arial" w:cs="Arial"/>
          <w:iCs/>
          <w:sz w:val="24"/>
          <w:szCs w:val="24"/>
        </w:rPr>
        <w:t xml:space="preserve"> Judge</w:t>
      </w:r>
      <w:r w:rsidR="00CE0B68">
        <w:rPr>
          <w:rFonts w:ascii="Arial" w:hAnsi="Arial" w:cs="Arial"/>
          <w:iCs/>
          <w:sz w:val="24"/>
          <w:szCs w:val="24"/>
        </w:rPr>
        <w:t xml:space="preserve"> position</w:t>
      </w:r>
      <w:r w:rsidR="00CE0B68" w:rsidRPr="00CE0B68">
        <w:rPr>
          <w:rFonts w:ascii="Arial" w:hAnsi="Arial" w:cs="Arial"/>
          <w:iCs/>
          <w:sz w:val="24"/>
          <w:szCs w:val="24"/>
        </w:rPr>
        <w:t xml:space="preserve">, which will be replaced </w:t>
      </w:r>
      <w:r w:rsidR="008164D3">
        <w:rPr>
          <w:rFonts w:ascii="Arial" w:hAnsi="Arial" w:cs="Arial"/>
          <w:iCs/>
          <w:sz w:val="24"/>
          <w:szCs w:val="24"/>
        </w:rPr>
        <w:t>with the appointment of a</w:t>
      </w:r>
      <w:r w:rsidR="00CE0B68" w:rsidRPr="00CE0B68">
        <w:rPr>
          <w:rFonts w:ascii="Arial" w:hAnsi="Arial" w:cs="Arial"/>
          <w:iCs/>
          <w:sz w:val="24"/>
          <w:szCs w:val="24"/>
        </w:rPr>
        <w:t xml:space="preserve"> Resident Judge, increases </w:t>
      </w:r>
      <w:r>
        <w:rPr>
          <w:rFonts w:ascii="Arial" w:hAnsi="Arial" w:cs="Arial"/>
          <w:iCs/>
          <w:sz w:val="24"/>
          <w:szCs w:val="24"/>
        </w:rPr>
        <w:t xml:space="preserve">court listing flexibility as all judges would have the jurisdiction to hear all types of matters. </w:t>
      </w:r>
    </w:p>
    <w:p w14:paraId="5B3872B4" w14:textId="238AB8CF" w:rsidR="00F02C3D" w:rsidRPr="003419E9" w:rsidRDefault="0093599A" w:rsidP="00367B82">
      <w:pPr>
        <w:spacing w:before="240" w:after="120"/>
        <w:rPr>
          <w:rFonts w:ascii="Arial" w:hAnsi="Arial" w:cs="Arial"/>
          <w:i/>
          <w:iCs/>
          <w:sz w:val="24"/>
          <w:szCs w:val="24"/>
        </w:rPr>
      </w:pPr>
      <w:r>
        <w:rPr>
          <w:rFonts w:ascii="Arial" w:hAnsi="Arial" w:cs="Arial"/>
          <w:iCs/>
          <w:sz w:val="24"/>
          <w:szCs w:val="24"/>
        </w:rPr>
        <w:t xml:space="preserve">Amendment 2 - </w:t>
      </w:r>
      <w:r w:rsidR="00F02C3D">
        <w:rPr>
          <w:rFonts w:ascii="Arial" w:hAnsi="Arial" w:cs="Arial"/>
          <w:iCs/>
          <w:sz w:val="24"/>
          <w:szCs w:val="24"/>
        </w:rPr>
        <w:t xml:space="preserve">The Bill </w:t>
      </w:r>
      <w:r w:rsidR="00F02C3D" w:rsidRPr="00585405">
        <w:rPr>
          <w:rFonts w:ascii="Arial" w:hAnsi="Arial" w:cs="Arial"/>
          <w:iCs/>
          <w:sz w:val="24"/>
          <w:szCs w:val="24"/>
        </w:rPr>
        <w:t>extend</w:t>
      </w:r>
      <w:r w:rsidR="00F02C3D">
        <w:rPr>
          <w:rFonts w:ascii="Arial" w:hAnsi="Arial" w:cs="Arial"/>
          <w:iCs/>
          <w:sz w:val="24"/>
          <w:szCs w:val="24"/>
        </w:rPr>
        <w:t>s</w:t>
      </w:r>
      <w:r w:rsidR="00F02C3D" w:rsidRPr="00585405">
        <w:rPr>
          <w:rFonts w:ascii="Arial" w:hAnsi="Arial" w:cs="Arial"/>
          <w:iCs/>
          <w:sz w:val="24"/>
          <w:szCs w:val="24"/>
        </w:rPr>
        <w:t xml:space="preserve"> the maximum term of appointment of an Acting Judge from 12-months to two-years</w:t>
      </w:r>
      <w:r w:rsidR="00F02C3D" w:rsidRPr="00F464A1">
        <w:rPr>
          <w:rFonts w:ascii="Arial" w:hAnsi="Arial" w:cs="Arial"/>
          <w:iCs/>
          <w:sz w:val="24"/>
          <w:szCs w:val="24"/>
        </w:rPr>
        <w:t xml:space="preserve"> </w:t>
      </w:r>
      <w:r w:rsidR="00F02C3D">
        <w:rPr>
          <w:rFonts w:ascii="Arial" w:hAnsi="Arial" w:cs="Arial"/>
          <w:iCs/>
          <w:sz w:val="24"/>
          <w:szCs w:val="24"/>
        </w:rPr>
        <w:t xml:space="preserve">by amending the </w:t>
      </w:r>
      <w:r w:rsidR="00F02C3D">
        <w:rPr>
          <w:rFonts w:ascii="Arial" w:hAnsi="Arial" w:cs="Arial"/>
          <w:i/>
          <w:sz w:val="24"/>
          <w:szCs w:val="24"/>
        </w:rPr>
        <w:t xml:space="preserve">Supreme Court Act 1933. </w:t>
      </w:r>
      <w:r w:rsidR="00F02C3D">
        <w:rPr>
          <w:rFonts w:ascii="Arial" w:hAnsi="Arial" w:cs="Arial"/>
          <w:iCs/>
          <w:sz w:val="24"/>
          <w:szCs w:val="24"/>
        </w:rPr>
        <w:t>Th</w:t>
      </w:r>
      <w:r w:rsidR="00E0565A">
        <w:rPr>
          <w:rFonts w:ascii="Arial" w:hAnsi="Arial" w:cs="Arial"/>
          <w:iCs/>
          <w:sz w:val="24"/>
          <w:szCs w:val="24"/>
        </w:rPr>
        <w:t>is</w:t>
      </w:r>
      <w:r w:rsidR="00F02C3D">
        <w:rPr>
          <w:rFonts w:ascii="Arial" w:hAnsi="Arial" w:cs="Arial"/>
          <w:iCs/>
          <w:sz w:val="24"/>
          <w:szCs w:val="24"/>
        </w:rPr>
        <w:t xml:space="preserve"> amendment will </w:t>
      </w:r>
      <w:r w:rsidR="00E0565A">
        <w:rPr>
          <w:rFonts w:ascii="Arial" w:hAnsi="Arial" w:cs="Arial"/>
          <w:iCs/>
          <w:sz w:val="24"/>
          <w:szCs w:val="24"/>
        </w:rPr>
        <w:t xml:space="preserve">better </w:t>
      </w:r>
      <w:r w:rsidR="00F02C3D" w:rsidRPr="00465E94">
        <w:rPr>
          <w:rFonts w:ascii="Arial" w:hAnsi="Arial" w:cs="Arial"/>
          <w:sz w:val="24"/>
          <w:szCs w:val="24"/>
        </w:rPr>
        <w:t>align Acting Judge appointment</w:t>
      </w:r>
      <w:r w:rsidR="00E0565A">
        <w:rPr>
          <w:rFonts w:ascii="Arial" w:hAnsi="Arial" w:cs="Arial"/>
          <w:sz w:val="24"/>
          <w:szCs w:val="24"/>
        </w:rPr>
        <w:t xml:space="preserve"> terms</w:t>
      </w:r>
      <w:r w:rsidR="00F02C3D" w:rsidRPr="00465E94">
        <w:rPr>
          <w:rFonts w:ascii="Arial" w:hAnsi="Arial" w:cs="Arial"/>
          <w:sz w:val="24"/>
          <w:szCs w:val="24"/>
        </w:rPr>
        <w:t xml:space="preserve"> with the principle of judicial tenure</w:t>
      </w:r>
      <w:r w:rsidR="00F02C3D">
        <w:rPr>
          <w:rFonts w:ascii="Arial" w:hAnsi="Arial" w:cs="Arial"/>
          <w:sz w:val="24"/>
          <w:szCs w:val="24"/>
        </w:rPr>
        <w:t xml:space="preserve">. </w:t>
      </w:r>
      <w:r w:rsidR="00F02C3D" w:rsidRPr="00DC05B9">
        <w:rPr>
          <w:rFonts w:ascii="Arial" w:hAnsi="Arial" w:cs="Arial"/>
          <w:sz w:val="24"/>
          <w:szCs w:val="24"/>
        </w:rPr>
        <w:t>Acting Judges step in on an as-needs basis to cover cases when Resident Judges are unavailable.</w:t>
      </w:r>
      <w:r w:rsidR="00E0565A">
        <w:rPr>
          <w:rFonts w:ascii="Arial" w:hAnsi="Arial" w:cs="Arial"/>
          <w:sz w:val="24"/>
          <w:szCs w:val="24"/>
        </w:rPr>
        <w:t xml:space="preserve"> </w:t>
      </w:r>
      <w:r w:rsidR="00F02C3D">
        <w:rPr>
          <w:rFonts w:ascii="Arial" w:hAnsi="Arial" w:cs="Arial"/>
          <w:sz w:val="24"/>
          <w:szCs w:val="24"/>
        </w:rPr>
        <w:t>This amendment will increase efficiencies within the ACT</w:t>
      </w:r>
      <w:r w:rsidR="00E0565A">
        <w:rPr>
          <w:rFonts w:ascii="Arial" w:hAnsi="Arial" w:cs="Arial"/>
          <w:sz w:val="24"/>
          <w:szCs w:val="24"/>
        </w:rPr>
        <w:t xml:space="preserve"> </w:t>
      </w:r>
      <w:r w:rsidR="00A44E88">
        <w:rPr>
          <w:rFonts w:ascii="Arial" w:hAnsi="Arial" w:cs="Arial"/>
          <w:sz w:val="24"/>
          <w:szCs w:val="24"/>
        </w:rPr>
        <w:t>C</w:t>
      </w:r>
      <w:r w:rsidR="00E0565A">
        <w:rPr>
          <w:rFonts w:ascii="Arial" w:hAnsi="Arial" w:cs="Arial"/>
          <w:sz w:val="24"/>
          <w:szCs w:val="24"/>
        </w:rPr>
        <w:t xml:space="preserve">ourts </w:t>
      </w:r>
      <w:r w:rsidR="00F02C3D">
        <w:rPr>
          <w:rFonts w:ascii="Arial" w:hAnsi="Arial" w:cs="Arial"/>
          <w:sz w:val="24"/>
          <w:szCs w:val="24"/>
        </w:rPr>
        <w:t>operation</w:t>
      </w:r>
      <w:r w:rsidR="00E0565A">
        <w:rPr>
          <w:rFonts w:ascii="Arial" w:hAnsi="Arial" w:cs="Arial"/>
          <w:sz w:val="24"/>
          <w:szCs w:val="24"/>
        </w:rPr>
        <w:t>s, safeguard</w:t>
      </w:r>
      <w:r w:rsidR="00F02C3D" w:rsidRPr="00465E94">
        <w:rPr>
          <w:rFonts w:ascii="Arial" w:hAnsi="Arial" w:cs="Arial"/>
          <w:sz w:val="24"/>
          <w:szCs w:val="24"/>
        </w:rPr>
        <w:t xml:space="preserve"> </w:t>
      </w:r>
      <w:r w:rsidR="00E0565A">
        <w:rPr>
          <w:rFonts w:ascii="Arial" w:hAnsi="Arial" w:cs="Arial"/>
          <w:sz w:val="24"/>
          <w:szCs w:val="24"/>
        </w:rPr>
        <w:t>the</w:t>
      </w:r>
      <w:r w:rsidR="00F02C3D" w:rsidRPr="00465E94">
        <w:rPr>
          <w:rFonts w:ascii="Arial" w:hAnsi="Arial" w:cs="Arial"/>
          <w:sz w:val="24"/>
          <w:szCs w:val="24"/>
        </w:rPr>
        <w:t xml:space="preserve"> independence</w:t>
      </w:r>
      <w:r w:rsidR="00E0565A">
        <w:rPr>
          <w:rFonts w:ascii="Arial" w:hAnsi="Arial" w:cs="Arial"/>
          <w:sz w:val="24"/>
          <w:szCs w:val="24"/>
        </w:rPr>
        <w:t xml:space="preserve"> of the judiciary and ensures the continuity of access to court resources</w:t>
      </w:r>
      <w:r w:rsidR="00F02C3D">
        <w:rPr>
          <w:rFonts w:ascii="Arial" w:hAnsi="Arial" w:cs="Arial"/>
          <w:iCs/>
          <w:sz w:val="24"/>
          <w:szCs w:val="24"/>
        </w:rPr>
        <w:t>.</w:t>
      </w:r>
    </w:p>
    <w:p w14:paraId="0E21D121" w14:textId="77777777" w:rsidR="003825CD" w:rsidRDefault="0093599A" w:rsidP="00367B82">
      <w:pPr>
        <w:spacing w:before="240" w:after="120"/>
        <w:rPr>
          <w:rFonts w:ascii="Arial" w:hAnsi="Arial" w:cs="Arial"/>
          <w:iCs/>
          <w:sz w:val="24"/>
          <w:szCs w:val="24"/>
        </w:rPr>
      </w:pPr>
      <w:r>
        <w:rPr>
          <w:rFonts w:ascii="Arial" w:hAnsi="Arial" w:cs="Arial"/>
          <w:sz w:val="24"/>
          <w:szCs w:val="24"/>
          <w:lang w:eastAsia="en-AU"/>
        </w:rPr>
        <w:t xml:space="preserve">Amendment 3 - </w:t>
      </w:r>
      <w:r w:rsidR="00F02C3D">
        <w:rPr>
          <w:rFonts w:ascii="Arial" w:hAnsi="Arial" w:cs="Arial"/>
          <w:sz w:val="24"/>
          <w:szCs w:val="24"/>
          <w:lang w:eastAsia="en-AU"/>
        </w:rPr>
        <w:t xml:space="preserve">The Bill </w:t>
      </w:r>
      <w:r w:rsidR="00F02C3D" w:rsidRPr="00585405">
        <w:rPr>
          <w:rFonts w:ascii="Arial" w:hAnsi="Arial" w:cs="Arial"/>
          <w:iCs/>
          <w:sz w:val="24"/>
          <w:szCs w:val="24"/>
        </w:rPr>
        <w:t>clarif</w:t>
      </w:r>
      <w:r w:rsidR="00F02C3D">
        <w:rPr>
          <w:rFonts w:ascii="Arial" w:hAnsi="Arial" w:cs="Arial"/>
          <w:iCs/>
          <w:sz w:val="24"/>
          <w:szCs w:val="24"/>
        </w:rPr>
        <w:t>ies</w:t>
      </w:r>
      <w:r w:rsidR="00F02C3D" w:rsidRPr="00585405">
        <w:rPr>
          <w:rFonts w:ascii="Arial" w:hAnsi="Arial" w:cs="Arial"/>
          <w:iCs/>
          <w:sz w:val="24"/>
          <w:szCs w:val="24"/>
        </w:rPr>
        <w:t xml:space="preserve"> that the common law immunity of Supreme Court </w:t>
      </w:r>
      <w:r w:rsidR="00C640F8">
        <w:rPr>
          <w:rFonts w:ascii="Arial" w:hAnsi="Arial" w:cs="Arial"/>
          <w:iCs/>
          <w:sz w:val="24"/>
          <w:szCs w:val="24"/>
        </w:rPr>
        <w:t>j</w:t>
      </w:r>
      <w:r w:rsidR="00F02C3D" w:rsidRPr="00585405">
        <w:rPr>
          <w:rFonts w:ascii="Arial" w:hAnsi="Arial" w:cs="Arial"/>
          <w:iCs/>
          <w:sz w:val="24"/>
          <w:szCs w:val="24"/>
        </w:rPr>
        <w:t xml:space="preserve">udges applies to ACT </w:t>
      </w:r>
      <w:r w:rsidR="00C640F8">
        <w:rPr>
          <w:rFonts w:ascii="Arial" w:hAnsi="Arial" w:cs="Arial"/>
          <w:iCs/>
          <w:sz w:val="24"/>
          <w:szCs w:val="24"/>
        </w:rPr>
        <w:t>m</w:t>
      </w:r>
      <w:r w:rsidR="00F02C3D" w:rsidRPr="00585405">
        <w:rPr>
          <w:rFonts w:ascii="Arial" w:hAnsi="Arial" w:cs="Arial"/>
          <w:iCs/>
          <w:sz w:val="24"/>
          <w:szCs w:val="24"/>
        </w:rPr>
        <w:t>agistrates</w:t>
      </w:r>
      <w:r w:rsidR="00F02C3D">
        <w:rPr>
          <w:rFonts w:ascii="Arial" w:hAnsi="Arial" w:cs="Arial"/>
          <w:iCs/>
          <w:sz w:val="24"/>
          <w:szCs w:val="24"/>
        </w:rPr>
        <w:t>, as well as registrars and deputy registrars</w:t>
      </w:r>
      <w:r w:rsidR="00E0565A">
        <w:rPr>
          <w:rFonts w:ascii="Arial" w:hAnsi="Arial" w:cs="Arial"/>
          <w:iCs/>
          <w:sz w:val="24"/>
          <w:szCs w:val="24"/>
        </w:rPr>
        <w:t xml:space="preserve"> when exercising delegated court functions,</w:t>
      </w:r>
      <w:r w:rsidR="00F02C3D">
        <w:rPr>
          <w:rFonts w:ascii="Arial" w:hAnsi="Arial" w:cs="Arial"/>
          <w:iCs/>
          <w:sz w:val="24"/>
          <w:szCs w:val="24"/>
        </w:rPr>
        <w:t xml:space="preserve"> under the </w:t>
      </w:r>
      <w:r w:rsidR="00F02C3D" w:rsidRPr="000C68A9">
        <w:rPr>
          <w:rFonts w:ascii="Arial" w:hAnsi="Arial" w:cs="Arial"/>
          <w:i/>
          <w:iCs/>
          <w:sz w:val="24"/>
          <w:szCs w:val="24"/>
          <w:lang w:eastAsia="en-AU"/>
        </w:rPr>
        <w:t>Magistrates Court Act 1930</w:t>
      </w:r>
      <w:r w:rsidR="00F02C3D">
        <w:rPr>
          <w:rFonts w:ascii="Arial" w:hAnsi="Arial" w:cs="Arial"/>
          <w:i/>
          <w:iCs/>
          <w:sz w:val="24"/>
          <w:szCs w:val="24"/>
          <w:lang w:eastAsia="en-AU"/>
        </w:rPr>
        <w:t xml:space="preserve">. </w:t>
      </w:r>
      <w:r w:rsidR="00F02C3D">
        <w:rPr>
          <w:rFonts w:ascii="Arial" w:hAnsi="Arial" w:cs="Arial"/>
          <w:iCs/>
          <w:sz w:val="24"/>
          <w:szCs w:val="24"/>
        </w:rPr>
        <w:t>Th</w:t>
      </w:r>
      <w:r w:rsidR="00E0565A">
        <w:rPr>
          <w:rFonts w:ascii="Arial" w:hAnsi="Arial" w:cs="Arial"/>
          <w:iCs/>
          <w:sz w:val="24"/>
          <w:szCs w:val="24"/>
        </w:rPr>
        <w:t>is</w:t>
      </w:r>
      <w:r w:rsidR="00F02C3D">
        <w:rPr>
          <w:rFonts w:ascii="Arial" w:hAnsi="Arial" w:cs="Arial"/>
          <w:iCs/>
          <w:sz w:val="24"/>
          <w:szCs w:val="24"/>
        </w:rPr>
        <w:t xml:space="preserve"> </w:t>
      </w:r>
      <w:r w:rsidR="00F02C3D">
        <w:rPr>
          <w:rFonts w:ascii="Arial" w:hAnsi="Arial" w:cs="Arial"/>
          <w:iCs/>
          <w:sz w:val="24"/>
          <w:szCs w:val="24"/>
        </w:rPr>
        <w:lastRenderedPageBreak/>
        <w:t xml:space="preserve">amendment </w:t>
      </w:r>
      <w:r w:rsidR="00E0565A">
        <w:rPr>
          <w:rFonts w:ascii="Arial" w:hAnsi="Arial" w:cs="Arial"/>
          <w:iCs/>
          <w:sz w:val="24"/>
          <w:szCs w:val="24"/>
        </w:rPr>
        <w:t>seeks to remove</w:t>
      </w:r>
      <w:r w:rsidR="00F02C3D">
        <w:rPr>
          <w:rFonts w:ascii="Arial" w:hAnsi="Arial" w:cs="Arial"/>
          <w:iCs/>
          <w:sz w:val="24"/>
          <w:szCs w:val="24"/>
        </w:rPr>
        <w:t xml:space="preserve"> </w:t>
      </w:r>
      <w:r w:rsidR="00F02C3D" w:rsidRPr="002A057A">
        <w:rPr>
          <w:rFonts w:ascii="Arial" w:hAnsi="Arial" w:cs="Arial"/>
          <w:iCs/>
          <w:sz w:val="24"/>
          <w:szCs w:val="24"/>
        </w:rPr>
        <w:t>ambiguity and uncertainty</w:t>
      </w:r>
      <w:r w:rsidR="00F02C3D">
        <w:rPr>
          <w:rFonts w:ascii="Arial" w:hAnsi="Arial" w:cs="Arial"/>
          <w:iCs/>
          <w:sz w:val="24"/>
          <w:szCs w:val="24"/>
        </w:rPr>
        <w:t xml:space="preserve"> </w:t>
      </w:r>
      <w:r w:rsidR="00E0565A">
        <w:rPr>
          <w:rFonts w:ascii="Arial" w:hAnsi="Arial" w:cs="Arial"/>
          <w:iCs/>
          <w:sz w:val="24"/>
          <w:szCs w:val="24"/>
        </w:rPr>
        <w:t>in</w:t>
      </w:r>
      <w:r w:rsidR="00F02C3D" w:rsidRPr="002A057A">
        <w:rPr>
          <w:rFonts w:ascii="Arial" w:hAnsi="Arial" w:cs="Arial"/>
          <w:iCs/>
          <w:sz w:val="24"/>
          <w:szCs w:val="24"/>
        </w:rPr>
        <w:t xml:space="preserve"> </w:t>
      </w:r>
      <w:r w:rsidR="00F02C3D">
        <w:rPr>
          <w:rFonts w:ascii="Arial" w:hAnsi="Arial" w:cs="Arial"/>
          <w:iCs/>
          <w:sz w:val="24"/>
          <w:szCs w:val="24"/>
        </w:rPr>
        <w:t xml:space="preserve">the </w:t>
      </w:r>
      <w:r w:rsidR="00E0565A">
        <w:rPr>
          <w:rFonts w:ascii="Arial" w:hAnsi="Arial" w:cs="Arial"/>
          <w:iCs/>
          <w:sz w:val="24"/>
          <w:szCs w:val="24"/>
        </w:rPr>
        <w:t>provisions under that Act relating to magisterial</w:t>
      </w:r>
      <w:r w:rsidR="00F02C3D">
        <w:rPr>
          <w:rFonts w:ascii="Arial" w:hAnsi="Arial" w:cs="Arial"/>
          <w:iCs/>
          <w:sz w:val="24"/>
          <w:szCs w:val="24"/>
        </w:rPr>
        <w:t xml:space="preserve"> immunity</w:t>
      </w:r>
      <w:r w:rsidR="00E0565A">
        <w:rPr>
          <w:rFonts w:ascii="Arial" w:hAnsi="Arial" w:cs="Arial"/>
          <w:iCs/>
          <w:sz w:val="24"/>
          <w:szCs w:val="24"/>
        </w:rPr>
        <w:t xml:space="preserve">, which have been substantially unchanged since their publication in 1930 in the </w:t>
      </w:r>
      <w:r w:rsidR="00E0565A" w:rsidRPr="00E0565A">
        <w:rPr>
          <w:rFonts w:ascii="Arial" w:hAnsi="Arial" w:cs="Arial"/>
          <w:i/>
          <w:iCs/>
          <w:sz w:val="24"/>
          <w:szCs w:val="24"/>
        </w:rPr>
        <w:t>Court of Petty Sessions Ordinance (No.2) 1930</w:t>
      </w:r>
      <w:r w:rsidR="00F02C3D">
        <w:rPr>
          <w:rFonts w:ascii="Arial" w:hAnsi="Arial" w:cs="Arial"/>
          <w:iCs/>
          <w:sz w:val="24"/>
          <w:szCs w:val="24"/>
        </w:rPr>
        <w:t>.</w:t>
      </w:r>
      <w:r w:rsidR="00E0565A">
        <w:rPr>
          <w:rFonts w:ascii="Arial" w:hAnsi="Arial" w:cs="Arial"/>
          <w:iCs/>
          <w:sz w:val="24"/>
          <w:szCs w:val="24"/>
        </w:rPr>
        <w:t xml:space="preserve"> </w:t>
      </w:r>
    </w:p>
    <w:p w14:paraId="1F954BEB" w14:textId="22399B43" w:rsidR="00F02C3D" w:rsidRDefault="00E0565A" w:rsidP="00367B82">
      <w:pPr>
        <w:spacing w:before="240" w:after="120"/>
        <w:rPr>
          <w:rFonts w:ascii="Arial" w:hAnsi="Arial" w:cs="Arial"/>
          <w:iCs/>
          <w:sz w:val="24"/>
          <w:szCs w:val="24"/>
        </w:rPr>
      </w:pPr>
      <w:r>
        <w:rPr>
          <w:rFonts w:ascii="Arial" w:hAnsi="Arial" w:cs="Arial"/>
          <w:iCs/>
          <w:sz w:val="24"/>
          <w:szCs w:val="24"/>
        </w:rPr>
        <w:t xml:space="preserve">This amendment clarifies that magistrates </w:t>
      </w:r>
      <w:r w:rsidR="0093599A">
        <w:rPr>
          <w:rFonts w:ascii="Arial" w:hAnsi="Arial" w:cs="Arial"/>
          <w:iCs/>
          <w:sz w:val="24"/>
          <w:szCs w:val="24"/>
        </w:rPr>
        <w:t xml:space="preserve">hold </w:t>
      </w:r>
      <w:r>
        <w:rPr>
          <w:rFonts w:ascii="Arial" w:hAnsi="Arial" w:cs="Arial"/>
          <w:iCs/>
          <w:sz w:val="24"/>
          <w:szCs w:val="24"/>
        </w:rPr>
        <w:t>the same immunity as Supreme Court judges</w:t>
      </w:r>
      <w:r w:rsidR="003825CD">
        <w:rPr>
          <w:rFonts w:ascii="Arial" w:hAnsi="Arial" w:cs="Arial"/>
          <w:iCs/>
          <w:sz w:val="24"/>
          <w:szCs w:val="24"/>
        </w:rPr>
        <w:t xml:space="preserve"> </w:t>
      </w:r>
      <w:r>
        <w:rPr>
          <w:rFonts w:ascii="Arial" w:hAnsi="Arial" w:cs="Arial"/>
          <w:iCs/>
          <w:sz w:val="24"/>
          <w:szCs w:val="24"/>
        </w:rPr>
        <w:t xml:space="preserve">when exercising their </w:t>
      </w:r>
      <w:r w:rsidR="003825CD">
        <w:rPr>
          <w:rFonts w:ascii="Arial" w:hAnsi="Arial" w:cs="Arial"/>
          <w:iCs/>
          <w:sz w:val="24"/>
          <w:szCs w:val="24"/>
        </w:rPr>
        <w:t xml:space="preserve">functions </w:t>
      </w:r>
      <w:r>
        <w:rPr>
          <w:rFonts w:ascii="Arial" w:hAnsi="Arial" w:cs="Arial"/>
          <w:iCs/>
          <w:sz w:val="24"/>
          <w:szCs w:val="24"/>
        </w:rPr>
        <w:t>as a magistrate</w:t>
      </w:r>
      <w:r w:rsidR="003825CD">
        <w:rPr>
          <w:rFonts w:ascii="Arial" w:hAnsi="Arial" w:cs="Arial"/>
          <w:iCs/>
          <w:sz w:val="24"/>
          <w:szCs w:val="24"/>
        </w:rPr>
        <w:t>. The amendment clarifies that immunity extends to when magistrates exercise judicial and administrative functions. The amendment also</w:t>
      </w:r>
      <w:r>
        <w:rPr>
          <w:rFonts w:ascii="Arial" w:hAnsi="Arial" w:cs="Arial"/>
          <w:iCs/>
          <w:sz w:val="24"/>
          <w:szCs w:val="24"/>
        </w:rPr>
        <w:t xml:space="preserve"> extends that immunity to registrars and deputy registrars when exercising delegated court functions, aligning the ACT with immunity provisions</w:t>
      </w:r>
      <w:r w:rsidR="0093599A">
        <w:rPr>
          <w:rFonts w:ascii="Arial" w:hAnsi="Arial" w:cs="Arial"/>
          <w:iCs/>
          <w:sz w:val="24"/>
          <w:szCs w:val="24"/>
        </w:rPr>
        <w:t xml:space="preserve"> held by similar roles</w:t>
      </w:r>
      <w:r>
        <w:rPr>
          <w:rFonts w:ascii="Arial" w:hAnsi="Arial" w:cs="Arial"/>
          <w:iCs/>
          <w:sz w:val="24"/>
          <w:szCs w:val="24"/>
        </w:rPr>
        <w:t xml:space="preserve"> in other jurisdictions. The amendment also </w:t>
      </w:r>
      <w:r w:rsidR="0093599A">
        <w:rPr>
          <w:rFonts w:ascii="Arial" w:hAnsi="Arial" w:cs="Arial"/>
          <w:iCs/>
          <w:sz w:val="24"/>
          <w:szCs w:val="24"/>
        </w:rPr>
        <w:t>enhances</w:t>
      </w:r>
      <w:r>
        <w:rPr>
          <w:rFonts w:ascii="Arial" w:hAnsi="Arial" w:cs="Arial"/>
          <w:iCs/>
          <w:sz w:val="24"/>
          <w:szCs w:val="24"/>
        </w:rPr>
        <w:t xml:space="preserve"> safeguard</w:t>
      </w:r>
      <w:r w:rsidR="0093599A">
        <w:rPr>
          <w:rFonts w:ascii="Arial" w:hAnsi="Arial" w:cs="Arial"/>
          <w:iCs/>
          <w:sz w:val="24"/>
          <w:szCs w:val="24"/>
        </w:rPr>
        <w:t xml:space="preserve"> mechanisms</w:t>
      </w:r>
      <w:r>
        <w:rPr>
          <w:rFonts w:ascii="Arial" w:hAnsi="Arial" w:cs="Arial"/>
          <w:iCs/>
          <w:sz w:val="24"/>
          <w:szCs w:val="24"/>
        </w:rPr>
        <w:t xml:space="preserve"> to </w:t>
      </w:r>
      <w:r w:rsidR="0093599A">
        <w:rPr>
          <w:rFonts w:ascii="Arial" w:hAnsi="Arial" w:cs="Arial"/>
          <w:iCs/>
          <w:sz w:val="24"/>
          <w:szCs w:val="24"/>
        </w:rPr>
        <w:t xml:space="preserve">support </w:t>
      </w:r>
      <w:r>
        <w:rPr>
          <w:rFonts w:ascii="Arial" w:hAnsi="Arial" w:cs="Arial"/>
          <w:iCs/>
          <w:sz w:val="24"/>
          <w:szCs w:val="24"/>
        </w:rPr>
        <w:t>judicial independence.</w:t>
      </w:r>
    </w:p>
    <w:p w14:paraId="78232D64" w14:textId="7589013F" w:rsidR="003825CD" w:rsidRPr="002A057A" w:rsidRDefault="003825CD" w:rsidP="00367B82">
      <w:pPr>
        <w:spacing w:before="240" w:after="120"/>
        <w:rPr>
          <w:rFonts w:ascii="Arial" w:hAnsi="Arial" w:cs="Arial"/>
          <w:iCs/>
          <w:sz w:val="24"/>
          <w:szCs w:val="24"/>
        </w:rPr>
      </w:pPr>
      <w:r>
        <w:rPr>
          <w:rFonts w:ascii="Arial" w:hAnsi="Arial" w:cs="Arial"/>
          <w:iCs/>
          <w:sz w:val="24"/>
          <w:szCs w:val="24"/>
        </w:rPr>
        <w:t xml:space="preserve">The amendment does not </w:t>
      </w:r>
      <w:r w:rsidR="006E3D9F">
        <w:rPr>
          <w:rFonts w:ascii="Arial" w:hAnsi="Arial" w:cs="Arial"/>
          <w:iCs/>
          <w:sz w:val="24"/>
          <w:szCs w:val="24"/>
        </w:rPr>
        <w:t>disturb</w:t>
      </w:r>
      <w:r>
        <w:rPr>
          <w:rFonts w:ascii="Arial" w:hAnsi="Arial" w:cs="Arial"/>
          <w:iCs/>
          <w:sz w:val="24"/>
          <w:szCs w:val="24"/>
        </w:rPr>
        <w:t xml:space="preserve"> the jurisprudence, operation, or scope of the common law immunity conferred to judges of superior courts, such as the ACT Supreme Court. </w:t>
      </w:r>
    </w:p>
    <w:p w14:paraId="3D8E38C2" w14:textId="5B2430E1" w:rsidR="00F02C3D" w:rsidRPr="003419E9" w:rsidRDefault="0093599A" w:rsidP="00367B82">
      <w:pPr>
        <w:spacing w:before="240" w:after="120"/>
        <w:rPr>
          <w:rFonts w:ascii="Arial" w:hAnsi="Arial" w:cs="Arial"/>
          <w:sz w:val="24"/>
          <w:szCs w:val="24"/>
        </w:rPr>
      </w:pPr>
      <w:r>
        <w:rPr>
          <w:rFonts w:ascii="Arial" w:hAnsi="Arial" w:cs="Arial"/>
          <w:sz w:val="24"/>
          <w:szCs w:val="24"/>
        </w:rPr>
        <w:t xml:space="preserve">Amendment 4 - </w:t>
      </w:r>
      <w:r w:rsidR="00F02C3D">
        <w:rPr>
          <w:rFonts w:ascii="Arial" w:hAnsi="Arial" w:cs="Arial"/>
          <w:sz w:val="24"/>
          <w:szCs w:val="24"/>
        </w:rPr>
        <w:t xml:space="preserve">The Bill amends the </w:t>
      </w:r>
      <w:r w:rsidR="00F02C3D" w:rsidRPr="003419E9">
        <w:rPr>
          <w:rFonts w:ascii="Arial" w:hAnsi="Arial" w:cs="Arial"/>
          <w:i/>
          <w:iCs/>
          <w:sz w:val="24"/>
          <w:szCs w:val="24"/>
        </w:rPr>
        <w:t xml:space="preserve">Court Procedures Act 2004 </w:t>
      </w:r>
      <w:r w:rsidR="00F02C3D" w:rsidRPr="00585405">
        <w:rPr>
          <w:rFonts w:ascii="Arial" w:hAnsi="Arial" w:cs="Arial"/>
          <w:iCs/>
          <w:sz w:val="24"/>
          <w:szCs w:val="24"/>
        </w:rPr>
        <w:t xml:space="preserve">to </w:t>
      </w:r>
      <w:r w:rsidR="00F02C3D">
        <w:rPr>
          <w:rFonts w:ascii="Arial" w:hAnsi="Arial" w:cs="Arial"/>
          <w:iCs/>
          <w:sz w:val="24"/>
          <w:szCs w:val="24"/>
        </w:rPr>
        <w:t xml:space="preserve">enable </w:t>
      </w:r>
      <w:r w:rsidR="00471567">
        <w:rPr>
          <w:rFonts w:ascii="Arial" w:hAnsi="Arial" w:cs="Arial"/>
          <w:iCs/>
          <w:sz w:val="24"/>
          <w:szCs w:val="24"/>
        </w:rPr>
        <w:t xml:space="preserve">the </w:t>
      </w:r>
      <w:r w:rsidR="00471567">
        <w:rPr>
          <w:rFonts w:ascii="Arial" w:hAnsi="Arial" w:cs="Arial"/>
          <w:i/>
          <w:sz w:val="24"/>
          <w:szCs w:val="24"/>
        </w:rPr>
        <w:t xml:space="preserve">Court Procedure Rules 2006 </w:t>
      </w:r>
      <w:r w:rsidR="00471567">
        <w:rPr>
          <w:rFonts w:ascii="Arial" w:hAnsi="Arial" w:cs="Arial"/>
          <w:iCs/>
          <w:sz w:val="24"/>
          <w:szCs w:val="24"/>
        </w:rPr>
        <w:t>(</w:t>
      </w:r>
      <w:r w:rsidR="00A44E88">
        <w:rPr>
          <w:rFonts w:ascii="Arial" w:hAnsi="Arial" w:cs="Arial"/>
          <w:iCs/>
          <w:sz w:val="24"/>
          <w:szCs w:val="24"/>
        </w:rPr>
        <w:t xml:space="preserve">the </w:t>
      </w:r>
      <w:r w:rsidR="00471567">
        <w:rPr>
          <w:rFonts w:ascii="Arial" w:hAnsi="Arial" w:cs="Arial"/>
          <w:iCs/>
          <w:sz w:val="24"/>
          <w:szCs w:val="24"/>
        </w:rPr>
        <w:t>R</w:t>
      </w:r>
      <w:r w:rsidR="00F02C3D">
        <w:rPr>
          <w:rFonts w:ascii="Arial" w:hAnsi="Arial" w:cs="Arial"/>
          <w:iCs/>
          <w:sz w:val="24"/>
          <w:szCs w:val="24"/>
        </w:rPr>
        <w:t>ules</w:t>
      </w:r>
      <w:r w:rsidR="00471567">
        <w:rPr>
          <w:rFonts w:ascii="Arial" w:hAnsi="Arial" w:cs="Arial"/>
          <w:iCs/>
          <w:sz w:val="24"/>
          <w:szCs w:val="24"/>
        </w:rPr>
        <w:t>)</w:t>
      </w:r>
      <w:r w:rsidR="00F02C3D">
        <w:rPr>
          <w:rFonts w:ascii="Arial" w:hAnsi="Arial" w:cs="Arial"/>
          <w:iCs/>
          <w:sz w:val="24"/>
          <w:szCs w:val="24"/>
        </w:rPr>
        <w:t xml:space="preserve"> to provide</w:t>
      </w:r>
      <w:r w:rsidR="00F02C3D" w:rsidRPr="00585405">
        <w:rPr>
          <w:rFonts w:ascii="Arial" w:hAnsi="Arial" w:cs="Arial"/>
          <w:iCs/>
          <w:sz w:val="24"/>
          <w:szCs w:val="24"/>
        </w:rPr>
        <w:t xml:space="preserve"> the courts with the power to order costs against non-parties</w:t>
      </w:r>
      <w:r w:rsidR="00A44E88">
        <w:rPr>
          <w:rFonts w:ascii="Arial" w:hAnsi="Arial" w:cs="Arial"/>
          <w:iCs/>
          <w:sz w:val="24"/>
          <w:szCs w:val="24"/>
        </w:rPr>
        <w:t xml:space="preserve"> to proceedings</w:t>
      </w:r>
      <w:r w:rsidR="00C640F8">
        <w:rPr>
          <w:rFonts w:ascii="Arial" w:hAnsi="Arial" w:cs="Arial"/>
          <w:iCs/>
          <w:sz w:val="24"/>
          <w:szCs w:val="24"/>
        </w:rPr>
        <w:t xml:space="preserve">, which will </w:t>
      </w:r>
      <w:r w:rsidR="00A44E88">
        <w:rPr>
          <w:rFonts w:ascii="Arial" w:hAnsi="Arial" w:cs="Arial"/>
          <w:iCs/>
          <w:sz w:val="24"/>
          <w:szCs w:val="24"/>
        </w:rPr>
        <w:t xml:space="preserve">improve </w:t>
      </w:r>
      <w:r w:rsidR="00F02C3D">
        <w:rPr>
          <w:rFonts w:ascii="Arial" w:hAnsi="Arial" w:cs="Arial"/>
          <w:iCs/>
          <w:sz w:val="24"/>
          <w:szCs w:val="24"/>
        </w:rPr>
        <w:t>access to</w:t>
      </w:r>
      <w:r w:rsidR="00F02C3D" w:rsidRPr="00585405">
        <w:rPr>
          <w:rFonts w:ascii="Arial" w:hAnsi="Arial" w:cs="Arial"/>
          <w:iCs/>
          <w:sz w:val="24"/>
          <w:szCs w:val="24"/>
        </w:rPr>
        <w:t xml:space="preserve"> justice</w:t>
      </w:r>
      <w:r w:rsidR="00F02C3D">
        <w:rPr>
          <w:rFonts w:ascii="Arial" w:hAnsi="Arial" w:cs="Arial"/>
          <w:iCs/>
          <w:sz w:val="24"/>
          <w:szCs w:val="24"/>
        </w:rPr>
        <w:t>. Currently, the courts are prohibited from making a</w:t>
      </w:r>
      <w:r w:rsidR="00C640F8">
        <w:rPr>
          <w:rFonts w:ascii="Arial" w:hAnsi="Arial" w:cs="Arial"/>
          <w:iCs/>
          <w:sz w:val="24"/>
          <w:szCs w:val="24"/>
        </w:rPr>
        <w:t xml:space="preserve"> costs order against a</w:t>
      </w:r>
      <w:r w:rsidR="00F02C3D">
        <w:rPr>
          <w:rFonts w:ascii="Arial" w:hAnsi="Arial" w:cs="Arial"/>
          <w:iCs/>
          <w:sz w:val="24"/>
          <w:szCs w:val="24"/>
        </w:rPr>
        <w:t xml:space="preserve"> non-party</w:t>
      </w:r>
      <w:r w:rsidR="00C640F8">
        <w:rPr>
          <w:rFonts w:ascii="Arial" w:hAnsi="Arial" w:cs="Arial"/>
          <w:iCs/>
          <w:sz w:val="24"/>
          <w:szCs w:val="24"/>
        </w:rPr>
        <w:t xml:space="preserve">. The </w:t>
      </w:r>
      <w:r w:rsidR="00F02C3D" w:rsidRPr="00D743BE">
        <w:rPr>
          <w:rFonts w:ascii="Arial" w:hAnsi="Arial" w:cs="Arial"/>
          <w:iCs/>
          <w:sz w:val="24"/>
          <w:szCs w:val="24"/>
        </w:rPr>
        <w:t xml:space="preserve">ACT is the only Australian jurisdiction to have this </w:t>
      </w:r>
      <w:r w:rsidR="00A44E88">
        <w:rPr>
          <w:rFonts w:ascii="Arial" w:hAnsi="Arial" w:cs="Arial"/>
          <w:iCs/>
          <w:sz w:val="24"/>
          <w:szCs w:val="24"/>
        </w:rPr>
        <w:t>limitation</w:t>
      </w:r>
      <w:r w:rsidR="00F02C3D">
        <w:rPr>
          <w:rFonts w:ascii="Arial" w:hAnsi="Arial" w:cs="Arial"/>
          <w:iCs/>
          <w:sz w:val="24"/>
          <w:szCs w:val="24"/>
        </w:rPr>
        <w:t>.</w:t>
      </w:r>
      <w:r w:rsidR="00F02C3D" w:rsidRPr="00D743BE">
        <w:rPr>
          <w:rFonts w:ascii="Arial" w:hAnsi="Arial" w:cs="Arial"/>
          <w:iCs/>
          <w:sz w:val="24"/>
          <w:szCs w:val="24"/>
        </w:rPr>
        <w:t xml:space="preserve"> </w:t>
      </w:r>
      <w:r w:rsidR="00F02C3D">
        <w:rPr>
          <w:rFonts w:ascii="Arial" w:hAnsi="Arial" w:cs="Arial"/>
          <w:iCs/>
          <w:sz w:val="24"/>
          <w:szCs w:val="24"/>
        </w:rPr>
        <w:t xml:space="preserve">This can result in inequities and denial of justice to parties that are </w:t>
      </w:r>
      <w:r w:rsidR="00A44E88">
        <w:rPr>
          <w:rFonts w:ascii="Arial" w:hAnsi="Arial" w:cs="Arial"/>
          <w:iCs/>
          <w:sz w:val="24"/>
          <w:szCs w:val="24"/>
        </w:rPr>
        <w:t xml:space="preserve">rightly </w:t>
      </w:r>
      <w:r w:rsidR="00F02C3D">
        <w:rPr>
          <w:rFonts w:ascii="Arial" w:hAnsi="Arial" w:cs="Arial"/>
          <w:iCs/>
          <w:sz w:val="24"/>
          <w:szCs w:val="24"/>
        </w:rPr>
        <w:t>entitled to receive costs. The amendment will</w:t>
      </w:r>
      <w:r w:rsidR="00A44E88">
        <w:rPr>
          <w:rFonts w:ascii="Arial" w:hAnsi="Arial" w:cs="Arial"/>
          <w:iCs/>
          <w:sz w:val="24"/>
          <w:szCs w:val="24"/>
        </w:rPr>
        <w:t xml:space="preserve"> enhance</w:t>
      </w:r>
      <w:r w:rsidR="00F02C3D">
        <w:rPr>
          <w:rFonts w:ascii="Arial" w:hAnsi="Arial" w:cs="Arial"/>
          <w:iCs/>
          <w:sz w:val="24"/>
          <w:szCs w:val="24"/>
        </w:rPr>
        <w:t xml:space="preserve"> access to justice by </w:t>
      </w:r>
      <w:r w:rsidR="00A44E88">
        <w:rPr>
          <w:rFonts w:ascii="Arial" w:hAnsi="Arial" w:cs="Arial"/>
          <w:iCs/>
          <w:sz w:val="24"/>
          <w:szCs w:val="24"/>
        </w:rPr>
        <w:t>en</w:t>
      </w:r>
      <w:r w:rsidR="00F02C3D">
        <w:rPr>
          <w:rFonts w:ascii="Arial" w:hAnsi="Arial" w:cs="Arial"/>
          <w:iCs/>
          <w:sz w:val="24"/>
          <w:szCs w:val="24"/>
        </w:rPr>
        <w:t xml:space="preserve">suring that parties </w:t>
      </w:r>
      <w:r w:rsidR="00A44E88">
        <w:rPr>
          <w:rFonts w:ascii="Arial" w:hAnsi="Arial" w:cs="Arial"/>
          <w:iCs/>
          <w:sz w:val="24"/>
          <w:szCs w:val="24"/>
        </w:rPr>
        <w:t>who</w:t>
      </w:r>
      <w:r w:rsidR="00F02C3D">
        <w:rPr>
          <w:rFonts w:ascii="Arial" w:hAnsi="Arial" w:cs="Arial"/>
          <w:iCs/>
          <w:sz w:val="24"/>
          <w:szCs w:val="24"/>
        </w:rPr>
        <w:t xml:space="preserve"> are entitled to costs will receive them</w:t>
      </w:r>
      <w:r w:rsidR="00A44E88">
        <w:rPr>
          <w:rFonts w:ascii="Arial" w:hAnsi="Arial" w:cs="Arial"/>
          <w:iCs/>
          <w:sz w:val="24"/>
          <w:szCs w:val="24"/>
        </w:rPr>
        <w:t>. This amendment also aligns</w:t>
      </w:r>
      <w:r w:rsidR="00F02C3D">
        <w:rPr>
          <w:rFonts w:ascii="Arial" w:hAnsi="Arial" w:cs="Arial"/>
          <w:iCs/>
          <w:sz w:val="24"/>
          <w:szCs w:val="24"/>
        </w:rPr>
        <w:t xml:space="preserve"> the ACT jurisdiction </w:t>
      </w:r>
      <w:r w:rsidR="00A44E88">
        <w:rPr>
          <w:rFonts w:ascii="Arial" w:hAnsi="Arial" w:cs="Arial"/>
          <w:iCs/>
          <w:sz w:val="24"/>
          <w:szCs w:val="24"/>
        </w:rPr>
        <w:t>with</w:t>
      </w:r>
      <w:r w:rsidR="00F02C3D">
        <w:rPr>
          <w:rFonts w:ascii="Arial" w:hAnsi="Arial" w:cs="Arial"/>
          <w:iCs/>
          <w:sz w:val="24"/>
          <w:szCs w:val="24"/>
        </w:rPr>
        <w:t xml:space="preserve"> other jurisdiction</w:t>
      </w:r>
      <w:r w:rsidR="00A44E88">
        <w:rPr>
          <w:rFonts w:ascii="Arial" w:hAnsi="Arial" w:cs="Arial"/>
          <w:iCs/>
          <w:sz w:val="24"/>
          <w:szCs w:val="24"/>
        </w:rPr>
        <w:t>s</w:t>
      </w:r>
      <w:r w:rsidR="00F02C3D">
        <w:rPr>
          <w:rFonts w:ascii="Arial" w:hAnsi="Arial" w:cs="Arial"/>
          <w:iCs/>
          <w:sz w:val="24"/>
          <w:szCs w:val="24"/>
        </w:rPr>
        <w:t>.</w:t>
      </w:r>
    </w:p>
    <w:p w14:paraId="5D5C6C0D" w14:textId="1A11D029"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58E332F5" w14:textId="7907E114" w:rsidR="00FC11A8" w:rsidRDefault="00FC11A8" w:rsidP="00414921">
      <w:pPr>
        <w:rPr>
          <w:rFonts w:ascii="Arial" w:hAnsi="Arial" w:cs="Arial"/>
          <w:iCs/>
          <w:sz w:val="24"/>
          <w:szCs w:val="24"/>
        </w:rPr>
      </w:pPr>
      <w:r>
        <w:rPr>
          <w:rFonts w:ascii="Arial" w:hAnsi="Arial" w:cs="Arial"/>
          <w:iCs/>
          <w:sz w:val="24"/>
          <w:szCs w:val="24"/>
        </w:rPr>
        <w:t xml:space="preserve">Extensive consultation has been undertaken during the development of this Bill with </w:t>
      </w:r>
      <w:r w:rsidR="00A44E88">
        <w:rPr>
          <w:rFonts w:ascii="Arial" w:hAnsi="Arial" w:cs="Arial"/>
          <w:iCs/>
          <w:sz w:val="24"/>
          <w:szCs w:val="24"/>
        </w:rPr>
        <w:t xml:space="preserve">a range of </w:t>
      </w:r>
      <w:r>
        <w:rPr>
          <w:rFonts w:ascii="Arial" w:hAnsi="Arial" w:cs="Arial"/>
          <w:iCs/>
          <w:sz w:val="24"/>
          <w:szCs w:val="24"/>
        </w:rPr>
        <w:t xml:space="preserve">stakeholders. </w:t>
      </w:r>
    </w:p>
    <w:p w14:paraId="5F19103D" w14:textId="3E1DDE5E" w:rsidR="00FC11A8" w:rsidRDefault="00FC11A8" w:rsidP="00414921">
      <w:pPr>
        <w:rPr>
          <w:rFonts w:ascii="Arial" w:hAnsi="Arial" w:cs="Arial"/>
          <w:iCs/>
          <w:sz w:val="24"/>
          <w:szCs w:val="24"/>
        </w:rPr>
      </w:pPr>
      <w:r>
        <w:rPr>
          <w:rFonts w:ascii="Arial" w:hAnsi="Arial" w:cs="Arial"/>
          <w:iCs/>
          <w:sz w:val="24"/>
          <w:szCs w:val="24"/>
        </w:rPr>
        <w:t xml:space="preserve">ACT Courts </w:t>
      </w:r>
      <w:r w:rsidR="00C640F8">
        <w:rPr>
          <w:rFonts w:ascii="Arial" w:hAnsi="Arial" w:cs="Arial"/>
          <w:iCs/>
          <w:sz w:val="24"/>
          <w:szCs w:val="24"/>
        </w:rPr>
        <w:t xml:space="preserve">and Tribunal </w:t>
      </w:r>
      <w:r w:rsidR="00A44E88">
        <w:rPr>
          <w:rFonts w:ascii="Arial" w:hAnsi="Arial" w:cs="Arial"/>
          <w:iCs/>
          <w:sz w:val="24"/>
          <w:szCs w:val="24"/>
        </w:rPr>
        <w:t>were consulted</w:t>
      </w:r>
      <w:r>
        <w:rPr>
          <w:rFonts w:ascii="Arial" w:hAnsi="Arial" w:cs="Arial"/>
          <w:iCs/>
          <w:sz w:val="24"/>
          <w:szCs w:val="24"/>
        </w:rPr>
        <w:t xml:space="preserve"> to ensure the amendments work on a practical level within the justice system. </w:t>
      </w:r>
    </w:p>
    <w:p w14:paraId="1A2BA5E1" w14:textId="28D13523" w:rsidR="00790FE4" w:rsidRDefault="00503AAB" w:rsidP="008C225D">
      <w:pPr>
        <w:pStyle w:val="Heading2"/>
      </w:pPr>
      <w:r>
        <w:t xml:space="preserve">CONSISTENCY WITH </w:t>
      </w:r>
      <w:r w:rsidR="00790FE4" w:rsidRPr="008C225D">
        <w:t>HUMAN RIGHTS</w:t>
      </w:r>
    </w:p>
    <w:p w14:paraId="1918D628" w14:textId="77777777" w:rsidR="00C753C2" w:rsidRPr="00414921"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04E73D86" w14:textId="27C7AFB1" w:rsidR="003B3A43" w:rsidRPr="00220BC7" w:rsidRDefault="00220BC7" w:rsidP="00414921">
      <w:pPr>
        <w:rPr>
          <w:rFonts w:ascii="Arial" w:hAnsi="Arial" w:cs="Arial"/>
          <w:iCs/>
          <w:sz w:val="24"/>
          <w:szCs w:val="24"/>
        </w:rPr>
      </w:pPr>
      <w:r>
        <w:rPr>
          <w:rFonts w:ascii="Arial" w:hAnsi="Arial" w:cs="Arial"/>
          <w:iCs/>
          <w:sz w:val="24"/>
          <w:szCs w:val="24"/>
        </w:rPr>
        <w:t xml:space="preserve">The amendment to </w:t>
      </w:r>
      <w:r w:rsidR="00A35960">
        <w:rPr>
          <w:rFonts w:ascii="Arial" w:hAnsi="Arial" w:cs="Arial"/>
          <w:iCs/>
          <w:sz w:val="24"/>
          <w:szCs w:val="24"/>
        </w:rPr>
        <w:t xml:space="preserve">enable rules to provide </w:t>
      </w:r>
      <w:r>
        <w:rPr>
          <w:rFonts w:ascii="Arial" w:hAnsi="Arial" w:cs="Arial"/>
          <w:iCs/>
          <w:sz w:val="24"/>
          <w:szCs w:val="24"/>
        </w:rPr>
        <w:t xml:space="preserve">the </w:t>
      </w:r>
      <w:r w:rsidR="00A44E88">
        <w:rPr>
          <w:rFonts w:ascii="Arial" w:hAnsi="Arial" w:cs="Arial"/>
          <w:iCs/>
          <w:sz w:val="24"/>
          <w:szCs w:val="24"/>
        </w:rPr>
        <w:t xml:space="preserve">courts </w:t>
      </w:r>
      <w:r>
        <w:rPr>
          <w:rFonts w:ascii="Arial" w:hAnsi="Arial" w:cs="Arial"/>
          <w:iCs/>
          <w:sz w:val="24"/>
          <w:szCs w:val="24"/>
        </w:rPr>
        <w:t xml:space="preserve">with the power to order costs against non-parties engages </w:t>
      </w:r>
      <w:r w:rsidR="008C76E6">
        <w:rPr>
          <w:rFonts w:ascii="Arial" w:hAnsi="Arial" w:cs="Arial"/>
          <w:iCs/>
          <w:sz w:val="24"/>
          <w:szCs w:val="24"/>
        </w:rPr>
        <w:t>the right to privacy and reputation</w:t>
      </w:r>
      <w:r w:rsidR="00A44E88">
        <w:rPr>
          <w:rFonts w:ascii="Arial" w:hAnsi="Arial" w:cs="Arial"/>
          <w:iCs/>
          <w:sz w:val="24"/>
          <w:szCs w:val="24"/>
        </w:rPr>
        <w:t>,</w:t>
      </w:r>
      <w:r w:rsidR="008C76E6">
        <w:rPr>
          <w:rFonts w:ascii="Arial" w:hAnsi="Arial" w:cs="Arial"/>
          <w:iCs/>
          <w:sz w:val="24"/>
          <w:szCs w:val="24"/>
        </w:rPr>
        <w:t xml:space="preserve"> and</w:t>
      </w:r>
      <w:r w:rsidR="00A44E88">
        <w:rPr>
          <w:rFonts w:ascii="Arial" w:hAnsi="Arial" w:cs="Arial"/>
          <w:iCs/>
          <w:sz w:val="24"/>
          <w:szCs w:val="24"/>
        </w:rPr>
        <w:t xml:space="preserve"> the</w:t>
      </w:r>
      <w:r w:rsidR="008C76E6">
        <w:rPr>
          <w:rFonts w:ascii="Arial" w:hAnsi="Arial" w:cs="Arial"/>
          <w:iCs/>
          <w:sz w:val="24"/>
          <w:szCs w:val="24"/>
        </w:rPr>
        <w:t xml:space="preserve"> right to fair trial under s</w:t>
      </w:r>
      <w:r>
        <w:rPr>
          <w:rFonts w:ascii="Arial" w:hAnsi="Arial" w:cs="Arial"/>
          <w:iCs/>
          <w:sz w:val="24"/>
          <w:szCs w:val="24"/>
        </w:rPr>
        <w:t xml:space="preserve">ections 12 and 21 of the </w:t>
      </w:r>
      <w:r>
        <w:rPr>
          <w:rFonts w:ascii="Arial" w:hAnsi="Arial" w:cs="Arial"/>
          <w:i/>
          <w:sz w:val="24"/>
          <w:szCs w:val="24"/>
        </w:rPr>
        <w:t>Human Rights Act 2004</w:t>
      </w:r>
      <w:r w:rsidR="008C76E6">
        <w:rPr>
          <w:rFonts w:ascii="Arial" w:hAnsi="Arial" w:cs="Arial"/>
          <w:iCs/>
          <w:sz w:val="24"/>
          <w:szCs w:val="24"/>
        </w:rPr>
        <w:t xml:space="preserve">. </w:t>
      </w:r>
      <w:r>
        <w:rPr>
          <w:rFonts w:ascii="Arial" w:hAnsi="Arial" w:cs="Arial"/>
          <w:iCs/>
          <w:sz w:val="24"/>
          <w:szCs w:val="24"/>
        </w:rPr>
        <w:t xml:space="preserve"> </w:t>
      </w:r>
    </w:p>
    <w:p w14:paraId="265D5486" w14:textId="77777777" w:rsidR="00BC3EF0" w:rsidRPr="00BC3EF0" w:rsidRDefault="00BC3EF0" w:rsidP="00414921">
      <w:pPr>
        <w:rPr>
          <w:rFonts w:ascii="Arial" w:hAnsi="Arial" w:cs="Arial"/>
          <w:b/>
          <w:bCs/>
          <w:i/>
          <w:sz w:val="24"/>
          <w:szCs w:val="24"/>
        </w:rPr>
      </w:pPr>
      <w:r w:rsidRPr="00BC3EF0">
        <w:rPr>
          <w:rFonts w:ascii="Arial" w:hAnsi="Arial" w:cs="Arial"/>
          <w:b/>
          <w:bCs/>
          <w:i/>
          <w:sz w:val="24"/>
          <w:szCs w:val="24"/>
        </w:rPr>
        <w:t>Rights Limited</w:t>
      </w:r>
    </w:p>
    <w:p w14:paraId="05BFF737" w14:textId="1996E958" w:rsidR="00376166" w:rsidRPr="00414921" w:rsidRDefault="007C565D" w:rsidP="00B32205">
      <w:pPr>
        <w:pStyle w:val="ListParagraph"/>
        <w:numPr>
          <w:ilvl w:val="0"/>
          <w:numId w:val="3"/>
        </w:numPr>
        <w:rPr>
          <w:rFonts w:ascii="Arial" w:hAnsi="Arial" w:cs="Arial"/>
          <w:b/>
          <w:bCs/>
          <w:i/>
          <w:sz w:val="24"/>
          <w:szCs w:val="24"/>
        </w:rPr>
      </w:pPr>
      <w:r w:rsidRPr="00414921">
        <w:rPr>
          <w:rFonts w:ascii="Arial" w:hAnsi="Arial" w:cs="Arial"/>
          <w:b/>
          <w:bCs/>
          <w:i/>
          <w:sz w:val="24"/>
          <w:szCs w:val="24"/>
        </w:rPr>
        <w:t xml:space="preserve">Nature of the right and the limitation </w:t>
      </w:r>
    </w:p>
    <w:p w14:paraId="6535F0FE" w14:textId="32ABE80D" w:rsidR="002658E4" w:rsidRDefault="00220BC7" w:rsidP="00367B82">
      <w:pPr>
        <w:spacing w:before="240"/>
        <w:rPr>
          <w:rFonts w:ascii="Arial" w:hAnsi="Arial" w:cs="Arial"/>
          <w:iCs/>
          <w:sz w:val="24"/>
          <w:szCs w:val="24"/>
        </w:rPr>
      </w:pPr>
      <w:r>
        <w:rPr>
          <w:rFonts w:ascii="Arial" w:hAnsi="Arial" w:cs="Arial"/>
          <w:iCs/>
          <w:sz w:val="24"/>
          <w:szCs w:val="24"/>
        </w:rPr>
        <w:t xml:space="preserve">Allowing costs to be ordered against non-parties to </w:t>
      </w:r>
      <w:r w:rsidR="00A44E88">
        <w:rPr>
          <w:rFonts w:ascii="Arial" w:hAnsi="Arial" w:cs="Arial"/>
          <w:iCs/>
          <w:sz w:val="24"/>
          <w:szCs w:val="24"/>
        </w:rPr>
        <w:t>proceedings</w:t>
      </w:r>
      <w:r>
        <w:rPr>
          <w:rFonts w:ascii="Arial" w:hAnsi="Arial" w:cs="Arial"/>
          <w:iCs/>
          <w:sz w:val="24"/>
          <w:szCs w:val="24"/>
        </w:rPr>
        <w:t xml:space="preserve"> limits </w:t>
      </w:r>
      <w:r w:rsidR="008C76E6">
        <w:rPr>
          <w:rFonts w:ascii="Arial" w:hAnsi="Arial" w:cs="Arial"/>
          <w:iCs/>
          <w:sz w:val="24"/>
          <w:szCs w:val="24"/>
        </w:rPr>
        <w:t>an individual’s right to</w:t>
      </w:r>
      <w:r>
        <w:rPr>
          <w:rFonts w:ascii="Arial" w:hAnsi="Arial" w:cs="Arial"/>
          <w:iCs/>
          <w:sz w:val="24"/>
          <w:szCs w:val="24"/>
        </w:rPr>
        <w:t xml:space="preserve"> privacy and reputation, and fair trial. </w:t>
      </w:r>
    </w:p>
    <w:p w14:paraId="7FD5BDD2" w14:textId="249784CE" w:rsidR="002658E4" w:rsidRDefault="002658E4" w:rsidP="002658E4">
      <w:pPr>
        <w:rPr>
          <w:rFonts w:ascii="Arial" w:hAnsi="Arial" w:cs="Arial"/>
          <w:iCs/>
          <w:sz w:val="24"/>
          <w:szCs w:val="24"/>
        </w:rPr>
      </w:pPr>
      <w:r>
        <w:rPr>
          <w:rFonts w:ascii="Arial" w:hAnsi="Arial" w:cs="Arial"/>
          <w:iCs/>
          <w:sz w:val="24"/>
          <w:szCs w:val="24"/>
        </w:rPr>
        <w:lastRenderedPageBreak/>
        <w:t xml:space="preserve">The right to privacy and reputation is </w:t>
      </w:r>
      <w:r w:rsidR="008C76E6">
        <w:rPr>
          <w:rFonts w:ascii="Arial" w:hAnsi="Arial" w:cs="Arial"/>
          <w:iCs/>
          <w:sz w:val="24"/>
          <w:szCs w:val="24"/>
        </w:rPr>
        <w:t>a</w:t>
      </w:r>
      <w:r w:rsidR="004D6687">
        <w:rPr>
          <w:rFonts w:ascii="Arial" w:hAnsi="Arial" w:cs="Arial"/>
          <w:iCs/>
          <w:sz w:val="24"/>
          <w:szCs w:val="24"/>
        </w:rPr>
        <w:t>n</w:t>
      </w:r>
      <w:r w:rsidR="008C76E6">
        <w:rPr>
          <w:rFonts w:ascii="Arial" w:hAnsi="Arial" w:cs="Arial"/>
          <w:iCs/>
          <w:sz w:val="24"/>
          <w:szCs w:val="24"/>
        </w:rPr>
        <w:t xml:space="preserve"> </w:t>
      </w:r>
      <w:r w:rsidR="004D6687">
        <w:rPr>
          <w:rFonts w:ascii="Arial" w:hAnsi="Arial" w:cs="Arial"/>
          <w:iCs/>
          <w:sz w:val="24"/>
          <w:szCs w:val="24"/>
        </w:rPr>
        <w:t>individual</w:t>
      </w:r>
      <w:r w:rsidR="008C76E6">
        <w:rPr>
          <w:rFonts w:ascii="Arial" w:hAnsi="Arial" w:cs="Arial"/>
          <w:iCs/>
          <w:sz w:val="24"/>
          <w:szCs w:val="24"/>
        </w:rPr>
        <w:t>’s right to be protected</w:t>
      </w:r>
      <w:r>
        <w:rPr>
          <w:rFonts w:ascii="Arial" w:hAnsi="Arial" w:cs="Arial"/>
          <w:iCs/>
          <w:sz w:val="24"/>
          <w:szCs w:val="24"/>
        </w:rPr>
        <w:t xml:space="preserve"> </w:t>
      </w:r>
      <w:r w:rsidRPr="002658E4">
        <w:rPr>
          <w:rFonts w:ascii="Arial" w:hAnsi="Arial" w:cs="Arial"/>
          <w:iCs/>
          <w:sz w:val="24"/>
          <w:szCs w:val="24"/>
        </w:rPr>
        <w:t xml:space="preserve">from having </w:t>
      </w:r>
      <w:r w:rsidR="008C76E6">
        <w:rPr>
          <w:rFonts w:ascii="Arial" w:hAnsi="Arial" w:cs="Arial"/>
          <w:iCs/>
          <w:sz w:val="24"/>
          <w:szCs w:val="24"/>
        </w:rPr>
        <w:t>their</w:t>
      </w:r>
      <w:r w:rsidRPr="002658E4">
        <w:rPr>
          <w:rFonts w:ascii="Arial" w:hAnsi="Arial" w:cs="Arial"/>
          <w:iCs/>
          <w:sz w:val="24"/>
          <w:szCs w:val="24"/>
        </w:rPr>
        <w:t xml:space="preserve"> privacy, family, home or correspondence interfered with unlawfully or arbitrarily; and</w:t>
      </w:r>
      <w:r w:rsidR="004D6687">
        <w:rPr>
          <w:rFonts w:ascii="Arial" w:hAnsi="Arial" w:cs="Arial"/>
          <w:iCs/>
          <w:sz w:val="24"/>
          <w:szCs w:val="24"/>
        </w:rPr>
        <w:t>,</w:t>
      </w:r>
      <w:r w:rsidRPr="002658E4">
        <w:rPr>
          <w:rFonts w:ascii="Arial" w:hAnsi="Arial" w:cs="Arial"/>
          <w:iCs/>
          <w:sz w:val="24"/>
          <w:szCs w:val="24"/>
        </w:rPr>
        <w:t xml:space="preserve"> less relevantly, to not have </w:t>
      </w:r>
      <w:r w:rsidR="004D6687">
        <w:rPr>
          <w:rFonts w:ascii="Arial" w:hAnsi="Arial" w:cs="Arial"/>
          <w:iCs/>
          <w:sz w:val="24"/>
          <w:szCs w:val="24"/>
        </w:rPr>
        <w:t>their</w:t>
      </w:r>
      <w:r w:rsidRPr="002658E4">
        <w:rPr>
          <w:rFonts w:ascii="Arial" w:hAnsi="Arial" w:cs="Arial"/>
          <w:iCs/>
          <w:sz w:val="24"/>
          <w:szCs w:val="24"/>
        </w:rPr>
        <w:t xml:space="preserve"> reputation unlawfully attacked</w:t>
      </w:r>
      <w:r>
        <w:rPr>
          <w:rFonts w:ascii="Arial" w:hAnsi="Arial" w:cs="Arial"/>
          <w:iCs/>
          <w:sz w:val="24"/>
          <w:szCs w:val="24"/>
        </w:rPr>
        <w:t xml:space="preserve">. </w:t>
      </w:r>
      <w:r w:rsidR="00A44E88">
        <w:rPr>
          <w:rFonts w:ascii="Arial" w:hAnsi="Arial" w:cs="Arial"/>
          <w:iCs/>
          <w:sz w:val="24"/>
          <w:szCs w:val="24"/>
        </w:rPr>
        <w:t xml:space="preserve">The ability of the court to order costs against an individual who is not a party to a proceeding has the potential to affect an individual’s </w:t>
      </w:r>
      <w:r w:rsidR="00CB6E5E">
        <w:rPr>
          <w:rFonts w:ascii="Arial" w:hAnsi="Arial" w:cs="Arial"/>
          <w:iCs/>
          <w:sz w:val="24"/>
          <w:szCs w:val="24"/>
        </w:rPr>
        <w:t xml:space="preserve">right </w:t>
      </w:r>
      <w:r w:rsidR="00A44E88">
        <w:rPr>
          <w:rFonts w:ascii="Arial" w:hAnsi="Arial" w:cs="Arial"/>
          <w:iCs/>
          <w:sz w:val="24"/>
          <w:szCs w:val="24"/>
        </w:rPr>
        <w:t>to privacy as the individual would become involved in a proceeding that they are not party to.</w:t>
      </w:r>
      <w:r>
        <w:rPr>
          <w:rFonts w:ascii="Arial" w:hAnsi="Arial" w:cs="Arial"/>
          <w:iCs/>
          <w:sz w:val="24"/>
          <w:szCs w:val="24"/>
        </w:rPr>
        <w:t xml:space="preserve"> </w:t>
      </w:r>
    </w:p>
    <w:p w14:paraId="21EFC30C" w14:textId="19F38670" w:rsidR="002658E4" w:rsidRDefault="002658E4" w:rsidP="002658E4">
      <w:pPr>
        <w:rPr>
          <w:rFonts w:ascii="Arial" w:hAnsi="Arial" w:cs="Arial"/>
          <w:iCs/>
          <w:sz w:val="24"/>
          <w:szCs w:val="24"/>
        </w:rPr>
      </w:pPr>
      <w:r>
        <w:rPr>
          <w:rFonts w:ascii="Arial" w:hAnsi="Arial" w:cs="Arial"/>
          <w:iCs/>
          <w:sz w:val="24"/>
          <w:szCs w:val="24"/>
        </w:rPr>
        <w:t xml:space="preserve">The right to fair trial is </w:t>
      </w:r>
      <w:r w:rsidRPr="002658E4">
        <w:rPr>
          <w:rFonts w:ascii="Arial" w:hAnsi="Arial" w:cs="Arial"/>
          <w:iCs/>
          <w:sz w:val="24"/>
          <w:szCs w:val="24"/>
        </w:rPr>
        <w:t xml:space="preserve">the right to have all criminal charges, and rights and obligations recognised by law, decided by a competent, </w:t>
      </w:r>
      <w:r w:rsidR="0093599A" w:rsidRPr="002658E4">
        <w:rPr>
          <w:rFonts w:ascii="Arial" w:hAnsi="Arial" w:cs="Arial"/>
          <w:iCs/>
          <w:sz w:val="24"/>
          <w:szCs w:val="24"/>
        </w:rPr>
        <w:t>independent,</w:t>
      </w:r>
      <w:r w:rsidRPr="002658E4">
        <w:rPr>
          <w:rFonts w:ascii="Arial" w:hAnsi="Arial" w:cs="Arial"/>
          <w:iCs/>
          <w:sz w:val="24"/>
          <w:szCs w:val="24"/>
        </w:rPr>
        <w:t xml:space="preserve"> and impartial court or tribunal after a fair and public hearing</w:t>
      </w:r>
      <w:r>
        <w:rPr>
          <w:rFonts w:ascii="Arial" w:hAnsi="Arial" w:cs="Arial"/>
          <w:iCs/>
          <w:sz w:val="24"/>
          <w:szCs w:val="24"/>
        </w:rPr>
        <w:t>.</w:t>
      </w:r>
      <w:r w:rsidR="00A44E88">
        <w:rPr>
          <w:rFonts w:ascii="Arial" w:hAnsi="Arial" w:cs="Arial"/>
          <w:iCs/>
          <w:sz w:val="24"/>
          <w:szCs w:val="24"/>
        </w:rPr>
        <w:t xml:space="preserve"> </w:t>
      </w:r>
      <w:r w:rsidR="00471F9D">
        <w:rPr>
          <w:rFonts w:ascii="Arial" w:hAnsi="Arial" w:cs="Arial"/>
          <w:iCs/>
          <w:sz w:val="24"/>
          <w:szCs w:val="24"/>
        </w:rPr>
        <w:t>The concept of ‘a right or obligation recognised by law’ includes civil proceedings.</w:t>
      </w:r>
      <w:r w:rsidR="00425D6C">
        <w:rPr>
          <w:rFonts w:ascii="Arial" w:hAnsi="Arial" w:cs="Arial"/>
          <w:iCs/>
          <w:sz w:val="24"/>
          <w:szCs w:val="24"/>
        </w:rPr>
        <w:t xml:space="preserve"> </w:t>
      </w:r>
      <w:r w:rsidR="00A44E88">
        <w:rPr>
          <w:rFonts w:ascii="Arial" w:hAnsi="Arial" w:cs="Arial"/>
          <w:iCs/>
          <w:sz w:val="24"/>
          <w:szCs w:val="24"/>
        </w:rPr>
        <w:t xml:space="preserve">The ability of the court to order costs against an individual who is not a party to a proceeding has the potential to affect an individual’s right to have their legal rights and obligations decided by a court after a fair and public hearing. As they would not be a party to the relevant proceedings, this right is accordingly limited.  </w:t>
      </w:r>
    </w:p>
    <w:p w14:paraId="667B79F7" w14:textId="6E9E39A2" w:rsidR="006555E3" w:rsidRDefault="006555E3" w:rsidP="00376166">
      <w:pPr>
        <w:pStyle w:val="ListParagraph"/>
        <w:ind w:left="360"/>
        <w:rPr>
          <w:rFonts w:ascii="Arial" w:hAnsi="Arial" w:cs="Arial"/>
          <w:i/>
          <w:color w:val="FF0000"/>
          <w:sz w:val="24"/>
          <w:szCs w:val="24"/>
        </w:rPr>
      </w:pPr>
    </w:p>
    <w:p w14:paraId="4C31D8E5" w14:textId="572CFC04" w:rsidR="007C565D" w:rsidRPr="00414921" w:rsidRDefault="007C565D" w:rsidP="00B32205">
      <w:pPr>
        <w:pStyle w:val="ListParagraph"/>
        <w:numPr>
          <w:ilvl w:val="0"/>
          <w:numId w:val="3"/>
        </w:numPr>
        <w:rPr>
          <w:rFonts w:ascii="Arial" w:hAnsi="Arial" w:cs="Arial"/>
          <w:b/>
          <w:bCs/>
          <w:i/>
          <w:sz w:val="24"/>
          <w:szCs w:val="24"/>
        </w:rPr>
      </w:pPr>
      <w:r w:rsidRPr="00414921">
        <w:rPr>
          <w:rFonts w:ascii="Arial" w:hAnsi="Arial" w:cs="Arial"/>
          <w:b/>
          <w:bCs/>
          <w:i/>
          <w:sz w:val="24"/>
          <w:szCs w:val="24"/>
        </w:rPr>
        <w:t>Legitimate purpose (s</w:t>
      </w:r>
      <w:r w:rsidR="00440C11">
        <w:rPr>
          <w:rFonts w:ascii="Arial" w:hAnsi="Arial" w:cs="Arial"/>
          <w:b/>
          <w:bCs/>
          <w:i/>
          <w:sz w:val="24"/>
          <w:szCs w:val="24"/>
        </w:rPr>
        <w:t xml:space="preserve"> </w:t>
      </w:r>
      <w:r w:rsidRPr="00414921">
        <w:rPr>
          <w:rFonts w:ascii="Arial" w:hAnsi="Arial" w:cs="Arial"/>
          <w:b/>
          <w:bCs/>
          <w:i/>
          <w:sz w:val="24"/>
          <w:szCs w:val="24"/>
        </w:rPr>
        <w:t>28</w:t>
      </w:r>
      <w:r w:rsidR="00440C11">
        <w:rPr>
          <w:rFonts w:ascii="Arial" w:hAnsi="Arial" w:cs="Arial"/>
          <w:b/>
          <w:bCs/>
          <w:i/>
          <w:sz w:val="24"/>
          <w:szCs w:val="24"/>
        </w:rPr>
        <w:t>(2)</w:t>
      </w:r>
      <w:r w:rsidRPr="00414921">
        <w:rPr>
          <w:rFonts w:ascii="Arial" w:hAnsi="Arial" w:cs="Arial"/>
          <w:b/>
          <w:bCs/>
          <w:i/>
          <w:sz w:val="24"/>
          <w:szCs w:val="24"/>
        </w:rPr>
        <w:t>(b))</w:t>
      </w:r>
    </w:p>
    <w:p w14:paraId="2CC624C6" w14:textId="7760B312" w:rsidR="00971F6D" w:rsidRDefault="002658E4" w:rsidP="00367B82">
      <w:pPr>
        <w:spacing w:before="240"/>
        <w:rPr>
          <w:rFonts w:ascii="Arial" w:hAnsi="Arial" w:cs="Arial"/>
          <w:iCs/>
          <w:sz w:val="24"/>
          <w:szCs w:val="24"/>
        </w:rPr>
      </w:pPr>
      <w:r>
        <w:rPr>
          <w:rFonts w:ascii="Arial" w:hAnsi="Arial" w:cs="Arial"/>
          <w:iCs/>
          <w:sz w:val="24"/>
          <w:szCs w:val="24"/>
        </w:rPr>
        <w:t xml:space="preserve">The </w:t>
      </w:r>
      <w:r w:rsidR="00971F6D">
        <w:rPr>
          <w:rFonts w:ascii="Arial" w:hAnsi="Arial" w:cs="Arial"/>
          <w:iCs/>
          <w:sz w:val="24"/>
          <w:szCs w:val="24"/>
        </w:rPr>
        <w:t xml:space="preserve">amendment that enables the </w:t>
      </w:r>
      <w:r w:rsidR="00471567">
        <w:rPr>
          <w:rFonts w:ascii="Arial" w:hAnsi="Arial" w:cs="Arial"/>
          <w:iCs/>
          <w:sz w:val="24"/>
          <w:szCs w:val="24"/>
        </w:rPr>
        <w:t>R</w:t>
      </w:r>
      <w:r w:rsidR="00971F6D">
        <w:rPr>
          <w:rFonts w:ascii="Arial" w:hAnsi="Arial" w:cs="Arial"/>
          <w:iCs/>
          <w:sz w:val="24"/>
          <w:szCs w:val="24"/>
        </w:rPr>
        <w:t xml:space="preserve">ules to empower the court to order costs against non-parties to proceedings </w:t>
      </w:r>
      <w:r>
        <w:rPr>
          <w:rFonts w:ascii="Arial" w:hAnsi="Arial" w:cs="Arial"/>
          <w:iCs/>
          <w:sz w:val="24"/>
          <w:szCs w:val="24"/>
        </w:rPr>
        <w:t xml:space="preserve">has </w:t>
      </w:r>
      <w:r w:rsidR="004D6687">
        <w:rPr>
          <w:rFonts w:ascii="Arial" w:hAnsi="Arial" w:cs="Arial"/>
          <w:iCs/>
          <w:sz w:val="24"/>
          <w:szCs w:val="24"/>
        </w:rPr>
        <w:t xml:space="preserve">a </w:t>
      </w:r>
      <w:r>
        <w:rPr>
          <w:rFonts w:ascii="Arial" w:hAnsi="Arial" w:cs="Arial"/>
          <w:iCs/>
          <w:sz w:val="24"/>
          <w:szCs w:val="24"/>
        </w:rPr>
        <w:t xml:space="preserve">legitimate </w:t>
      </w:r>
      <w:r w:rsidR="00D239D6">
        <w:rPr>
          <w:rFonts w:ascii="Arial" w:hAnsi="Arial" w:cs="Arial"/>
          <w:iCs/>
          <w:sz w:val="24"/>
          <w:szCs w:val="24"/>
        </w:rPr>
        <w:t xml:space="preserve">purpose of </w:t>
      </w:r>
      <w:r w:rsidR="00A44E88">
        <w:rPr>
          <w:rFonts w:ascii="Arial" w:hAnsi="Arial" w:cs="Arial"/>
          <w:iCs/>
          <w:sz w:val="24"/>
          <w:szCs w:val="24"/>
        </w:rPr>
        <w:t xml:space="preserve">enhancing </w:t>
      </w:r>
      <w:r w:rsidR="00622EF5">
        <w:rPr>
          <w:rFonts w:ascii="Arial" w:hAnsi="Arial" w:cs="Arial"/>
          <w:iCs/>
          <w:sz w:val="24"/>
          <w:szCs w:val="24"/>
        </w:rPr>
        <w:t>access to</w:t>
      </w:r>
      <w:r w:rsidR="00D239D6">
        <w:rPr>
          <w:rFonts w:ascii="Arial" w:hAnsi="Arial" w:cs="Arial"/>
          <w:iCs/>
          <w:sz w:val="24"/>
          <w:szCs w:val="24"/>
        </w:rPr>
        <w:t xml:space="preserve"> justice</w:t>
      </w:r>
      <w:r w:rsidR="00A44E88">
        <w:rPr>
          <w:rFonts w:ascii="Arial" w:hAnsi="Arial" w:cs="Arial"/>
          <w:iCs/>
          <w:sz w:val="24"/>
          <w:szCs w:val="24"/>
        </w:rPr>
        <w:t xml:space="preserve"> by ensuring parties who are rightly entitled to costs following the finalisation of a proceeding</w:t>
      </w:r>
      <w:r w:rsidR="00971F6D">
        <w:rPr>
          <w:rFonts w:ascii="Arial" w:hAnsi="Arial" w:cs="Arial"/>
          <w:iCs/>
          <w:sz w:val="24"/>
          <w:szCs w:val="24"/>
        </w:rPr>
        <w:t xml:space="preserve"> have access to those costs from a non-party,</w:t>
      </w:r>
      <w:r w:rsidR="00D239D6">
        <w:rPr>
          <w:rFonts w:ascii="Arial" w:hAnsi="Arial" w:cs="Arial"/>
          <w:iCs/>
          <w:sz w:val="24"/>
          <w:szCs w:val="24"/>
        </w:rPr>
        <w:t xml:space="preserve"> where </w:t>
      </w:r>
      <w:r w:rsidR="00971F6D">
        <w:rPr>
          <w:rFonts w:ascii="Arial" w:hAnsi="Arial" w:cs="Arial"/>
          <w:iCs/>
          <w:sz w:val="24"/>
          <w:szCs w:val="24"/>
        </w:rPr>
        <w:t xml:space="preserve">it is in the interests of justice that costs are paid by the non-party and </w:t>
      </w:r>
      <w:r w:rsidR="00D239D6">
        <w:rPr>
          <w:rFonts w:ascii="Arial" w:hAnsi="Arial" w:cs="Arial"/>
          <w:iCs/>
          <w:sz w:val="24"/>
          <w:szCs w:val="24"/>
        </w:rPr>
        <w:t xml:space="preserve">the circumstances </w:t>
      </w:r>
      <w:r w:rsidR="00971F6D">
        <w:rPr>
          <w:rFonts w:ascii="Arial" w:hAnsi="Arial" w:cs="Arial"/>
          <w:iCs/>
          <w:sz w:val="24"/>
          <w:szCs w:val="24"/>
        </w:rPr>
        <w:t xml:space="preserve">otherwise </w:t>
      </w:r>
      <w:r w:rsidR="00D239D6">
        <w:rPr>
          <w:rFonts w:ascii="Arial" w:hAnsi="Arial" w:cs="Arial"/>
          <w:iCs/>
          <w:sz w:val="24"/>
          <w:szCs w:val="24"/>
        </w:rPr>
        <w:t xml:space="preserve">align with </w:t>
      </w:r>
      <w:r>
        <w:rPr>
          <w:rFonts w:ascii="Arial" w:hAnsi="Arial" w:cs="Arial"/>
          <w:iCs/>
          <w:sz w:val="24"/>
          <w:szCs w:val="24"/>
        </w:rPr>
        <w:t xml:space="preserve">the principles set out by the High Court in the case of </w:t>
      </w:r>
      <w:r w:rsidRPr="00F140A5">
        <w:rPr>
          <w:rFonts w:ascii="Arial" w:hAnsi="Arial" w:cs="Arial"/>
          <w:i/>
          <w:sz w:val="24"/>
          <w:szCs w:val="24"/>
        </w:rPr>
        <w:t xml:space="preserve">Knight v FP Special Assets Limited </w:t>
      </w:r>
      <w:r w:rsidRPr="002658E4">
        <w:rPr>
          <w:rFonts w:ascii="Arial" w:hAnsi="Arial" w:cs="Arial"/>
          <w:iCs/>
          <w:sz w:val="24"/>
          <w:szCs w:val="24"/>
        </w:rPr>
        <w:t>(1992) 174 CLR 178</w:t>
      </w:r>
      <w:r w:rsidR="00BF1259" w:rsidRPr="002658E4">
        <w:rPr>
          <w:rFonts w:ascii="Arial" w:hAnsi="Arial" w:cs="Arial"/>
          <w:iCs/>
          <w:sz w:val="24"/>
          <w:szCs w:val="24"/>
        </w:rPr>
        <w:footnoteReference w:id="2"/>
      </w:r>
      <w:r w:rsidR="00D56FEB">
        <w:rPr>
          <w:rFonts w:ascii="Arial" w:hAnsi="Arial" w:cs="Arial"/>
          <w:iCs/>
          <w:sz w:val="24"/>
          <w:szCs w:val="24"/>
        </w:rPr>
        <w:t xml:space="preserve"> (</w:t>
      </w:r>
      <w:r w:rsidR="00D56FEB">
        <w:rPr>
          <w:rFonts w:ascii="Arial" w:hAnsi="Arial" w:cs="Arial"/>
          <w:i/>
          <w:sz w:val="24"/>
          <w:szCs w:val="24"/>
        </w:rPr>
        <w:t>Knight</w:t>
      </w:r>
      <w:r w:rsidR="00C640F8">
        <w:rPr>
          <w:rFonts w:ascii="Arial" w:hAnsi="Arial" w:cs="Arial"/>
          <w:iCs/>
          <w:sz w:val="24"/>
          <w:szCs w:val="24"/>
        </w:rPr>
        <w:t>)</w:t>
      </w:r>
      <w:r w:rsidRPr="002658E4">
        <w:rPr>
          <w:rFonts w:ascii="Arial" w:hAnsi="Arial" w:cs="Arial"/>
          <w:iCs/>
          <w:sz w:val="24"/>
          <w:szCs w:val="24"/>
        </w:rPr>
        <w:t xml:space="preserve">. </w:t>
      </w:r>
    </w:p>
    <w:p w14:paraId="2239E25C" w14:textId="77777777" w:rsidR="007C565D" w:rsidRPr="007C565D" w:rsidRDefault="007C565D" w:rsidP="00414921">
      <w:pPr>
        <w:pStyle w:val="ListParagraph"/>
        <w:ind w:left="360"/>
        <w:rPr>
          <w:rFonts w:ascii="Arial" w:hAnsi="Arial" w:cs="Arial"/>
          <w:i/>
          <w:color w:val="FF0000"/>
          <w:sz w:val="24"/>
          <w:szCs w:val="24"/>
        </w:rPr>
      </w:pPr>
    </w:p>
    <w:p w14:paraId="28129201" w14:textId="73CD0EB9" w:rsidR="007C565D" w:rsidRPr="00414921" w:rsidRDefault="00376166" w:rsidP="00B32205">
      <w:pPr>
        <w:pStyle w:val="ListParagraph"/>
        <w:numPr>
          <w:ilvl w:val="0"/>
          <w:numId w:val="3"/>
        </w:numPr>
        <w:rPr>
          <w:rFonts w:ascii="Arial" w:hAnsi="Arial" w:cs="Arial"/>
          <w:b/>
          <w:bCs/>
          <w:i/>
          <w:sz w:val="24"/>
          <w:szCs w:val="24"/>
        </w:rPr>
      </w:pPr>
      <w:r w:rsidRPr="00414921">
        <w:rPr>
          <w:rFonts w:ascii="Arial" w:hAnsi="Arial" w:cs="Arial"/>
          <w:b/>
          <w:bCs/>
          <w:i/>
          <w:sz w:val="24"/>
          <w:szCs w:val="24"/>
        </w:rPr>
        <w:t xml:space="preserve">Rational connection </w:t>
      </w:r>
      <w:r w:rsidR="007C565D" w:rsidRPr="00414921">
        <w:rPr>
          <w:rFonts w:ascii="Arial" w:hAnsi="Arial" w:cs="Arial"/>
          <w:b/>
          <w:bCs/>
          <w:i/>
          <w:sz w:val="24"/>
          <w:szCs w:val="24"/>
        </w:rPr>
        <w:t>between the limitation and the purpose (s</w:t>
      </w:r>
      <w:r w:rsidR="00440C11">
        <w:rPr>
          <w:rFonts w:ascii="Arial" w:hAnsi="Arial" w:cs="Arial"/>
          <w:b/>
          <w:bCs/>
          <w:i/>
          <w:sz w:val="24"/>
          <w:szCs w:val="24"/>
        </w:rPr>
        <w:t xml:space="preserve"> </w:t>
      </w:r>
      <w:r w:rsidR="007C565D" w:rsidRPr="00414921">
        <w:rPr>
          <w:rFonts w:ascii="Arial" w:hAnsi="Arial" w:cs="Arial"/>
          <w:b/>
          <w:bCs/>
          <w:i/>
          <w:sz w:val="24"/>
          <w:szCs w:val="24"/>
        </w:rPr>
        <w:t>28</w:t>
      </w:r>
      <w:r w:rsidR="00440C11">
        <w:rPr>
          <w:rFonts w:ascii="Arial" w:hAnsi="Arial" w:cs="Arial"/>
          <w:b/>
          <w:bCs/>
          <w:i/>
          <w:sz w:val="24"/>
          <w:szCs w:val="24"/>
        </w:rPr>
        <w:t>(2)</w:t>
      </w:r>
      <w:r w:rsidR="007C565D" w:rsidRPr="00414921">
        <w:rPr>
          <w:rFonts w:ascii="Arial" w:hAnsi="Arial" w:cs="Arial"/>
          <w:b/>
          <w:bCs/>
          <w:i/>
          <w:sz w:val="24"/>
          <w:szCs w:val="24"/>
        </w:rPr>
        <w:t>(d))</w:t>
      </w:r>
    </w:p>
    <w:p w14:paraId="17B40C4C" w14:textId="1B9A9CAF" w:rsidR="0072185E" w:rsidRPr="002658E4" w:rsidRDefault="00971F6D" w:rsidP="00367B82">
      <w:pPr>
        <w:spacing w:before="240"/>
        <w:rPr>
          <w:rFonts w:ascii="Arial" w:hAnsi="Arial" w:cs="Arial"/>
          <w:iCs/>
          <w:sz w:val="24"/>
          <w:szCs w:val="24"/>
        </w:rPr>
      </w:pPr>
      <w:r>
        <w:rPr>
          <w:rFonts w:ascii="Arial" w:hAnsi="Arial" w:cs="Arial"/>
          <w:iCs/>
          <w:sz w:val="24"/>
          <w:szCs w:val="24"/>
        </w:rPr>
        <w:t xml:space="preserve">This legitimate objective will be achieved by enabling the </w:t>
      </w:r>
      <w:r w:rsidR="00471567">
        <w:rPr>
          <w:rFonts w:ascii="Arial" w:hAnsi="Arial" w:cs="Arial"/>
          <w:iCs/>
          <w:sz w:val="24"/>
          <w:szCs w:val="24"/>
        </w:rPr>
        <w:t>R</w:t>
      </w:r>
      <w:r>
        <w:rPr>
          <w:rFonts w:ascii="Arial" w:hAnsi="Arial" w:cs="Arial"/>
          <w:iCs/>
          <w:sz w:val="24"/>
          <w:szCs w:val="24"/>
        </w:rPr>
        <w:t xml:space="preserve">ules to empower the courts to order costs against non-parties, where the circumstances align with the principles set out by the High Court in </w:t>
      </w:r>
      <w:r>
        <w:rPr>
          <w:rFonts w:ascii="Arial" w:hAnsi="Arial" w:cs="Arial"/>
          <w:i/>
          <w:sz w:val="24"/>
          <w:szCs w:val="24"/>
        </w:rPr>
        <w:t>Knight</w:t>
      </w:r>
      <w:r>
        <w:rPr>
          <w:rFonts w:ascii="Arial" w:hAnsi="Arial" w:cs="Arial"/>
          <w:iCs/>
          <w:sz w:val="24"/>
          <w:szCs w:val="24"/>
        </w:rPr>
        <w:t xml:space="preserve">. This amendment will improve </w:t>
      </w:r>
      <w:r w:rsidR="00D56FEB">
        <w:rPr>
          <w:rFonts w:ascii="Arial" w:hAnsi="Arial" w:cs="Arial"/>
          <w:iCs/>
          <w:sz w:val="24"/>
          <w:szCs w:val="24"/>
        </w:rPr>
        <w:t xml:space="preserve">access to </w:t>
      </w:r>
      <w:r w:rsidR="0072185E">
        <w:rPr>
          <w:rFonts w:ascii="Arial" w:hAnsi="Arial" w:cs="Arial"/>
          <w:iCs/>
          <w:sz w:val="24"/>
          <w:szCs w:val="24"/>
        </w:rPr>
        <w:t>justice</w:t>
      </w:r>
      <w:r w:rsidR="00CD5823">
        <w:rPr>
          <w:rFonts w:ascii="Arial" w:hAnsi="Arial" w:cs="Arial"/>
          <w:iCs/>
          <w:sz w:val="24"/>
          <w:szCs w:val="24"/>
        </w:rPr>
        <w:t xml:space="preserve"> for parties </w:t>
      </w:r>
      <w:r>
        <w:rPr>
          <w:rFonts w:ascii="Arial" w:hAnsi="Arial" w:cs="Arial"/>
          <w:iCs/>
          <w:sz w:val="24"/>
          <w:szCs w:val="24"/>
        </w:rPr>
        <w:t xml:space="preserve">who </w:t>
      </w:r>
      <w:r w:rsidR="00CD5823">
        <w:rPr>
          <w:rFonts w:ascii="Arial" w:hAnsi="Arial" w:cs="Arial"/>
          <w:iCs/>
          <w:sz w:val="24"/>
          <w:szCs w:val="24"/>
        </w:rPr>
        <w:t xml:space="preserve">would otherwise be barred from receiving </w:t>
      </w:r>
      <w:r>
        <w:rPr>
          <w:rFonts w:ascii="Arial" w:hAnsi="Arial" w:cs="Arial"/>
          <w:iCs/>
          <w:sz w:val="24"/>
          <w:szCs w:val="24"/>
        </w:rPr>
        <w:t>costs they are rightly entitled to</w:t>
      </w:r>
      <w:r w:rsidR="0072185E">
        <w:rPr>
          <w:rFonts w:ascii="Arial" w:hAnsi="Arial" w:cs="Arial"/>
          <w:iCs/>
          <w:sz w:val="24"/>
          <w:szCs w:val="24"/>
        </w:rPr>
        <w:t xml:space="preserve">. By limiting these rights, non-parties who fit the very specific category laid out by the </w:t>
      </w:r>
      <w:r w:rsidR="00471567">
        <w:rPr>
          <w:rFonts w:ascii="Arial" w:hAnsi="Arial" w:cs="Arial"/>
          <w:iCs/>
          <w:sz w:val="24"/>
          <w:szCs w:val="24"/>
        </w:rPr>
        <w:t xml:space="preserve">principles in </w:t>
      </w:r>
      <w:r w:rsidR="00471567">
        <w:rPr>
          <w:rFonts w:ascii="Arial" w:hAnsi="Arial" w:cs="Arial"/>
          <w:i/>
          <w:sz w:val="24"/>
          <w:szCs w:val="24"/>
        </w:rPr>
        <w:t>Knight</w:t>
      </w:r>
      <w:r w:rsidR="0072185E">
        <w:rPr>
          <w:rFonts w:ascii="Arial" w:hAnsi="Arial" w:cs="Arial"/>
          <w:iCs/>
          <w:sz w:val="24"/>
          <w:szCs w:val="24"/>
        </w:rPr>
        <w:t xml:space="preserve"> will no longer be</w:t>
      </w:r>
      <w:r w:rsidR="00D56FEB">
        <w:rPr>
          <w:rFonts w:ascii="Arial" w:hAnsi="Arial" w:cs="Arial"/>
          <w:iCs/>
          <w:sz w:val="24"/>
          <w:szCs w:val="24"/>
        </w:rPr>
        <w:t xml:space="preserve"> inappropriately</w:t>
      </w:r>
      <w:r w:rsidR="0072185E">
        <w:rPr>
          <w:rFonts w:ascii="Arial" w:hAnsi="Arial" w:cs="Arial"/>
          <w:iCs/>
          <w:sz w:val="24"/>
          <w:szCs w:val="24"/>
        </w:rPr>
        <w:t xml:space="preserve"> shielded by the corporate veil, and will allow costs to be paid to a complainant where they otherwise could not have been</w:t>
      </w:r>
      <w:r w:rsidR="00D56FEB">
        <w:rPr>
          <w:rFonts w:ascii="Arial" w:hAnsi="Arial" w:cs="Arial"/>
          <w:iCs/>
          <w:sz w:val="24"/>
          <w:szCs w:val="24"/>
        </w:rPr>
        <w:t xml:space="preserve"> and where such payment would accord with the interest of justice in the circumstances</w:t>
      </w:r>
      <w:r w:rsidR="0072185E">
        <w:rPr>
          <w:rFonts w:ascii="Arial" w:hAnsi="Arial" w:cs="Arial"/>
          <w:iCs/>
          <w:sz w:val="24"/>
          <w:szCs w:val="24"/>
        </w:rPr>
        <w:t>.</w:t>
      </w:r>
    </w:p>
    <w:p w14:paraId="2F822F2C" w14:textId="099AACEC" w:rsidR="00376166" w:rsidRPr="00414921" w:rsidRDefault="00376166" w:rsidP="00414921">
      <w:pPr>
        <w:pStyle w:val="ListParagraph"/>
        <w:rPr>
          <w:rFonts w:ascii="Arial" w:hAnsi="Arial" w:cs="Arial"/>
          <w:i/>
          <w:color w:val="FF0000"/>
          <w:sz w:val="24"/>
          <w:szCs w:val="24"/>
        </w:rPr>
      </w:pPr>
    </w:p>
    <w:p w14:paraId="29C39D87" w14:textId="1CBAD747" w:rsidR="007D660F" w:rsidRDefault="007C565D" w:rsidP="00B32205">
      <w:pPr>
        <w:pStyle w:val="ListParagraph"/>
        <w:numPr>
          <w:ilvl w:val="0"/>
          <w:numId w:val="3"/>
        </w:numPr>
        <w:rPr>
          <w:rFonts w:ascii="Arial" w:hAnsi="Arial" w:cs="Arial"/>
          <w:b/>
          <w:bCs/>
          <w:i/>
          <w:sz w:val="24"/>
          <w:szCs w:val="24"/>
        </w:rPr>
      </w:pPr>
      <w:r w:rsidRPr="00414921">
        <w:rPr>
          <w:rFonts w:ascii="Arial" w:hAnsi="Arial" w:cs="Arial"/>
          <w:b/>
          <w:bCs/>
          <w:i/>
          <w:sz w:val="24"/>
          <w:szCs w:val="24"/>
        </w:rPr>
        <w:t>Proportionality</w:t>
      </w:r>
      <w:r w:rsidR="003F68EE" w:rsidRPr="00414921">
        <w:rPr>
          <w:rFonts w:ascii="Arial" w:hAnsi="Arial" w:cs="Arial"/>
          <w:b/>
          <w:bCs/>
          <w:i/>
          <w:sz w:val="24"/>
          <w:szCs w:val="24"/>
        </w:rPr>
        <w:t xml:space="preserve"> (s</w:t>
      </w:r>
      <w:r w:rsidR="00440C11">
        <w:rPr>
          <w:rFonts w:ascii="Arial" w:hAnsi="Arial" w:cs="Arial"/>
          <w:b/>
          <w:bCs/>
          <w:i/>
          <w:sz w:val="24"/>
          <w:szCs w:val="24"/>
        </w:rPr>
        <w:t xml:space="preserve"> </w:t>
      </w:r>
      <w:r w:rsidR="003F68EE" w:rsidRPr="00414921">
        <w:rPr>
          <w:rFonts w:ascii="Arial" w:hAnsi="Arial" w:cs="Arial"/>
          <w:b/>
          <w:bCs/>
          <w:i/>
          <w:sz w:val="24"/>
          <w:szCs w:val="24"/>
        </w:rPr>
        <w:t>28</w:t>
      </w:r>
      <w:r w:rsidR="00440C11">
        <w:rPr>
          <w:rFonts w:ascii="Arial" w:hAnsi="Arial" w:cs="Arial"/>
          <w:b/>
          <w:bCs/>
          <w:i/>
          <w:sz w:val="24"/>
          <w:szCs w:val="24"/>
        </w:rPr>
        <w:t>(2)</w:t>
      </w:r>
      <w:r w:rsidR="003F68EE" w:rsidRPr="00414921">
        <w:rPr>
          <w:rFonts w:ascii="Arial" w:hAnsi="Arial" w:cs="Arial"/>
          <w:b/>
          <w:bCs/>
          <w:i/>
          <w:sz w:val="24"/>
          <w:szCs w:val="24"/>
        </w:rPr>
        <w:t>(e))</w:t>
      </w:r>
    </w:p>
    <w:p w14:paraId="14C0DF38" w14:textId="5BF3B0A9" w:rsidR="00622EF5" w:rsidRDefault="00471567" w:rsidP="00367B82">
      <w:pPr>
        <w:spacing w:before="240"/>
        <w:rPr>
          <w:rFonts w:ascii="Arial" w:hAnsi="Arial" w:cs="Arial"/>
          <w:iCs/>
          <w:sz w:val="24"/>
          <w:szCs w:val="24"/>
        </w:rPr>
      </w:pPr>
      <w:r>
        <w:rPr>
          <w:rFonts w:ascii="Arial" w:hAnsi="Arial" w:cs="Arial"/>
          <w:iCs/>
          <w:sz w:val="24"/>
          <w:szCs w:val="24"/>
        </w:rPr>
        <w:t xml:space="preserve">Enabling the Rules to </w:t>
      </w:r>
      <w:bookmarkStart w:id="0" w:name="OLE_LINK1"/>
      <w:r>
        <w:rPr>
          <w:rFonts w:ascii="Arial" w:hAnsi="Arial" w:cs="Arial"/>
          <w:iCs/>
          <w:sz w:val="24"/>
          <w:szCs w:val="24"/>
        </w:rPr>
        <w:t>e</w:t>
      </w:r>
      <w:r w:rsidR="008B74F0">
        <w:rPr>
          <w:rFonts w:ascii="Arial" w:hAnsi="Arial" w:cs="Arial"/>
          <w:iCs/>
          <w:sz w:val="24"/>
          <w:szCs w:val="24"/>
        </w:rPr>
        <w:t>mpower courts to make non-party costs order</w:t>
      </w:r>
      <w:r>
        <w:rPr>
          <w:rFonts w:ascii="Arial" w:hAnsi="Arial" w:cs="Arial"/>
          <w:iCs/>
          <w:sz w:val="24"/>
          <w:szCs w:val="24"/>
        </w:rPr>
        <w:t>s</w:t>
      </w:r>
      <w:r w:rsidR="008B74F0">
        <w:rPr>
          <w:rFonts w:ascii="Arial" w:hAnsi="Arial" w:cs="Arial"/>
          <w:iCs/>
          <w:sz w:val="24"/>
          <w:szCs w:val="24"/>
        </w:rPr>
        <w:t xml:space="preserve"> is the only </w:t>
      </w:r>
      <w:r>
        <w:rPr>
          <w:rFonts w:ascii="Arial" w:hAnsi="Arial" w:cs="Arial"/>
          <w:iCs/>
          <w:sz w:val="24"/>
          <w:szCs w:val="24"/>
        </w:rPr>
        <w:t xml:space="preserve">option </w:t>
      </w:r>
      <w:r w:rsidR="008B74F0">
        <w:rPr>
          <w:rFonts w:ascii="Arial" w:hAnsi="Arial" w:cs="Arial"/>
          <w:iCs/>
          <w:sz w:val="24"/>
          <w:szCs w:val="24"/>
        </w:rPr>
        <w:t>to ensure</w:t>
      </w:r>
      <w:r w:rsidR="00B32205">
        <w:rPr>
          <w:rFonts w:ascii="Arial" w:hAnsi="Arial" w:cs="Arial"/>
          <w:iCs/>
          <w:sz w:val="24"/>
          <w:szCs w:val="24"/>
        </w:rPr>
        <w:t xml:space="preserve"> parties who are entitled to receive costs will actually receive them</w:t>
      </w:r>
      <w:r w:rsidR="00622EF5">
        <w:rPr>
          <w:rFonts w:ascii="Arial" w:hAnsi="Arial" w:cs="Arial"/>
          <w:iCs/>
          <w:sz w:val="24"/>
          <w:szCs w:val="24"/>
        </w:rPr>
        <w:t xml:space="preserve">. </w:t>
      </w:r>
      <w:r w:rsidR="00622EF5">
        <w:rPr>
          <w:rFonts w:ascii="Arial" w:hAnsi="Arial" w:cs="Arial"/>
          <w:iCs/>
          <w:sz w:val="24"/>
          <w:szCs w:val="24"/>
        </w:rPr>
        <w:lastRenderedPageBreak/>
        <w:t>T</w:t>
      </w:r>
      <w:r w:rsidR="008B74F0">
        <w:rPr>
          <w:rFonts w:ascii="Arial" w:hAnsi="Arial" w:cs="Arial"/>
          <w:iCs/>
          <w:sz w:val="24"/>
          <w:szCs w:val="24"/>
        </w:rPr>
        <w:t xml:space="preserve">here is no less restrictive way to achieve </w:t>
      </w:r>
      <w:r w:rsidR="004B140B">
        <w:rPr>
          <w:rFonts w:ascii="Arial" w:hAnsi="Arial" w:cs="Arial"/>
          <w:iCs/>
          <w:sz w:val="24"/>
          <w:szCs w:val="24"/>
        </w:rPr>
        <w:t>this</w:t>
      </w:r>
      <w:r w:rsidR="00B32205">
        <w:rPr>
          <w:rFonts w:ascii="Arial" w:hAnsi="Arial" w:cs="Arial"/>
          <w:iCs/>
          <w:sz w:val="24"/>
          <w:szCs w:val="24"/>
        </w:rPr>
        <w:t xml:space="preserve">. </w:t>
      </w:r>
      <w:r w:rsidR="004B140B">
        <w:rPr>
          <w:rFonts w:ascii="Arial" w:hAnsi="Arial" w:cs="Arial"/>
          <w:iCs/>
          <w:sz w:val="24"/>
          <w:szCs w:val="24"/>
        </w:rPr>
        <w:t>Currently, the ACT is the only jurisdiction in Australia that does no</w:t>
      </w:r>
      <w:r>
        <w:rPr>
          <w:rFonts w:ascii="Arial" w:hAnsi="Arial" w:cs="Arial"/>
          <w:iCs/>
          <w:sz w:val="24"/>
          <w:szCs w:val="24"/>
        </w:rPr>
        <w:t>t</w:t>
      </w:r>
      <w:r w:rsidR="004B140B">
        <w:rPr>
          <w:rFonts w:ascii="Arial" w:hAnsi="Arial" w:cs="Arial"/>
          <w:iCs/>
          <w:sz w:val="24"/>
          <w:szCs w:val="24"/>
        </w:rPr>
        <w:t xml:space="preserve"> grant courts the power to make non-party costs orders. </w:t>
      </w:r>
      <w:r w:rsidR="00B32205">
        <w:rPr>
          <w:rFonts w:ascii="Arial" w:hAnsi="Arial" w:cs="Arial"/>
          <w:iCs/>
          <w:sz w:val="24"/>
          <w:szCs w:val="24"/>
        </w:rPr>
        <w:t xml:space="preserve">The </w:t>
      </w:r>
      <w:r w:rsidR="00B32205" w:rsidRPr="00B32205">
        <w:rPr>
          <w:rFonts w:ascii="Arial" w:hAnsi="Arial" w:cs="Arial"/>
          <w:iCs/>
          <w:sz w:val="24"/>
          <w:szCs w:val="24"/>
        </w:rPr>
        <w:t xml:space="preserve">amendments to the </w:t>
      </w:r>
      <w:r w:rsidR="00B32205" w:rsidRPr="00B32205">
        <w:rPr>
          <w:rFonts w:ascii="Arial" w:hAnsi="Arial" w:cs="Arial"/>
          <w:i/>
          <w:sz w:val="24"/>
          <w:szCs w:val="24"/>
        </w:rPr>
        <w:t>Court Procedures Act 2004</w:t>
      </w:r>
      <w:r w:rsidR="00B32205" w:rsidRPr="00B32205">
        <w:rPr>
          <w:rFonts w:ascii="Arial" w:hAnsi="Arial" w:cs="Arial"/>
          <w:iCs/>
          <w:sz w:val="24"/>
          <w:szCs w:val="24"/>
        </w:rPr>
        <w:t xml:space="preserve"> and any necessary amendments to the </w:t>
      </w:r>
      <w:r>
        <w:rPr>
          <w:rFonts w:ascii="Arial" w:hAnsi="Arial" w:cs="Arial"/>
          <w:iCs/>
          <w:sz w:val="24"/>
          <w:szCs w:val="24"/>
        </w:rPr>
        <w:t>Rules</w:t>
      </w:r>
      <w:r w:rsidR="00B32205" w:rsidRPr="00B32205">
        <w:rPr>
          <w:rFonts w:ascii="Arial" w:hAnsi="Arial" w:cs="Arial"/>
          <w:iCs/>
          <w:sz w:val="24"/>
          <w:szCs w:val="24"/>
        </w:rPr>
        <w:t xml:space="preserve"> would</w:t>
      </w:r>
      <w:r w:rsidR="004B140B">
        <w:rPr>
          <w:rFonts w:ascii="Arial" w:hAnsi="Arial" w:cs="Arial"/>
          <w:iCs/>
          <w:sz w:val="24"/>
          <w:szCs w:val="24"/>
        </w:rPr>
        <w:t xml:space="preserve"> align ACT with other jurisdictions. </w:t>
      </w:r>
    </w:p>
    <w:p w14:paraId="42EAD0C1" w14:textId="7514C92F" w:rsidR="00471567" w:rsidRDefault="004B140B" w:rsidP="00471567">
      <w:pPr>
        <w:rPr>
          <w:rFonts w:ascii="Arial" w:hAnsi="Arial" w:cs="Arial"/>
          <w:iCs/>
          <w:sz w:val="24"/>
          <w:szCs w:val="24"/>
        </w:rPr>
      </w:pPr>
      <w:r>
        <w:rPr>
          <w:rFonts w:ascii="Arial" w:hAnsi="Arial" w:cs="Arial"/>
          <w:iCs/>
          <w:sz w:val="24"/>
          <w:szCs w:val="24"/>
        </w:rPr>
        <w:t xml:space="preserve">The </w:t>
      </w:r>
      <w:r w:rsidR="00471567">
        <w:rPr>
          <w:rFonts w:ascii="Arial" w:hAnsi="Arial" w:cs="Arial"/>
          <w:iCs/>
          <w:sz w:val="24"/>
          <w:szCs w:val="24"/>
        </w:rPr>
        <w:t>court’s exercise of the power would</w:t>
      </w:r>
      <w:r w:rsidR="00B32205" w:rsidRPr="00B32205">
        <w:rPr>
          <w:rFonts w:ascii="Arial" w:hAnsi="Arial" w:cs="Arial"/>
          <w:iCs/>
          <w:sz w:val="24"/>
          <w:szCs w:val="24"/>
        </w:rPr>
        <w:t xml:space="preserve"> be bound by common law precedent on this issue, particularly the High Court authority in </w:t>
      </w:r>
      <w:r w:rsidR="00B32205" w:rsidRPr="00F140A5">
        <w:rPr>
          <w:rFonts w:ascii="Arial" w:hAnsi="Arial" w:cs="Arial"/>
          <w:i/>
          <w:sz w:val="24"/>
          <w:szCs w:val="24"/>
        </w:rPr>
        <w:t>Knight</w:t>
      </w:r>
      <w:r>
        <w:rPr>
          <w:rFonts w:ascii="Arial" w:hAnsi="Arial" w:cs="Arial"/>
          <w:i/>
          <w:sz w:val="24"/>
          <w:szCs w:val="24"/>
        </w:rPr>
        <w:t xml:space="preserve"> </w:t>
      </w:r>
      <w:r>
        <w:rPr>
          <w:rFonts w:ascii="Arial" w:hAnsi="Arial" w:cs="Arial"/>
          <w:iCs/>
          <w:sz w:val="24"/>
          <w:szCs w:val="24"/>
        </w:rPr>
        <w:t>to limit the scope of court’s</w:t>
      </w:r>
      <w:r w:rsidR="0047521F">
        <w:rPr>
          <w:rFonts w:ascii="Arial" w:hAnsi="Arial" w:cs="Arial"/>
          <w:iCs/>
          <w:sz w:val="24"/>
          <w:szCs w:val="24"/>
        </w:rPr>
        <w:t xml:space="preserve"> </w:t>
      </w:r>
      <w:r>
        <w:rPr>
          <w:rFonts w:ascii="Arial" w:hAnsi="Arial" w:cs="Arial"/>
          <w:iCs/>
          <w:sz w:val="24"/>
          <w:szCs w:val="24"/>
        </w:rPr>
        <w:t>power</w:t>
      </w:r>
      <w:r w:rsidR="00B32205" w:rsidRPr="00B32205">
        <w:rPr>
          <w:rFonts w:ascii="Arial" w:hAnsi="Arial" w:cs="Arial"/>
          <w:iCs/>
          <w:sz w:val="24"/>
          <w:szCs w:val="24"/>
        </w:rPr>
        <w:t xml:space="preserve">. </w:t>
      </w:r>
      <w:r w:rsidR="00471567">
        <w:rPr>
          <w:rFonts w:ascii="Arial" w:hAnsi="Arial" w:cs="Arial"/>
          <w:iCs/>
          <w:sz w:val="24"/>
          <w:szCs w:val="24"/>
        </w:rPr>
        <w:t xml:space="preserve">In </w:t>
      </w:r>
      <w:r w:rsidR="00471567" w:rsidRPr="00471567">
        <w:rPr>
          <w:rFonts w:ascii="Arial" w:hAnsi="Arial" w:cs="Arial"/>
          <w:i/>
          <w:sz w:val="24"/>
          <w:szCs w:val="24"/>
        </w:rPr>
        <w:t>Knight</w:t>
      </w:r>
      <w:r w:rsidR="00471567">
        <w:rPr>
          <w:rFonts w:ascii="Arial" w:hAnsi="Arial" w:cs="Arial"/>
          <w:iCs/>
          <w:sz w:val="24"/>
          <w:szCs w:val="24"/>
        </w:rPr>
        <w:t>, t</w:t>
      </w:r>
      <w:r w:rsidR="00471567" w:rsidRPr="00471567">
        <w:rPr>
          <w:rFonts w:ascii="Arial" w:hAnsi="Arial" w:cs="Arial"/>
          <w:iCs/>
          <w:sz w:val="24"/>
          <w:szCs w:val="24"/>
        </w:rPr>
        <w:t>he</w:t>
      </w:r>
      <w:r w:rsidR="00471567">
        <w:rPr>
          <w:rFonts w:ascii="Arial" w:hAnsi="Arial" w:cs="Arial"/>
          <w:iCs/>
          <w:sz w:val="24"/>
          <w:szCs w:val="24"/>
        </w:rPr>
        <w:t xml:space="preserve"> High Court determined a general category of case where non-party costs orders would be appropriate (the Knight Principles). The criteria for this category of case are:</w:t>
      </w:r>
    </w:p>
    <w:p w14:paraId="45575D4C" w14:textId="77777777" w:rsidR="00471567" w:rsidRPr="002658E4" w:rsidRDefault="00471567" w:rsidP="00471567">
      <w:pPr>
        <w:pStyle w:val="ListParagraph"/>
        <w:numPr>
          <w:ilvl w:val="0"/>
          <w:numId w:val="5"/>
        </w:numPr>
        <w:rPr>
          <w:rFonts w:ascii="Arial" w:hAnsi="Arial" w:cs="Arial"/>
          <w:iCs/>
          <w:sz w:val="24"/>
          <w:szCs w:val="24"/>
        </w:rPr>
      </w:pPr>
      <w:r>
        <w:rPr>
          <w:rFonts w:ascii="Arial" w:hAnsi="Arial" w:cs="Arial"/>
          <w:iCs/>
          <w:sz w:val="24"/>
          <w:szCs w:val="24"/>
        </w:rPr>
        <w:t>w</w:t>
      </w:r>
      <w:r w:rsidRPr="002658E4">
        <w:rPr>
          <w:rFonts w:ascii="Arial" w:hAnsi="Arial" w:cs="Arial"/>
          <w:iCs/>
          <w:sz w:val="24"/>
          <w:szCs w:val="24"/>
        </w:rPr>
        <w:t>here the party to the litigation is an insolvent person or ‘man of straw’;</w:t>
      </w:r>
    </w:p>
    <w:p w14:paraId="43A2F6A3" w14:textId="77777777" w:rsidR="00471567" w:rsidRPr="002658E4" w:rsidRDefault="00471567" w:rsidP="00471567">
      <w:pPr>
        <w:pStyle w:val="ListParagraph"/>
        <w:numPr>
          <w:ilvl w:val="0"/>
          <w:numId w:val="5"/>
        </w:numPr>
        <w:rPr>
          <w:rFonts w:ascii="Arial" w:hAnsi="Arial" w:cs="Arial"/>
          <w:iCs/>
          <w:sz w:val="24"/>
          <w:szCs w:val="24"/>
        </w:rPr>
      </w:pPr>
      <w:r>
        <w:rPr>
          <w:rFonts w:ascii="Arial" w:hAnsi="Arial" w:cs="Arial"/>
          <w:iCs/>
          <w:sz w:val="24"/>
          <w:szCs w:val="24"/>
        </w:rPr>
        <w:t>w</w:t>
      </w:r>
      <w:r w:rsidRPr="002658E4">
        <w:rPr>
          <w:rFonts w:ascii="Arial" w:hAnsi="Arial" w:cs="Arial"/>
          <w:iCs/>
          <w:sz w:val="24"/>
          <w:szCs w:val="24"/>
        </w:rPr>
        <w:t>here the non-party has played an active role in the conduct of litigation; and</w:t>
      </w:r>
    </w:p>
    <w:p w14:paraId="5DDCB6BC" w14:textId="77777777" w:rsidR="00471567" w:rsidRPr="002658E4" w:rsidRDefault="00471567" w:rsidP="00471567">
      <w:pPr>
        <w:pStyle w:val="ListParagraph"/>
        <w:numPr>
          <w:ilvl w:val="0"/>
          <w:numId w:val="5"/>
        </w:numPr>
        <w:rPr>
          <w:rFonts w:ascii="Arial" w:hAnsi="Arial" w:cs="Arial"/>
          <w:iCs/>
          <w:sz w:val="24"/>
          <w:szCs w:val="24"/>
        </w:rPr>
      </w:pPr>
      <w:r>
        <w:rPr>
          <w:rFonts w:ascii="Arial" w:hAnsi="Arial" w:cs="Arial"/>
          <w:iCs/>
          <w:sz w:val="24"/>
          <w:szCs w:val="24"/>
        </w:rPr>
        <w:t>w</w:t>
      </w:r>
      <w:r w:rsidRPr="002658E4">
        <w:rPr>
          <w:rFonts w:ascii="Arial" w:hAnsi="Arial" w:cs="Arial"/>
          <w:iCs/>
          <w:sz w:val="24"/>
          <w:szCs w:val="24"/>
        </w:rPr>
        <w:t xml:space="preserve">here the non-party, or some person on whose behalf </w:t>
      </w:r>
      <w:r>
        <w:rPr>
          <w:rFonts w:ascii="Arial" w:hAnsi="Arial" w:cs="Arial"/>
          <w:iCs/>
          <w:sz w:val="24"/>
          <w:szCs w:val="24"/>
        </w:rPr>
        <w:t>they are</w:t>
      </w:r>
      <w:r w:rsidRPr="002658E4">
        <w:rPr>
          <w:rFonts w:ascii="Arial" w:hAnsi="Arial" w:cs="Arial"/>
          <w:iCs/>
          <w:sz w:val="24"/>
          <w:szCs w:val="24"/>
        </w:rPr>
        <w:t xml:space="preserve"> acting or by whom </w:t>
      </w:r>
      <w:r>
        <w:rPr>
          <w:rFonts w:ascii="Arial" w:hAnsi="Arial" w:cs="Arial"/>
          <w:iCs/>
          <w:sz w:val="24"/>
          <w:szCs w:val="24"/>
        </w:rPr>
        <w:t>they have</w:t>
      </w:r>
      <w:r w:rsidRPr="002658E4">
        <w:rPr>
          <w:rFonts w:ascii="Arial" w:hAnsi="Arial" w:cs="Arial"/>
          <w:iCs/>
          <w:sz w:val="24"/>
          <w:szCs w:val="24"/>
        </w:rPr>
        <w:t xml:space="preserve"> been appointed, has an interest in the subject of the litigation</w:t>
      </w:r>
      <w:r>
        <w:rPr>
          <w:rFonts w:ascii="Arial" w:hAnsi="Arial" w:cs="Arial"/>
          <w:iCs/>
          <w:sz w:val="24"/>
          <w:szCs w:val="24"/>
        </w:rPr>
        <w:t>; and</w:t>
      </w:r>
    </w:p>
    <w:p w14:paraId="775B3D3C" w14:textId="77777777" w:rsidR="00471567" w:rsidRDefault="00471567" w:rsidP="00471567">
      <w:pPr>
        <w:pStyle w:val="ListParagraph"/>
        <w:numPr>
          <w:ilvl w:val="1"/>
          <w:numId w:val="5"/>
        </w:numPr>
        <w:spacing w:after="120" w:line="276" w:lineRule="auto"/>
        <w:ind w:left="1434" w:hanging="357"/>
        <w:rPr>
          <w:rFonts w:ascii="Arial" w:hAnsi="Arial" w:cs="Arial"/>
          <w:iCs/>
          <w:sz w:val="24"/>
          <w:szCs w:val="24"/>
        </w:rPr>
      </w:pPr>
      <w:r>
        <w:rPr>
          <w:rFonts w:ascii="Arial" w:hAnsi="Arial" w:cs="Arial"/>
          <w:iCs/>
          <w:sz w:val="24"/>
          <w:szCs w:val="24"/>
        </w:rPr>
        <w:t>w</w:t>
      </w:r>
      <w:r w:rsidRPr="0072185E">
        <w:rPr>
          <w:rFonts w:ascii="Arial" w:hAnsi="Arial" w:cs="Arial"/>
          <w:iCs/>
          <w:sz w:val="24"/>
          <w:szCs w:val="24"/>
        </w:rPr>
        <w:t xml:space="preserve">here the circumstances of a case fall within this described category, an order for costs should be made against the non-party if </w:t>
      </w:r>
      <w:r>
        <w:rPr>
          <w:rFonts w:ascii="Arial" w:hAnsi="Arial" w:cs="Arial"/>
          <w:iCs/>
          <w:sz w:val="24"/>
          <w:szCs w:val="24"/>
        </w:rPr>
        <w:t xml:space="preserve">it is in </w:t>
      </w:r>
      <w:r w:rsidRPr="0072185E">
        <w:rPr>
          <w:rFonts w:ascii="Arial" w:hAnsi="Arial" w:cs="Arial"/>
          <w:iCs/>
          <w:sz w:val="24"/>
          <w:szCs w:val="24"/>
        </w:rPr>
        <w:t>the interests of justice.</w:t>
      </w:r>
    </w:p>
    <w:p w14:paraId="02491911" w14:textId="1BDDACFF" w:rsidR="00471567" w:rsidRDefault="00471567" w:rsidP="00471567">
      <w:pPr>
        <w:rPr>
          <w:rFonts w:ascii="Arial" w:hAnsi="Arial" w:cs="Arial"/>
          <w:iCs/>
          <w:sz w:val="24"/>
          <w:szCs w:val="24"/>
        </w:rPr>
      </w:pPr>
      <w:r>
        <w:rPr>
          <w:rFonts w:ascii="Arial" w:hAnsi="Arial" w:cs="Arial"/>
          <w:iCs/>
          <w:sz w:val="24"/>
          <w:szCs w:val="24"/>
        </w:rPr>
        <w:t>The court’s application of the power to order costs against non-parties will be guided by the Knight Principles, such that n</w:t>
      </w:r>
      <w:r w:rsidRPr="002658E4">
        <w:rPr>
          <w:rFonts w:ascii="Arial" w:hAnsi="Arial" w:cs="Arial"/>
          <w:iCs/>
          <w:sz w:val="24"/>
          <w:szCs w:val="24"/>
        </w:rPr>
        <w:t>on-party costs order</w:t>
      </w:r>
      <w:r>
        <w:rPr>
          <w:rFonts w:ascii="Arial" w:hAnsi="Arial" w:cs="Arial"/>
          <w:iCs/>
          <w:sz w:val="24"/>
          <w:szCs w:val="24"/>
        </w:rPr>
        <w:t>s</w:t>
      </w:r>
      <w:r w:rsidRPr="002658E4">
        <w:rPr>
          <w:rFonts w:ascii="Arial" w:hAnsi="Arial" w:cs="Arial"/>
          <w:iCs/>
          <w:sz w:val="24"/>
          <w:szCs w:val="24"/>
        </w:rPr>
        <w:t xml:space="preserve"> will only be ma</w:t>
      </w:r>
      <w:r>
        <w:rPr>
          <w:rFonts w:ascii="Arial" w:hAnsi="Arial" w:cs="Arial"/>
          <w:iCs/>
          <w:sz w:val="24"/>
          <w:szCs w:val="24"/>
        </w:rPr>
        <w:t>d</w:t>
      </w:r>
      <w:r w:rsidRPr="002658E4">
        <w:rPr>
          <w:rFonts w:ascii="Arial" w:hAnsi="Arial" w:cs="Arial"/>
          <w:iCs/>
          <w:sz w:val="24"/>
          <w:szCs w:val="24"/>
        </w:rPr>
        <w:t xml:space="preserve">e where </w:t>
      </w:r>
      <w:r>
        <w:rPr>
          <w:rFonts w:ascii="Arial" w:hAnsi="Arial" w:cs="Arial"/>
          <w:iCs/>
          <w:sz w:val="24"/>
          <w:szCs w:val="24"/>
        </w:rPr>
        <w:t>the</w:t>
      </w:r>
      <w:r w:rsidRPr="002658E4">
        <w:rPr>
          <w:rFonts w:ascii="Arial" w:hAnsi="Arial" w:cs="Arial"/>
          <w:iCs/>
          <w:sz w:val="24"/>
          <w:szCs w:val="24"/>
        </w:rPr>
        <w:t xml:space="preserve"> non-party is substantially involved and possesses a personal interest in the outcome of the litigation, perhaps even contributing to the </w:t>
      </w:r>
      <w:r>
        <w:rPr>
          <w:rFonts w:ascii="Arial" w:hAnsi="Arial" w:cs="Arial"/>
          <w:iCs/>
          <w:sz w:val="24"/>
          <w:szCs w:val="24"/>
        </w:rPr>
        <w:t xml:space="preserve">legal </w:t>
      </w:r>
      <w:r w:rsidRPr="002658E4">
        <w:rPr>
          <w:rFonts w:ascii="Arial" w:hAnsi="Arial" w:cs="Arial"/>
          <w:iCs/>
          <w:sz w:val="24"/>
          <w:szCs w:val="24"/>
        </w:rPr>
        <w:t xml:space="preserve">costs incurred. </w:t>
      </w:r>
      <w:r>
        <w:rPr>
          <w:rFonts w:ascii="Arial" w:hAnsi="Arial" w:cs="Arial"/>
          <w:iCs/>
          <w:sz w:val="24"/>
          <w:szCs w:val="24"/>
        </w:rPr>
        <w:t>A</w:t>
      </w:r>
      <w:r w:rsidRPr="002658E4">
        <w:rPr>
          <w:rFonts w:ascii="Arial" w:hAnsi="Arial" w:cs="Arial"/>
          <w:iCs/>
          <w:sz w:val="24"/>
          <w:szCs w:val="24"/>
        </w:rPr>
        <w:t xml:space="preserve"> ‘non-party’ </w:t>
      </w:r>
      <w:r>
        <w:rPr>
          <w:rFonts w:ascii="Arial" w:hAnsi="Arial" w:cs="Arial"/>
          <w:iCs/>
          <w:sz w:val="24"/>
          <w:szCs w:val="24"/>
        </w:rPr>
        <w:t>of this nature would not have their privacy interfered with in an unlawful</w:t>
      </w:r>
      <w:r w:rsidR="00445AB3">
        <w:rPr>
          <w:rFonts w:ascii="Arial" w:hAnsi="Arial" w:cs="Arial"/>
          <w:iCs/>
          <w:sz w:val="24"/>
          <w:szCs w:val="24"/>
        </w:rPr>
        <w:t xml:space="preserve">, </w:t>
      </w:r>
      <w:r>
        <w:rPr>
          <w:rFonts w:ascii="Arial" w:hAnsi="Arial" w:cs="Arial"/>
          <w:iCs/>
          <w:sz w:val="24"/>
          <w:szCs w:val="24"/>
        </w:rPr>
        <w:t>or arbitrary way</w:t>
      </w:r>
      <w:r w:rsidR="000718F4">
        <w:rPr>
          <w:rFonts w:ascii="Arial" w:hAnsi="Arial" w:cs="Arial"/>
          <w:iCs/>
          <w:sz w:val="24"/>
          <w:szCs w:val="24"/>
        </w:rPr>
        <w:t>, but would have their right to privacy limited in a proportionate way to achieve the legitimate purpose of improving access to justice</w:t>
      </w:r>
      <w:r>
        <w:rPr>
          <w:rFonts w:ascii="Arial" w:hAnsi="Arial" w:cs="Arial"/>
          <w:iCs/>
          <w:sz w:val="24"/>
          <w:szCs w:val="24"/>
        </w:rPr>
        <w:t xml:space="preserve">. Such non-parties would necessarily be </w:t>
      </w:r>
      <w:r w:rsidRPr="002658E4">
        <w:rPr>
          <w:rFonts w:ascii="Arial" w:hAnsi="Arial" w:cs="Arial"/>
          <w:iCs/>
          <w:sz w:val="24"/>
          <w:szCs w:val="24"/>
        </w:rPr>
        <w:t>far from</w:t>
      </w:r>
      <w:r>
        <w:rPr>
          <w:rFonts w:ascii="Arial" w:hAnsi="Arial" w:cs="Arial"/>
          <w:iCs/>
          <w:sz w:val="24"/>
          <w:szCs w:val="24"/>
        </w:rPr>
        <w:t xml:space="preserve"> being</w:t>
      </w:r>
      <w:r w:rsidRPr="002658E4">
        <w:rPr>
          <w:rFonts w:ascii="Arial" w:hAnsi="Arial" w:cs="Arial"/>
          <w:iCs/>
          <w:sz w:val="24"/>
          <w:szCs w:val="24"/>
        </w:rPr>
        <w:t xml:space="preserve"> a stranger to the subject proceedings</w:t>
      </w:r>
      <w:r>
        <w:rPr>
          <w:rFonts w:ascii="Arial" w:hAnsi="Arial" w:cs="Arial"/>
          <w:iCs/>
          <w:sz w:val="24"/>
          <w:szCs w:val="24"/>
        </w:rPr>
        <w:t xml:space="preserve"> and</w:t>
      </w:r>
      <w:r w:rsidRPr="002658E4">
        <w:rPr>
          <w:rFonts w:ascii="Arial" w:hAnsi="Arial" w:cs="Arial"/>
          <w:iCs/>
          <w:sz w:val="24"/>
          <w:szCs w:val="24"/>
        </w:rPr>
        <w:t xml:space="preserve">, in the words of the High Court in </w:t>
      </w:r>
      <w:r w:rsidRPr="00F140A5">
        <w:rPr>
          <w:rFonts w:ascii="Arial" w:hAnsi="Arial" w:cs="Arial"/>
          <w:i/>
          <w:sz w:val="24"/>
          <w:szCs w:val="24"/>
        </w:rPr>
        <w:t>Knight</w:t>
      </w:r>
      <w:r>
        <w:rPr>
          <w:rFonts w:ascii="Arial" w:hAnsi="Arial" w:cs="Arial"/>
          <w:i/>
          <w:sz w:val="24"/>
          <w:szCs w:val="24"/>
        </w:rPr>
        <w:t>,</w:t>
      </w:r>
      <w:r w:rsidRPr="002658E4">
        <w:rPr>
          <w:rFonts w:ascii="Arial" w:hAnsi="Arial" w:cs="Arial"/>
          <w:iCs/>
          <w:sz w:val="24"/>
          <w:szCs w:val="24"/>
        </w:rPr>
        <w:t xml:space="preserve"> they are in fact ‘the real party’</w:t>
      </w:r>
      <w:r>
        <w:rPr>
          <w:rFonts w:ascii="Arial" w:hAnsi="Arial" w:cs="Arial"/>
          <w:iCs/>
          <w:sz w:val="24"/>
          <w:szCs w:val="24"/>
        </w:rPr>
        <w:t>.</w:t>
      </w:r>
    </w:p>
    <w:p w14:paraId="26AB27B6" w14:textId="77777777" w:rsidR="00E8124C" w:rsidRDefault="00471567" w:rsidP="00471567">
      <w:pPr>
        <w:rPr>
          <w:rFonts w:ascii="Arial" w:hAnsi="Arial" w:cs="Arial"/>
          <w:iCs/>
          <w:sz w:val="24"/>
          <w:szCs w:val="24"/>
        </w:rPr>
      </w:pPr>
      <w:r>
        <w:rPr>
          <w:rFonts w:ascii="Arial" w:hAnsi="Arial" w:cs="Arial"/>
          <w:iCs/>
          <w:sz w:val="24"/>
          <w:szCs w:val="24"/>
        </w:rPr>
        <w:t xml:space="preserve">The limitation of the right to </w:t>
      </w:r>
      <w:r w:rsidR="005321B2">
        <w:rPr>
          <w:rFonts w:ascii="Arial" w:hAnsi="Arial" w:cs="Arial"/>
          <w:iCs/>
          <w:sz w:val="24"/>
          <w:szCs w:val="24"/>
        </w:rPr>
        <w:t xml:space="preserve">privacy and </w:t>
      </w:r>
      <w:r>
        <w:rPr>
          <w:rFonts w:ascii="Arial" w:hAnsi="Arial" w:cs="Arial"/>
          <w:iCs/>
          <w:sz w:val="24"/>
          <w:szCs w:val="24"/>
        </w:rPr>
        <w:t xml:space="preserve">fair trial is proportionate to the legitimate purpose of ensuring access to justice for victims where circumstances align the </w:t>
      </w:r>
      <w:r w:rsidRPr="00367B82">
        <w:rPr>
          <w:rFonts w:ascii="Arial" w:hAnsi="Arial" w:cs="Arial"/>
          <w:iCs/>
          <w:sz w:val="24"/>
          <w:szCs w:val="24"/>
        </w:rPr>
        <w:t>Knight</w:t>
      </w:r>
      <w:r>
        <w:rPr>
          <w:rFonts w:ascii="Arial" w:hAnsi="Arial" w:cs="Arial"/>
          <w:iCs/>
          <w:sz w:val="24"/>
          <w:szCs w:val="24"/>
        </w:rPr>
        <w:t xml:space="preserve"> Principles. </w:t>
      </w:r>
    </w:p>
    <w:p w14:paraId="495354CD" w14:textId="1DDC4761" w:rsidR="00471567" w:rsidRPr="00220BC7" w:rsidRDefault="00471567" w:rsidP="00471567">
      <w:pPr>
        <w:rPr>
          <w:rFonts w:ascii="Arial" w:hAnsi="Arial" w:cs="Arial"/>
          <w:iCs/>
          <w:sz w:val="24"/>
          <w:szCs w:val="24"/>
        </w:rPr>
      </w:pPr>
      <w:r>
        <w:rPr>
          <w:rFonts w:ascii="Arial" w:hAnsi="Arial" w:cs="Arial"/>
          <w:iCs/>
          <w:sz w:val="24"/>
          <w:szCs w:val="24"/>
        </w:rPr>
        <w:t>One important condition of non-party costs orders being made is that the non-party be significantly involved in the litigation. Additionally, non-party costs orders can only be made after the substantive proceeding issues have been decided. The</w:t>
      </w:r>
      <w:r w:rsidRPr="0072185E">
        <w:rPr>
          <w:rFonts w:ascii="Arial" w:hAnsi="Arial" w:cs="Arial"/>
          <w:iCs/>
          <w:sz w:val="24"/>
          <w:szCs w:val="24"/>
        </w:rPr>
        <w:t xml:space="preserve"> non-part</w:t>
      </w:r>
      <w:r>
        <w:rPr>
          <w:rFonts w:ascii="Arial" w:hAnsi="Arial" w:cs="Arial"/>
          <w:iCs/>
          <w:sz w:val="24"/>
          <w:szCs w:val="24"/>
        </w:rPr>
        <w:t xml:space="preserve">y </w:t>
      </w:r>
      <w:r w:rsidRPr="0072185E">
        <w:rPr>
          <w:rFonts w:ascii="Arial" w:hAnsi="Arial" w:cs="Arial"/>
          <w:iCs/>
          <w:sz w:val="24"/>
          <w:szCs w:val="24"/>
        </w:rPr>
        <w:t>would likely be aware of the risk of such an order against them where they might otherwise be shielded by</w:t>
      </w:r>
      <w:r>
        <w:rPr>
          <w:rFonts w:ascii="Arial" w:hAnsi="Arial" w:cs="Arial"/>
          <w:iCs/>
          <w:sz w:val="24"/>
          <w:szCs w:val="24"/>
        </w:rPr>
        <w:t xml:space="preserve"> the corporate veil, which protects them</w:t>
      </w:r>
      <w:r w:rsidRPr="0072185E">
        <w:rPr>
          <w:rFonts w:ascii="Arial" w:hAnsi="Arial" w:cs="Arial"/>
          <w:iCs/>
          <w:sz w:val="24"/>
          <w:szCs w:val="24"/>
        </w:rPr>
        <w:t xml:space="preserve"> </w:t>
      </w:r>
      <w:r>
        <w:rPr>
          <w:rFonts w:ascii="Arial" w:hAnsi="Arial" w:cs="Arial"/>
          <w:iCs/>
          <w:sz w:val="24"/>
          <w:szCs w:val="24"/>
        </w:rPr>
        <w:t>from being held personally liable for costs.</w:t>
      </w:r>
    </w:p>
    <w:p w14:paraId="7C183696" w14:textId="01DA58FA" w:rsidR="00B5097A" w:rsidRDefault="00B32205" w:rsidP="0003332B">
      <w:pPr>
        <w:rPr>
          <w:rFonts w:ascii="Arial" w:hAnsi="Arial" w:cs="Arial"/>
          <w:iCs/>
          <w:sz w:val="24"/>
          <w:szCs w:val="24"/>
        </w:rPr>
      </w:pPr>
      <w:r w:rsidRPr="00B32205">
        <w:rPr>
          <w:rFonts w:ascii="Arial" w:hAnsi="Arial" w:cs="Arial"/>
          <w:iCs/>
          <w:sz w:val="24"/>
          <w:szCs w:val="24"/>
        </w:rPr>
        <w:t xml:space="preserve">The existing common law framework on non-party costs orders </w:t>
      </w:r>
      <w:r w:rsidR="008F074F">
        <w:rPr>
          <w:rFonts w:ascii="Arial" w:hAnsi="Arial" w:cs="Arial"/>
          <w:iCs/>
          <w:sz w:val="24"/>
          <w:szCs w:val="24"/>
        </w:rPr>
        <w:t xml:space="preserve">balances appropriate protections of human rights with </w:t>
      </w:r>
      <w:r w:rsidRPr="00B32205">
        <w:rPr>
          <w:rFonts w:ascii="Arial" w:hAnsi="Arial" w:cs="Arial"/>
          <w:iCs/>
          <w:sz w:val="24"/>
          <w:szCs w:val="24"/>
        </w:rPr>
        <w:t xml:space="preserve">the </w:t>
      </w:r>
      <w:r w:rsidR="008F074F">
        <w:rPr>
          <w:rFonts w:ascii="Arial" w:hAnsi="Arial" w:cs="Arial"/>
          <w:iCs/>
          <w:sz w:val="24"/>
          <w:szCs w:val="24"/>
        </w:rPr>
        <w:t xml:space="preserve">court’s </w:t>
      </w:r>
      <w:r w:rsidRPr="00B32205">
        <w:rPr>
          <w:rFonts w:ascii="Arial" w:hAnsi="Arial" w:cs="Arial"/>
          <w:iCs/>
          <w:sz w:val="24"/>
          <w:szCs w:val="24"/>
        </w:rPr>
        <w:t>power to order non-party costs.</w:t>
      </w:r>
      <w:r>
        <w:rPr>
          <w:rFonts w:ascii="Arial" w:hAnsi="Arial" w:cs="Arial"/>
          <w:iCs/>
          <w:sz w:val="24"/>
          <w:szCs w:val="24"/>
        </w:rPr>
        <w:t xml:space="preserve"> T</w:t>
      </w:r>
      <w:r w:rsidRPr="00B32205">
        <w:rPr>
          <w:rFonts w:ascii="Arial" w:hAnsi="Arial" w:cs="Arial"/>
          <w:iCs/>
          <w:sz w:val="24"/>
          <w:szCs w:val="24"/>
        </w:rPr>
        <w:t xml:space="preserve">he amendments </w:t>
      </w:r>
      <w:r>
        <w:rPr>
          <w:rFonts w:ascii="Arial" w:hAnsi="Arial" w:cs="Arial"/>
          <w:iCs/>
          <w:sz w:val="24"/>
          <w:szCs w:val="24"/>
        </w:rPr>
        <w:t>will</w:t>
      </w:r>
      <w:r w:rsidRPr="00B32205">
        <w:rPr>
          <w:rFonts w:ascii="Arial" w:hAnsi="Arial" w:cs="Arial"/>
          <w:iCs/>
          <w:sz w:val="24"/>
          <w:szCs w:val="24"/>
        </w:rPr>
        <w:t xml:space="preserve"> not </w:t>
      </w:r>
      <w:r w:rsidR="008F074F">
        <w:rPr>
          <w:rFonts w:ascii="Arial" w:hAnsi="Arial" w:cs="Arial"/>
          <w:iCs/>
          <w:sz w:val="24"/>
          <w:szCs w:val="24"/>
        </w:rPr>
        <w:t>give the court</w:t>
      </w:r>
      <w:r w:rsidRPr="00B32205">
        <w:rPr>
          <w:rFonts w:ascii="Arial" w:hAnsi="Arial" w:cs="Arial"/>
          <w:iCs/>
          <w:sz w:val="24"/>
          <w:szCs w:val="24"/>
        </w:rPr>
        <w:t xml:space="preserve"> unfettered</w:t>
      </w:r>
      <w:r w:rsidR="008F074F">
        <w:rPr>
          <w:rFonts w:ascii="Arial" w:hAnsi="Arial" w:cs="Arial"/>
          <w:iCs/>
          <w:sz w:val="24"/>
          <w:szCs w:val="24"/>
        </w:rPr>
        <w:t xml:space="preserve"> power</w:t>
      </w:r>
      <w:r w:rsidR="00622EF5" w:rsidRPr="00622EF5">
        <w:rPr>
          <w:rFonts w:ascii="Arial" w:hAnsi="Arial" w:cs="Arial"/>
          <w:iCs/>
          <w:sz w:val="24"/>
          <w:szCs w:val="24"/>
        </w:rPr>
        <w:t xml:space="preserve"> </w:t>
      </w:r>
      <w:r w:rsidR="00622EF5">
        <w:rPr>
          <w:rFonts w:ascii="Arial" w:hAnsi="Arial" w:cs="Arial"/>
          <w:iCs/>
          <w:sz w:val="24"/>
          <w:szCs w:val="24"/>
        </w:rPr>
        <w:t>by ensuring that the non-party whose costs orders are made against have a real interest in the proceeding.</w:t>
      </w:r>
      <w:r w:rsidR="00622EF5" w:rsidRPr="00B32205">
        <w:rPr>
          <w:rFonts w:ascii="Arial" w:hAnsi="Arial" w:cs="Arial"/>
          <w:iCs/>
          <w:sz w:val="24"/>
          <w:szCs w:val="24"/>
        </w:rPr>
        <w:t xml:space="preserve"> </w:t>
      </w:r>
      <w:r w:rsidR="00622EF5">
        <w:rPr>
          <w:rFonts w:ascii="Arial" w:hAnsi="Arial" w:cs="Arial"/>
          <w:iCs/>
          <w:sz w:val="24"/>
          <w:szCs w:val="24"/>
        </w:rPr>
        <w:t xml:space="preserve">As such, the </w:t>
      </w:r>
      <w:r w:rsidR="00942C42">
        <w:rPr>
          <w:rFonts w:ascii="Arial" w:hAnsi="Arial" w:cs="Arial"/>
          <w:iCs/>
          <w:sz w:val="24"/>
          <w:szCs w:val="24"/>
        </w:rPr>
        <w:t>limitations to</w:t>
      </w:r>
      <w:r w:rsidRPr="00B32205">
        <w:rPr>
          <w:rFonts w:ascii="Arial" w:hAnsi="Arial" w:cs="Arial"/>
          <w:iCs/>
          <w:sz w:val="24"/>
          <w:szCs w:val="24"/>
        </w:rPr>
        <w:t xml:space="preserve"> the right to privacy and fair trial</w:t>
      </w:r>
      <w:r w:rsidR="00942C42">
        <w:rPr>
          <w:rFonts w:ascii="Arial" w:hAnsi="Arial" w:cs="Arial"/>
          <w:iCs/>
          <w:sz w:val="24"/>
          <w:szCs w:val="24"/>
        </w:rPr>
        <w:t xml:space="preserve"> are proportionate to the purpose of the amendment, that is to enhance access to justice</w:t>
      </w:r>
      <w:r w:rsidRPr="00B32205">
        <w:rPr>
          <w:rFonts w:ascii="Arial" w:hAnsi="Arial" w:cs="Arial"/>
          <w:iCs/>
          <w:sz w:val="24"/>
          <w:szCs w:val="24"/>
        </w:rPr>
        <w:t xml:space="preserve">. </w:t>
      </w:r>
      <w:r w:rsidR="00B5097A">
        <w:rPr>
          <w:rFonts w:ascii="Arial" w:hAnsi="Arial" w:cs="Arial"/>
          <w:iCs/>
          <w:sz w:val="24"/>
          <w:szCs w:val="24"/>
        </w:rPr>
        <w:br w:type="page"/>
      </w:r>
    </w:p>
    <w:p w14:paraId="796779FE" w14:textId="77777777" w:rsidR="00A5201D" w:rsidRPr="0072185E" w:rsidRDefault="00A5201D" w:rsidP="0072185E">
      <w:pPr>
        <w:rPr>
          <w:rFonts w:ascii="Arial" w:hAnsi="Arial" w:cs="Arial"/>
          <w:iCs/>
          <w:sz w:val="24"/>
          <w:szCs w:val="24"/>
        </w:rPr>
      </w:pPr>
    </w:p>
    <w:p w14:paraId="79AD90A2" w14:textId="52E3E1D2" w:rsidR="00E574DD" w:rsidRPr="00943C7F" w:rsidRDefault="002658E4"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COURTS LEGISLATION AMENDMENT</w:t>
      </w:r>
      <w:r w:rsidR="00E574DD" w:rsidRPr="00943C7F">
        <w:rPr>
          <w:rFonts w:asciiTheme="minorHAnsi" w:hAnsiTheme="minorHAnsi" w:cs="Arial"/>
          <w:b w:val="0"/>
          <w:sz w:val="28"/>
          <w:szCs w:val="28"/>
          <w:lang w:eastAsia="en-AU"/>
        </w:rPr>
        <w:t xml:space="preserve"> Bill 20</w:t>
      </w:r>
      <w:r w:rsidR="00774277">
        <w:rPr>
          <w:rFonts w:asciiTheme="minorHAnsi" w:hAnsiTheme="minorHAnsi" w:cs="Arial"/>
          <w:b w:val="0"/>
          <w:sz w:val="28"/>
          <w:szCs w:val="28"/>
          <w:lang w:eastAsia="en-AU"/>
        </w:rPr>
        <w:t>2</w:t>
      </w:r>
      <w:r w:rsidR="00A965E5">
        <w:rPr>
          <w:rFonts w:asciiTheme="minorHAnsi" w:hAnsiTheme="minorHAnsi" w:cs="Arial"/>
          <w:b w:val="0"/>
          <w:sz w:val="28"/>
          <w:szCs w:val="28"/>
          <w:lang w:eastAsia="en-AU"/>
        </w:rPr>
        <w:t>3</w:t>
      </w:r>
    </w:p>
    <w:bookmarkEnd w:id="0"/>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167446B2"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A965E5">
        <w:rPr>
          <w:rFonts w:asciiTheme="minorHAnsi" w:hAnsiTheme="minorHAnsi"/>
          <w:b/>
        </w:rPr>
        <w:t>Courts Legislation Amendment Bill 2023</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841B5A">
        <w:rPr>
          <w:rFonts w:asciiTheme="minorHAnsi" w:hAnsiTheme="minorHAnsi"/>
        </w:rPr>
        <w:t>Assembly</w:t>
      </w:r>
      <w:r w:rsidR="00424FBB" w:rsidRPr="00841B5A">
        <w:rPr>
          <w:rFonts w:asciiTheme="minorHAnsi" w:hAnsiTheme="minorHAnsi"/>
          <w:b/>
        </w:rPr>
        <w:t xml:space="preserve"> </w:t>
      </w:r>
      <w:r w:rsidRPr="0003332B">
        <w:rPr>
          <w:rFonts w:asciiTheme="minorHAnsi" w:hAnsiTheme="minorHAnsi"/>
          <w:b/>
        </w:rPr>
        <w:t>is</w:t>
      </w:r>
      <w:r w:rsidRPr="00A620B1">
        <w:rPr>
          <w:rFonts w:asciiTheme="minorHAnsi" w:hAnsiTheme="minorHAnsi"/>
          <w:bCs/>
        </w:rPr>
        <w:t xml:space="preserve"> </w:t>
      </w:r>
      <w:r w:rsidRPr="00521950">
        <w:rPr>
          <w:rFonts w:asciiTheme="minorHAnsi" w:hAnsiTheme="minorHAnsi"/>
        </w:rPr>
        <w:t xml:space="preserve">consistent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6F2B0CF3" w:rsidR="00E574DD" w:rsidRDefault="00343402"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Default="008C76C4">
      <w:pPr>
        <w:pStyle w:val="Heading2"/>
        <w:pageBreakBefore/>
        <w:spacing w:before="240" w:after="240"/>
      </w:pPr>
      <w:r w:rsidRPr="008C225D">
        <w:lastRenderedPageBreak/>
        <w:t>CLAUSE NOTES</w:t>
      </w:r>
    </w:p>
    <w:p w14:paraId="0E2E8CBE" w14:textId="77777777" w:rsidR="00E76504" w:rsidRPr="00E76504" w:rsidRDefault="00E76504" w:rsidP="00E76504"/>
    <w:p w14:paraId="3E202FC6" w14:textId="77777777" w:rsidR="00160563" w:rsidRDefault="00160563" w:rsidP="00160563">
      <w:pPr>
        <w:pStyle w:val="Heading2"/>
      </w:pPr>
      <w:r>
        <w:t>Part 1</w:t>
      </w:r>
      <w:r>
        <w:tab/>
      </w:r>
      <w:r>
        <w:tab/>
        <w:t>Preliminary</w:t>
      </w:r>
    </w:p>
    <w:p w14:paraId="73D58489" w14:textId="77777777" w:rsidR="00160563" w:rsidRDefault="00160563" w:rsidP="00160563">
      <w:pPr>
        <w:pStyle w:val="Heading3"/>
      </w:pPr>
      <w:r w:rsidRPr="00ED3B77">
        <w:t>Clause 1</w:t>
      </w:r>
      <w:r w:rsidRPr="00ED3B77">
        <w:tab/>
        <w:t>Name of Act</w:t>
      </w:r>
    </w:p>
    <w:p w14:paraId="614A7228" w14:textId="77777777" w:rsidR="00160563" w:rsidRPr="00094709" w:rsidRDefault="00160563" w:rsidP="00160563">
      <w:pPr>
        <w:rPr>
          <w:rFonts w:cs="Arial"/>
          <w:i/>
          <w:iCs/>
        </w:rPr>
      </w:pPr>
      <w:r w:rsidRPr="003419E9">
        <w:rPr>
          <w:rFonts w:ascii="Arial" w:hAnsi="Arial" w:cs="Arial"/>
          <w:sz w:val="24"/>
          <w:szCs w:val="24"/>
        </w:rPr>
        <w:t xml:space="preserve">This clause provides that the name of the Act is the </w:t>
      </w:r>
      <w:r w:rsidRPr="003419E9">
        <w:rPr>
          <w:rFonts w:ascii="Arial" w:hAnsi="Arial" w:cs="Arial"/>
          <w:i/>
          <w:iCs/>
          <w:sz w:val="24"/>
          <w:szCs w:val="24"/>
        </w:rPr>
        <w:t xml:space="preserve">Courts Legislation Amendment Act 2023. </w:t>
      </w:r>
    </w:p>
    <w:p w14:paraId="000A4213" w14:textId="77777777" w:rsidR="00160563" w:rsidRDefault="00160563" w:rsidP="00160563">
      <w:pPr>
        <w:pStyle w:val="Heading3"/>
      </w:pPr>
      <w:r w:rsidRPr="00ED3B77">
        <w:t>Clause 2</w:t>
      </w:r>
      <w:r w:rsidRPr="00ED3B77">
        <w:tab/>
        <w:t>Commencement</w:t>
      </w:r>
    </w:p>
    <w:p w14:paraId="249588B4" w14:textId="77777777" w:rsidR="00160563" w:rsidRPr="003419E9" w:rsidRDefault="00160563" w:rsidP="00160563">
      <w:pPr>
        <w:jc w:val="both"/>
        <w:rPr>
          <w:rFonts w:ascii="Arial" w:hAnsi="Arial" w:cs="Arial"/>
          <w:sz w:val="24"/>
          <w:szCs w:val="28"/>
        </w:rPr>
      </w:pPr>
      <w:r w:rsidRPr="003419E9">
        <w:rPr>
          <w:rFonts w:ascii="Arial" w:hAnsi="Arial" w:cs="Arial"/>
          <w:sz w:val="24"/>
          <w:szCs w:val="28"/>
        </w:rPr>
        <w:t xml:space="preserve">This clause provides for the commencement of the Act. The Act commences on the day after its notification day. </w:t>
      </w:r>
    </w:p>
    <w:p w14:paraId="17AA24E8" w14:textId="77777777" w:rsidR="00160563" w:rsidRDefault="00160563" w:rsidP="00160563">
      <w:pPr>
        <w:pStyle w:val="Heading3"/>
      </w:pPr>
      <w:r w:rsidRPr="00ED3B77">
        <w:t>Clause 3</w:t>
      </w:r>
      <w:r w:rsidRPr="00ED3B77">
        <w:tab/>
        <w:t>Legislation amended</w:t>
      </w:r>
    </w:p>
    <w:p w14:paraId="75568C47" w14:textId="57F7FE92" w:rsidR="00160563" w:rsidRPr="003419E9" w:rsidRDefault="00160563" w:rsidP="00160563">
      <w:pPr>
        <w:jc w:val="both"/>
        <w:rPr>
          <w:rFonts w:ascii="Arial" w:hAnsi="Arial" w:cs="Arial"/>
          <w:sz w:val="24"/>
          <w:szCs w:val="28"/>
        </w:rPr>
      </w:pPr>
      <w:r w:rsidRPr="003419E9">
        <w:rPr>
          <w:rFonts w:ascii="Arial" w:hAnsi="Arial" w:cs="Arial"/>
          <w:sz w:val="24"/>
          <w:szCs w:val="28"/>
        </w:rPr>
        <w:t xml:space="preserve">This clause identifies the legislation that will be amended </w:t>
      </w:r>
      <w:r w:rsidR="00942C42">
        <w:rPr>
          <w:rFonts w:ascii="Arial" w:hAnsi="Arial" w:cs="Arial"/>
          <w:sz w:val="24"/>
          <w:szCs w:val="28"/>
        </w:rPr>
        <w:t>are</w:t>
      </w:r>
      <w:r w:rsidRPr="003419E9">
        <w:rPr>
          <w:rFonts w:ascii="Arial" w:hAnsi="Arial" w:cs="Arial"/>
          <w:sz w:val="24"/>
          <w:szCs w:val="28"/>
        </w:rPr>
        <w:t xml:space="preserve"> the: </w:t>
      </w:r>
    </w:p>
    <w:p w14:paraId="6FA16780" w14:textId="77777777" w:rsidR="00160563" w:rsidRPr="003419E9" w:rsidRDefault="00160563" w:rsidP="00160563">
      <w:pPr>
        <w:pStyle w:val="ListParagraph"/>
        <w:numPr>
          <w:ilvl w:val="0"/>
          <w:numId w:val="11"/>
        </w:numPr>
        <w:spacing w:line="276" w:lineRule="auto"/>
        <w:rPr>
          <w:rFonts w:ascii="Arial" w:hAnsi="Arial" w:cs="Arial"/>
          <w:i/>
          <w:sz w:val="24"/>
          <w:szCs w:val="28"/>
        </w:rPr>
      </w:pPr>
      <w:r w:rsidRPr="003419E9">
        <w:rPr>
          <w:rFonts w:ascii="Arial" w:hAnsi="Arial" w:cs="Arial"/>
          <w:i/>
          <w:sz w:val="24"/>
          <w:szCs w:val="28"/>
        </w:rPr>
        <w:t>Court Procedures Act 2004</w:t>
      </w:r>
      <w:r w:rsidRPr="00942C42">
        <w:rPr>
          <w:rFonts w:ascii="Arial" w:hAnsi="Arial" w:cs="Arial"/>
          <w:iCs/>
          <w:sz w:val="24"/>
          <w:szCs w:val="28"/>
        </w:rPr>
        <w:t>;</w:t>
      </w:r>
    </w:p>
    <w:p w14:paraId="1E0C97AE" w14:textId="6134B40D" w:rsidR="00160563" w:rsidRPr="003419E9" w:rsidRDefault="00160563" w:rsidP="00160563">
      <w:pPr>
        <w:pStyle w:val="ListParagraph"/>
        <w:numPr>
          <w:ilvl w:val="0"/>
          <w:numId w:val="11"/>
        </w:numPr>
        <w:spacing w:line="276" w:lineRule="auto"/>
        <w:rPr>
          <w:rFonts w:ascii="Arial" w:hAnsi="Arial" w:cs="Arial"/>
          <w:i/>
          <w:sz w:val="24"/>
          <w:szCs w:val="28"/>
        </w:rPr>
      </w:pPr>
      <w:r w:rsidRPr="003419E9">
        <w:rPr>
          <w:rFonts w:ascii="Arial" w:hAnsi="Arial" w:cs="Arial"/>
          <w:i/>
          <w:sz w:val="24"/>
          <w:szCs w:val="28"/>
        </w:rPr>
        <w:t>Magistrates Court Act 1930</w:t>
      </w:r>
      <w:r w:rsidRPr="00942C42">
        <w:rPr>
          <w:rFonts w:ascii="Arial" w:hAnsi="Arial" w:cs="Arial"/>
          <w:iCs/>
          <w:sz w:val="24"/>
          <w:szCs w:val="28"/>
        </w:rPr>
        <w:t>;</w:t>
      </w:r>
      <w:r w:rsidR="00942C42">
        <w:rPr>
          <w:rFonts w:ascii="Arial" w:hAnsi="Arial" w:cs="Arial"/>
          <w:i/>
          <w:sz w:val="24"/>
          <w:szCs w:val="28"/>
        </w:rPr>
        <w:t xml:space="preserve"> </w:t>
      </w:r>
      <w:r w:rsidR="00942C42">
        <w:rPr>
          <w:rFonts w:ascii="Arial" w:hAnsi="Arial" w:cs="Arial"/>
          <w:iCs/>
          <w:sz w:val="24"/>
          <w:szCs w:val="28"/>
        </w:rPr>
        <w:t>and</w:t>
      </w:r>
    </w:p>
    <w:p w14:paraId="6423C38D" w14:textId="0C7F76E3" w:rsidR="00160563" w:rsidRDefault="00160563" w:rsidP="00160563">
      <w:pPr>
        <w:pStyle w:val="ListParagraph"/>
        <w:numPr>
          <w:ilvl w:val="0"/>
          <w:numId w:val="11"/>
        </w:numPr>
        <w:spacing w:line="276" w:lineRule="auto"/>
        <w:rPr>
          <w:rFonts w:ascii="Arial" w:hAnsi="Arial" w:cs="Arial"/>
          <w:i/>
          <w:sz w:val="24"/>
          <w:szCs w:val="28"/>
        </w:rPr>
      </w:pPr>
      <w:r w:rsidRPr="003419E9">
        <w:rPr>
          <w:rFonts w:ascii="Arial" w:hAnsi="Arial" w:cs="Arial"/>
          <w:i/>
          <w:sz w:val="24"/>
          <w:szCs w:val="28"/>
        </w:rPr>
        <w:t>Supreme Court Act 1933</w:t>
      </w:r>
    </w:p>
    <w:p w14:paraId="440C7773" w14:textId="0C0BEFE3" w:rsidR="00942C42" w:rsidRPr="00942C42" w:rsidRDefault="00942C42" w:rsidP="00942C42">
      <w:pPr>
        <w:spacing w:before="200"/>
        <w:rPr>
          <w:rFonts w:ascii="Arial" w:hAnsi="Arial" w:cs="Arial"/>
          <w:iCs/>
          <w:sz w:val="24"/>
          <w:szCs w:val="28"/>
        </w:rPr>
      </w:pPr>
      <w:r>
        <w:rPr>
          <w:rFonts w:ascii="Arial" w:hAnsi="Arial" w:cs="Arial"/>
          <w:iCs/>
          <w:sz w:val="24"/>
          <w:szCs w:val="28"/>
        </w:rPr>
        <w:t xml:space="preserve">in addition to other legislation under Schedule 1 of the Act. </w:t>
      </w:r>
    </w:p>
    <w:p w14:paraId="68A8CEFC" w14:textId="1E4F84D4" w:rsidR="00400DC2" w:rsidRPr="003512FE" w:rsidRDefault="00400DC2" w:rsidP="00400DC2">
      <w:pPr>
        <w:pStyle w:val="Heading2"/>
      </w:pPr>
      <w:r w:rsidRPr="003512FE">
        <w:t xml:space="preserve">Clause </w:t>
      </w:r>
      <w:r w:rsidR="00942C42">
        <w:t>4</w:t>
      </w:r>
      <w:r w:rsidRPr="003512FE">
        <w:tab/>
      </w:r>
      <w:r>
        <w:t>Legislation repealed</w:t>
      </w:r>
    </w:p>
    <w:p w14:paraId="039C72E4" w14:textId="136645CB" w:rsidR="00400DC2" w:rsidRDefault="00400DC2" w:rsidP="00400DC2">
      <w:pPr>
        <w:rPr>
          <w:rFonts w:ascii="Arial" w:hAnsi="Arial" w:cs="Arial"/>
          <w:sz w:val="24"/>
          <w:szCs w:val="24"/>
        </w:rPr>
      </w:pPr>
      <w:r w:rsidRPr="003419E9">
        <w:rPr>
          <w:rFonts w:ascii="Arial" w:hAnsi="Arial" w:cs="Arial"/>
          <w:sz w:val="24"/>
          <w:szCs w:val="24"/>
        </w:rPr>
        <w:t xml:space="preserve">This clause </w:t>
      </w:r>
      <w:r>
        <w:rPr>
          <w:rFonts w:ascii="Arial" w:hAnsi="Arial" w:cs="Arial"/>
          <w:sz w:val="24"/>
          <w:szCs w:val="24"/>
        </w:rPr>
        <w:t xml:space="preserve">identifies the statutory instruments that will be repealed </w:t>
      </w:r>
      <w:r w:rsidR="00942C42">
        <w:rPr>
          <w:rFonts w:ascii="Arial" w:hAnsi="Arial" w:cs="Arial"/>
          <w:sz w:val="24"/>
          <w:szCs w:val="24"/>
        </w:rPr>
        <w:t>are</w:t>
      </w:r>
      <w:r>
        <w:rPr>
          <w:rFonts w:ascii="Arial" w:hAnsi="Arial" w:cs="Arial"/>
          <w:sz w:val="24"/>
          <w:szCs w:val="24"/>
        </w:rPr>
        <w:t xml:space="preserve"> the:</w:t>
      </w:r>
    </w:p>
    <w:p w14:paraId="4B69A91E" w14:textId="65CC675C" w:rsidR="00400DC2" w:rsidRPr="00400DC2" w:rsidRDefault="00400DC2" w:rsidP="00400DC2">
      <w:pPr>
        <w:pStyle w:val="ListParagraph"/>
        <w:numPr>
          <w:ilvl w:val="0"/>
          <w:numId w:val="11"/>
        </w:numPr>
        <w:spacing w:line="276" w:lineRule="auto"/>
        <w:rPr>
          <w:rFonts w:ascii="Arial" w:hAnsi="Arial" w:cs="Arial"/>
          <w:i/>
          <w:sz w:val="24"/>
          <w:szCs w:val="28"/>
        </w:rPr>
      </w:pPr>
      <w:r w:rsidRPr="00400DC2">
        <w:rPr>
          <w:rFonts w:ascii="Arial" w:hAnsi="Arial" w:cs="Arial"/>
          <w:i/>
          <w:sz w:val="24"/>
          <w:szCs w:val="28"/>
        </w:rPr>
        <w:t xml:space="preserve">Supreme Court (Master Appointment Requirements) Determination 2010 </w:t>
      </w:r>
      <w:r w:rsidRPr="00942C42">
        <w:rPr>
          <w:rFonts w:ascii="Arial" w:hAnsi="Arial" w:cs="Arial"/>
          <w:iCs/>
          <w:sz w:val="24"/>
          <w:szCs w:val="28"/>
        </w:rPr>
        <w:t>(NI2010-13);</w:t>
      </w:r>
      <w:r w:rsidR="00942C42">
        <w:rPr>
          <w:rFonts w:ascii="Arial" w:hAnsi="Arial" w:cs="Arial"/>
          <w:iCs/>
          <w:sz w:val="24"/>
          <w:szCs w:val="28"/>
        </w:rPr>
        <w:t xml:space="preserve"> and</w:t>
      </w:r>
    </w:p>
    <w:p w14:paraId="50554372" w14:textId="1FD7C090" w:rsidR="00400DC2" w:rsidRPr="00400DC2" w:rsidRDefault="00400DC2" w:rsidP="00400DC2">
      <w:pPr>
        <w:pStyle w:val="ListParagraph"/>
        <w:numPr>
          <w:ilvl w:val="0"/>
          <w:numId w:val="11"/>
        </w:numPr>
        <w:spacing w:line="276" w:lineRule="auto"/>
        <w:rPr>
          <w:rFonts w:ascii="Arial" w:hAnsi="Arial" w:cs="Arial"/>
          <w:i/>
          <w:sz w:val="24"/>
          <w:szCs w:val="28"/>
        </w:rPr>
      </w:pPr>
      <w:r w:rsidRPr="00400DC2">
        <w:rPr>
          <w:rFonts w:ascii="Arial" w:hAnsi="Arial" w:cs="Arial"/>
          <w:i/>
          <w:sz w:val="24"/>
          <w:szCs w:val="28"/>
        </w:rPr>
        <w:t>Supreme Court (Master) Conditions of Appointment 2017 (No 1)</w:t>
      </w:r>
      <w:r w:rsidR="00942C42">
        <w:rPr>
          <w:rFonts w:ascii="Arial" w:hAnsi="Arial" w:cs="Arial"/>
          <w:i/>
          <w:sz w:val="24"/>
          <w:szCs w:val="28"/>
        </w:rPr>
        <w:t xml:space="preserve"> </w:t>
      </w:r>
      <w:r w:rsidRPr="00942C42">
        <w:rPr>
          <w:rFonts w:ascii="Arial" w:hAnsi="Arial" w:cs="Arial"/>
          <w:iCs/>
          <w:sz w:val="24"/>
          <w:szCs w:val="28"/>
        </w:rPr>
        <w:t>(NI2017-242).</w:t>
      </w:r>
    </w:p>
    <w:p w14:paraId="0AD066A5" w14:textId="77777777" w:rsidR="00160563" w:rsidRDefault="00160563" w:rsidP="00160563">
      <w:pPr>
        <w:pStyle w:val="Heading2"/>
      </w:pPr>
      <w:r>
        <w:t xml:space="preserve">Part 2 </w:t>
      </w:r>
      <w:r>
        <w:tab/>
        <w:t>Court Procedures Act 2004</w:t>
      </w:r>
    </w:p>
    <w:p w14:paraId="6063ED2E" w14:textId="616F1D55" w:rsidR="00400DC2" w:rsidRDefault="00400DC2" w:rsidP="00400DC2">
      <w:pPr>
        <w:pStyle w:val="Heading3"/>
      </w:pPr>
      <w:r w:rsidRPr="00ED3B77">
        <w:t xml:space="preserve">Clause </w:t>
      </w:r>
      <w:r w:rsidR="00942C42">
        <w:t>5</w:t>
      </w:r>
      <w:r w:rsidRPr="00ED3B77">
        <w:tab/>
      </w:r>
      <w:r>
        <w:t>Section 7 (2) and 8 (3)</w:t>
      </w:r>
    </w:p>
    <w:p w14:paraId="2A98F7E8" w14:textId="20EBC1F2" w:rsidR="00D169E2" w:rsidRPr="003419E9" w:rsidRDefault="00400DC2" w:rsidP="00942C42">
      <w:pPr>
        <w:jc w:val="both"/>
        <w:rPr>
          <w:rFonts w:ascii="Arial" w:hAnsi="Arial" w:cs="Arial"/>
          <w:sz w:val="24"/>
          <w:szCs w:val="28"/>
        </w:rPr>
      </w:pPr>
      <w:r w:rsidRPr="003419E9">
        <w:rPr>
          <w:rFonts w:ascii="Arial" w:hAnsi="Arial" w:cs="Arial"/>
          <w:sz w:val="24"/>
          <w:szCs w:val="28"/>
        </w:rPr>
        <w:t xml:space="preserve">This clause </w:t>
      </w:r>
      <w:r w:rsidR="00D169E2" w:rsidRPr="00D169E2">
        <w:rPr>
          <w:rFonts w:ascii="Arial" w:hAnsi="Arial" w:cs="Arial"/>
          <w:sz w:val="24"/>
          <w:szCs w:val="28"/>
        </w:rPr>
        <w:t xml:space="preserve">omits </w:t>
      </w:r>
      <w:r w:rsidR="00942C42">
        <w:rPr>
          <w:rFonts w:ascii="Arial" w:hAnsi="Arial" w:cs="Arial"/>
          <w:sz w:val="24"/>
          <w:szCs w:val="28"/>
        </w:rPr>
        <w:t>the words ‘</w:t>
      </w:r>
      <w:r w:rsidR="00D169E2" w:rsidRPr="00D169E2">
        <w:rPr>
          <w:rFonts w:ascii="Arial" w:hAnsi="Arial" w:cs="Arial"/>
          <w:sz w:val="24"/>
          <w:szCs w:val="28"/>
        </w:rPr>
        <w:t>section 9 (2) (d) or (e)</w:t>
      </w:r>
      <w:r w:rsidR="00942C42">
        <w:rPr>
          <w:rFonts w:ascii="Arial" w:hAnsi="Arial" w:cs="Arial"/>
          <w:sz w:val="24"/>
          <w:szCs w:val="28"/>
        </w:rPr>
        <w:t>’</w:t>
      </w:r>
      <w:r w:rsidR="00D169E2">
        <w:rPr>
          <w:rFonts w:ascii="Arial" w:hAnsi="Arial" w:cs="Arial"/>
          <w:sz w:val="24"/>
          <w:szCs w:val="28"/>
        </w:rPr>
        <w:t xml:space="preserve"> </w:t>
      </w:r>
      <w:r w:rsidR="00D169E2" w:rsidRPr="00D169E2">
        <w:rPr>
          <w:rFonts w:ascii="Arial" w:hAnsi="Arial" w:cs="Arial"/>
          <w:sz w:val="24"/>
          <w:szCs w:val="28"/>
        </w:rPr>
        <w:t>and replaces it with</w:t>
      </w:r>
      <w:r w:rsidR="00942C42">
        <w:rPr>
          <w:rFonts w:ascii="Arial" w:hAnsi="Arial" w:cs="Arial"/>
          <w:sz w:val="24"/>
          <w:szCs w:val="28"/>
        </w:rPr>
        <w:t xml:space="preserve"> the words </w:t>
      </w:r>
      <w:r w:rsidR="00D169E2" w:rsidRPr="00D169E2">
        <w:rPr>
          <w:rFonts w:ascii="Arial" w:hAnsi="Arial" w:cs="Arial"/>
          <w:sz w:val="24"/>
          <w:szCs w:val="28"/>
        </w:rPr>
        <w:t xml:space="preserve"> </w:t>
      </w:r>
      <w:r w:rsidR="00942C42">
        <w:rPr>
          <w:rFonts w:ascii="Arial" w:hAnsi="Arial" w:cs="Arial"/>
          <w:sz w:val="24"/>
          <w:szCs w:val="28"/>
        </w:rPr>
        <w:t>‘</w:t>
      </w:r>
      <w:r w:rsidR="00D169E2" w:rsidRPr="00D169E2">
        <w:rPr>
          <w:rFonts w:ascii="Arial" w:hAnsi="Arial" w:cs="Arial"/>
          <w:sz w:val="24"/>
          <w:szCs w:val="28"/>
        </w:rPr>
        <w:t>section 9 (2) (c) or (d)</w:t>
      </w:r>
      <w:r w:rsidR="00942C42">
        <w:rPr>
          <w:rFonts w:ascii="Arial" w:hAnsi="Arial" w:cs="Arial"/>
          <w:sz w:val="24"/>
          <w:szCs w:val="28"/>
        </w:rPr>
        <w:t xml:space="preserve">’ to ensure the Chief Magistrate or another magistrate appointed by the Chief Magistrate remain as one of the members of the rule-making committee who must sign the making of a rule under section 7 or the approval of a form under section 8 of the </w:t>
      </w:r>
      <w:r w:rsidR="00942C42">
        <w:rPr>
          <w:rFonts w:ascii="Arial" w:hAnsi="Arial" w:cs="Arial"/>
          <w:i/>
          <w:iCs/>
          <w:sz w:val="24"/>
          <w:szCs w:val="28"/>
        </w:rPr>
        <w:t>Court Procedures Act 2004</w:t>
      </w:r>
      <w:r w:rsidR="00942C42">
        <w:rPr>
          <w:rFonts w:ascii="Arial" w:hAnsi="Arial" w:cs="Arial"/>
          <w:sz w:val="24"/>
          <w:szCs w:val="28"/>
        </w:rPr>
        <w:t xml:space="preserve">. </w:t>
      </w:r>
    </w:p>
    <w:p w14:paraId="3094A7EB" w14:textId="623BE54A" w:rsidR="00400DC2" w:rsidRDefault="00400DC2" w:rsidP="00400DC2">
      <w:pPr>
        <w:pStyle w:val="Heading3"/>
      </w:pPr>
      <w:r>
        <w:t xml:space="preserve">Clause </w:t>
      </w:r>
      <w:r w:rsidR="00942C42">
        <w:t>6</w:t>
      </w:r>
      <w:r>
        <w:tab/>
        <w:t>Rule-making committee</w:t>
      </w:r>
      <w:r>
        <w:tab/>
      </w:r>
      <w:r>
        <w:tab/>
      </w:r>
      <w:r>
        <w:tab/>
      </w:r>
      <w:r>
        <w:tab/>
      </w:r>
      <w:r>
        <w:tab/>
      </w:r>
      <w:r>
        <w:tab/>
      </w:r>
      <w:r>
        <w:tab/>
      </w:r>
      <w:r>
        <w:tab/>
      </w:r>
      <w:r>
        <w:tab/>
        <w:t>Section 9 (2)</w:t>
      </w:r>
    </w:p>
    <w:p w14:paraId="584D40E7" w14:textId="74D3DDE2" w:rsidR="00D169E2" w:rsidRDefault="00D169E2" w:rsidP="00400DC2">
      <w:pPr>
        <w:rPr>
          <w:rFonts w:ascii="Arial" w:hAnsi="Arial" w:cs="Arial"/>
          <w:sz w:val="24"/>
          <w:szCs w:val="24"/>
        </w:rPr>
      </w:pPr>
      <w:r w:rsidRPr="00D169E2">
        <w:rPr>
          <w:rFonts w:ascii="Arial" w:hAnsi="Arial" w:cs="Arial"/>
          <w:sz w:val="24"/>
          <w:szCs w:val="24"/>
        </w:rPr>
        <w:t xml:space="preserve">This clause substitutes section </w:t>
      </w:r>
      <w:r w:rsidR="005741E1">
        <w:rPr>
          <w:rFonts w:ascii="Arial" w:hAnsi="Arial" w:cs="Arial"/>
          <w:sz w:val="24"/>
          <w:szCs w:val="24"/>
        </w:rPr>
        <w:t>9</w:t>
      </w:r>
      <w:r w:rsidR="005741E1" w:rsidRPr="00D169E2">
        <w:rPr>
          <w:rFonts w:ascii="Arial" w:hAnsi="Arial" w:cs="Arial"/>
          <w:sz w:val="24"/>
          <w:szCs w:val="24"/>
        </w:rPr>
        <w:t xml:space="preserve"> </w:t>
      </w:r>
      <w:r w:rsidRPr="00D169E2">
        <w:rPr>
          <w:rFonts w:ascii="Arial" w:hAnsi="Arial" w:cs="Arial"/>
          <w:sz w:val="24"/>
          <w:szCs w:val="24"/>
        </w:rPr>
        <w:t>(</w:t>
      </w:r>
      <w:r w:rsidR="005741E1">
        <w:rPr>
          <w:rFonts w:ascii="Arial" w:hAnsi="Arial" w:cs="Arial"/>
          <w:sz w:val="24"/>
          <w:szCs w:val="24"/>
        </w:rPr>
        <w:t>2</w:t>
      </w:r>
      <w:r w:rsidR="00942C42">
        <w:rPr>
          <w:rFonts w:ascii="Arial" w:hAnsi="Arial" w:cs="Arial"/>
          <w:sz w:val="24"/>
          <w:szCs w:val="24"/>
        </w:rPr>
        <w:t>) to remove the Associate Judge from the</w:t>
      </w:r>
      <w:r w:rsidR="005741E1">
        <w:rPr>
          <w:rFonts w:ascii="Arial" w:hAnsi="Arial" w:cs="Arial"/>
          <w:sz w:val="24"/>
          <w:szCs w:val="24"/>
        </w:rPr>
        <w:t xml:space="preserve"> list of member</w:t>
      </w:r>
      <w:r w:rsidR="009F169A">
        <w:rPr>
          <w:rFonts w:ascii="Arial" w:hAnsi="Arial" w:cs="Arial"/>
          <w:sz w:val="24"/>
          <w:szCs w:val="24"/>
        </w:rPr>
        <w:t>s</w:t>
      </w:r>
      <w:r w:rsidR="005741E1">
        <w:rPr>
          <w:rFonts w:ascii="Arial" w:hAnsi="Arial" w:cs="Arial"/>
          <w:sz w:val="24"/>
          <w:szCs w:val="24"/>
        </w:rPr>
        <w:t xml:space="preserve"> of the rule-making committee</w:t>
      </w:r>
      <w:r w:rsidR="00942C42">
        <w:rPr>
          <w:rFonts w:ascii="Arial" w:hAnsi="Arial" w:cs="Arial"/>
          <w:sz w:val="24"/>
          <w:szCs w:val="24"/>
        </w:rPr>
        <w:t xml:space="preserve"> and replace it with</w:t>
      </w:r>
      <w:r w:rsidR="009F169A">
        <w:rPr>
          <w:rFonts w:ascii="Arial" w:hAnsi="Arial" w:cs="Arial"/>
          <w:sz w:val="24"/>
          <w:szCs w:val="24"/>
        </w:rPr>
        <w:t xml:space="preserve"> another </w:t>
      </w:r>
      <w:r w:rsidR="00942C42">
        <w:rPr>
          <w:rFonts w:ascii="Arial" w:hAnsi="Arial" w:cs="Arial"/>
          <w:sz w:val="24"/>
          <w:szCs w:val="24"/>
        </w:rPr>
        <w:t>R</w:t>
      </w:r>
      <w:r w:rsidR="009F169A">
        <w:rPr>
          <w:rFonts w:ascii="Arial" w:hAnsi="Arial" w:cs="Arial"/>
          <w:sz w:val="24"/>
          <w:szCs w:val="24"/>
        </w:rPr>
        <w:t xml:space="preserve">esident </w:t>
      </w:r>
      <w:r w:rsidR="00942C42">
        <w:rPr>
          <w:rFonts w:ascii="Arial" w:hAnsi="Arial" w:cs="Arial"/>
          <w:sz w:val="24"/>
          <w:szCs w:val="24"/>
        </w:rPr>
        <w:t>J</w:t>
      </w:r>
      <w:r w:rsidR="009F169A">
        <w:rPr>
          <w:rFonts w:ascii="Arial" w:hAnsi="Arial" w:cs="Arial"/>
          <w:sz w:val="24"/>
          <w:szCs w:val="24"/>
        </w:rPr>
        <w:t>udge</w:t>
      </w:r>
      <w:r w:rsidR="005741E1" w:rsidRPr="005741E1">
        <w:rPr>
          <w:rFonts w:ascii="Arial" w:hAnsi="Arial" w:cs="Arial"/>
          <w:sz w:val="24"/>
          <w:szCs w:val="24"/>
        </w:rPr>
        <w:t>.</w:t>
      </w:r>
      <w:r w:rsidR="009F169A">
        <w:rPr>
          <w:rFonts w:ascii="Arial" w:hAnsi="Arial" w:cs="Arial"/>
          <w:sz w:val="24"/>
          <w:szCs w:val="24"/>
        </w:rPr>
        <w:t xml:space="preserve"> </w:t>
      </w:r>
      <w:r w:rsidR="003D643F">
        <w:rPr>
          <w:rFonts w:ascii="Arial" w:hAnsi="Arial" w:cs="Arial"/>
          <w:sz w:val="24"/>
          <w:szCs w:val="24"/>
        </w:rPr>
        <w:t>Any applicable appointments made under the former section 9 (2)</w:t>
      </w:r>
      <w:r w:rsidRPr="00D169E2">
        <w:rPr>
          <w:rFonts w:ascii="Arial" w:hAnsi="Arial" w:cs="Arial"/>
          <w:sz w:val="24"/>
          <w:szCs w:val="24"/>
        </w:rPr>
        <w:t xml:space="preserve"> </w:t>
      </w:r>
      <w:r w:rsidR="003D643F">
        <w:rPr>
          <w:rFonts w:ascii="Arial" w:hAnsi="Arial" w:cs="Arial"/>
          <w:sz w:val="24"/>
          <w:szCs w:val="24"/>
        </w:rPr>
        <w:t>are</w:t>
      </w:r>
      <w:r w:rsidRPr="00D169E2">
        <w:rPr>
          <w:rFonts w:ascii="Arial" w:hAnsi="Arial" w:cs="Arial"/>
          <w:sz w:val="24"/>
          <w:szCs w:val="24"/>
        </w:rPr>
        <w:t xml:space="preserve"> subject</w:t>
      </w:r>
      <w:r w:rsidR="003D643F">
        <w:rPr>
          <w:rFonts w:ascii="Arial" w:hAnsi="Arial" w:cs="Arial"/>
          <w:sz w:val="24"/>
          <w:szCs w:val="24"/>
        </w:rPr>
        <w:t xml:space="preserve"> to the </w:t>
      </w:r>
      <w:r w:rsidR="003D643F">
        <w:rPr>
          <w:rFonts w:ascii="Arial" w:hAnsi="Arial" w:cs="Arial"/>
          <w:sz w:val="24"/>
          <w:szCs w:val="24"/>
        </w:rPr>
        <w:lastRenderedPageBreak/>
        <w:t>saving provision in</w:t>
      </w:r>
      <w:r w:rsidRPr="00D169E2">
        <w:rPr>
          <w:rFonts w:ascii="Arial" w:hAnsi="Arial" w:cs="Arial"/>
          <w:sz w:val="24"/>
          <w:szCs w:val="24"/>
        </w:rPr>
        <w:t xml:space="preserve"> section 94</w:t>
      </w:r>
      <w:r w:rsidR="003D643F">
        <w:rPr>
          <w:rFonts w:ascii="Arial" w:hAnsi="Arial" w:cs="Arial"/>
          <w:sz w:val="24"/>
          <w:szCs w:val="24"/>
        </w:rPr>
        <w:t xml:space="preserve"> </w:t>
      </w:r>
      <w:r w:rsidRPr="00D169E2">
        <w:rPr>
          <w:rFonts w:ascii="Arial" w:hAnsi="Arial" w:cs="Arial"/>
          <w:sz w:val="24"/>
          <w:szCs w:val="24"/>
        </w:rPr>
        <w:t xml:space="preserve">(2) of the </w:t>
      </w:r>
      <w:r w:rsidRPr="003D643F">
        <w:rPr>
          <w:rFonts w:ascii="Arial" w:hAnsi="Arial" w:cs="Arial"/>
          <w:i/>
          <w:iCs/>
          <w:sz w:val="24"/>
          <w:szCs w:val="24"/>
        </w:rPr>
        <w:t>Legislation Act 200</w:t>
      </w:r>
      <w:r w:rsidR="003D643F">
        <w:rPr>
          <w:rFonts w:ascii="Arial" w:hAnsi="Arial" w:cs="Arial"/>
          <w:i/>
          <w:iCs/>
          <w:sz w:val="24"/>
          <w:szCs w:val="24"/>
        </w:rPr>
        <w:t>1</w:t>
      </w:r>
      <w:r w:rsidR="003D643F">
        <w:rPr>
          <w:rFonts w:ascii="Arial" w:hAnsi="Arial" w:cs="Arial"/>
          <w:sz w:val="24"/>
          <w:szCs w:val="24"/>
        </w:rPr>
        <w:t xml:space="preserve">, meaning they </w:t>
      </w:r>
      <w:r w:rsidRPr="00D169E2">
        <w:rPr>
          <w:rFonts w:ascii="Arial" w:hAnsi="Arial" w:cs="Arial"/>
          <w:sz w:val="24"/>
          <w:szCs w:val="24"/>
        </w:rPr>
        <w:t>will continue to have effect under the new provision.</w:t>
      </w:r>
    </w:p>
    <w:p w14:paraId="3776DA61" w14:textId="189EFB83" w:rsidR="00400DC2" w:rsidRDefault="00400DC2" w:rsidP="00400DC2">
      <w:pPr>
        <w:pStyle w:val="Heading3"/>
      </w:pPr>
      <w:r>
        <w:t xml:space="preserve">Clause </w:t>
      </w:r>
      <w:r w:rsidR="003D643F">
        <w:t>7</w:t>
      </w:r>
      <w:r>
        <w:tab/>
        <w:t>Advisory committee</w:t>
      </w:r>
      <w:r>
        <w:tab/>
      </w:r>
      <w:r>
        <w:tab/>
      </w:r>
      <w:r>
        <w:tab/>
      </w:r>
      <w:r>
        <w:tab/>
      </w:r>
      <w:r>
        <w:tab/>
      </w:r>
      <w:r>
        <w:tab/>
      </w:r>
      <w:r>
        <w:tab/>
      </w:r>
      <w:r>
        <w:tab/>
      </w:r>
      <w:r>
        <w:tab/>
        <w:t>Section 11 (2) (a) and (b)</w:t>
      </w:r>
    </w:p>
    <w:p w14:paraId="3EF53A54" w14:textId="371A37BF" w:rsidR="009F169A" w:rsidRDefault="009F169A" w:rsidP="003D643F">
      <w:pPr>
        <w:rPr>
          <w:rFonts w:ascii="Arial" w:hAnsi="Arial" w:cs="Arial"/>
          <w:sz w:val="24"/>
          <w:szCs w:val="24"/>
        </w:rPr>
      </w:pPr>
      <w:bookmarkStart w:id="1" w:name="_Hlk135310030"/>
      <w:r w:rsidRPr="00D169E2">
        <w:rPr>
          <w:rFonts w:ascii="Arial" w:hAnsi="Arial" w:cs="Arial"/>
          <w:sz w:val="24"/>
          <w:szCs w:val="24"/>
        </w:rPr>
        <w:t>This clause substitutes section</w:t>
      </w:r>
      <w:r w:rsidR="003D6630">
        <w:rPr>
          <w:rFonts w:ascii="Arial" w:hAnsi="Arial" w:cs="Arial"/>
          <w:sz w:val="24"/>
          <w:szCs w:val="24"/>
        </w:rPr>
        <w:t xml:space="preserve"> 11 (2) (a) and (b)</w:t>
      </w:r>
      <w:r w:rsidR="003D643F">
        <w:rPr>
          <w:rFonts w:ascii="Arial" w:hAnsi="Arial" w:cs="Arial"/>
          <w:sz w:val="24"/>
          <w:szCs w:val="24"/>
        </w:rPr>
        <w:t xml:space="preserve"> to remove </w:t>
      </w:r>
      <w:bookmarkEnd w:id="1"/>
      <w:r w:rsidR="003D643F">
        <w:rPr>
          <w:rFonts w:ascii="Arial" w:hAnsi="Arial" w:cs="Arial"/>
          <w:sz w:val="24"/>
          <w:szCs w:val="24"/>
        </w:rPr>
        <w:t>the</w:t>
      </w:r>
      <w:r w:rsidR="00E2429F">
        <w:rPr>
          <w:rFonts w:ascii="Arial" w:hAnsi="Arial" w:cs="Arial"/>
          <w:sz w:val="24"/>
          <w:szCs w:val="24"/>
        </w:rPr>
        <w:t xml:space="preserve"> </w:t>
      </w:r>
      <w:r w:rsidR="003D643F">
        <w:rPr>
          <w:rFonts w:ascii="Arial" w:hAnsi="Arial" w:cs="Arial"/>
          <w:sz w:val="24"/>
          <w:szCs w:val="24"/>
        </w:rPr>
        <w:t>A</w:t>
      </w:r>
      <w:r w:rsidR="00E2429F">
        <w:rPr>
          <w:rFonts w:ascii="Arial" w:hAnsi="Arial" w:cs="Arial"/>
          <w:sz w:val="24"/>
          <w:szCs w:val="24"/>
        </w:rPr>
        <w:t xml:space="preserve">ssociate </w:t>
      </w:r>
      <w:r w:rsidR="003D643F">
        <w:rPr>
          <w:rFonts w:ascii="Arial" w:hAnsi="Arial" w:cs="Arial"/>
          <w:sz w:val="24"/>
          <w:szCs w:val="24"/>
        </w:rPr>
        <w:t>J</w:t>
      </w:r>
      <w:r w:rsidR="00E2429F">
        <w:rPr>
          <w:rFonts w:ascii="Arial" w:hAnsi="Arial" w:cs="Arial"/>
          <w:sz w:val="24"/>
          <w:szCs w:val="24"/>
        </w:rPr>
        <w:t xml:space="preserve">udge </w:t>
      </w:r>
      <w:r w:rsidR="003D643F">
        <w:rPr>
          <w:rFonts w:ascii="Arial" w:hAnsi="Arial" w:cs="Arial"/>
          <w:sz w:val="24"/>
          <w:szCs w:val="24"/>
        </w:rPr>
        <w:t>from the list of members of the advisory committee and</w:t>
      </w:r>
      <w:r w:rsidR="00E2429F">
        <w:rPr>
          <w:rFonts w:ascii="Arial" w:hAnsi="Arial" w:cs="Arial"/>
          <w:sz w:val="24"/>
          <w:szCs w:val="24"/>
        </w:rPr>
        <w:t xml:space="preserve"> add</w:t>
      </w:r>
      <w:r w:rsidR="003D643F">
        <w:rPr>
          <w:rFonts w:ascii="Arial" w:hAnsi="Arial" w:cs="Arial"/>
          <w:sz w:val="24"/>
          <w:szCs w:val="24"/>
        </w:rPr>
        <w:t>s</w:t>
      </w:r>
      <w:r w:rsidR="00E2429F">
        <w:rPr>
          <w:rFonts w:ascii="Arial" w:hAnsi="Arial" w:cs="Arial"/>
          <w:sz w:val="24"/>
          <w:szCs w:val="24"/>
        </w:rPr>
        <w:t xml:space="preserve"> another </w:t>
      </w:r>
      <w:r w:rsidR="003D643F">
        <w:rPr>
          <w:rFonts w:ascii="Arial" w:hAnsi="Arial" w:cs="Arial"/>
          <w:sz w:val="24"/>
          <w:szCs w:val="24"/>
        </w:rPr>
        <w:t>R</w:t>
      </w:r>
      <w:r w:rsidR="00E2429F">
        <w:rPr>
          <w:rFonts w:ascii="Arial" w:hAnsi="Arial" w:cs="Arial"/>
          <w:sz w:val="24"/>
          <w:szCs w:val="24"/>
        </w:rPr>
        <w:t xml:space="preserve">esident </w:t>
      </w:r>
      <w:r w:rsidR="003D643F">
        <w:rPr>
          <w:rFonts w:ascii="Arial" w:hAnsi="Arial" w:cs="Arial"/>
          <w:sz w:val="24"/>
          <w:szCs w:val="24"/>
        </w:rPr>
        <w:t>J</w:t>
      </w:r>
      <w:r w:rsidR="00E2429F">
        <w:rPr>
          <w:rFonts w:ascii="Arial" w:hAnsi="Arial" w:cs="Arial"/>
          <w:sz w:val="24"/>
          <w:szCs w:val="24"/>
        </w:rPr>
        <w:t>udge</w:t>
      </w:r>
      <w:r w:rsidR="003D643F">
        <w:rPr>
          <w:rFonts w:ascii="Arial" w:hAnsi="Arial" w:cs="Arial"/>
          <w:sz w:val="24"/>
          <w:szCs w:val="24"/>
        </w:rPr>
        <w:t xml:space="preserve">, to be </w:t>
      </w:r>
      <w:r w:rsidR="00E2429F">
        <w:rPr>
          <w:rFonts w:ascii="Arial" w:hAnsi="Arial" w:cs="Arial"/>
          <w:sz w:val="24"/>
          <w:szCs w:val="24"/>
        </w:rPr>
        <w:t>appointed by the Chief Justice</w:t>
      </w:r>
      <w:r w:rsidR="003D643F">
        <w:rPr>
          <w:rFonts w:ascii="Arial" w:hAnsi="Arial" w:cs="Arial"/>
          <w:sz w:val="24"/>
          <w:szCs w:val="24"/>
        </w:rPr>
        <w:t>, as a member of the advisory committee</w:t>
      </w:r>
      <w:r w:rsidR="00E2429F">
        <w:rPr>
          <w:rFonts w:ascii="Arial" w:hAnsi="Arial" w:cs="Arial"/>
          <w:sz w:val="24"/>
          <w:szCs w:val="24"/>
        </w:rPr>
        <w:t xml:space="preserve">. New section 11 (2) (a) and (b) also provides that one of the </w:t>
      </w:r>
      <w:r w:rsidR="003D643F">
        <w:rPr>
          <w:rFonts w:ascii="Arial" w:hAnsi="Arial" w:cs="Arial"/>
          <w:sz w:val="24"/>
          <w:szCs w:val="24"/>
        </w:rPr>
        <w:t>R</w:t>
      </w:r>
      <w:r w:rsidR="00E2429F">
        <w:rPr>
          <w:rFonts w:ascii="Arial" w:hAnsi="Arial" w:cs="Arial"/>
          <w:sz w:val="24"/>
          <w:szCs w:val="24"/>
        </w:rPr>
        <w:t xml:space="preserve">esident </w:t>
      </w:r>
      <w:r w:rsidR="003D643F">
        <w:rPr>
          <w:rFonts w:ascii="Arial" w:hAnsi="Arial" w:cs="Arial"/>
          <w:sz w:val="24"/>
          <w:szCs w:val="24"/>
        </w:rPr>
        <w:t>J</w:t>
      </w:r>
      <w:r w:rsidR="00E2429F">
        <w:rPr>
          <w:rFonts w:ascii="Arial" w:hAnsi="Arial" w:cs="Arial"/>
          <w:sz w:val="24"/>
          <w:szCs w:val="24"/>
        </w:rPr>
        <w:t>udge</w:t>
      </w:r>
      <w:r w:rsidR="003D643F">
        <w:rPr>
          <w:rFonts w:ascii="Arial" w:hAnsi="Arial" w:cs="Arial"/>
          <w:sz w:val="24"/>
          <w:szCs w:val="24"/>
        </w:rPr>
        <w:t xml:space="preserve"> members</w:t>
      </w:r>
      <w:r w:rsidR="00E2429F">
        <w:rPr>
          <w:rFonts w:ascii="Arial" w:hAnsi="Arial" w:cs="Arial"/>
          <w:sz w:val="24"/>
          <w:szCs w:val="24"/>
        </w:rPr>
        <w:t xml:space="preserve"> </w:t>
      </w:r>
      <w:r w:rsidR="00B36BF7">
        <w:rPr>
          <w:rFonts w:ascii="Arial" w:hAnsi="Arial" w:cs="Arial"/>
          <w:sz w:val="24"/>
          <w:szCs w:val="24"/>
        </w:rPr>
        <w:t>be the chairperson of the advisory committee.</w:t>
      </w:r>
    </w:p>
    <w:p w14:paraId="27BE57AB" w14:textId="28399BAB" w:rsidR="00400DC2" w:rsidRDefault="00400DC2" w:rsidP="00400DC2">
      <w:pPr>
        <w:pStyle w:val="Heading3"/>
      </w:pPr>
      <w:r w:rsidRPr="00ED3B77">
        <w:t xml:space="preserve">Clause </w:t>
      </w:r>
      <w:r w:rsidR="003D643F">
        <w:t>8</w:t>
      </w:r>
      <w:r w:rsidRPr="00ED3B77">
        <w:tab/>
      </w:r>
      <w:r>
        <w:t xml:space="preserve">Section </w:t>
      </w:r>
      <w:r w:rsidR="005D787C">
        <w:t>11</w:t>
      </w:r>
      <w:r>
        <w:t xml:space="preserve"> (2)</w:t>
      </w:r>
      <w:r w:rsidR="005D787C">
        <w:t>, new note</w:t>
      </w:r>
    </w:p>
    <w:p w14:paraId="4C360945" w14:textId="4AE6FFCD" w:rsidR="00400DC2" w:rsidRPr="003419E9" w:rsidRDefault="002059D6" w:rsidP="00400DC2">
      <w:pPr>
        <w:jc w:val="both"/>
        <w:rPr>
          <w:rFonts w:ascii="Arial" w:hAnsi="Arial" w:cs="Arial"/>
          <w:sz w:val="24"/>
          <w:szCs w:val="28"/>
        </w:rPr>
      </w:pPr>
      <w:r w:rsidRPr="002059D6">
        <w:rPr>
          <w:rFonts w:ascii="Arial" w:hAnsi="Arial" w:cs="Arial"/>
          <w:sz w:val="24"/>
          <w:szCs w:val="28"/>
        </w:rPr>
        <w:t xml:space="preserve">This clause inserts a new </w:t>
      </w:r>
      <w:r w:rsidR="00217DC5">
        <w:rPr>
          <w:rFonts w:ascii="Arial" w:hAnsi="Arial" w:cs="Arial"/>
          <w:sz w:val="24"/>
          <w:szCs w:val="28"/>
        </w:rPr>
        <w:t>note</w:t>
      </w:r>
      <w:r w:rsidRPr="002059D6">
        <w:rPr>
          <w:rFonts w:ascii="Arial" w:hAnsi="Arial" w:cs="Arial"/>
          <w:sz w:val="24"/>
          <w:szCs w:val="28"/>
        </w:rPr>
        <w:t xml:space="preserve"> </w:t>
      </w:r>
      <w:r w:rsidR="003D643F">
        <w:rPr>
          <w:rFonts w:ascii="Arial" w:hAnsi="Arial" w:cs="Arial"/>
          <w:sz w:val="24"/>
          <w:szCs w:val="28"/>
        </w:rPr>
        <w:t>to</w:t>
      </w:r>
      <w:r w:rsidRPr="002059D6">
        <w:rPr>
          <w:rFonts w:ascii="Arial" w:hAnsi="Arial" w:cs="Arial"/>
          <w:sz w:val="24"/>
          <w:szCs w:val="28"/>
        </w:rPr>
        <w:t xml:space="preserve"> section </w:t>
      </w:r>
      <w:r w:rsidR="00217DC5">
        <w:rPr>
          <w:rFonts w:ascii="Arial" w:hAnsi="Arial" w:cs="Arial"/>
          <w:sz w:val="24"/>
          <w:szCs w:val="28"/>
        </w:rPr>
        <w:t>11 (2)</w:t>
      </w:r>
      <w:r w:rsidRPr="002059D6">
        <w:rPr>
          <w:rFonts w:ascii="Arial" w:hAnsi="Arial" w:cs="Arial"/>
          <w:sz w:val="24"/>
          <w:szCs w:val="28"/>
        </w:rPr>
        <w:t xml:space="preserve">. The </w:t>
      </w:r>
      <w:r w:rsidR="00217DC5">
        <w:rPr>
          <w:rFonts w:ascii="Arial" w:hAnsi="Arial" w:cs="Arial"/>
          <w:sz w:val="24"/>
          <w:szCs w:val="28"/>
        </w:rPr>
        <w:t xml:space="preserve">new note provides that laws about appointments </w:t>
      </w:r>
      <w:r w:rsidR="001D601B">
        <w:rPr>
          <w:rFonts w:ascii="Arial" w:hAnsi="Arial" w:cs="Arial"/>
          <w:sz w:val="24"/>
          <w:szCs w:val="28"/>
        </w:rPr>
        <w:t xml:space="preserve">are at pt 19.3. of the </w:t>
      </w:r>
      <w:r w:rsidR="001D601B" w:rsidRPr="003D643F">
        <w:rPr>
          <w:rFonts w:ascii="Arial" w:hAnsi="Arial" w:cs="Arial"/>
          <w:i/>
          <w:iCs/>
          <w:sz w:val="24"/>
          <w:szCs w:val="28"/>
        </w:rPr>
        <w:t>Legislation Act</w:t>
      </w:r>
      <w:r w:rsidR="003D643F">
        <w:rPr>
          <w:rFonts w:ascii="Arial" w:hAnsi="Arial" w:cs="Arial"/>
          <w:i/>
          <w:iCs/>
          <w:sz w:val="24"/>
          <w:szCs w:val="28"/>
        </w:rPr>
        <w:t xml:space="preserve"> </w:t>
      </w:r>
      <w:r w:rsidR="003D643F" w:rsidRPr="003D643F">
        <w:rPr>
          <w:rFonts w:ascii="Arial" w:hAnsi="Arial" w:cs="Arial"/>
          <w:i/>
          <w:iCs/>
          <w:sz w:val="24"/>
          <w:szCs w:val="28"/>
        </w:rPr>
        <w:t>2001</w:t>
      </w:r>
      <w:r w:rsidR="001D601B">
        <w:rPr>
          <w:rFonts w:ascii="Arial" w:hAnsi="Arial" w:cs="Arial"/>
          <w:sz w:val="24"/>
          <w:szCs w:val="28"/>
        </w:rPr>
        <w:t>.</w:t>
      </w:r>
    </w:p>
    <w:p w14:paraId="3EC8C9B9" w14:textId="46C8DCEF" w:rsidR="00400DC2" w:rsidRDefault="00400DC2" w:rsidP="00400DC2">
      <w:pPr>
        <w:pStyle w:val="Heading3"/>
      </w:pPr>
      <w:r w:rsidRPr="008313BA">
        <w:t>Clause</w:t>
      </w:r>
      <w:r w:rsidR="00F00AB8" w:rsidRPr="008313BA">
        <w:t xml:space="preserve"> 9</w:t>
      </w:r>
      <w:r w:rsidRPr="008313BA">
        <w:tab/>
        <w:t xml:space="preserve">Section </w:t>
      </w:r>
      <w:r w:rsidR="005D787C" w:rsidRPr="008313BA">
        <w:t>11 (6) an</w:t>
      </w:r>
      <w:r w:rsidRPr="008313BA">
        <w:t>d (</w:t>
      </w:r>
      <w:r w:rsidR="005D787C" w:rsidRPr="008313BA">
        <w:t>8</w:t>
      </w:r>
      <w:r w:rsidRPr="008313BA">
        <w:t>)</w:t>
      </w:r>
    </w:p>
    <w:p w14:paraId="58230A12" w14:textId="522778E2" w:rsidR="001D601B" w:rsidRPr="003419E9" w:rsidRDefault="001D601B" w:rsidP="00400DC2">
      <w:pPr>
        <w:jc w:val="both"/>
        <w:rPr>
          <w:rFonts w:ascii="Arial" w:hAnsi="Arial" w:cs="Arial"/>
          <w:sz w:val="24"/>
          <w:szCs w:val="28"/>
        </w:rPr>
      </w:pPr>
      <w:r w:rsidRPr="001D601B">
        <w:rPr>
          <w:rFonts w:ascii="Arial" w:hAnsi="Arial" w:cs="Arial"/>
          <w:sz w:val="24"/>
          <w:szCs w:val="28"/>
        </w:rPr>
        <w:t>This clause substitutes section 11 (</w:t>
      </w:r>
      <w:r>
        <w:rPr>
          <w:rFonts w:ascii="Arial" w:hAnsi="Arial" w:cs="Arial"/>
          <w:sz w:val="24"/>
          <w:szCs w:val="28"/>
        </w:rPr>
        <w:t>6</w:t>
      </w:r>
      <w:r w:rsidRPr="001D601B">
        <w:rPr>
          <w:rFonts w:ascii="Arial" w:hAnsi="Arial" w:cs="Arial"/>
          <w:sz w:val="24"/>
          <w:szCs w:val="28"/>
        </w:rPr>
        <w:t>)</w:t>
      </w:r>
      <w:r w:rsidR="008313BA">
        <w:rPr>
          <w:rFonts w:ascii="Arial" w:hAnsi="Arial" w:cs="Arial"/>
          <w:sz w:val="24"/>
          <w:szCs w:val="28"/>
        </w:rPr>
        <w:t xml:space="preserve"> to</w:t>
      </w:r>
      <w:r w:rsidRPr="001D601B">
        <w:rPr>
          <w:rFonts w:ascii="Arial" w:hAnsi="Arial" w:cs="Arial"/>
          <w:sz w:val="24"/>
          <w:szCs w:val="28"/>
        </w:rPr>
        <w:t xml:space="preserve"> </w:t>
      </w:r>
      <w:r>
        <w:rPr>
          <w:rFonts w:ascii="Arial" w:hAnsi="Arial" w:cs="Arial"/>
          <w:sz w:val="24"/>
          <w:szCs w:val="28"/>
        </w:rPr>
        <w:t>(8</w:t>
      </w:r>
      <w:r w:rsidRPr="001D601B">
        <w:rPr>
          <w:rFonts w:ascii="Arial" w:hAnsi="Arial" w:cs="Arial"/>
          <w:sz w:val="24"/>
          <w:szCs w:val="28"/>
        </w:rPr>
        <w:t>)</w:t>
      </w:r>
      <w:r w:rsidR="008313BA">
        <w:rPr>
          <w:rFonts w:ascii="Arial" w:hAnsi="Arial" w:cs="Arial"/>
          <w:sz w:val="24"/>
          <w:szCs w:val="28"/>
        </w:rPr>
        <w:t xml:space="preserve"> to </w:t>
      </w:r>
      <w:r>
        <w:rPr>
          <w:rFonts w:ascii="Arial" w:hAnsi="Arial" w:cs="Arial"/>
          <w:sz w:val="24"/>
          <w:szCs w:val="28"/>
        </w:rPr>
        <w:t xml:space="preserve">provide that </w:t>
      </w:r>
      <w:r w:rsidR="001C47FD">
        <w:rPr>
          <w:rFonts w:ascii="Arial" w:hAnsi="Arial" w:cs="Arial"/>
          <w:sz w:val="24"/>
          <w:szCs w:val="28"/>
        </w:rPr>
        <w:t xml:space="preserve">if the </w:t>
      </w:r>
      <w:r w:rsidR="008313BA">
        <w:rPr>
          <w:rFonts w:ascii="Arial" w:hAnsi="Arial" w:cs="Arial"/>
          <w:sz w:val="24"/>
          <w:szCs w:val="28"/>
        </w:rPr>
        <w:t>R</w:t>
      </w:r>
      <w:r w:rsidR="001C47FD">
        <w:rPr>
          <w:rFonts w:ascii="Arial" w:hAnsi="Arial" w:cs="Arial"/>
          <w:sz w:val="24"/>
          <w:szCs w:val="28"/>
        </w:rPr>
        <w:t xml:space="preserve">esident </w:t>
      </w:r>
      <w:r w:rsidR="008313BA">
        <w:rPr>
          <w:rFonts w:ascii="Arial" w:hAnsi="Arial" w:cs="Arial"/>
          <w:sz w:val="24"/>
          <w:szCs w:val="28"/>
        </w:rPr>
        <w:t>J</w:t>
      </w:r>
      <w:r w:rsidR="001C47FD">
        <w:rPr>
          <w:rFonts w:ascii="Arial" w:hAnsi="Arial" w:cs="Arial"/>
          <w:sz w:val="24"/>
          <w:szCs w:val="28"/>
        </w:rPr>
        <w:t>udge appointed as the chairperson is not present</w:t>
      </w:r>
      <w:r w:rsidR="008313BA">
        <w:rPr>
          <w:rFonts w:ascii="Arial" w:hAnsi="Arial" w:cs="Arial"/>
          <w:sz w:val="24"/>
          <w:szCs w:val="28"/>
        </w:rPr>
        <w:t>, the other Resident Judge member of the advisory committee is to chair the meeting. If both Resident Judges are not present,</w:t>
      </w:r>
      <w:r w:rsidR="001C47FD">
        <w:rPr>
          <w:rFonts w:ascii="Arial" w:hAnsi="Arial" w:cs="Arial"/>
          <w:sz w:val="24"/>
          <w:szCs w:val="28"/>
        </w:rPr>
        <w:t xml:space="preserve"> the members</w:t>
      </w:r>
      <w:r w:rsidR="008313BA">
        <w:rPr>
          <w:rFonts w:ascii="Arial" w:hAnsi="Arial" w:cs="Arial"/>
          <w:sz w:val="24"/>
          <w:szCs w:val="28"/>
        </w:rPr>
        <w:t xml:space="preserve"> present</w:t>
      </w:r>
      <w:r w:rsidR="001C47FD">
        <w:rPr>
          <w:rFonts w:ascii="Arial" w:hAnsi="Arial" w:cs="Arial"/>
          <w:sz w:val="24"/>
          <w:szCs w:val="28"/>
        </w:rPr>
        <w:t xml:space="preserve"> must choose another member to chair the meeting</w:t>
      </w:r>
      <w:r w:rsidR="008313BA">
        <w:rPr>
          <w:rFonts w:ascii="Arial" w:hAnsi="Arial" w:cs="Arial"/>
          <w:sz w:val="24"/>
          <w:szCs w:val="28"/>
        </w:rPr>
        <w:t>.</w:t>
      </w:r>
    </w:p>
    <w:p w14:paraId="463E74D7" w14:textId="7E73FF40" w:rsidR="00400DC2" w:rsidRDefault="00400DC2" w:rsidP="00400DC2">
      <w:pPr>
        <w:pStyle w:val="Heading3"/>
      </w:pPr>
      <w:r>
        <w:t xml:space="preserve">Clause </w:t>
      </w:r>
      <w:r w:rsidR="008313BA">
        <w:t>10</w:t>
      </w:r>
      <w:r>
        <w:tab/>
      </w:r>
      <w:r w:rsidR="005D787C">
        <w:t>Reviewable decisions</w:t>
      </w:r>
      <w:r w:rsidR="001B683C">
        <w:t>—court</w:t>
      </w:r>
      <w:r>
        <w:tab/>
      </w:r>
      <w:r>
        <w:tab/>
      </w:r>
      <w:r>
        <w:tab/>
      </w:r>
      <w:r>
        <w:tab/>
      </w:r>
      <w:r>
        <w:tab/>
      </w:r>
      <w:r>
        <w:tab/>
      </w:r>
      <w:r>
        <w:tab/>
      </w:r>
      <w:r>
        <w:tab/>
      </w:r>
      <w:r w:rsidR="001B683C">
        <w:t>Section 18A (5) (a) (i)</w:t>
      </w:r>
    </w:p>
    <w:p w14:paraId="03CACF2B" w14:textId="325F5F71" w:rsidR="00D169E2" w:rsidRDefault="00B504C5" w:rsidP="00D169E2">
      <w:pPr>
        <w:rPr>
          <w:rFonts w:ascii="Arial" w:hAnsi="Arial" w:cs="Arial"/>
          <w:sz w:val="24"/>
          <w:szCs w:val="24"/>
        </w:rPr>
      </w:pPr>
      <w:r w:rsidRPr="00B504C5">
        <w:rPr>
          <w:rFonts w:ascii="Arial" w:hAnsi="Arial" w:cs="Arial"/>
          <w:sz w:val="24"/>
          <w:szCs w:val="24"/>
        </w:rPr>
        <w:t>This clause omits ‘</w:t>
      </w:r>
      <w:r>
        <w:rPr>
          <w:rFonts w:ascii="Arial" w:hAnsi="Arial" w:cs="Arial"/>
          <w:sz w:val="24"/>
          <w:szCs w:val="24"/>
        </w:rPr>
        <w:t>or the associate judge</w:t>
      </w:r>
      <w:r w:rsidRPr="00B504C5">
        <w:rPr>
          <w:rFonts w:ascii="Arial" w:hAnsi="Arial" w:cs="Arial"/>
          <w:sz w:val="24"/>
          <w:szCs w:val="24"/>
        </w:rPr>
        <w:t xml:space="preserve">’ from sections </w:t>
      </w:r>
      <w:r>
        <w:rPr>
          <w:rFonts w:ascii="Arial" w:hAnsi="Arial" w:cs="Arial"/>
          <w:sz w:val="24"/>
          <w:szCs w:val="24"/>
        </w:rPr>
        <w:t>18A (5) (a) (i)</w:t>
      </w:r>
      <w:r w:rsidR="00D169E2" w:rsidRPr="003419E9">
        <w:rPr>
          <w:rFonts w:ascii="Arial" w:hAnsi="Arial" w:cs="Arial"/>
          <w:sz w:val="24"/>
          <w:szCs w:val="24"/>
        </w:rPr>
        <w:t xml:space="preserve">. </w:t>
      </w:r>
      <w:r>
        <w:rPr>
          <w:rFonts w:ascii="Arial" w:hAnsi="Arial" w:cs="Arial"/>
          <w:sz w:val="24"/>
          <w:szCs w:val="24"/>
        </w:rPr>
        <w:t xml:space="preserve">The omission </w:t>
      </w:r>
      <w:r w:rsidR="008313BA">
        <w:rPr>
          <w:rFonts w:ascii="Arial" w:hAnsi="Arial" w:cs="Arial"/>
          <w:sz w:val="24"/>
          <w:szCs w:val="24"/>
        </w:rPr>
        <w:t>removes the Associate Judge from constituting the court</w:t>
      </w:r>
      <w:r>
        <w:rPr>
          <w:rFonts w:ascii="Arial" w:hAnsi="Arial" w:cs="Arial"/>
          <w:sz w:val="24"/>
          <w:szCs w:val="24"/>
        </w:rPr>
        <w:t xml:space="preserve"> for review</w:t>
      </w:r>
      <w:r w:rsidR="008313BA">
        <w:rPr>
          <w:rFonts w:ascii="Arial" w:hAnsi="Arial" w:cs="Arial"/>
          <w:sz w:val="24"/>
          <w:szCs w:val="24"/>
        </w:rPr>
        <w:t>s</w:t>
      </w:r>
      <w:r>
        <w:rPr>
          <w:rFonts w:ascii="Arial" w:hAnsi="Arial" w:cs="Arial"/>
          <w:sz w:val="24"/>
          <w:szCs w:val="24"/>
        </w:rPr>
        <w:t xml:space="preserve"> of a decision </w:t>
      </w:r>
      <w:r w:rsidR="008313BA">
        <w:rPr>
          <w:rFonts w:ascii="Arial" w:hAnsi="Arial" w:cs="Arial"/>
          <w:sz w:val="24"/>
          <w:szCs w:val="24"/>
        </w:rPr>
        <w:t xml:space="preserve">made by the registrar. </w:t>
      </w:r>
    </w:p>
    <w:p w14:paraId="32414959" w14:textId="11F6B665" w:rsidR="00400DC2" w:rsidRDefault="00400DC2" w:rsidP="00400DC2">
      <w:pPr>
        <w:pStyle w:val="Heading3"/>
      </w:pPr>
      <w:r>
        <w:t xml:space="preserve">Clause </w:t>
      </w:r>
      <w:r w:rsidR="008313BA">
        <w:t>11</w:t>
      </w:r>
      <w:r>
        <w:tab/>
      </w:r>
      <w:r w:rsidR="001B683C">
        <w:t>Definitions—pt 5</w:t>
      </w:r>
      <w:r>
        <w:tab/>
      </w:r>
      <w:r>
        <w:tab/>
      </w:r>
      <w:r>
        <w:tab/>
      </w:r>
      <w:r>
        <w:tab/>
      </w:r>
      <w:r>
        <w:tab/>
      </w:r>
      <w:r>
        <w:tab/>
      </w:r>
      <w:r>
        <w:tab/>
      </w:r>
      <w:r>
        <w:tab/>
      </w:r>
      <w:r w:rsidR="001B683C">
        <w:tab/>
      </w:r>
      <w:r w:rsidR="001B683C">
        <w:tab/>
      </w:r>
      <w:r>
        <w:t xml:space="preserve">Section </w:t>
      </w:r>
      <w:r w:rsidR="001B683C">
        <w:t xml:space="preserve">40, definition of </w:t>
      </w:r>
      <w:r w:rsidR="001B683C" w:rsidRPr="008313BA">
        <w:rPr>
          <w:i/>
          <w:iCs/>
        </w:rPr>
        <w:t>judge</w:t>
      </w:r>
    </w:p>
    <w:p w14:paraId="0DA79A80" w14:textId="0C124CA6" w:rsidR="00400DC2" w:rsidRPr="008313BA" w:rsidRDefault="005F1043" w:rsidP="008313BA">
      <w:pPr>
        <w:rPr>
          <w:rFonts w:ascii="Arial" w:hAnsi="Arial" w:cs="Arial"/>
          <w:i/>
          <w:iCs/>
          <w:sz w:val="24"/>
          <w:szCs w:val="24"/>
        </w:rPr>
      </w:pPr>
      <w:r w:rsidRPr="005F1043">
        <w:rPr>
          <w:rFonts w:ascii="Arial" w:hAnsi="Arial" w:cs="Arial"/>
          <w:sz w:val="24"/>
          <w:szCs w:val="24"/>
        </w:rPr>
        <w:t xml:space="preserve">This clause substitutes </w:t>
      </w:r>
      <w:r w:rsidR="00D45079">
        <w:rPr>
          <w:rFonts w:ascii="Arial" w:hAnsi="Arial" w:cs="Arial"/>
          <w:sz w:val="24"/>
          <w:szCs w:val="24"/>
        </w:rPr>
        <w:t xml:space="preserve">the definition of </w:t>
      </w:r>
      <w:r w:rsidR="00D45079">
        <w:rPr>
          <w:rFonts w:ascii="Arial" w:hAnsi="Arial" w:cs="Arial"/>
          <w:i/>
          <w:iCs/>
          <w:sz w:val="24"/>
          <w:szCs w:val="24"/>
        </w:rPr>
        <w:t>judge</w:t>
      </w:r>
      <w:r w:rsidR="00D45079">
        <w:rPr>
          <w:rFonts w:ascii="Arial" w:hAnsi="Arial" w:cs="Arial"/>
          <w:sz w:val="24"/>
          <w:szCs w:val="24"/>
        </w:rPr>
        <w:t xml:space="preserve"> in section 40 to</w:t>
      </w:r>
      <w:r w:rsidR="008313BA">
        <w:rPr>
          <w:rFonts w:ascii="Arial" w:hAnsi="Arial" w:cs="Arial"/>
          <w:sz w:val="24"/>
          <w:szCs w:val="24"/>
        </w:rPr>
        <w:t xml:space="preserve"> remove reference to the Associate Judge.</w:t>
      </w:r>
    </w:p>
    <w:p w14:paraId="1EABECD6" w14:textId="5C120048" w:rsidR="00400DC2" w:rsidRDefault="00400DC2" w:rsidP="00400DC2">
      <w:pPr>
        <w:pStyle w:val="Heading3"/>
      </w:pPr>
      <w:r>
        <w:t xml:space="preserve">Clause </w:t>
      </w:r>
      <w:r w:rsidR="008313BA">
        <w:t>12</w:t>
      </w:r>
      <w:r>
        <w:tab/>
      </w:r>
      <w:r w:rsidR="001B683C">
        <w:t>Jurisdiction</w:t>
      </w:r>
      <w:r>
        <w:tab/>
      </w:r>
      <w:r>
        <w:tab/>
      </w:r>
      <w:r>
        <w:tab/>
      </w:r>
      <w:r>
        <w:tab/>
      </w:r>
      <w:r>
        <w:tab/>
      </w:r>
      <w:r>
        <w:tab/>
      </w:r>
      <w:r>
        <w:tab/>
      </w:r>
      <w:r>
        <w:tab/>
      </w:r>
      <w:r>
        <w:tab/>
      </w:r>
      <w:r w:rsidR="001B683C">
        <w:tab/>
      </w:r>
      <w:r w:rsidR="001B683C">
        <w:tab/>
        <w:t>Schedule 1, item 1 (3)</w:t>
      </w:r>
    </w:p>
    <w:p w14:paraId="53696E48" w14:textId="003F1C61" w:rsidR="00400DC2" w:rsidRPr="00B36BF7" w:rsidRDefault="00D44CF8" w:rsidP="008313BA">
      <w:pPr>
        <w:rPr>
          <w:rFonts w:cs="Arial"/>
        </w:rPr>
      </w:pPr>
      <w:r w:rsidRPr="00B504C5">
        <w:rPr>
          <w:rFonts w:ascii="Arial" w:hAnsi="Arial" w:cs="Arial"/>
          <w:sz w:val="24"/>
          <w:szCs w:val="24"/>
        </w:rPr>
        <w:t>This clause omits ‘</w:t>
      </w:r>
      <w:r>
        <w:rPr>
          <w:rFonts w:ascii="Arial" w:hAnsi="Arial" w:cs="Arial"/>
          <w:sz w:val="24"/>
          <w:szCs w:val="24"/>
        </w:rPr>
        <w:t>the associate judge</w:t>
      </w:r>
      <w:r w:rsidRPr="00B504C5">
        <w:rPr>
          <w:rFonts w:ascii="Arial" w:hAnsi="Arial" w:cs="Arial"/>
          <w:sz w:val="24"/>
          <w:szCs w:val="24"/>
        </w:rPr>
        <w:t xml:space="preserve">’ from </w:t>
      </w:r>
      <w:r w:rsidR="00C35C84">
        <w:rPr>
          <w:rFonts w:ascii="Arial" w:hAnsi="Arial" w:cs="Arial"/>
          <w:sz w:val="24"/>
          <w:szCs w:val="24"/>
        </w:rPr>
        <w:t>Schedule 1, item 1 (3)</w:t>
      </w:r>
      <w:r w:rsidR="00400DC2" w:rsidRPr="003419E9">
        <w:rPr>
          <w:rFonts w:ascii="Arial" w:hAnsi="Arial" w:cs="Arial"/>
          <w:sz w:val="24"/>
          <w:szCs w:val="24"/>
        </w:rPr>
        <w:t>.</w:t>
      </w:r>
      <w:r w:rsidR="00C35C84">
        <w:rPr>
          <w:rFonts w:ascii="Arial" w:hAnsi="Arial" w:cs="Arial"/>
          <w:sz w:val="24"/>
          <w:szCs w:val="24"/>
        </w:rPr>
        <w:t xml:space="preserve"> The </w:t>
      </w:r>
      <w:r w:rsidR="008313BA">
        <w:rPr>
          <w:rFonts w:ascii="Arial" w:hAnsi="Arial" w:cs="Arial"/>
          <w:sz w:val="24"/>
          <w:szCs w:val="24"/>
        </w:rPr>
        <w:t>removes</w:t>
      </w:r>
      <w:r w:rsidR="00C35C84">
        <w:rPr>
          <w:rFonts w:ascii="Arial" w:hAnsi="Arial" w:cs="Arial"/>
          <w:sz w:val="24"/>
          <w:szCs w:val="24"/>
        </w:rPr>
        <w:t xml:space="preserve"> the </w:t>
      </w:r>
      <w:r w:rsidR="008313BA">
        <w:rPr>
          <w:rFonts w:ascii="Arial" w:hAnsi="Arial" w:cs="Arial"/>
          <w:sz w:val="24"/>
          <w:szCs w:val="24"/>
        </w:rPr>
        <w:t>jurisdiction of the A</w:t>
      </w:r>
      <w:r w:rsidR="00C35C84">
        <w:rPr>
          <w:rFonts w:ascii="Arial" w:hAnsi="Arial" w:cs="Arial"/>
          <w:sz w:val="24"/>
          <w:szCs w:val="24"/>
        </w:rPr>
        <w:t xml:space="preserve">ssociate </w:t>
      </w:r>
      <w:r w:rsidR="008313BA">
        <w:rPr>
          <w:rFonts w:ascii="Arial" w:hAnsi="Arial" w:cs="Arial"/>
          <w:sz w:val="24"/>
          <w:szCs w:val="24"/>
        </w:rPr>
        <w:t>J</w:t>
      </w:r>
      <w:r w:rsidR="00C35C84">
        <w:rPr>
          <w:rFonts w:ascii="Arial" w:hAnsi="Arial" w:cs="Arial"/>
          <w:sz w:val="24"/>
          <w:szCs w:val="24"/>
        </w:rPr>
        <w:t xml:space="preserve">udge </w:t>
      </w:r>
      <w:r w:rsidR="008313BA">
        <w:rPr>
          <w:rFonts w:ascii="Arial" w:hAnsi="Arial" w:cs="Arial"/>
          <w:sz w:val="24"/>
          <w:szCs w:val="24"/>
        </w:rPr>
        <w:t>as a</w:t>
      </w:r>
      <w:r w:rsidR="00C35C84">
        <w:rPr>
          <w:rFonts w:ascii="Arial" w:hAnsi="Arial" w:cs="Arial"/>
          <w:sz w:val="24"/>
          <w:szCs w:val="24"/>
        </w:rPr>
        <w:t xml:space="preserve"> subject matter for </w:t>
      </w:r>
      <w:r w:rsidR="008313BA">
        <w:rPr>
          <w:rFonts w:ascii="Arial" w:hAnsi="Arial" w:cs="Arial"/>
          <w:sz w:val="24"/>
          <w:szCs w:val="24"/>
        </w:rPr>
        <w:t>the rules</w:t>
      </w:r>
      <w:r w:rsidR="00C35C84">
        <w:rPr>
          <w:rFonts w:ascii="Arial" w:hAnsi="Arial" w:cs="Arial"/>
          <w:sz w:val="24"/>
          <w:szCs w:val="24"/>
        </w:rPr>
        <w:t>.</w:t>
      </w:r>
      <w:r w:rsidR="00400DC2" w:rsidRPr="003419E9">
        <w:rPr>
          <w:rFonts w:ascii="Arial" w:hAnsi="Arial" w:cs="Arial"/>
          <w:sz w:val="24"/>
          <w:szCs w:val="24"/>
        </w:rPr>
        <w:t xml:space="preserve"> </w:t>
      </w:r>
    </w:p>
    <w:p w14:paraId="77FE7FAF" w14:textId="12CA9D54" w:rsidR="00160563" w:rsidRDefault="00160563" w:rsidP="00160563">
      <w:pPr>
        <w:pStyle w:val="Heading3"/>
      </w:pPr>
      <w:r>
        <w:t xml:space="preserve">Clause </w:t>
      </w:r>
      <w:r w:rsidR="008313BA">
        <w:t>13</w:t>
      </w:r>
      <w:r>
        <w:tab/>
        <w:t>Costs</w:t>
      </w:r>
      <w:r>
        <w:tab/>
      </w:r>
      <w:r>
        <w:tab/>
      </w:r>
      <w:r>
        <w:tab/>
      </w:r>
      <w:r>
        <w:tab/>
      </w:r>
      <w:r>
        <w:tab/>
      </w:r>
      <w:r>
        <w:tab/>
      </w:r>
      <w:r>
        <w:tab/>
      </w:r>
      <w:r>
        <w:tab/>
      </w:r>
      <w:r>
        <w:tab/>
      </w:r>
      <w:r>
        <w:tab/>
      </w:r>
      <w:r>
        <w:tab/>
      </w:r>
      <w:r>
        <w:tab/>
        <w:t>Schedule 1, new item 26 (ca)</w:t>
      </w:r>
    </w:p>
    <w:p w14:paraId="7975622B" w14:textId="6C494BF2" w:rsidR="00160563" w:rsidRDefault="00160563" w:rsidP="00160563">
      <w:pPr>
        <w:rPr>
          <w:rFonts w:ascii="Arial" w:hAnsi="Arial" w:cs="Arial"/>
          <w:sz w:val="24"/>
          <w:szCs w:val="24"/>
        </w:rPr>
      </w:pPr>
      <w:r w:rsidRPr="003419E9">
        <w:rPr>
          <w:rFonts w:ascii="Arial" w:hAnsi="Arial" w:cs="Arial"/>
          <w:sz w:val="24"/>
          <w:szCs w:val="24"/>
        </w:rPr>
        <w:t xml:space="preserve">This clause inserts a new item ‘(ca) costs against non-parties to proceedings’ in Schedule 1 Part 1.2 section 26. </w:t>
      </w:r>
      <w:r w:rsidR="008313BA">
        <w:rPr>
          <w:rFonts w:ascii="Arial" w:hAnsi="Arial" w:cs="Arial"/>
          <w:sz w:val="24"/>
          <w:szCs w:val="24"/>
        </w:rPr>
        <w:t xml:space="preserve">This amendment allows the rule-making committee to make rules allowing the court to order costs against non-parties. The court’s </w:t>
      </w:r>
      <w:r w:rsidR="008313BA">
        <w:rPr>
          <w:rFonts w:ascii="Arial" w:hAnsi="Arial" w:cs="Arial"/>
          <w:sz w:val="24"/>
          <w:szCs w:val="24"/>
        </w:rPr>
        <w:lastRenderedPageBreak/>
        <w:t xml:space="preserve">application of any such rule will be guided to the principles in </w:t>
      </w:r>
      <w:r w:rsidR="008313BA" w:rsidRPr="00F140A5">
        <w:rPr>
          <w:rFonts w:ascii="Arial" w:hAnsi="Arial" w:cs="Arial"/>
          <w:i/>
          <w:sz w:val="24"/>
          <w:szCs w:val="24"/>
        </w:rPr>
        <w:t xml:space="preserve">Knight v FP Special Assets Limited </w:t>
      </w:r>
      <w:r w:rsidR="008313BA" w:rsidRPr="002658E4">
        <w:rPr>
          <w:rFonts w:ascii="Arial" w:hAnsi="Arial" w:cs="Arial"/>
          <w:iCs/>
          <w:sz w:val="24"/>
          <w:szCs w:val="24"/>
        </w:rPr>
        <w:t>(1992) 174 CLR 178</w:t>
      </w:r>
      <w:r w:rsidR="008313BA" w:rsidRPr="002658E4">
        <w:rPr>
          <w:rFonts w:ascii="Arial" w:hAnsi="Arial" w:cs="Arial"/>
          <w:iCs/>
          <w:sz w:val="24"/>
          <w:szCs w:val="24"/>
        </w:rPr>
        <w:footnoteReference w:id="3"/>
      </w:r>
      <w:r w:rsidR="008313BA">
        <w:rPr>
          <w:rFonts w:ascii="Arial" w:hAnsi="Arial" w:cs="Arial"/>
          <w:iCs/>
          <w:sz w:val="24"/>
          <w:szCs w:val="24"/>
        </w:rPr>
        <w:t>.</w:t>
      </w:r>
    </w:p>
    <w:p w14:paraId="4EA1A716" w14:textId="4C07FB2A" w:rsidR="00C35C84" w:rsidRDefault="00C35C84" w:rsidP="00C35C84">
      <w:pPr>
        <w:pStyle w:val="Heading3"/>
      </w:pPr>
      <w:r w:rsidRPr="00ED3B77">
        <w:t xml:space="preserve">Clause </w:t>
      </w:r>
      <w:r w:rsidR="005C4A1F">
        <w:t>14</w:t>
      </w:r>
      <w:r w:rsidRPr="00ED3B77">
        <w:tab/>
      </w:r>
      <w:r>
        <w:t>Dictionary, note 2</w:t>
      </w:r>
    </w:p>
    <w:p w14:paraId="5DB5357F" w14:textId="0630CED8" w:rsidR="00C35C84" w:rsidRPr="00C35C84" w:rsidRDefault="00C35C84" w:rsidP="00C35C84">
      <w:pPr>
        <w:jc w:val="both"/>
        <w:rPr>
          <w:rFonts w:ascii="Arial" w:hAnsi="Arial" w:cs="Arial"/>
          <w:sz w:val="24"/>
          <w:szCs w:val="28"/>
        </w:rPr>
      </w:pPr>
      <w:r w:rsidRPr="00C35C84">
        <w:rPr>
          <w:rFonts w:ascii="Arial" w:hAnsi="Arial" w:cs="Arial"/>
          <w:sz w:val="24"/>
          <w:szCs w:val="28"/>
        </w:rPr>
        <w:t xml:space="preserve">This clause omits </w:t>
      </w:r>
      <w:r>
        <w:rPr>
          <w:rFonts w:ascii="Arial" w:hAnsi="Arial" w:cs="Arial"/>
          <w:sz w:val="24"/>
          <w:szCs w:val="28"/>
        </w:rPr>
        <w:t>‘associate judge’</w:t>
      </w:r>
      <w:r w:rsidRPr="00C35C84">
        <w:rPr>
          <w:rFonts w:ascii="Arial" w:hAnsi="Arial" w:cs="Arial"/>
          <w:sz w:val="24"/>
          <w:szCs w:val="28"/>
        </w:rPr>
        <w:t xml:space="preserve"> and </w:t>
      </w:r>
      <w:r w:rsidR="005C4A1F">
        <w:rPr>
          <w:rFonts w:ascii="Arial" w:hAnsi="Arial" w:cs="Arial"/>
          <w:sz w:val="24"/>
          <w:szCs w:val="28"/>
        </w:rPr>
        <w:t>adds</w:t>
      </w:r>
      <w:r w:rsidRPr="00C35C84">
        <w:rPr>
          <w:rFonts w:ascii="Arial" w:hAnsi="Arial" w:cs="Arial"/>
          <w:sz w:val="24"/>
          <w:szCs w:val="28"/>
        </w:rPr>
        <w:t xml:space="preserve"> </w:t>
      </w:r>
      <w:r w:rsidR="005C4A1F">
        <w:rPr>
          <w:rFonts w:ascii="Arial" w:hAnsi="Arial" w:cs="Arial"/>
          <w:sz w:val="24"/>
          <w:szCs w:val="28"/>
        </w:rPr>
        <w:t>‘</w:t>
      </w:r>
      <w:r>
        <w:rPr>
          <w:rFonts w:ascii="Arial" w:hAnsi="Arial" w:cs="Arial"/>
          <w:sz w:val="24"/>
          <w:szCs w:val="28"/>
        </w:rPr>
        <w:t>judge</w:t>
      </w:r>
      <w:r w:rsidR="005C4A1F">
        <w:rPr>
          <w:rFonts w:ascii="Arial" w:hAnsi="Arial" w:cs="Arial"/>
          <w:sz w:val="24"/>
          <w:szCs w:val="28"/>
        </w:rPr>
        <w:t>’</w:t>
      </w:r>
      <w:r>
        <w:rPr>
          <w:rFonts w:ascii="Arial" w:hAnsi="Arial" w:cs="Arial"/>
          <w:sz w:val="24"/>
          <w:szCs w:val="28"/>
        </w:rPr>
        <w:t xml:space="preserve"> and </w:t>
      </w:r>
      <w:r w:rsidR="005C4A1F">
        <w:rPr>
          <w:rFonts w:ascii="Arial" w:hAnsi="Arial" w:cs="Arial"/>
          <w:sz w:val="24"/>
          <w:szCs w:val="28"/>
        </w:rPr>
        <w:t>‘</w:t>
      </w:r>
      <w:r>
        <w:rPr>
          <w:rFonts w:ascii="Arial" w:hAnsi="Arial" w:cs="Arial"/>
          <w:sz w:val="24"/>
          <w:szCs w:val="28"/>
        </w:rPr>
        <w:t>magistrate</w:t>
      </w:r>
      <w:r w:rsidR="005C4A1F">
        <w:rPr>
          <w:rFonts w:ascii="Arial" w:hAnsi="Arial" w:cs="Arial"/>
          <w:sz w:val="24"/>
          <w:szCs w:val="28"/>
        </w:rPr>
        <w:t>’</w:t>
      </w:r>
      <w:r>
        <w:rPr>
          <w:rFonts w:ascii="Arial" w:hAnsi="Arial" w:cs="Arial"/>
          <w:sz w:val="24"/>
          <w:szCs w:val="28"/>
        </w:rPr>
        <w:t xml:space="preserve"> in note 2 of the </w:t>
      </w:r>
      <w:r w:rsidR="005C4A1F">
        <w:rPr>
          <w:rFonts w:ascii="Arial" w:hAnsi="Arial" w:cs="Arial"/>
          <w:sz w:val="24"/>
          <w:szCs w:val="28"/>
        </w:rPr>
        <w:t>D</w:t>
      </w:r>
      <w:r>
        <w:rPr>
          <w:rFonts w:ascii="Arial" w:hAnsi="Arial" w:cs="Arial"/>
          <w:sz w:val="24"/>
          <w:szCs w:val="28"/>
        </w:rPr>
        <w:t>ictionary</w:t>
      </w:r>
      <w:r w:rsidRPr="00C35C84">
        <w:rPr>
          <w:rFonts w:ascii="Arial" w:hAnsi="Arial" w:cs="Arial"/>
          <w:sz w:val="24"/>
          <w:szCs w:val="28"/>
        </w:rPr>
        <w:t>.</w:t>
      </w:r>
    </w:p>
    <w:p w14:paraId="274406BB" w14:textId="77777777" w:rsidR="00160563" w:rsidRPr="003512FE" w:rsidRDefault="00160563" w:rsidP="00160563">
      <w:pPr>
        <w:pStyle w:val="Heading2"/>
      </w:pPr>
      <w:r w:rsidRPr="003512FE">
        <w:t>Part 3</w:t>
      </w:r>
      <w:r w:rsidRPr="003512FE">
        <w:tab/>
      </w:r>
      <w:r w:rsidRPr="003512FE">
        <w:tab/>
      </w:r>
      <w:r>
        <w:t>Magistrates Court Act 1930</w:t>
      </w:r>
    </w:p>
    <w:p w14:paraId="77C2F831" w14:textId="775515EA" w:rsidR="00160563" w:rsidRPr="003512FE" w:rsidRDefault="00160563" w:rsidP="00160563">
      <w:pPr>
        <w:pStyle w:val="Heading2"/>
      </w:pPr>
      <w:r w:rsidRPr="003512FE">
        <w:t xml:space="preserve">Clause </w:t>
      </w:r>
      <w:r w:rsidR="004A2151">
        <w:t>15</w:t>
      </w:r>
      <w:r w:rsidRPr="003512FE">
        <w:tab/>
        <w:t>Section</w:t>
      </w:r>
      <w:r>
        <w:t>s 17A and 17C</w:t>
      </w:r>
    </w:p>
    <w:p w14:paraId="0DB85BDA" w14:textId="77777777" w:rsidR="00160563" w:rsidRPr="003419E9" w:rsidRDefault="00160563" w:rsidP="00160563">
      <w:pPr>
        <w:rPr>
          <w:rFonts w:ascii="Arial" w:hAnsi="Arial" w:cs="Arial"/>
          <w:sz w:val="24"/>
          <w:szCs w:val="24"/>
        </w:rPr>
      </w:pPr>
      <w:r w:rsidRPr="003419E9">
        <w:rPr>
          <w:rFonts w:ascii="Arial" w:hAnsi="Arial" w:cs="Arial"/>
          <w:sz w:val="24"/>
          <w:szCs w:val="24"/>
        </w:rPr>
        <w:t xml:space="preserve">This clause substitutes section 17A and 17C of the </w:t>
      </w:r>
      <w:r w:rsidRPr="00367B82">
        <w:rPr>
          <w:rFonts w:ascii="Arial" w:hAnsi="Arial" w:cs="Arial"/>
          <w:i/>
          <w:iCs/>
          <w:sz w:val="24"/>
          <w:szCs w:val="24"/>
        </w:rPr>
        <w:t>Magistrates Court Act 1930</w:t>
      </w:r>
      <w:r w:rsidRPr="003419E9">
        <w:rPr>
          <w:rFonts w:ascii="Arial" w:hAnsi="Arial" w:cs="Arial"/>
          <w:sz w:val="24"/>
          <w:szCs w:val="24"/>
        </w:rPr>
        <w:t>.</w:t>
      </w:r>
    </w:p>
    <w:p w14:paraId="0114499C" w14:textId="521BC0F1" w:rsidR="004A2151" w:rsidRDefault="00160563" w:rsidP="00160563">
      <w:pPr>
        <w:rPr>
          <w:rFonts w:ascii="Arial" w:hAnsi="Arial" w:cs="Arial"/>
          <w:sz w:val="24"/>
          <w:szCs w:val="24"/>
        </w:rPr>
      </w:pPr>
      <w:r w:rsidRPr="003419E9">
        <w:rPr>
          <w:rFonts w:ascii="Arial" w:hAnsi="Arial" w:cs="Arial"/>
          <w:sz w:val="24"/>
          <w:szCs w:val="24"/>
        </w:rPr>
        <w:t>New section 17A provides that</w:t>
      </w:r>
      <w:r w:rsidR="004A2151">
        <w:rPr>
          <w:rFonts w:ascii="Arial" w:hAnsi="Arial" w:cs="Arial"/>
          <w:sz w:val="24"/>
          <w:szCs w:val="24"/>
        </w:rPr>
        <w:t>,</w:t>
      </w:r>
      <w:r w:rsidRPr="003419E9">
        <w:rPr>
          <w:rFonts w:ascii="Arial" w:hAnsi="Arial" w:cs="Arial"/>
          <w:sz w:val="24"/>
          <w:szCs w:val="24"/>
        </w:rPr>
        <w:t xml:space="preserve"> </w:t>
      </w:r>
      <w:r>
        <w:rPr>
          <w:rFonts w:ascii="Arial" w:hAnsi="Arial" w:cs="Arial"/>
          <w:sz w:val="24"/>
          <w:szCs w:val="24"/>
        </w:rPr>
        <w:t>where</w:t>
      </w:r>
      <w:r w:rsidRPr="003419E9">
        <w:rPr>
          <w:rFonts w:ascii="Arial" w:hAnsi="Arial" w:cs="Arial"/>
          <w:sz w:val="24"/>
          <w:szCs w:val="24"/>
        </w:rPr>
        <w:t xml:space="preserve"> a magistrate exercises the functions of a magistrate, the magistrate has the same protection and immunity as a </w:t>
      </w:r>
      <w:r w:rsidR="004A2151">
        <w:rPr>
          <w:rFonts w:ascii="Arial" w:hAnsi="Arial" w:cs="Arial"/>
          <w:sz w:val="24"/>
          <w:szCs w:val="24"/>
        </w:rPr>
        <w:t xml:space="preserve">Supreme Court </w:t>
      </w:r>
      <w:r w:rsidRPr="003419E9">
        <w:rPr>
          <w:rFonts w:ascii="Arial" w:hAnsi="Arial" w:cs="Arial"/>
          <w:sz w:val="24"/>
          <w:szCs w:val="24"/>
        </w:rPr>
        <w:t>judge exercising the functions of a</w:t>
      </w:r>
      <w:r w:rsidR="004A2151">
        <w:rPr>
          <w:rFonts w:ascii="Arial" w:hAnsi="Arial" w:cs="Arial"/>
          <w:sz w:val="24"/>
          <w:szCs w:val="24"/>
        </w:rPr>
        <w:t xml:space="preserve"> Supreme Court</w:t>
      </w:r>
      <w:r w:rsidRPr="003419E9">
        <w:rPr>
          <w:rFonts w:ascii="Arial" w:hAnsi="Arial" w:cs="Arial"/>
          <w:sz w:val="24"/>
          <w:szCs w:val="24"/>
        </w:rPr>
        <w:t xml:space="preserve"> judge.</w:t>
      </w:r>
      <w:r w:rsidR="004A2151">
        <w:rPr>
          <w:rFonts w:ascii="Arial" w:hAnsi="Arial" w:cs="Arial"/>
          <w:sz w:val="24"/>
          <w:szCs w:val="24"/>
        </w:rPr>
        <w:t xml:space="preserve"> </w:t>
      </w:r>
      <w:r w:rsidR="003825CD">
        <w:rPr>
          <w:rFonts w:ascii="Arial" w:hAnsi="Arial" w:cs="Arial"/>
          <w:sz w:val="24"/>
          <w:szCs w:val="24"/>
        </w:rPr>
        <w:t>The clause applies to magisterial functions under laws in force in the Territory, which include</w:t>
      </w:r>
      <w:r w:rsidR="006B1C9F">
        <w:rPr>
          <w:rFonts w:ascii="Arial" w:hAnsi="Arial" w:cs="Arial"/>
          <w:sz w:val="24"/>
          <w:szCs w:val="24"/>
        </w:rPr>
        <w:t>s applicable Commonwealth laws.</w:t>
      </w:r>
    </w:p>
    <w:p w14:paraId="74A86AF9" w14:textId="040FC3BB" w:rsidR="00160563" w:rsidRDefault="004A2151" w:rsidP="00160563">
      <w:pPr>
        <w:rPr>
          <w:rFonts w:ascii="Arial" w:hAnsi="Arial" w:cs="Arial"/>
          <w:sz w:val="24"/>
          <w:szCs w:val="24"/>
        </w:rPr>
      </w:pPr>
      <w:r>
        <w:rPr>
          <w:rFonts w:ascii="Arial" w:hAnsi="Arial" w:cs="Arial"/>
          <w:sz w:val="24"/>
          <w:szCs w:val="24"/>
        </w:rPr>
        <w:t>This immunity is extended to Magistrate Court registrars by virtue of the definition of the term ‘magistrate’ in the Dictionary, which, if a function of a magistrate is exercisable by a registrar, includes a registrar exercising that function. This immunity is also extended to Magistrate Court deputy registrars by virtue of the definition of the term ‘registrar’ in the Dictionary, which includes a deputy registrar of the court.</w:t>
      </w:r>
    </w:p>
    <w:p w14:paraId="44D4615A" w14:textId="1E7B498D" w:rsidR="003825CD" w:rsidRPr="003419E9" w:rsidRDefault="003825CD" w:rsidP="00841B5A">
      <w:pPr>
        <w:spacing w:before="240" w:after="120"/>
        <w:rPr>
          <w:rFonts w:ascii="Arial" w:hAnsi="Arial" w:cs="Arial"/>
          <w:sz w:val="24"/>
          <w:szCs w:val="24"/>
        </w:rPr>
      </w:pPr>
      <w:r>
        <w:rPr>
          <w:rFonts w:ascii="Arial" w:hAnsi="Arial" w:cs="Arial"/>
          <w:sz w:val="24"/>
          <w:szCs w:val="24"/>
        </w:rPr>
        <w:t xml:space="preserve">New section 17A also clarifies that the immunity applies to a magistrate’s exercise of judicial as well as administrative functions that relate to their judicial office. This clause does not </w:t>
      </w:r>
      <w:r w:rsidR="006E3D9F">
        <w:rPr>
          <w:rFonts w:ascii="Arial" w:hAnsi="Arial" w:cs="Arial"/>
          <w:sz w:val="24"/>
          <w:szCs w:val="24"/>
        </w:rPr>
        <w:t>disturb</w:t>
      </w:r>
      <w:r>
        <w:rPr>
          <w:rFonts w:ascii="Arial" w:hAnsi="Arial" w:cs="Arial"/>
          <w:sz w:val="24"/>
          <w:szCs w:val="24"/>
        </w:rPr>
        <w:t xml:space="preserve"> </w:t>
      </w:r>
      <w:r>
        <w:rPr>
          <w:rFonts w:ascii="Arial" w:hAnsi="Arial" w:cs="Arial"/>
          <w:iCs/>
          <w:sz w:val="24"/>
          <w:szCs w:val="24"/>
        </w:rPr>
        <w:t>the jurisprudence, operation, or scope of the common law immunity conferred to judges of superior courts, such as the ACT Supreme Court.</w:t>
      </w:r>
    </w:p>
    <w:p w14:paraId="3134387A" w14:textId="679CB3CE" w:rsidR="00160563" w:rsidRDefault="00160563" w:rsidP="00160563">
      <w:pPr>
        <w:pStyle w:val="Heading2"/>
      </w:pPr>
      <w:r w:rsidRPr="003512FE">
        <w:t xml:space="preserve">Clause </w:t>
      </w:r>
      <w:r w:rsidR="004A2151">
        <w:t>16</w:t>
      </w:r>
      <w:r w:rsidRPr="003512FE">
        <w:tab/>
      </w:r>
      <w:r>
        <w:t>Section 17E to 17K</w:t>
      </w:r>
    </w:p>
    <w:p w14:paraId="3B677690" w14:textId="0E8F5085" w:rsidR="00160563" w:rsidRPr="003419E9" w:rsidRDefault="00160563" w:rsidP="00160563">
      <w:pPr>
        <w:rPr>
          <w:rFonts w:ascii="Arial" w:hAnsi="Arial" w:cs="Arial"/>
          <w:sz w:val="24"/>
          <w:szCs w:val="24"/>
        </w:rPr>
      </w:pPr>
      <w:r w:rsidRPr="003419E9">
        <w:rPr>
          <w:rFonts w:ascii="Arial" w:hAnsi="Arial" w:cs="Arial"/>
          <w:sz w:val="24"/>
          <w:szCs w:val="24"/>
        </w:rPr>
        <w:t xml:space="preserve">This clause omits the </w:t>
      </w:r>
      <w:r w:rsidR="004A2151">
        <w:rPr>
          <w:rFonts w:ascii="Arial" w:hAnsi="Arial" w:cs="Arial"/>
          <w:sz w:val="24"/>
          <w:szCs w:val="24"/>
        </w:rPr>
        <w:t xml:space="preserve">section 17E to 17K. </w:t>
      </w:r>
    </w:p>
    <w:p w14:paraId="0B3C4EC7" w14:textId="77777777" w:rsidR="00160563" w:rsidRPr="003512FE" w:rsidRDefault="00160563" w:rsidP="00160563">
      <w:pPr>
        <w:pStyle w:val="Heading2"/>
      </w:pPr>
      <w:r w:rsidRPr="003512FE">
        <w:t>Part 4</w:t>
      </w:r>
      <w:r w:rsidRPr="003512FE">
        <w:tab/>
      </w:r>
      <w:r w:rsidRPr="003512FE">
        <w:tab/>
      </w:r>
      <w:r>
        <w:t xml:space="preserve">Supreme Court </w:t>
      </w:r>
      <w:r w:rsidRPr="003512FE">
        <w:t xml:space="preserve">Act </w:t>
      </w:r>
      <w:r>
        <w:t>1933</w:t>
      </w:r>
    </w:p>
    <w:p w14:paraId="23A6E151" w14:textId="01B761A9" w:rsidR="00160563" w:rsidRDefault="00160563" w:rsidP="00160563">
      <w:pPr>
        <w:pStyle w:val="Heading3"/>
      </w:pPr>
      <w:r>
        <w:t xml:space="preserve">Clause </w:t>
      </w:r>
      <w:r w:rsidR="004A2151">
        <w:t>17</w:t>
      </w:r>
      <w:r>
        <w:tab/>
        <w:t>Acting judges</w:t>
      </w:r>
      <w:r>
        <w:tab/>
      </w:r>
      <w:r>
        <w:tab/>
      </w:r>
      <w:r>
        <w:tab/>
      </w:r>
      <w:r>
        <w:tab/>
      </w:r>
      <w:r>
        <w:tab/>
      </w:r>
      <w:r>
        <w:tab/>
      </w:r>
      <w:r>
        <w:tab/>
      </w:r>
      <w:r>
        <w:tab/>
      </w:r>
      <w:r>
        <w:tab/>
      </w:r>
      <w:r>
        <w:tab/>
        <w:t>Section 4B (2)</w:t>
      </w:r>
    </w:p>
    <w:p w14:paraId="541E9CAB" w14:textId="1D1DB4BB" w:rsidR="00160563" w:rsidRDefault="00160563" w:rsidP="00160563">
      <w:pPr>
        <w:rPr>
          <w:rFonts w:ascii="Arial" w:hAnsi="Arial" w:cs="Arial"/>
          <w:sz w:val="24"/>
          <w:szCs w:val="24"/>
        </w:rPr>
      </w:pPr>
      <w:r w:rsidRPr="003419E9">
        <w:rPr>
          <w:rFonts w:ascii="Arial" w:hAnsi="Arial" w:cs="Arial"/>
          <w:sz w:val="24"/>
          <w:szCs w:val="24"/>
        </w:rPr>
        <w:t xml:space="preserve">This clause omits ‘12 months’ from section 4B(2) </w:t>
      </w:r>
      <w:bookmarkStart w:id="2" w:name="_Hlk135318042"/>
      <w:r w:rsidRPr="003419E9">
        <w:rPr>
          <w:rFonts w:ascii="Arial" w:hAnsi="Arial" w:cs="Arial"/>
          <w:sz w:val="24"/>
          <w:szCs w:val="24"/>
        </w:rPr>
        <w:t xml:space="preserve">and replaces it with </w:t>
      </w:r>
      <w:bookmarkEnd w:id="2"/>
      <w:r w:rsidRPr="003419E9">
        <w:rPr>
          <w:rFonts w:ascii="Arial" w:hAnsi="Arial" w:cs="Arial"/>
          <w:sz w:val="24"/>
          <w:szCs w:val="24"/>
        </w:rPr>
        <w:t>‘2 years.’</w:t>
      </w:r>
      <w:r w:rsidR="004A2151">
        <w:rPr>
          <w:rFonts w:ascii="Arial" w:hAnsi="Arial" w:cs="Arial"/>
          <w:sz w:val="24"/>
          <w:szCs w:val="24"/>
        </w:rPr>
        <w:t xml:space="preserve"> The effect is to provide that the maximum term of appointment of an Acting Judge is 2 years.</w:t>
      </w:r>
    </w:p>
    <w:p w14:paraId="639F5E9A" w14:textId="3C29A4DE" w:rsidR="004A2151" w:rsidRPr="004A2151" w:rsidRDefault="00F8377C" w:rsidP="00160563">
      <w:pPr>
        <w:rPr>
          <w:rFonts w:ascii="Arial" w:hAnsi="Arial" w:cs="Arial"/>
          <w:sz w:val="24"/>
          <w:szCs w:val="24"/>
        </w:rPr>
      </w:pPr>
      <w:r>
        <w:rPr>
          <w:rFonts w:ascii="Arial" w:hAnsi="Arial" w:cs="Arial"/>
          <w:sz w:val="24"/>
          <w:szCs w:val="24"/>
        </w:rPr>
        <w:t>For clarity, it should be noted that t</w:t>
      </w:r>
      <w:r w:rsidR="004A2151">
        <w:rPr>
          <w:rFonts w:ascii="Arial" w:hAnsi="Arial" w:cs="Arial"/>
          <w:sz w:val="24"/>
          <w:szCs w:val="24"/>
        </w:rPr>
        <w:t xml:space="preserve">he position of an Acting Judge under the </w:t>
      </w:r>
      <w:r w:rsidR="004A2151">
        <w:rPr>
          <w:rFonts w:ascii="Arial" w:hAnsi="Arial" w:cs="Arial"/>
          <w:i/>
          <w:iCs/>
          <w:sz w:val="24"/>
          <w:szCs w:val="24"/>
        </w:rPr>
        <w:t>Supreme Court Act 1933</w:t>
      </w:r>
      <w:r w:rsidR="004A2151">
        <w:rPr>
          <w:rFonts w:ascii="Arial" w:hAnsi="Arial" w:cs="Arial"/>
          <w:sz w:val="24"/>
          <w:szCs w:val="24"/>
        </w:rPr>
        <w:t xml:space="preserve"> is separate and distinct from the position of a Resident Judge or Additional Judge under that Act. Given this distinction, Division 19.3.2 of the </w:t>
      </w:r>
      <w:r w:rsidR="004A2151">
        <w:rPr>
          <w:rFonts w:ascii="Arial" w:hAnsi="Arial" w:cs="Arial"/>
          <w:i/>
          <w:iCs/>
          <w:sz w:val="24"/>
          <w:szCs w:val="24"/>
        </w:rPr>
        <w:t>Legislation Act 2001</w:t>
      </w:r>
      <w:r w:rsidR="004A2151">
        <w:rPr>
          <w:rFonts w:ascii="Arial" w:hAnsi="Arial" w:cs="Arial"/>
          <w:sz w:val="24"/>
          <w:szCs w:val="24"/>
        </w:rPr>
        <w:t xml:space="preserve"> does not apply to the appointment of an Acting Judge</w:t>
      </w:r>
      <w:r>
        <w:rPr>
          <w:rFonts w:ascii="Arial" w:hAnsi="Arial" w:cs="Arial"/>
          <w:sz w:val="24"/>
          <w:szCs w:val="24"/>
        </w:rPr>
        <w:t xml:space="preserve">, as an </w:t>
      </w:r>
      <w:r>
        <w:rPr>
          <w:rFonts w:ascii="Arial" w:hAnsi="Arial" w:cs="Arial"/>
          <w:sz w:val="24"/>
          <w:szCs w:val="24"/>
        </w:rPr>
        <w:lastRenderedPageBreak/>
        <w:t xml:space="preserve">Acting Judge is not appointed to the position of Resident Judge or Additional Judge under the </w:t>
      </w:r>
      <w:r>
        <w:rPr>
          <w:rFonts w:ascii="Arial" w:hAnsi="Arial" w:cs="Arial"/>
          <w:i/>
          <w:iCs/>
          <w:sz w:val="24"/>
          <w:szCs w:val="24"/>
        </w:rPr>
        <w:t xml:space="preserve">Supreme Court Act 1933 </w:t>
      </w:r>
      <w:r>
        <w:rPr>
          <w:rFonts w:ascii="Arial" w:hAnsi="Arial" w:cs="Arial"/>
          <w:sz w:val="24"/>
          <w:szCs w:val="24"/>
        </w:rPr>
        <w:t xml:space="preserve">and does not act as a judge in the sense contemplated and intended by Division 19.3.2 of the </w:t>
      </w:r>
      <w:r>
        <w:rPr>
          <w:rFonts w:ascii="Arial" w:hAnsi="Arial" w:cs="Arial"/>
          <w:i/>
          <w:iCs/>
          <w:sz w:val="24"/>
          <w:szCs w:val="24"/>
        </w:rPr>
        <w:t>Legislation Act 2001</w:t>
      </w:r>
      <w:r>
        <w:rPr>
          <w:rFonts w:ascii="Arial" w:hAnsi="Arial" w:cs="Arial"/>
          <w:sz w:val="24"/>
          <w:szCs w:val="24"/>
        </w:rPr>
        <w:t xml:space="preserve">.  </w:t>
      </w:r>
    </w:p>
    <w:p w14:paraId="457A5FB5" w14:textId="4123678D" w:rsidR="00157AED" w:rsidRDefault="00157AED" w:rsidP="00157AED">
      <w:pPr>
        <w:pStyle w:val="Heading3"/>
      </w:pPr>
      <w:r>
        <w:t xml:space="preserve">Clause </w:t>
      </w:r>
      <w:r w:rsidR="00BB0FAD">
        <w:t>18</w:t>
      </w:r>
      <w:r>
        <w:tab/>
      </w:r>
      <w:r w:rsidR="00284054">
        <w:t>Seniority of judges</w:t>
      </w:r>
      <w:r>
        <w:tab/>
      </w:r>
      <w:r>
        <w:tab/>
      </w:r>
      <w:r>
        <w:tab/>
      </w:r>
      <w:r>
        <w:tab/>
      </w:r>
      <w:r>
        <w:tab/>
      </w:r>
      <w:r>
        <w:tab/>
      </w:r>
      <w:r>
        <w:tab/>
      </w:r>
      <w:r>
        <w:tab/>
      </w:r>
      <w:r>
        <w:tab/>
        <w:t xml:space="preserve">Section </w:t>
      </w:r>
      <w:r w:rsidR="00D51634">
        <w:t>5 (4</w:t>
      </w:r>
      <w:r>
        <w:t>)</w:t>
      </w:r>
    </w:p>
    <w:p w14:paraId="0764D2CC" w14:textId="6BDBBE86" w:rsidR="00D51634" w:rsidRPr="003419E9" w:rsidRDefault="00D51634" w:rsidP="00D51634">
      <w:pPr>
        <w:rPr>
          <w:rFonts w:ascii="Arial" w:hAnsi="Arial" w:cs="Arial"/>
          <w:sz w:val="24"/>
          <w:szCs w:val="24"/>
        </w:rPr>
      </w:pPr>
      <w:r w:rsidRPr="003419E9">
        <w:rPr>
          <w:rFonts w:ascii="Arial" w:hAnsi="Arial" w:cs="Arial"/>
          <w:sz w:val="24"/>
          <w:szCs w:val="24"/>
        </w:rPr>
        <w:t xml:space="preserve">This clause omits </w:t>
      </w:r>
      <w:r w:rsidR="00D53404">
        <w:rPr>
          <w:rFonts w:ascii="Arial" w:hAnsi="Arial" w:cs="Arial"/>
          <w:sz w:val="24"/>
          <w:szCs w:val="24"/>
        </w:rPr>
        <w:t xml:space="preserve">section 5 (4) to remove reference to the Associate Judge. The seniority of judges otherwise remains the same. </w:t>
      </w:r>
    </w:p>
    <w:p w14:paraId="2933BCEE" w14:textId="56409C81" w:rsidR="00157AED" w:rsidRDefault="00157AED" w:rsidP="00157AED">
      <w:pPr>
        <w:pStyle w:val="Heading3"/>
      </w:pPr>
      <w:r>
        <w:t xml:space="preserve">Clause </w:t>
      </w:r>
      <w:r w:rsidR="00D53404">
        <w:t>19</w:t>
      </w:r>
      <w:r>
        <w:tab/>
      </w:r>
      <w:r w:rsidR="00D51634">
        <w:t>Exercise of jurisdiction</w:t>
      </w:r>
      <w:r>
        <w:tab/>
      </w:r>
      <w:r>
        <w:tab/>
      </w:r>
      <w:r>
        <w:tab/>
      </w:r>
      <w:r>
        <w:tab/>
      </w:r>
      <w:r>
        <w:tab/>
      </w:r>
      <w:r>
        <w:tab/>
      </w:r>
      <w:r>
        <w:tab/>
      </w:r>
      <w:r>
        <w:tab/>
      </w:r>
      <w:r>
        <w:tab/>
        <w:t xml:space="preserve">Section </w:t>
      </w:r>
      <w:r w:rsidR="00D51634">
        <w:t>8 (1)</w:t>
      </w:r>
      <w:r>
        <w:t xml:space="preserve"> (</w:t>
      </w:r>
      <w:r w:rsidR="00D51634">
        <w:t>a</w:t>
      </w:r>
      <w:r>
        <w:t>)</w:t>
      </w:r>
    </w:p>
    <w:p w14:paraId="3BEBB389" w14:textId="6220063C" w:rsidR="00D51634" w:rsidRPr="003419E9" w:rsidRDefault="00D51634" w:rsidP="00D51634">
      <w:pPr>
        <w:rPr>
          <w:rFonts w:ascii="Arial" w:hAnsi="Arial" w:cs="Arial"/>
          <w:sz w:val="24"/>
          <w:szCs w:val="24"/>
        </w:rPr>
      </w:pPr>
      <w:r w:rsidRPr="003419E9">
        <w:rPr>
          <w:rFonts w:ascii="Arial" w:hAnsi="Arial" w:cs="Arial"/>
          <w:sz w:val="24"/>
          <w:szCs w:val="24"/>
        </w:rPr>
        <w:t xml:space="preserve">This clause omits </w:t>
      </w:r>
      <w:r w:rsidR="002723DE">
        <w:rPr>
          <w:rFonts w:ascii="Arial" w:hAnsi="Arial" w:cs="Arial"/>
          <w:sz w:val="24"/>
          <w:szCs w:val="24"/>
        </w:rPr>
        <w:t>‘</w:t>
      </w:r>
      <w:r w:rsidR="002723DE" w:rsidRPr="002723DE">
        <w:rPr>
          <w:rFonts w:ascii="Arial" w:hAnsi="Arial" w:cs="Arial"/>
          <w:sz w:val="24"/>
          <w:szCs w:val="24"/>
        </w:rPr>
        <w:t>when exercised by the associate judge under section 9; or</w:t>
      </w:r>
      <w:r w:rsidR="002723DE">
        <w:rPr>
          <w:rFonts w:ascii="Arial" w:hAnsi="Arial" w:cs="Arial"/>
          <w:sz w:val="24"/>
          <w:szCs w:val="24"/>
        </w:rPr>
        <w:t>’ from section 8</w:t>
      </w:r>
      <w:r w:rsidR="00D53404">
        <w:rPr>
          <w:rFonts w:ascii="Arial" w:hAnsi="Arial" w:cs="Arial"/>
          <w:sz w:val="24"/>
          <w:szCs w:val="24"/>
        </w:rPr>
        <w:t xml:space="preserve"> to  remove reference to the Associate Judge.</w:t>
      </w:r>
    </w:p>
    <w:p w14:paraId="16DF6B3E" w14:textId="2AA2F35C" w:rsidR="00157AED" w:rsidRDefault="00157AED" w:rsidP="00157AED">
      <w:pPr>
        <w:pStyle w:val="Heading3"/>
      </w:pPr>
      <w:r>
        <w:t xml:space="preserve">Clause </w:t>
      </w:r>
      <w:r w:rsidR="00D53404">
        <w:t>20</w:t>
      </w:r>
      <w:r>
        <w:tab/>
      </w:r>
      <w:r w:rsidR="003251BF">
        <w:t>Exercise of jurisdiction by associate judge</w:t>
      </w:r>
      <w:r>
        <w:tab/>
      </w:r>
      <w:r>
        <w:tab/>
      </w:r>
      <w:r>
        <w:tab/>
      </w:r>
      <w:r>
        <w:tab/>
      </w:r>
      <w:r>
        <w:tab/>
      </w:r>
      <w:r>
        <w:tab/>
        <w:t xml:space="preserve">Section </w:t>
      </w:r>
      <w:r w:rsidR="003251BF">
        <w:t>9</w:t>
      </w:r>
    </w:p>
    <w:p w14:paraId="610F7A9D" w14:textId="601F9005" w:rsidR="003251BF" w:rsidRPr="003419E9" w:rsidRDefault="003251BF" w:rsidP="003251BF">
      <w:pPr>
        <w:rPr>
          <w:rFonts w:ascii="Arial" w:hAnsi="Arial" w:cs="Arial"/>
          <w:sz w:val="24"/>
          <w:szCs w:val="24"/>
        </w:rPr>
      </w:pPr>
      <w:r w:rsidRPr="003419E9">
        <w:rPr>
          <w:rFonts w:ascii="Arial" w:hAnsi="Arial" w:cs="Arial"/>
          <w:sz w:val="24"/>
          <w:szCs w:val="24"/>
        </w:rPr>
        <w:t xml:space="preserve">This clause omits the </w:t>
      </w:r>
      <w:r w:rsidR="002723DE">
        <w:rPr>
          <w:rFonts w:ascii="Arial" w:hAnsi="Arial" w:cs="Arial"/>
          <w:sz w:val="24"/>
          <w:szCs w:val="24"/>
        </w:rPr>
        <w:t xml:space="preserve">section 9. The clause removes the jurisdiction of the </w:t>
      </w:r>
      <w:r w:rsidR="00D53404">
        <w:rPr>
          <w:rFonts w:ascii="Arial" w:hAnsi="Arial" w:cs="Arial"/>
          <w:sz w:val="24"/>
          <w:szCs w:val="24"/>
        </w:rPr>
        <w:t>A</w:t>
      </w:r>
      <w:r w:rsidR="002723DE">
        <w:rPr>
          <w:rFonts w:ascii="Arial" w:hAnsi="Arial" w:cs="Arial"/>
          <w:sz w:val="24"/>
          <w:szCs w:val="24"/>
        </w:rPr>
        <w:t xml:space="preserve">ssociate </w:t>
      </w:r>
      <w:r w:rsidR="00D53404">
        <w:rPr>
          <w:rFonts w:ascii="Arial" w:hAnsi="Arial" w:cs="Arial"/>
          <w:sz w:val="24"/>
          <w:szCs w:val="24"/>
        </w:rPr>
        <w:t>J</w:t>
      </w:r>
      <w:r w:rsidR="002723DE">
        <w:rPr>
          <w:rFonts w:ascii="Arial" w:hAnsi="Arial" w:cs="Arial"/>
          <w:sz w:val="24"/>
          <w:szCs w:val="24"/>
        </w:rPr>
        <w:t>udge.</w:t>
      </w:r>
    </w:p>
    <w:p w14:paraId="0B85533C" w14:textId="01D1C0CF" w:rsidR="00157AED" w:rsidRPr="003512FE" w:rsidRDefault="00157AED" w:rsidP="00157AED">
      <w:pPr>
        <w:pStyle w:val="Heading2"/>
      </w:pPr>
      <w:r w:rsidRPr="003512FE">
        <w:t xml:space="preserve">Clause </w:t>
      </w:r>
      <w:r w:rsidR="00404EA4">
        <w:t>21</w:t>
      </w:r>
      <w:r w:rsidRPr="003512FE">
        <w:tab/>
        <w:t>Section</w:t>
      </w:r>
      <w:r>
        <w:t xml:space="preserve">s </w:t>
      </w:r>
      <w:r w:rsidR="003251BF">
        <w:t>14</w:t>
      </w:r>
    </w:p>
    <w:p w14:paraId="7DEF6B37" w14:textId="6152C63D" w:rsidR="00153D83" w:rsidRPr="003419E9" w:rsidRDefault="00157AED" w:rsidP="003251BF">
      <w:pPr>
        <w:rPr>
          <w:rFonts w:ascii="Arial" w:hAnsi="Arial" w:cs="Arial"/>
          <w:sz w:val="24"/>
          <w:szCs w:val="24"/>
        </w:rPr>
      </w:pPr>
      <w:r w:rsidRPr="003419E9">
        <w:rPr>
          <w:rFonts w:ascii="Arial" w:hAnsi="Arial" w:cs="Arial"/>
          <w:sz w:val="24"/>
          <w:szCs w:val="24"/>
        </w:rPr>
        <w:t xml:space="preserve">This clause substitutes section </w:t>
      </w:r>
      <w:r w:rsidR="003251BF">
        <w:rPr>
          <w:rFonts w:ascii="Arial" w:hAnsi="Arial" w:cs="Arial"/>
          <w:sz w:val="24"/>
          <w:szCs w:val="24"/>
        </w:rPr>
        <w:t>14</w:t>
      </w:r>
      <w:r w:rsidR="00BB677A">
        <w:rPr>
          <w:rFonts w:ascii="Arial" w:hAnsi="Arial" w:cs="Arial"/>
          <w:sz w:val="24"/>
          <w:szCs w:val="24"/>
        </w:rPr>
        <w:t xml:space="preserve"> to remove reference to the Associate Judge. </w:t>
      </w:r>
      <w:r w:rsidR="00153D83">
        <w:rPr>
          <w:rFonts w:ascii="Arial" w:hAnsi="Arial" w:cs="Arial"/>
          <w:sz w:val="24"/>
          <w:szCs w:val="24"/>
        </w:rPr>
        <w:t>New section 14 provides that the opinion of the most senior judge sitting prevails over other judges’ opinions where the Full Court is equally divided in opinion.</w:t>
      </w:r>
    </w:p>
    <w:p w14:paraId="1FDE3A6E" w14:textId="3632137F" w:rsidR="00284054" w:rsidRDefault="00284054" w:rsidP="00284054">
      <w:pPr>
        <w:pStyle w:val="Heading3"/>
      </w:pPr>
      <w:r>
        <w:t xml:space="preserve">Clause </w:t>
      </w:r>
      <w:r w:rsidR="00BB677A">
        <w:t>22</w:t>
      </w:r>
      <w:r>
        <w:tab/>
      </w:r>
      <w:r w:rsidR="00153D83">
        <w:t>Appellate jurisdiction</w:t>
      </w:r>
      <w:r>
        <w:tab/>
      </w:r>
      <w:r>
        <w:tab/>
      </w:r>
      <w:r>
        <w:tab/>
      </w:r>
      <w:r>
        <w:tab/>
      </w:r>
      <w:r>
        <w:tab/>
      </w:r>
      <w:r>
        <w:tab/>
      </w:r>
      <w:r>
        <w:tab/>
      </w:r>
      <w:r>
        <w:tab/>
      </w:r>
      <w:r>
        <w:tab/>
      </w:r>
      <w:r w:rsidR="00153D83">
        <w:t>S</w:t>
      </w:r>
      <w:r>
        <w:t xml:space="preserve">ection </w:t>
      </w:r>
      <w:r w:rsidR="00153D83">
        <w:t>37E (4)</w:t>
      </w:r>
    </w:p>
    <w:p w14:paraId="2B745F1C" w14:textId="11D9AA8F" w:rsidR="00284054" w:rsidRDefault="00284054" w:rsidP="00284054">
      <w:pPr>
        <w:rPr>
          <w:rFonts w:ascii="Arial" w:hAnsi="Arial" w:cs="Arial"/>
          <w:sz w:val="24"/>
          <w:szCs w:val="24"/>
        </w:rPr>
      </w:pPr>
      <w:r w:rsidRPr="003419E9">
        <w:rPr>
          <w:rFonts w:ascii="Arial" w:hAnsi="Arial" w:cs="Arial"/>
          <w:sz w:val="24"/>
          <w:szCs w:val="24"/>
        </w:rPr>
        <w:t>This clause omits ‘</w:t>
      </w:r>
      <w:r w:rsidR="00153D83">
        <w:rPr>
          <w:rFonts w:ascii="Arial" w:hAnsi="Arial" w:cs="Arial"/>
          <w:sz w:val="24"/>
          <w:szCs w:val="24"/>
        </w:rPr>
        <w:t>, or the associate judge,</w:t>
      </w:r>
      <w:r w:rsidRPr="003419E9">
        <w:rPr>
          <w:rFonts w:ascii="Arial" w:hAnsi="Arial" w:cs="Arial"/>
          <w:sz w:val="24"/>
          <w:szCs w:val="24"/>
        </w:rPr>
        <w:t>’</w:t>
      </w:r>
      <w:r w:rsidR="008B7FAE">
        <w:rPr>
          <w:rFonts w:ascii="Arial" w:hAnsi="Arial" w:cs="Arial"/>
          <w:sz w:val="24"/>
          <w:szCs w:val="24"/>
        </w:rPr>
        <w:t xml:space="preserve"> from section 37E (4)</w:t>
      </w:r>
      <w:r w:rsidR="00153D83">
        <w:rPr>
          <w:rFonts w:ascii="Arial" w:hAnsi="Arial" w:cs="Arial"/>
          <w:sz w:val="24"/>
          <w:szCs w:val="24"/>
        </w:rPr>
        <w:t xml:space="preserve">. </w:t>
      </w:r>
    </w:p>
    <w:p w14:paraId="352B5402" w14:textId="6BBDC3BB" w:rsidR="00284054" w:rsidRDefault="00284054" w:rsidP="00284054">
      <w:pPr>
        <w:pStyle w:val="Heading3"/>
      </w:pPr>
      <w:r>
        <w:t xml:space="preserve">Clause </w:t>
      </w:r>
      <w:r w:rsidR="00BB677A">
        <w:t>23</w:t>
      </w:r>
      <w:r>
        <w:tab/>
      </w:r>
      <w:r w:rsidR="00153D83">
        <w:t>The master</w:t>
      </w:r>
      <w:r>
        <w:tab/>
      </w:r>
      <w:r>
        <w:tab/>
      </w:r>
      <w:r>
        <w:tab/>
      </w:r>
      <w:r>
        <w:tab/>
      </w:r>
      <w:r>
        <w:tab/>
      </w:r>
      <w:r>
        <w:tab/>
      </w:r>
      <w:r>
        <w:tab/>
      </w:r>
      <w:r>
        <w:tab/>
      </w:r>
      <w:r>
        <w:tab/>
      </w:r>
      <w:r w:rsidR="00153D83">
        <w:tab/>
      </w:r>
      <w:r>
        <w:tab/>
      </w:r>
      <w:r w:rsidR="00153D83">
        <w:t>Part 3</w:t>
      </w:r>
    </w:p>
    <w:p w14:paraId="5A429B6E" w14:textId="435DA57A" w:rsidR="00284054" w:rsidRDefault="00284054" w:rsidP="00284054">
      <w:pPr>
        <w:rPr>
          <w:rFonts w:ascii="Arial" w:hAnsi="Arial" w:cs="Arial"/>
          <w:sz w:val="24"/>
          <w:szCs w:val="24"/>
        </w:rPr>
      </w:pPr>
      <w:r w:rsidRPr="003419E9">
        <w:rPr>
          <w:rFonts w:ascii="Arial" w:hAnsi="Arial" w:cs="Arial"/>
          <w:sz w:val="24"/>
          <w:szCs w:val="24"/>
        </w:rPr>
        <w:t xml:space="preserve">This clause omits </w:t>
      </w:r>
      <w:r w:rsidR="002723DE">
        <w:rPr>
          <w:rFonts w:ascii="Arial" w:hAnsi="Arial" w:cs="Arial"/>
          <w:sz w:val="24"/>
          <w:szCs w:val="24"/>
        </w:rPr>
        <w:t>Part 3</w:t>
      </w:r>
      <w:r w:rsidRPr="003419E9">
        <w:rPr>
          <w:rFonts w:ascii="Arial" w:hAnsi="Arial" w:cs="Arial"/>
          <w:sz w:val="24"/>
          <w:szCs w:val="24"/>
        </w:rPr>
        <w:t>.</w:t>
      </w:r>
      <w:r w:rsidR="002723DE">
        <w:rPr>
          <w:rFonts w:ascii="Arial" w:hAnsi="Arial" w:cs="Arial"/>
          <w:sz w:val="24"/>
          <w:szCs w:val="24"/>
        </w:rPr>
        <w:t xml:space="preserve"> Part 3 provide</w:t>
      </w:r>
      <w:r w:rsidR="00BB677A">
        <w:rPr>
          <w:rFonts w:ascii="Arial" w:hAnsi="Arial" w:cs="Arial"/>
          <w:sz w:val="24"/>
          <w:szCs w:val="24"/>
        </w:rPr>
        <w:t>d</w:t>
      </w:r>
      <w:r w:rsidR="002723DE">
        <w:rPr>
          <w:rFonts w:ascii="Arial" w:hAnsi="Arial" w:cs="Arial"/>
          <w:sz w:val="24"/>
          <w:szCs w:val="24"/>
        </w:rPr>
        <w:t xml:space="preserve"> </w:t>
      </w:r>
      <w:r w:rsidR="00BB677A">
        <w:rPr>
          <w:rFonts w:ascii="Arial" w:hAnsi="Arial" w:cs="Arial"/>
          <w:sz w:val="24"/>
          <w:szCs w:val="24"/>
        </w:rPr>
        <w:t>for the functions, appointment and other  legislative settings related to the position of the A</w:t>
      </w:r>
      <w:r w:rsidR="002723DE">
        <w:rPr>
          <w:rFonts w:ascii="Arial" w:hAnsi="Arial" w:cs="Arial"/>
          <w:sz w:val="24"/>
          <w:szCs w:val="24"/>
        </w:rPr>
        <w:t xml:space="preserve">ssociate </w:t>
      </w:r>
      <w:r w:rsidR="00BB677A">
        <w:rPr>
          <w:rFonts w:ascii="Arial" w:hAnsi="Arial" w:cs="Arial"/>
          <w:sz w:val="24"/>
          <w:szCs w:val="24"/>
        </w:rPr>
        <w:t>J</w:t>
      </w:r>
      <w:r w:rsidR="002723DE">
        <w:rPr>
          <w:rFonts w:ascii="Arial" w:hAnsi="Arial" w:cs="Arial"/>
          <w:sz w:val="24"/>
          <w:szCs w:val="24"/>
        </w:rPr>
        <w:t>udge.</w:t>
      </w:r>
      <w:r w:rsidR="00BB677A">
        <w:rPr>
          <w:rFonts w:ascii="Arial" w:hAnsi="Arial" w:cs="Arial"/>
          <w:sz w:val="24"/>
          <w:szCs w:val="24"/>
        </w:rPr>
        <w:t xml:space="preserve"> As the position of Associate Judge is now abolished through this Act, Part 3 is accordingly omitted. </w:t>
      </w:r>
      <w:r w:rsidR="002723DE">
        <w:rPr>
          <w:rFonts w:ascii="Arial" w:hAnsi="Arial" w:cs="Arial"/>
          <w:sz w:val="24"/>
          <w:szCs w:val="24"/>
        </w:rPr>
        <w:t xml:space="preserve"> </w:t>
      </w:r>
    </w:p>
    <w:p w14:paraId="5E64F43E" w14:textId="1ABF50D6" w:rsidR="00284054" w:rsidRDefault="00284054" w:rsidP="00284054">
      <w:pPr>
        <w:pStyle w:val="Heading3"/>
      </w:pPr>
      <w:r>
        <w:t xml:space="preserve">Clause </w:t>
      </w:r>
      <w:r w:rsidR="00BB677A">
        <w:t>24</w:t>
      </w:r>
      <w:r>
        <w:tab/>
      </w:r>
      <w:r w:rsidR="00153D83">
        <w:t>Power to complete part-heard proceedings</w:t>
      </w:r>
      <w:r>
        <w:tab/>
      </w:r>
      <w:r>
        <w:tab/>
      </w:r>
      <w:r>
        <w:tab/>
      </w:r>
      <w:r>
        <w:tab/>
      </w:r>
      <w:r>
        <w:tab/>
      </w:r>
      <w:r>
        <w:tab/>
        <w:t xml:space="preserve">Section </w:t>
      </w:r>
      <w:r w:rsidR="00153D83">
        <w:t>60A</w:t>
      </w:r>
    </w:p>
    <w:p w14:paraId="61FADD57" w14:textId="2D834540" w:rsidR="00284054" w:rsidRDefault="00284054" w:rsidP="00284054">
      <w:pPr>
        <w:rPr>
          <w:rFonts w:ascii="Arial" w:hAnsi="Arial" w:cs="Arial"/>
          <w:sz w:val="24"/>
          <w:szCs w:val="24"/>
        </w:rPr>
      </w:pPr>
      <w:r w:rsidRPr="003419E9">
        <w:rPr>
          <w:rFonts w:ascii="Arial" w:hAnsi="Arial" w:cs="Arial"/>
          <w:sz w:val="24"/>
          <w:szCs w:val="24"/>
        </w:rPr>
        <w:t>This clause omits ‘</w:t>
      </w:r>
      <w:r w:rsidR="00153D83">
        <w:rPr>
          <w:rFonts w:ascii="Arial" w:hAnsi="Arial" w:cs="Arial"/>
          <w:sz w:val="24"/>
          <w:szCs w:val="24"/>
        </w:rPr>
        <w:t>or associate judge</w:t>
      </w:r>
      <w:r w:rsidRPr="003419E9">
        <w:rPr>
          <w:rFonts w:ascii="Arial" w:hAnsi="Arial" w:cs="Arial"/>
          <w:sz w:val="24"/>
          <w:szCs w:val="24"/>
        </w:rPr>
        <w:t>’</w:t>
      </w:r>
      <w:r w:rsidR="008B7FAE">
        <w:rPr>
          <w:rFonts w:ascii="Arial" w:hAnsi="Arial" w:cs="Arial"/>
          <w:sz w:val="24"/>
          <w:szCs w:val="24"/>
        </w:rPr>
        <w:t xml:space="preserve"> from section 60A</w:t>
      </w:r>
      <w:r w:rsidR="00BB677A">
        <w:rPr>
          <w:rFonts w:ascii="Arial" w:hAnsi="Arial" w:cs="Arial"/>
          <w:sz w:val="24"/>
          <w:szCs w:val="24"/>
        </w:rPr>
        <w:t xml:space="preserve">. </w:t>
      </w:r>
    </w:p>
    <w:p w14:paraId="0DF78089" w14:textId="5AF105BC" w:rsidR="00284054" w:rsidRPr="003512FE" w:rsidRDefault="00284054" w:rsidP="00284054">
      <w:pPr>
        <w:pStyle w:val="Heading2"/>
      </w:pPr>
      <w:r w:rsidRPr="003512FE">
        <w:t xml:space="preserve">Clause </w:t>
      </w:r>
      <w:r w:rsidR="00314E93">
        <w:t>25</w:t>
      </w:r>
      <w:r w:rsidRPr="003512FE">
        <w:tab/>
      </w:r>
      <w:r w:rsidR="00153D83">
        <w:t>New part 13</w:t>
      </w:r>
    </w:p>
    <w:p w14:paraId="33D571D8" w14:textId="3382387C" w:rsidR="00314E93" w:rsidRDefault="00284054" w:rsidP="002723DE">
      <w:pPr>
        <w:rPr>
          <w:rFonts w:ascii="Arial" w:hAnsi="Arial" w:cs="Arial"/>
          <w:sz w:val="24"/>
          <w:szCs w:val="24"/>
        </w:rPr>
      </w:pPr>
      <w:r w:rsidRPr="003419E9">
        <w:rPr>
          <w:rFonts w:ascii="Arial" w:hAnsi="Arial" w:cs="Arial"/>
          <w:sz w:val="24"/>
          <w:szCs w:val="24"/>
        </w:rPr>
        <w:t xml:space="preserve">This clause </w:t>
      </w:r>
      <w:r w:rsidR="00153D83">
        <w:rPr>
          <w:rFonts w:ascii="Arial" w:hAnsi="Arial" w:cs="Arial"/>
          <w:sz w:val="24"/>
          <w:szCs w:val="24"/>
        </w:rPr>
        <w:t>inserts</w:t>
      </w:r>
      <w:r w:rsidR="002723DE" w:rsidRPr="002723DE">
        <w:t xml:space="preserve"> </w:t>
      </w:r>
      <w:r w:rsidR="002723DE" w:rsidRPr="002723DE">
        <w:rPr>
          <w:rFonts w:ascii="Arial" w:hAnsi="Arial" w:cs="Arial"/>
          <w:sz w:val="24"/>
          <w:szCs w:val="24"/>
        </w:rPr>
        <w:t xml:space="preserve">new </w:t>
      </w:r>
      <w:r w:rsidR="002723DE">
        <w:rPr>
          <w:rFonts w:ascii="Arial" w:hAnsi="Arial" w:cs="Arial"/>
          <w:sz w:val="24"/>
          <w:szCs w:val="24"/>
        </w:rPr>
        <w:t>part</w:t>
      </w:r>
      <w:r w:rsidR="002723DE" w:rsidRPr="002723DE">
        <w:rPr>
          <w:rFonts w:ascii="Arial" w:hAnsi="Arial" w:cs="Arial"/>
          <w:sz w:val="24"/>
          <w:szCs w:val="24"/>
        </w:rPr>
        <w:t xml:space="preserve"> </w:t>
      </w:r>
      <w:r w:rsidR="002723DE">
        <w:rPr>
          <w:rFonts w:ascii="Arial" w:hAnsi="Arial" w:cs="Arial"/>
          <w:sz w:val="24"/>
          <w:szCs w:val="24"/>
        </w:rPr>
        <w:t>13</w:t>
      </w:r>
      <w:r w:rsidR="00AD1C44">
        <w:rPr>
          <w:rFonts w:ascii="Arial" w:hAnsi="Arial" w:cs="Arial"/>
          <w:sz w:val="24"/>
          <w:szCs w:val="24"/>
        </w:rPr>
        <w:t xml:space="preserve"> </w:t>
      </w:r>
      <w:r w:rsidR="00AD1C44" w:rsidRPr="00AD1C44">
        <w:rPr>
          <w:rFonts w:ascii="Arial" w:hAnsi="Arial" w:cs="Arial"/>
          <w:sz w:val="24"/>
          <w:szCs w:val="24"/>
        </w:rPr>
        <w:t>Transitional—Courts Legislation Amendment Act 2023</w:t>
      </w:r>
      <w:r w:rsidR="002723DE" w:rsidRPr="002723DE">
        <w:rPr>
          <w:rFonts w:ascii="Arial" w:hAnsi="Arial" w:cs="Arial"/>
          <w:sz w:val="24"/>
          <w:szCs w:val="24"/>
        </w:rPr>
        <w:t xml:space="preserve">. </w:t>
      </w:r>
      <w:r w:rsidR="00314E93">
        <w:rPr>
          <w:rFonts w:ascii="Arial" w:hAnsi="Arial" w:cs="Arial"/>
          <w:sz w:val="24"/>
          <w:szCs w:val="24"/>
        </w:rPr>
        <w:t xml:space="preserve">These provisions will apply for four years from the day they commence as  transitional provisions following the abolition of the position of Associate Judge. </w:t>
      </w:r>
    </w:p>
    <w:p w14:paraId="56932ACB" w14:textId="032292A2" w:rsidR="002723DE" w:rsidRPr="002723DE" w:rsidRDefault="002723DE" w:rsidP="002723DE">
      <w:pPr>
        <w:rPr>
          <w:rFonts w:ascii="Arial" w:hAnsi="Arial" w:cs="Arial"/>
          <w:sz w:val="24"/>
          <w:szCs w:val="24"/>
        </w:rPr>
      </w:pPr>
      <w:r w:rsidRPr="002723DE">
        <w:rPr>
          <w:rFonts w:ascii="Arial" w:hAnsi="Arial" w:cs="Arial"/>
          <w:sz w:val="24"/>
          <w:szCs w:val="24"/>
        </w:rPr>
        <w:lastRenderedPageBreak/>
        <w:t xml:space="preserve">New </w:t>
      </w:r>
      <w:r>
        <w:rPr>
          <w:rFonts w:ascii="Arial" w:hAnsi="Arial" w:cs="Arial"/>
          <w:sz w:val="24"/>
          <w:szCs w:val="24"/>
        </w:rPr>
        <w:t>part 13</w:t>
      </w:r>
      <w:r w:rsidRPr="002723DE">
        <w:rPr>
          <w:rFonts w:ascii="Arial" w:hAnsi="Arial" w:cs="Arial"/>
          <w:sz w:val="24"/>
          <w:szCs w:val="24"/>
        </w:rPr>
        <w:t xml:space="preserve"> </w:t>
      </w:r>
      <w:r w:rsidR="00314E93">
        <w:rPr>
          <w:rFonts w:ascii="Arial" w:hAnsi="Arial" w:cs="Arial"/>
          <w:sz w:val="24"/>
          <w:szCs w:val="24"/>
        </w:rPr>
        <w:t>inserts</w:t>
      </w:r>
      <w:r w:rsidRPr="002723DE">
        <w:rPr>
          <w:rFonts w:ascii="Arial" w:hAnsi="Arial" w:cs="Arial"/>
          <w:sz w:val="24"/>
          <w:szCs w:val="24"/>
        </w:rPr>
        <w:t xml:space="preserve"> </w:t>
      </w:r>
      <w:r w:rsidR="00314E93">
        <w:rPr>
          <w:rFonts w:ascii="Arial" w:hAnsi="Arial" w:cs="Arial"/>
          <w:sz w:val="24"/>
          <w:szCs w:val="24"/>
        </w:rPr>
        <w:t>a</w:t>
      </w:r>
      <w:r w:rsidRPr="002723DE">
        <w:rPr>
          <w:rFonts w:ascii="Arial" w:hAnsi="Arial" w:cs="Arial"/>
          <w:sz w:val="24"/>
          <w:szCs w:val="24"/>
        </w:rPr>
        <w:t xml:space="preserve"> </w:t>
      </w:r>
      <w:r w:rsidR="00314E93">
        <w:rPr>
          <w:rFonts w:ascii="Arial" w:hAnsi="Arial" w:cs="Arial"/>
          <w:sz w:val="24"/>
          <w:szCs w:val="24"/>
        </w:rPr>
        <w:t xml:space="preserve">new </w:t>
      </w:r>
      <w:r w:rsidRPr="002723DE">
        <w:rPr>
          <w:rFonts w:ascii="Arial" w:hAnsi="Arial" w:cs="Arial"/>
          <w:sz w:val="24"/>
          <w:szCs w:val="24"/>
        </w:rPr>
        <w:t>definition of ‘</w:t>
      </w:r>
      <w:r>
        <w:rPr>
          <w:rFonts w:ascii="Arial" w:hAnsi="Arial" w:cs="Arial"/>
          <w:sz w:val="24"/>
          <w:szCs w:val="24"/>
        </w:rPr>
        <w:t>associate judge</w:t>
      </w:r>
      <w:r w:rsidRPr="002723DE">
        <w:rPr>
          <w:rFonts w:ascii="Arial" w:hAnsi="Arial" w:cs="Arial"/>
          <w:sz w:val="24"/>
          <w:szCs w:val="24"/>
        </w:rPr>
        <w:t xml:space="preserve">’ </w:t>
      </w:r>
      <w:r w:rsidR="00AD1C44">
        <w:rPr>
          <w:rFonts w:ascii="Arial" w:hAnsi="Arial" w:cs="Arial"/>
          <w:sz w:val="24"/>
          <w:szCs w:val="24"/>
        </w:rPr>
        <w:t xml:space="preserve">as the </w:t>
      </w:r>
      <w:r w:rsidR="00314E93">
        <w:rPr>
          <w:rFonts w:ascii="Arial" w:hAnsi="Arial" w:cs="Arial"/>
          <w:sz w:val="24"/>
          <w:szCs w:val="24"/>
        </w:rPr>
        <w:t xml:space="preserve">Associate Judge (or </w:t>
      </w:r>
      <w:r w:rsidR="00AD1C44">
        <w:rPr>
          <w:rFonts w:ascii="Arial" w:hAnsi="Arial" w:cs="Arial"/>
          <w:sz w:val="24"/>
          <w:szCs w:val="24"/>
        </w:rPr>
        <w:t>Master of the court</w:t>
      </w:r>
      <w:r w:rsidR="00314E93">
        <w:rPr>
          <w:rFonts w:ascii="Arial" w:hAnsi="Arial" w:cs="Arial"/>
          <w:sz w:val="24"/>
          <w:szCs w:val="24"/>
        </w:rPr>
        <w:t xml:space="preserve">) </w:t>
      </w:r>
      <w:r w:rsidR="00AD1C44">
        <w:rPr>
          <w:rFonts w:ascii="Arial" w:hAnsi="Arial" w:cs="Arial"/>
          <w:sz w:val="24"/>
          <w:szCs w:val="24"/>
        </w:rPr>
        <w:t xml:space="preserve">under the Act before the </w:t>
      </w:r>
      <w:r w:rsidR="00314E93">
        <w:rPr>
          <w:rFonts w:ascii="Arial" w:hAnsi="Arial" w:cs="Arial"/>
          <w:sz w:val="24"/>
          <w:szCs w:val="24"/>
        </w:rPr>
        <w:t xml:space="preserve">position of Associate Judge was abolished, that is through section 23 of the </w:t>
      </w:r>
      <w:r w:rsidR="00314E93">
        <w:rPr>
          <w:rFonts w:ascii="Arial" w:hAnsi="Arial" w:cs="Arial"/>
          <w:i/>
          <w:iCs/>
          <w:sz w:val="24"/>
          <w:szCs w:val="24"/>
        </w:rPr>
        <w:t>Courts Legislation Amendment Act 2023.</w:t>
      </w:r>
      <w:r w:rsidRPr="002723DE">
        <w:rPr>
          <w:rFonts w:ascii="Arial" w:hAnsi="Arial" w:cs="Arial"/>
          <w:sz w:val="24"/>
          <w:szCs w:val="24"/>
        </w:rPr>
        <w:t xml:space="preserve"> </w:t>
      </w:r>
    </w:p>
    <w:p w14:paraId="65EE5069" w14:textId="3E0D10FD" w:rsidR="00AD1C44" w:rsidRDefault="00AD1C44" w:rsidP="00AD1C44">
      <w:pPr>
        <w:rPr>
          <w:rFonts w:ascii="Arial" w:hAnsi="Arial" w:cs="Arial"/>
          <w:sz w:val="24"/>
          <w:szCs w:val="24"/>
        </w:rPr>
      </w:pPr>
      <w:r>
        <w:rPr>
          <w:rFonts w:ascii="Arial" w:hAnsi="Arial" w:cs="Arial"/>
          <w:sz w:val="24"/>
          <w:szCs w:val="24"/>
        </w:rPr>
        <w:t>New part 13</w:t>
      </w:r>
      <w:r w:rsidRPr="003419E9">
        <w:rPr>
          <w:rFonts w:ascii="Arial" w:hAnsi="Arial" w:cs="Arial"/>
          <w:sz w:val="24"/>
          <w:szCs w:val="24"/>
        </w:rPr>
        <w:t xml:space="preserve"> </w:t>
      </w:r>
      <w:r>
        <w:rPr>
          <w:rFonts w:ascii="Arial" w:hAnsi="Arial" w:cs="Arial"/>
          <w:sz w:val="24"/>
          <w:szCs w:val="24"/>
        </w:rPr>
        <w:t xml:space="preserve">provides that an order of the </w:t>
      </w:r>
      <w:r w:rsidR="00314E93">
        <w:rPr>
          <w:rFonts w:ascii="Arial" w:hAnsi="Arial" w:cs="Arial"/>
          <w:sz w:val="24"/>
          <w:szCs w:val="24"/>
        </w:rPr>
        <w:t>A</w:t>
      </w:r>
      <w:r>
        <w:rPr>
          <w:rFonts w:ascii="Arial" w:hAnsi="Arial" w:cs="Arial"/>
          <w:sz w:val="24"/>
          <w:szCs w:val="24"/>
        </w:rPr>
        <w:t xml:space="preserve">ssociate </w:t>
      </w:r>
      <w:r w:rsidR="00314E93">
        <w:rPr>
          <w:rFonts w:ascii="Arial" w:hAnsi="Arial" w:cs="Arial"/>
          <w:sz w:val="24"/>
          <w:szCs w:val="24"/>
        </w:rPr>
        <w:t>J</w:t>
      </w:r>
      <w:r>
        <w:rPr>
          <w:rFonts w:ascii="Arial" w:hAnsi="Arial" w:cs="Arial"/>
          <w:sz w:val="24"/>
          <w:szCs w:val="24"/>
        </w:rPr>
        <w:t xml:space="preserve">udge is confirmed if the Full Court is divided in opinion regardless of section 14 (b); and that an appeal against an interlocutory order of the court made by the </w:t>
      </w:r>
      <w:r w:rsidR="00314E93">
        <w:rPr>
          <w:rFonts w:ascii="Arial" w:hAnsi="Arial" w:cs="Arial"/>
          <w:sz w:val="24"/>
          <w:szCs w:val="24"/>
        </w:rPr>
        <w:t>A</w:t>
      </w:r>
      <w:r>
        <w:rPr>
          <w:rFonts w:ascii="Arial" w:hAnsi="Arial" w:cs="Arial"/>
          <w:sz w:val="24"/>
          <w:szCs w:val="24"/>
        </w:rPr>
        <w:t xml:space="preserve">ssociate </w:t>
      </w:r>
      <w:r w:rsidR="00314E93">
        <w:rPr>
          <w:rFonts w:ascii="Arial" w:hAnsi="Arial" w:cs="Arial"/>
          <w:sz w:val="24"/>
          <w:szCs w:val="24"/>
        </w:rPr>
        <w:t>J</w:t>
      </w:r>
      <w:r>
        <w:rPr>
          <w:rFonts w:ascii="Arial" w:hAnsi="Arial" w:cs="Arial"/>
          <w:sz w:val="24"/>
          <w:szCs w:val="24"/>
        </w:rPr>
        <w:t>udge can only be brought with leave of the Court of Appeal.</w:t>
      </w:r>
    </w:p>
    <w:p w14:paraId="694DBBC4" w14:textId="4051AAB5" w:rsidR="003B1A88" w:rsidRPr="004D15C0" w:rsidRDefault="003B1A88" w:rsidP="00AD1C44">
      <w:pPr>
        <w:rPr>
          <w:rFonts w:ascii="Arial" w:hAnsi="Arial" w:cs="Arial"/>
          <w:sz w:val="24"/>
          <w:szCs w:val="24"/>
        </w:rPr>
      </w:pPr>
      <w:r w:rsidRPr="004D15C0">
        <w:rPr>
          <w:rFonts w:ascii="Arial" w:hAnsi="Arial" w:cs="Arial"/>
          <w:sz w:val="24"/>
          <w:szCs w:val="24"/>
        </w:rPr>
        <w:t>New part 13 provides that appeals of an interlocutory order made by the Associate Judge only may be brought only with leave of the Court of Appeal.</w:t>
      </w:r>
    </w:p>
    <w:p w14:paraId="084547A3" w14:textId="3F2515ED" w:rsidR="003B1A88" w:rsidRPr="003419E9" w:rsidRDefault="003B1A88" w:rsidP="00AD1C44">
      <w:pPr>
        <w:rPr>
          <w:rFonts w:ascii="Arial" w:hAnsi="Arial" w:cs="Arial"/>
          <w:sz w:val="24"/>
          <w:szCs w:val="24"/>
        </w:rPr>
      </w:pPr>
      <w:r w:rsidRPr="004D15C0">
        <w:rPr>
          <w:rFonts w:ascii="Arial" w:hAnsi="Arial" w:cs="Arial"/>
          <w:sz w:val="24"/>
          <w:szCs w:val="24"/>
        </w:rPr>
        <w:t>New part 13 clarifies that the term ‘judge’ in section 60A, which is about the power to complete part-heard proceedings, includes the new definition of ‘associate judge’. This ensures any part-heard proceedings presided over by an Associate Judge prior to the abolition of the position can continue to be heard by the former Associate Judge under this provision.</w:t>
      </w:r>
      <w:r>
        <w:rPr>
          <w:rFonts w:ascii="Arial" w:hAnsi="Arial" w:cs="Arial"/>
          <w:sz w:val="24"/>
          <w:szCs w:val="24"/>
        </w:rPr>
        <w:t xml:space="preserve"> </w:t>
      </w:r>
    </w:p>
    <w:p w14:paraId="2E6398DF" w14:textId="7C87F596" w:rsidR="00AD1C44" w:rsidRPr="003419E9" w:rsidRDefault="00AD1C44" w:rsidP="00AD1C44">
      <w:pPr>
        <w:rPr>
          <w:rFonts w:ascii="Arial" w:hAnsi="Arial" w:cs="Arial"/>
          <w:sz w:val="24"/>
          <w:szCs w:val="24"/>
        </w:rPr>
      </w:pPr>
      <w:r>
        <w:rPr>
          <w:rFonts w:ascii="Arial" w:hAnsi="Arial" w:cs="Arial"/>
          <w:sz w:val="24"/>
          <w:szCs w:val="24"/>
        </w:rPr>
        <w:t>New part 13 of the Act is repealed after 4 years from the date of its commencement. The effect of Part 13 will continue after its repeal.</w:t>
      </w:r>
    </w:p>
    <w:p w14:paraId="749F3272" w14:textId="15CE0EEB" w:rsidR="00762819" w:rsidRPr="003512FE" w:rsidRDefault="00762819" w:rsidP="00762819">
      <w:pPr>
        <w:pStyle w:val="Heading2"/>
      </w:pPr>
      <w:r w:rsidRPr="003512FE">
        <w:t xml:space="preserve">Clause </w:t>
      </w:r>
      <w:r w:rsidR="00314E93">
        <w:t>26</w:t>
      </w:r>
      <w:r w:rsidRPr="003512FE">
        <w:tab/>
      </w:r>
      <w:r w:rsidR="002516DA">
        <w:t>Schedule 1, part 1.1 heading</w:t>
      </w:r>
    </w:p>
    <w:p w14:paraId="1A5F2312" w14:textId="70A4A323" w:rsidR="00762819" w:rsidRPr="003419E9" w:rsidRDefault="00762819" w:rsidP="00762819">
      <w:pPr>
        <w:rPr>
          <w:rFonts w:ascii="Arial" w:hAnsi="Arial" w:cs="Arial"/>
          <w:sz w:val="24"/>
          <w:szCs w:val="24"/>
        </w:rPr>
      </w:pPr>
      <w:r w:rsidRPr="003419E9">
        <w:rPr>
          <w:rFonts w:ascii="Arial" w:hAnsi="Arial" w:cs="Arial"/>
          <w:sz w:val="24"/>
          <w:szCs w:val="24"/>
        </w:rPr>
        <w:t xml:space="preserve">This clause </w:t>
      </w:r>
      <w:r w:rsidR="002516DA">
        <w:rPr>
          <w:rFonts w:ascii="Arial" w:hAnsi="Arial" w:cs="Arial"/>
          <w:sz w:val="24"/>
          <w:szCs w:val="24"/>
        </w:rPr>
        <w:t>substitutes</w:t>
      </w:r>
      <w:r>
        <w:rPr>
          <w:rFonts w:ascii="Arial" w:hAnsi="Arial" w:cs="Arial"/>
          <w:sz w:val="24"/>
          <w:szCs w:val="24"/>
        </w:rPr>
        <w:t xml:space="preserve"> the</w:t>
      </w:r>
      <w:r w:rsidR="004817C7">
        <w:rPr>
          <w:rFonts w:ascii="Arial" w:hAnsi="Arial" w:cs="Arial"/>
          <w:sz w:val="24"/>
          <w:szCs w:val="24"/>
        </w:rPr>
        <w:t xml:space="preserve"> heading of Schedule 1, part 1.1 ‘</w:t>
      </w:r>
      <w:r w:rsidR="004817C7" w:rsidRPr="004817C7">
        <w:rPr>
          <w:rFonts w:ascii="Arial" w:hAnsi="Arial" w:cs="Arial"/>
          <w:sz w:val="24"/>
          <w:szCs w:val="24"/>
        </w:rPr>
        <w:t>Chief Justice, judges and master</w:t>
      </w:r>
      <w:r w:rsidR="004817C7">
        <w:rPr>
          <w:rFonts w:ascii="Arial" w:hAnsi="Arial" w:cs="Arial"/>
          <w:sz w:val="24"/>
          <w:szCs w:val="24"/>
        </w:rPr>
        <w:t>’</w:t>
      </w:r>
      <w:r w:rsidRPr="003419E9">
        <w:rPr>
          <w:rFonts w:ascii="Arial" w:hAnsi="Arial" w:cs="Arial"/>
          <w:sz w:val="24"/>
          <w:szCs w:val="24"/>
        </w:rPr>
        <w:t>.</w:t>
      </w:r>
      <w:r w:rsidR="004817C7">
        <w:rPr>
          <w:rFonts w:ascii="Arial" w:hAnsi="Arial" w:cs="Arial"/>
          <w:sz w:val="24"/>
          <w:szCs w:val="24"/>
        </w:rPr>
        <w:t xml:space="preserve"> The new heading of Schedule 1, part 1.1 is ‘</w:t>
      </w:r>
      <w:r w:rsidR="004817C7" w:rsidRPr="004817C7">
        <w:rPr>
          <w:rFonts w:ascii="Arial" w:hAnsi="Arial" w:cs="Arial"/>
          <w:sz w:val="24"/>
          <w:szCs w:val="24"/>
        </w:rPr>
        <w:t>Chief justice and judges</w:t>
      </w:r>
      <w:r w:rsidR="004817C7">
        <w:rPr>
          <w:rFonts w:ascii="Arial" w:hAnsi="Arial" w:cs="Arial"/>
          <w:sz w:val="24"/>
          <w:szCs w:val="24"/>
        </w:rPr>
        <w:t>’</w:t>
      </w:r>
      <w:r w:rsidR="00314E93">
        <w:rPr>
          <w:rFonts w:ascii="Arial" w:hAnsi="Arial" w:cs="Arial"/>
          <w:sz w:val="24"/>
          <w:szCs w:val="24"/>
        </w:rPr>
        <w:t>, removing reference to the Master or Associate Judge.</w:t>
      </w:r>
    </w:p>
    <w:p w14:paraId="7DD6205C" w14:textId="3219E317" w:rsidR="002516DA" w:rsidRPr="003512FE" w:rsidRDefault="002516DA" w:rsidP="002516DA">
      <w:pPr>
        <w:pStyle w:val="Heading2"/>
      </w:pPr>
      <w:r w:rsidRPr="003512FE">
        <w:t xml:space="preserve">Clause </w:t>
      </w:r>
      <w:r w:rsidR="00314E93">
        <w:t>27</w:t>
      </w:r>
      <w:r w:rsidRPr="003512FE">
        <w:tab/>
      </w:r>
      <w:r>
        <w:t>Schedule 1, part 1.1</w:t>
      </w:r>
    </w:p>
    <w:p w14:paraId="1AA461FC" w14:textId="25BDBCB3" w:rsidR="002516DA" w:rsidRPr="003419E9" w:rsidRDefault="002516DA" w:rsidP="002516DA">
      <w:pPr>
        <w:rPr>
          <w:rFonts w:ascii="Arial" w:hAnsi="Arial" w:cs="Arial"/>
          <w:sz w:val="24"/>
          <w:szCs w:val="24"/>
        </w:rPr>
      </w:pPr>
      <w:r w:rsidRPr="003419E9">
        <w:rPr>
          <w:rFonts w:ascii="Arial" w:hAnsi="Arial" w:cs="Arial"/>
          <w:sz w:val="24"/>
          <w:szCs w:val="24"/>
        </w:rPr>
        <w:t xml:space="preserve">This clause </w:t>
      </w:r>
      <w:r w:rsidR="009C0C1F">
        <w:rPr>
          <w:rFonts w:ascii="Arial" w:hAnsi="Arial" w:cs="Arial"/>
          <w:sz w:val="24"/>
          <w:szCs w:val="24"/>
        </w:rPr>
        <w:t xml:space="preserve">omits </w:t>
      </w:r>
      <w:r w:rsidR="009C0C1F" w:rsidRPr="009C0C1F">
        <w:rPr>
          <w:rFonts w:ascii="Arial" w:hAnsi="Arial" w:cs="Arial"/>
          <w:sz w:val="24"/>
          <w:szCs w:val="24"/>
        </w:rPr>
        <w:t>[*Chief Justice/*judge/*master]</w:t>
      </w:r>
      <w:r w:rsidR="009C0C1F">
        <w:rPr>
          <w:rFonts w:ascii="Arial" w:hAnsi="Arial" w:cs="Arial"/>
          <w:sz w:val="24"/>
          <w:szCs w:val="24"/>
        </w:rPr>
        <w:t xml:space="preserve"> </w:t>
      </w:r>
      <w:r w:rsidR="009C0C1F" w:rsidRPr="009C0C1F">
        <w:rPr>
          <w:rFonts w:ascii="Arial" w:hAnsi="Arial" w:cs="Arial"/>
          <w:sz w:val="24"/>
          <w:szCs w:val="24"/>
        </w:rPr>
        <w:t>and replaces it with</w:t>
      </w:r>
      <w:r w:rsidR="009C0C1F">
        <w:rPr>
          <w:rFonts w:ascii="Arial" w:hAnsi="Arial" w:cs="Arial"/>
          <w:sz w:val="24"/>
          <w:szCs w:val="24"/>
        </w:rPr>
        <w:t xml:space="preserve"> </w:t>
      </w:r>
      <w:r w:rsidR="009C0C1F" w:rsidRPr="009C0C1F">
        <w:rPr>
          <w:rFonts w:ascii="Arial" w:hAnsi="Arial" w:cs="Arial"/>
          <w:sz w:val="24"/>
          <w:szCs w:val="24"/>
        </w:rPr>
        <w:t>[*Chief Justice/*judge</w:t>
      </w:r>
      <w:r w:rsidR="009C0C1F">
        <w:rPr>
          <w:rFonts w:ascii="Arial" w:hAnsi="Arial" w:cs="Arial"/>
          <w:sz w:val="24"/>
          <w:szCs w:val="24"/>
        </w:rPr>
        <w:t>]</w:t>
      </w:r>
      <w:r w:rsidR="00314E93">
        <w:rPr>
          <w:rFonts w:ascii="Arial" w:hAnsi="Arial" w:cs="Arial"/>
          <w:sz w:val="24"/>
          <w:szCs w:val="24"/>
        </w:rPr>
        <w:t>, removing reference to the Master or Associate Judge.</w:t>
      </w:r>
    </w:p>
    <w:p w14:paraId="4401A5CB" w14:textId="2E421705" w:rsidR="002516DA" w:rsidRPr="003512FE" w:rsidRDefault="002516DA" w:rsidP="002516DA">
      <w:pPr>
        <w:pStyle w:val="Heading2"/>
      </w:pPr>
      <w:r w:rsidRPr="003512FE">
        <w:t xml:space="preserve">Clause </w:t>
      </w:r>
      <w:r w:rsidR="00314E93">
        <w:t>28</w:t>
      </w:r>
      <w:r w:rsidRPr="003512FE">
        <w:tab/>
      </w:r>
      <w:r>
        <w:t>Schedule 1, part 1.2 heading</w:t>
      </w:r>
    </w:p>
    <w:p w14:paraId="0E423697" w14:textId="154830CE" w:rsidR="002516DA" w:rsidRPr="003419E9" w:rsidRDefault="002516DA" w:rsidP="002516DA">
      <w:pPr>
        <w:rPr>
          <w:rFonts w:ascii="Arial" w:hAnsi="Arial" w:cs="Arial"/>
          <w:sz w:val="24"/>
          <w:szCs w:val="24"/>
        </w:rPr>
      </w:pPr>
      <w:r w:rsidRPr="003419E9">
        <w:rPr>
          <w:rFonts w:ascii="Arial" w:hAnsi="Arial" w:cs="Arial"/>
          <w:sz w:val="24"/>
          <w:szCs w:val="24"/>
        </w:rPr>
        <w:t xml:space="preserve">This clause </w:t>
      </w:r>
      <w:r>
        <w:rPr>
          <w:rFonts w:ascii="Arial" w:hAnsi="Arial" w:cs="Arial"/>
          <w:sz w:val="24"/>
          <w:szCs w:val="24"/>
        </w:rPr>
        <w:t xml:space="preserve">substitutes the </w:t>
      </w:r>
      <w:r w:rsidR="002C77D0">
        <w:rPr>
          <w:rFonts w:ascii="Arial" w:hAnsi="Arial" w:cs="Arial"/>
          <w:sz w:val="24"/>
          <w:szCs w:val="24"/>
        </w:rPr>
        <w:t>heading of Schedule 1, part 1.2 ‘</w:t>
      </w:r>
      <w:r w:rsidR="002C77D0" w:rsidRPr="004817C7">
        <w:rPr>
          <w:rFonts w:ascii="Arial" w:hAnsi="Arial" w:cs="Arial"/>
          <w:sz w:val="24"/>
          <w:szCs w:val="24"/>
        </w:rPr>
        <w:t>Chief Justice, judges and master</w:t>
      </w:r>
      <w:r w:rsidR="002C77D0">
        <w:rPr>
          <w:rFonts w:ascii="Arial" w:hAnsi="Arial" w:cs="Arial"/>
          <w:sz w:val="24"/>
          <w:szCs w:val="24"/>
        </w:rPr>
        <w:t>’</w:t>
      </w:r>
      <w:r w:rsidR="002C77D0" w:rsidRPr="003419E9">
        <w:rPr>
          <w:rFonts w:ascii="Arial" w:hAnsi="Arial" w:cs="Arial"/>
          <w:sz w:val="24"/>
          <w:szCs w:val="24"/>
        </w:rPr>
        <w:t>.</w:t>
      </w:r>
      <w:r w:rsidR="002C77D0">
        <w:rPr>
          <w:rFonts w:ascii="Arial" w:hAnsi="Arial" w:cs="Arial"/>
          <w:sz w:val="24"/>
          <w:szCs w:val="24"/>
        </w:rPr>
        <w:t xml:space="preserve"> The new heading of Schedule 1, part 1.2 is ‘</w:t>
      </w:r>
      <w:r w:rsidR="002C77D0" w:rsidRPr="004817C7">
        <w:rPr>
          <w:rFonts w:ascii="Arial" w:hAnsi="Arial" w:cs="Arial"/>
          <w:sz w:val="24"/>
          <w:szCs w:val="24"/>
        </w:rPr>
        <w:t>Chief justice and judges</w:t>
      </w:r>
      <w:r w:rsidR="002C77D0">
        <w:rPr>
          <w:rFonts w:ascii="Arial" w:hAnsi="Arial" w:cs="Arial"/>
          <w:sz w:val="24"/>
          <w:szCs w:val="24"/>
        </w:rPr>
        <w:t>’</w:t>
      </w:r>
      <w:r w:rsidR="00314E93">
        <w:rPr>
          <w:rFonts w:ascii="Arial" w:hAnsi="Arial" w:cs="Arial"/>
          <w:sz w:val="24"/>
          <w:szCs w:val="24"/>
        </w:rPr>
        <w:t>, removing reference to the Master or Associate Judge.</w:t>
      </w:r>
    </w:p>
    <w:p w14:paraId="2BBCB7B9" w14:textId="67E87076" w:rsidR="002516DA" w:rsidRPr="003512FE" w:rsidRDefault="002516DA" w:rsidP="002516DA">
      <w:pPr>
        <w:pStyle w:val="Heading2"/>
      </w:pPr>
      <w:r w:rsidRPr="003512FE">
        <w:t xml:space="preserve">Clause </w:t>
      </w:r>
      <w:r w:rsidR="00314E93">
        <w:t>29</w:t>
      </w:r>
      <w:r w:rsidRPr="003512FE">
        <w:tab/>
      </w:r>
      <w:r w:rsidR="009C0C1F">
        <w:t>Schedule 1, part 1.2</w:t>
      </w:r>
    </w:p>
    <w:p w14:paraId="5C5F1AEF" w14:textId="41A88B15" w:rsidR="009C0C1F" w:rsidRPr="003419E9" w:rsidRDefault="009C0C1F" w:rsidP="009C0C1F">
      <w:pPr>
        <w:rPr>
          <w:rFonts w:ascii="Arial" w:hAnsi="Arial" w:cs="Arial"/>
          <w:sz w:val="24"/>
          <w:szCs w:val="24"/>
        </w:rPr>
      </w:pPr>
      <w:r w:rsidRPr="003419E9">
        <w:rPr>
          <w:rFonts w:ascii="Arial" w:hAnsi="Arial" w:cs="Arial"/>
          <w:sz w:val="24"/>
          <w:szCs w:val="24"/>
        </w:rPr>
        <w:t xml:space="preserve">This clause </w:t>
      </w:r>
      <w:r>
        <w:rPr>
          <w:rFonts w:ascii="Arial" w:hAnsi="Arial" w:cs="Arial"/>
          <w:sz w:val="24"/>
          <w:szCs w:val="24"/>
        </w:rPr>
        <w:t xml:space="preserve">omits </w:t>
      </w:r>
      <w:r w:rsidRPr="009C0C1F">
        <w:rPr>
          <w:rFonts w:ascii="Arial" w:hAnsi="Arial" w:cs="Arial"/>
          <w:sz w:val="24"/>
          <w:szCs w:val="24"/>
        </w:rPr>
        <w:t>[*Chief Justice/*judge/*master]</w:t>
      </w:r>
      <w:r>
        <w:rPr>
          <w:rFonts w:ascii="Arial" w:hAnsi="Arial" w:cs="Arial"/>
          <w:sz w:val="24"/>
          <w:szCs w:val="24"/>
        </w:rPr>
        <w:t xml:space="preserve"> </w:t>
      </w:r>
      <w:r w:rsidRPr="009C0C1F">
        <w:rPr>
          <w:rFonts w:ascii="Arial" w:hAnsi="Arial" w:cs="Arial"/>
          <w:sz w:val="24"/>
          <w:szCs w:val="24"/>
        </w:rPr>
        <w:t>and replaces it with</w:t>
      </w:r>
      <w:r>
        <w:rPr>
          <w:rFonts w:ascii="Arial" w:hAnsi="Arial" w:cs="Arial"/>
          <w:sz w:val="24"/>
          <w:szCs w:val="24"/>
        </w:rPr>
        <w:t xml:space="preserve"> </w:t>
      </w:r>
      <w:r w:rsidRPr="009C0C1F">
        <w:rPr>
          <w:rFonts w:ascii="Arial" w:hAnsi="Arial" w:cs="Arial"/>
          <w:sz w:val="24"/>
          <w:szCs w:val="24"/>
        </w:rPr>
        <w:t>[*Chief Justice/*judge</w:t>
      </w:r>
      <w:r>
        <w:rPr>
          <w:rFonts w:ascii="Arial" w:hAnsi="Arial" w:cs="Arial"/>
          <w:sz w:val="24"/>
          <w:szCs w:val="24"/>
        </w:rPr>
        <w:t>]</w:t>
      </w:r>
      <w:r w:rsidR="00314E93">
        <w:rPr>
          <w:rFonts w:ascii="Arial" w:hAnsi="Arial" w:cs="Arial"/>
          <w:sz w:val="24"/>
          <w:szCs w:val="24"/>
        </w:rPr>
        <w:t>, removing reference to the Master or Associate Judge.</w:t>
      </w:r>
    </w:p>
    <w:p w14:paraId="4A81AEF9" w14:textId="1C0CE80B" w:rsidR="009C0C1F" w:rsidRPr="003512FE" w:rsidRDefault="009C0C1F" w:rsidP="009C0C1F">
      <w:pPr>
        <w:pStyle w:val="Heading2"/>
      </w:pPr>
      <w:r w:rsidRPr="003512FE">
        <w:t xml:space="preserve">Clause </w:t>
      </w:r>
      <w:r w:rsidR="00314E93">
        <w:t>30</w:t>
      </w:r>
      <w:r w:rsidRPr="003512FE">
        <w:tab/>
      </w:r>
      <w:r>
        <w:t xml:space="preserve">Dictionary, definitions of associate </w:t>
      </w:r>
      <w:r w:rsidRPr="00314E93">
        <w:rPr>
          <w:i/>
          <w:iCs/>
        </w:rPr>
        <w:t>judge</w:t>
      </w:r>
      <w:r>
        <w:t xml:space="preserve"> and master</w:t>
      </w:r>
    </w:p>
    <w:p w14:paraId="7302E3C1" w14:textId="249E95A9" w:rsidR="00157AED" w:rsidRDefault="009C0C1F" w:rsidP="00160563">
      <w:pPr>
        <w:rPr>
          <w:rFonts w:ascii="Arial" w:hAnsi="Arial" w:cs="Arial"/>
          <w:sz w:val="24"/>
          <w:szCs w:val="24"/>
        </w:rPr>
      </w:pPr>
      <w:r w:rsidRPr="003419E9">
        <w:rPr>
          <w:rFonts w:ascii="Arial" w:hAnsi="Arial" w:cs="Arial"/>
          <w:sz w:val="24"/>
          <w:szCs w:val="24"/>
        </w:rPr>
        <w:t xml:space="preserve">This clause </w:t>
      </w:r>
      <w:r>
        <w:rPr>
          <w:rFonts w:ascii="Arial" w:hAnsi="Arial" w:cs="Arial"/>
          <w:sz w:val="24"/>
          <w:szCs w:val="24"/>
        </w:rPr>
        <w:t xml:space="preserve">omits the </w:t>
      </w:r>
      <w:r w:rsidR="009F589F">
        <w:rPr>
          <w:rFonts w:ascii="Arial" w:hAnsi="Arial" w:cs="Arial"/>
          <w:sz w:val="24"/>
          <w:szCs w:val="24"/>
        </w:rPr>
        <w:t>definition of ‘associate judge’ and ‘master’ from the Dictionary</w:t>
      </w:r>
      <w:r w:rsidRPr="003419E9">
        <w:rPr>
          <w:rFonts w:ascii="Arial" w:hAnsi="Arial" w:cs="Arial"/>
          <w:sz w:val="24"/>
          <w:szCs w:val="24"/>
        </w:rPr>
        <w:t>.</w:t>
      </w:r>
    </w:p>
    <w:p w14:paraId="7A63BD8D" w14:textId="77777777" w:rsidR="000718F4" w:rsidRPr="003512FE" w:rsidRDefault="000718F4" w:rsidP="000718F4">
      <w:pPr>
        <w:pStyle w:val="Heading2"/>
      </w:pPr>
      <w:r>
        <w:lastRenderedPageBreak/>
        <w:t>Schedule 1</w:t>
      </w:r>
      <w:r>
        <w:tab/>
        <w:t>Consequential amendments</w:t>
      </w:r>
    </w:p>
    <w:p w14:paraId="5F6BCA6C" w14:textId="77777777" w:rsidR="000718F4" w:rsidRDefault="000718F4" w:rsidP="000718F4">
      <w:pPr>
        <w:pStyle w:val="Heading3"/>
      </w:pPr>
      <w:r>
        <w:t>Part 1.1</w:t>
      </w:r>
      <w:r>
        <w:tab/>
        <w:t>Commissioner for Sustainability and the Environment Act 1993</w:t>
      </w:r>
    </w:p>
    <w:p w14:paraId="45418958" w14:textId="77777777" w:rsidR="000718F4" w:rsidRDefault="000718F4" w:rsidP="000718F4">
      <w:pPr>
        <w:pStyle w:val="Heading3"/>
      </w:pPr>
      <w:r>
        <w:t>Clause 1.1</w:t>
      </w:r>
      <w:r>
        <w:tab/>
        <w:t>Section 12 (2) (a)</w:t>
      </w:r>
    </w:p>
    <w:p w14:paraId="7E3ED553" w14:textId="77777777" w:rsidR="000718F4" w:rsidRDefault="000718F4" w:rsidP="000718F4">
      <w:pPr>
        <w:rPr>
          <w:rFonts w:ascii="Arial" w:hAnsi="Arial" w:cs="Arial"/>
          <w:sz w:val="24"/>
          <w:szCs w:val="24"/>
        </w:rPr>
      </w:pPr>
      <w:r w:rsidRPr="003419E9">
        <w:rPr>
          <w:rFonts w:ascii="Arial" w:hAnsi="Arial" w:cs="Arial"/>
          <w:sz w:val="24"/>
          <w:szCs w:val="24"/>
        </w:rPr>
        <w:t>This clause omits ‘</w:t>
      </w:r>
      <w:r>
        <w:rPr>
          <w:rFonts w:ascii="Arial" w:hAnsi="Arial" w:cs="Arial"/>
          <w:sz w:val="24"/>
          <w:szCs w:val="24"/>
        </w:rPr>
        <w:t xml:space="preserve">of the Supreme Court’ from section 12 (2) (a). The term ‘judge’ will source its definition from the </w:t>
      </w:r>
      <w:r>
        <w:rPr>
          <w:rFonts w:ascii="Arial" w:hAnsi="Arial" w:cs="Arial"/>
          <w:i/>
          <w:iCs/>
          <w:sz w:val="24"/>
          <w:szCs w:val="24"/>
        </w:rPr>
        <w:t>Legislation Act 2001</w:t>
      </w:r>
      <w:r>
        <w:rPr>
          <w:rFonts w:ascii="Arial" w:hAnsi="Arial" w:cs="Arial"/>
          <w:sz w:val="24"/>
          <w:szCs w:val="24"/>
        </w:rPr>
        <w:t xml:space="preserve">, Dictionary, Part 1, which specifies that the term means a resident judge, additional judge or acting judge under the </w:t>
      </w:r>
      <w:r>
        <w:rPr>
          <w:rFonts w:ascii="Arial" w:hAnsi="Arial" w:cs="Arial"/>
          <w:i/>
          <w:iCs/>
          <w:sz w:val="24"/>
          <w:szCs w:val="24"/>
        </w:rPr>
        <w:t>Supreme Court Act 1933</w:t>
      </w:r>
      <w:r>
        <w:rPr>
          <w:rFonts w:ascii="Arial" w:hAnsi="Arial" w:cs="Arial"/>
          <w:sz w:val="24"/>
          <w:szCs w:val="24"/>
        </w:rPr>
        <w:t>.</w:t>
      </w:r>
    </w:p>
    <w:p w14:paraId="4B8AC19F" w14:textId="77777777" w:rsidR="000718F4" w:rsidRDefault="000718F4" w:rsidP="000718F4">
      <w:pPr>
        <w:rPr>
          <w:rFonts w:ascii="Arial" w:hAnsi="Arial" w:cs="Arial"/>
          <w:sz w:val="24"/>
          <w:szCs w:val="24"/>
        </w:rPr>
      </w:pPr>
      <w:r>
        <w:rPr>
          <w:rFonts w:ascii="Arial" w:hAnsi="Arial" w:cs="Arial"/>
          <w:sz w:val="24"/>
          <w:szCs w:val="24"/>
        </w:rPr>
        <w:t>By retaining reference to the ‘associate judge’, the prohibition on investigating actions taken by an associate judge will continue in perpetuity.</w:t>
      </w:r>
    </w:p>
    <w:p w14:paraId="2532BCF7" w14:textId="77777777" w:rsidR="000718F4" w:rsidRDefault="000718F4" w:rsidP="000718F4">
      <w:pPr>
        <w:rPr>
          <w:rFonts w:ascii="Arial" w:hAnsi="Arial" w:cs="Arial"/>
          <w:sz w:val="24"/>
          <w:szCs w:val="24"/>
        </w:rPr>
      </w:pPr>
      <w:r>
        <w:rPr>
          <w:rFonts w:ascii="Arial" w:hAnsi="Arial" w:cs="Arial"/>
          <w:b/>
          <w:bCs/>
          <w:sz w:val="24"/>
          <w:szCs w:val="24"/>
        </w:rPr>
        <w:t>Clause 1.2</w:t>
      </w:r>
      <w:r>
        <w:rPr>
          <w:rFonts w:ascii="Arial" w:hAnsi="Arial" w:cs="Arial"/>
          <w:b/>
          <w:bCs/>
          <w:sz w:val="24"/>
          <w:szCs w:val="24"/>
        </w:rPr>
        <w:tab/>
        <w:t>New section 12 (3)</w:t>
      </w:r>
    </w:p>
    <w:p w14:paraId="26881F28" w14:textId="77777777" w:rsidR="000718F4" w:rsidRDefault="000718F4" w:rsidP="000718F4">
      <w:pPr>
        <w:rPr>
          <w:rFonts w:ascii="Arial" w:hAnsi="Arial" w:cs="Arial"/>
          <w:sz w:val="24"/>
          <w:szCs w:val="24"/>
        </w:rPr>
      </w:pPr>
      <w:r>
        <w:rPr>
          <w:rFonts w:ascii="Arial" w:hAnsi="Arial" w:cs="Arial"/>
          <w:sz w:val="24"/>
          <w:szCs w:val="24"/>
        </w:rPr>
        <w:t xml:space="preserve">This clause inserts a new definition of the term ‘associate judge’ to refer to the Master of the Supreme Court (which position is known as the Associate Judge) prior to the commencement of the repeal of Part 3 of the </w:t>
      </w:r>
      <w:r>
        <w:rPr>
          <w:rFonts w:ascii="Arial" w:hAnsi="Arial" w:cs="Arial"/>
          <w:i/>
          <w:iCs/>
          <w:sz w:val="24"/>
          <w:szCs w:val="24"/>
        </w:rPr>
        <w:t>Supreme Court Act 1933</w:t>
      </w:r>
      <w:r>
        <w:rPr>
          <w:rFonts w:ascii="Arial" w:hAnsi="Arial" w:cs="Arial"/>
          <w:sz w:val="24"/>
          <w:szCs w:val="24"/>
        </w:rPr>
        <w:t xml:space="preserve">, which provided for the Master of the Supreme Court. </w:t>
      </w:r>
    </w:p>
    <w:p w14:paraId="4F2009B0" w14:textId="77777777" w:rsidR="000718F4" w:rsidRDefault="000718F4" w:rsidP="000718F4">
      <w:pPr>
        <w:rPr>
          <w:rFonts w:ascii="Arial" w:hAnsi="Arial" w:cs="Arial"/>
          <w:sz w:val="24"/>
          <w:szCs w:val="24"/>
        </w:rPr>
      </w:pPr>
      <w:r>
        <w:rPr>
          <w:rFonts w:ascii="Arial" w:hAnsi="Arial" w:cs="Arial"/>
          <w:sz w:val="24"/>
          <w:szCs w:val="24"/>
        </w:rPr>
        <w:t>By retaining reference to the ‘associate judge’, the prohibition on investigating actions taken by an associate judge will continue in perpetuity.</w:t>
      </w:r>
    </w:p>
    <w:p w14:paraId="1B207BB5" w14:textId="77777777" w:rsidR="000718F4" w:rsidRDefault="000718F4" w:rsidP="000718F4">
      <w:pPr>
        <w:rPr>
          <w:rFonts w:ascii="Arial" w:hAnsi="Arial" w:cs="Arial"/>
          <w:sz w:val="24"/>
          <w:szCs w:val="24"/>
        </w:rPr>
      </w:pPr>
      <w:r>
        <w:rPr>
          <w:rFonts w:ascii="Arial" w:hAnsi="Arial" w:cs="Arial"/>
          <w:b/>
          <w:bCs/>
          <w:sz w:val="24"/>
          <w:szCs w:val="24"/>
        </w:rPr>
        <w:t>Clause 1.3</w:t>
      </w:r>
      <w:r>
        <w:rPr>
          <w:rFonts w:ascii="Arial" w:hAnsi="Arial" w:cs="Arial"/>
          <w:b/>
          <w:bCs/>
          <w:sz w:val="24"/>
          <w:szCs w:val="24"/>
        </w:rPr>
        <w:tab/>
        <w:t>Dictionary, note 2</w:t>
      </w:r>
    </w:p>
    <w:p w14:paraId="48368F44" w14:textId="77777777" w:rsidR="000718F4" w:rsidRDefault="000718F4" w:rsidP="000718F4">
      <w:pPr>
        <w:rPr>
          <w:rFonts w:ascii="Arial" w:hAnsi="Arial" w:cs="Arial"/>
          <w:sz w:val="24"/>
          <w:szCs w:val="24"/>
        </w:rPr>
      </w:pPr>
      <w:r>
        <w:rPr>
          <w:rFonts w:ascii="Arial" w:hAnsi="Arial" w:cs="Arial"/>
          <w:sz w:val="24"/>
          <w:szCs w:val="24"/>
        </w:rPr>
        <w:t xml:space="preserve">This clause inserts the terms ‘coroner’, ‘judge’, ‘magistrate’, and ‘ombudsman’ as terms defined under the </w:t>
      </w:r>
      <w:r>
        <w:rPr>
          <w:rFonts w:ascii="Arial" w:hAnsi="Arial" w:cs="Arial"/>
          <w:i/>
          <w:iCs/>
          <w:sz w:val="24"/>
          <w:szCs w:val="24"/>
        </w:rPr>
        <w:t>Legislation Act 2001</w:t>
      </w:r>
      <w:r>
        <w:rPr>
          <w:rFonts w:ascii="Arial" w:hAnsi="Arial" w:cs="Arial"/>
          <w:sz w:val="24"/>
          <w:szCs w:val="24"/>
        </w:rPr>
        <w:t>, Dictionary, Part 1.</w:t>
      </w:r>
    </w:p>
    <w:p w14:paraId="70230C9A" w14:textId="77777777" w:rsidR="000718F4" w:rsidRDefault="000718F4" w:rsidP="000718F4">
      <w:pPr>
        <w:pStyle w:val="Heading3"/>
        <w:rPr>
          <w:b w:val="0"/>
          <w:bCs/>
        </w:rPr>
      </w:pPr>
      <w:r>
        <w:t>Part 1.2</w:t>
      </w:r>
      <w:r>
        <w:tab/>
        <w:t>Confiscation of Criminal Assets Act 2003</w:t>
      </w:r>
    </w:p>
    <w:p w14:paraId="0BA7552D" w14:textId="77777777" w:rsidR="000718F4" w:rsidRDefault="000718F4" w:rsidP="000718F4">
      <w:pPr>
        <w:pStyle w:val="Heading3"/>
        <w:rPr>
          <w:b w:val="0"/>
          <w:bCs/>
        </w:rPr>
      </w:pPr>
      <w:r>
        <w:t>Clause 1.4</w:t>
      </w:r>
      <w:r>
        <w:tab/>
        <w:t xml:space="preserve">Section 195, definition of </w:t>
      </w:r>
      <w:r>
        <w:rPr>
          <w:i/>
          <w:iCs/>
        </w:rPr>
        <w:t>issuing officer</w:t>
      </w:r>
      <w:r>
        <w:t>, paragraph (a)</w:t>
      </w:r>
    </w:p>
    <w:p w14:paraId="2D7B621C" w14:textId="0C1F1D79" w:rsidR="000718F4" w:rsidRDefault="000718F4" w:rsidP="000718F4">
      <w:pPr>
        <w:rPr>
          <w:rFonts w:ascii="Arial" w:hAnsi="Arial" w:cs="Arial"/>
          <w:sz w:val="24"/>
          <w:szCs w:val="24"/>
        </w:rPr>
      </w:pPr>
      <w:r w:rsidRPr="006855FC">
        <w:rPr>
          <w:rFonts w:ascii="Arial" w:hAnsi="Arial" w:cs="Arial"/>
          <w:sz w:val="24"/>
          <w:szCs w:val="24"/>
        </w:rPr>
        <w:t>This</w:t>
      </w:r>
      <w:r>
        <w:rPr>
          <w:rFonts w:ascii="Arial" w:hAnsi="Arial" w:cs="Arial"/>
          <w:sz w:val="24"/>
          <w:szCs w:val="24"/>
        </w:rPr>
        <w:t xml:space="preserve"> clause omits ‘the associate judge,’ from the definition of ‘issuing officer’ under section 195. The saving provision in section 84 of the </w:t>
      </w:r>
      <w:r>
        <w:rPr>
          <w:rFonts w:ascii="Arial" w:hAnsi="Arial" w:cs="Arial"/>
          <w:i/>
          <w:iCs/>
          <w:sz w:val="24"/>
          <w:szCs w:val="24"/>
        </w:rPr>
        <w:t>Legislation Act 2001</w:t>
      </w:r>
      <w:r>
        <w:rPr>
          <w:rFonts w:ascii="Arial" w:hAnsi="Arial" w:cs="Arial"/>
          <w:sz w:val="24"/>
          <w:szCs w:val="24"/>
        </w:rPr>
        <w:t xml:space="preserve"> applies to preserve the operation of any warrants issued by an Associate Judge prior to the </w:t>
      </w:r>
      <w:r w:rsidR="0074361C">
        <w:rPr>
          <w:rFonts w:ascii="Arial" w:hAnsi="Arial" w:cs="Arial"/>
          <w:sz w:val="24"/>
          <w:szCs w:val="24"/>
        </w:rPr>
        <w:t>commencement of this  Act</w:t>
      </w:r>
      <w:r>
        <w:rPr>
          <w:rFonts w:ascii="Arial" w:hAnsi="Arial" w:cs="Arial"/>
          <w:sz w:val="24"/>
          <w:szCs w:val="24"/>
        </w:rPr>
        <w:t xml:space="preserve">. </w:t>
      </w:r>
    </w:p>
    <w:p w14:paraId="716F9FF0" w14:textId="6E5ADBEE" w:rsidR="000718F4" w:rsidRDefault="000718F4" w:rsidP="000718F4">
      <w:pPr>
        <w:rPr>
          <w:rFonts w:ascii="Arial" w:hAnsi="Arial" w:cs="Arial"/>
          <w:sz w:val="24"/>
          <w:szCs w:val="24"/>
        </w:rPr>
      </w:pPr>
      <w:r>
        <w:rPr>
          <w:rFonts w:ascii="Arial" w:hAnsi="Arial" w:cs="Arial"/>
          <w:sz w:val="24"/>
          <w:szCs w:val="24"/>
        </w:rPr>
        <w:t xml:space="preserve">The saving provision in section 84 of the </w:t>
      </w:r>
      <w:r>
        <w:rPr>
          <w:rFonts w:ascii="Arial" w:hAnsi="Arial" w:cs="Arial"/>
          <w:i/>
          <w:iCs/>
          <w:sz w:val="24"/>
          <w:szCs w:val="24"/>
        </w:rPr>
        <w:t>Legislation Act 2001</w:t>
      </w:r>
      <w:r>
        <w:rPr>
          <w:rFonts w:ascii="Arial" w:hAnsi="Arial" w:cs="Arial"/>
          <w:sz w:val="24"/>
          <w:szCs w:val="24"/>
        </w:rPr>
        <w:t xml:space="preserve"> also applies to ensure a person does not unintentionally commit an offence for stating an incorrect name in a warrant under section 206 of the </w:t>
      </w:r>
      <w:r>
        <w:rPr>
          <w:rFonts w:ascii="Arial" w:hAnsi="Arial" w:cs="Arial"/>
          <w:i/>
          <w:iCs/>
          <w:sz w:val="24"/>
          <w:szCs w:val="24"/>
        </w:rPr>
        <w:t>Confiscation of Criminal Assets Act 2003</w:t>
      </w:r>
      <w:r>
        <w:rPr>
          <w:rFonts w:ascii="Arial" w:hAnsi="Arial" w:cs="Arial"/>
          <w:sz w:val="24"/>
          <w:szCs w:val="24"/>
        </w:rPr>
        <w:t xml:space="preserve"> where the warrant was previously issued by an Associate Judge</w:t>
      </w:r>
      <w:r w:rsidRPr="00481426">
        <w:rPr>
          <w:rFonts w:ascii="Arial" w:hAnsi="Arial" w:cs="Arial"/>
          <w:sz w:val="24"/>
          <w:szCs w:val="24"/>
        </w:rPr>
        <w:t xml:space="preserve"> </w:t>
      </w:r>
      <w:r>
        <w:rPr>
          <w:rFonts w:ascii="Arial" w:hAnsi="Arial" w:cs="Arial"/>
          <w:sz w:val="24"/>
          <w:szCs w:val="24"/>
        </w:rPr>
        <w:t xml:space="preserve">prior to the </w:t>
      </w:r>
      <w:r w:rsidR="0074361C">
        <w:rPr>
          <w:rFonts w:ascii="Arial" w:hAnsi="Arial" w:cs="Arial"/>
          <w:sz w:val="24"/>
          <w:szCs w:val="24"/>
        </w:rPr>
        <w:t>commencement of this Act</w:t>
      </w:r>
      <w:r>
        <w:rPr>
          <w:rFonts w:ascii="Arial" w:hAnsi="Arial" w:cs="Arial"/>
          <w:sz w:val="24"/>
          <w:szCs w:val="24"/>
        </w:rPr>
        <w:t xml:space="preserve">. </w:t>
      </w:r>
    </w:p>
    <w:p w14:paraId="6257BD3C" w14:textId="77777777" w:rsidR="000718F4" w:rsidRDefault="000718F4" w:rsidP="000718F4">
      <w:pPr>
        <w:pStyle w:val="Heading3"/>
        <w:rPr>
          <w:b w:val="0"/>
          <w:bCs/>
        </w:rPr>
      </w:pPr>
      <w:r>
        <w:t>Part 1.3</w:t>
      </w:r>
      <w:r>
        <w:tab/>
        <w:t>Crimes Act 1900</w:t>
      </w:r>
    </w:p>
    <w:p w14:paraId="5B039B29" w14:textId="77777777" w:rsidR="000718F4" w:rsidRPr="00481426" w:rsidRDefault="000718F4" w:rsidP="000718F4">
      <w:pPr>
        <w:pStyle w:val="Heading3"/>
        <w:rPr>
          <w:b w:val="0"/>
          <w:bCs/>
        </w:rPr>
      </w:pPr>
      <w:r>
        <w:t>Clause 1.5</w:t>
      </w:r>
      <w:r>
        <w:tab/>
        <w:t xml:space="preserve">Section 185, definition of </w:t>
      </w:r>
      <w:r>
        <w:rPr>
          <w:i/>
          <w:iCs/>
        </w:rPr>
        <w:t>issuing officer</w:t>
      </w:r>
      <w:r>
        <w:t>, paragraph (a)</w:t>
      </w:r>
    </w:p>
    <w:p w14:paraId="3464511B" w14:textId="3A48536D" w:rsidR="000718F4" w:rsidRPr="00BA0936" w:rsidRDefault="000718F4" w:rsidP="000718F4">
      <w:pPr>
        <w:rPr>
          <w:rFonts w:ascii="Arial" w:hAnsi="Arial" w:cs="Arial"/>
          <w:sz w:val="24"/>
          <w:szCs w:val="24"/>
        </w:rPr>
      </w:pPr>
      <w:r w:rsidRPr="003419E9">
        <w:rPr>
          <w:rFonts w:ascii="Arial" w:hAnsi="Arial" w:cs="Arial"/>
          <w:sz w:val="24"/>
          <w:szCs w:val="24"/>
        </w:rPr>
        <w:t>This</w:t>
      </w:r>
      <w:r>
        <w:rPr>
          <w:rFonts w:ascii="Arial" w:hAnsi="Arial" w:cs="Arial"/>
          <w:sz w:val="24"/>
          <w:szCs w:val="24"/>
        </w:rPr>
        <w:t xml:space="preserve"> clause omits ‘the associate judge,’ from the definition of ‘issuing officer’ under section 185. The saving provision in section 84 of the </w:t>
      </w:r>
      <w:r>
        <w:rPr>
          <w:rFonts w:ascii="Arial" w:hAnsi="Arial" w:cs="Arial"/>
          <w:i/>
          <w:iCs/>
          <w:sz w:val="24"/>
          <w:szCs w:val="24"/>
        </w:rPr>
        <w:t>Legislation Act 2001</w:t>
      </w:r>
      <w:r>
        <w:rPr>
          <w:rFonts w:ascii="Arial" w:hAnsi="Arial" w:cs="Arial"/>
          <w:sz w:val="24"/>
          <w:szCs w:val="24"/>
        </w:rPr>
        <w:t xml:space="preserve"> applies to </w:t>
      </w:r>
      <w:r>
        <w:rPr>
          <w:rFonts w:ascii="Arial" w:hAnsi="Arial" w:cs="Arial"/>
          <w:sz w:val="24"/>
          <w:szCs w:val="24"/>
        </w:rPr>
        <w:lastRenderedPageBreak/>
        <w:t xml:space="preserve">preserve the operation of any warrants issued by an Associate Judge prior to the </w:t>
      </w:r>
      <w:r w:rsidR="0074361C">
        <w:rPr>
          <w:rFonts w:ascii="Arial" w:hAnsi="Arial" w:cs="Arial"/>
          <w:sz w:val="24"/>
          <w:szCs w:val="24"/>
        </w:rPr>
        <w:t>commencement of this Act</w:t>
      </w:r>
      <w:r>
        <w:rPr>
          <w:rFonts w:ascii="Arial" w:hAnsi="Arial" w:cs="Arial"/>
          <w:sz w:val="24"/>
          <w:szCs w:val="24"/>
        </w:rPr>
        <w:t xml:space="preserve">. Warrants that may continue to be in force are saved by section 94 of the </w:t>
      </w:r>
      <w:r>
        <w:rPr>
          <w:rFonts w:ascii="Arial" w:hAnsi="Arial" w:cs="Arial"/>
          <w:i/>
          <w:iCs/>
          <w:sz w:val="24"/>
          <w:szCs w:val="24"/>
        </w:rPr>
        <w:t>Legislation Act 2001</w:t>
      </w:r>
      <w:r>
        <w:rPr>
          <w:rFonts w:ascii="Arial" w:hAnsi="Arial" w:cs="Arial"/>
          <w:sz w:val="24"/>
          <w:szCs w:val="24"/>
        </w:rPr>
        <w:t xml:space="preserve">. </w:t>
      </w:r>
    </w:p>
    <w:p w14:paraId="07885127" w14:textId="77777777" w:rsidR="000718F4" w:rsidRDefault="000718F4" w:rsidP="000718F4">
      <w:pPr>
        <w:pStyle w:val="Heading3"/>
        <w:rPr>
          <w:b w:val="0"/>
          <w:bCs/>
        </w:rPr>
      </w:pPr>
      <w:r>
        <w:t>Part 1.4</w:t>
      </w:r>
      <w:r>
        <w:tab/>
        <w:t>Crimes (Surveillance Devices) Act 2010</w:t>
      </w:r>
    </w:p>
    <w:p w14:paraId="139DFE91" w14:textId="77777777" w:rsidR="000718F4" w:rsidRPr="00481426" w:rsidRDefault="000718F4" w:rsidP="000718F4">
      <w:pPr>
        <w:pStyle w:val="Heading3"/>
        <w:rPr>
          <w:b w:val="0"/>
          <w:bCs/>
        </w:rPr>
      </w:pPr>
      <w:r>
        <w:t>Clause 1.6</w:t>
      </w:r>
      <w:r>
        <w:tab/>
        <w:t>Section 10 (1), note</w:t>
      </w:r>
    </w:p>
    <w:p w14:paraId="2F3BB966" w14:textId="77777777" w:rsidR="000718F4" w:rsidRDefault="000718F4" w:rsidP="000718F4">
      <w:pPr>
        <w:rPr>
          <w:rFonts w:ascii="Arial" w:hAnsi="Arial" w:cs="Arial"/>
          <w:sz w:val="24"/>
          <w:szCs w:val="24"/>
        </w:rPr>
      </w:pPr>
      <w:r w:rsidRPr="003419E9">
        <w:rPr>
          <w:rFonts w:ascii="Arial" w:hAnsi="Arial" w:cs="Arial"/>
          <w:sz w:val="24"/>
          <w:szCs w:val="24"/>
        </w:rPr>
        <w:t>This</w:t>
      </w:r>
      <w:r>
        <w:rPr>
          <w:rFonts w:ascii="Arial" w:hAnsi="Arial" w:cs="Arial"/>
          <w:sz w:val="24"/>
          <w:szCs w:val="24"/>
        </w:rPr>
        <w:t xml:space="preserve"> clause omits the note to remove references to the Associate Judge.</w:t>
      </w:r>
    </w:p>
    <w:p w14:paraId="214444CA" w14:textId="77777777" w:rsidR="000718F4" w:rsidRDefault="000718F4" w:rsidP="000718F4">
      <w:pPr>
        <w:rPr>
          <w:rFonts w:ascii="Arial" w:hAnsi="Arial" w:cs="Arial"/>
          <w:b/>
          <w:bCs/>
          <w:i/>
          <w:iCs/>
          <w:sz w:val="24"/>
          <w:szCs w:val="24"/>
        </w:rPr>
      </w:pPr>
      <w:r>
        <w:rPr>
          <w:rFonts w:ascii="Arial" w:hAnsi="Arial" w:cs="Arial"/>
          <w:b/>
          <w:bCs/>
          <w:sz w:val="24"/>
          <w:szCs w:val="24"/>
        </w:rPr>
        <w:t>Clause 1.7</w:t>
      </w:r>
      <w:r>
        <w:rPr>
          <w:rFonts w:ascii="Arial" w:hAnsi="Arial" w:cs="Arial"/>
          <w:b/>
          <w:bCs/>
          <w:sz w:val="24"/>
          <w:szCs w:val="24"/>
        </w:rPr>
        <w:tab/>
        <w:t xml:space="preserve">Dictionary, definition of </w:t>
      </w:r>
      <w:r>
        <w:rPr>
          <w:rFonts w:ascii="Arial" w:hAnsi="Arial" w:cs="Arial"/>
          <w:b/>
          <w:bCs/>
          <w:i/>
          <w:iCs/>
          <w:sz w:val="24"/>
          <w:szCs w:val="24"/>
        </w:rPr>
        <w:t>judge</w:t>
      </w:r>
    </w:p>
    <w:p w14:paraId="530FBED7" w14:textId="77777777" w:rsidR="000718F4" w:rsidRPr="001C1454" w:rsidRDefault="000718F4" w:rsidP="000718F4">
      <w:pPr>
        <w:rPr>
          <w:rFonts w:cs="Arial"/>
        </w:rPr>
      </w:pPr>
      <w:r>
        <w:rPr>
          <w:rFonts w:ascii="Arial" w:hAnsi="Arial" w:cs="Arial"/>
          <w:sz w:val="24"/>
          <w:szCs w:val="24"/>
        </w:rPr>
        <w:t xml:space="preserve">This clause omits the definition of ‘judge’ from the Dictionary to remove references to the Associate Judge. The term ‘judge’ will source its definition from the </w:t>
      </w:r>
      <w:r>
        <w:rPr>
          <w:rFonts w:ascii="Arial" w:hAnsi="Arial" w:cs="Arial"/>
          <w:i/>
          <w:iCs/>
          <w:sz w:val="24"/>
          <w:szCs w:val="24"/>
        </w:rPr>
        <w:t>Legislation Act 2001</w:t>
      </w:r>
      <w:r>
        <w:rPr>
          <w:rFonts w:ascii="Arial" w:hAnsi="Arial" w:cs="Arial"/>
          <w:sz w:val="24"/>
          <w:szCs w:val="24"/>
        </w:rPr>
        <w:t>, Dictionary, Part 1.</w:t>
      </w:r>
    </w:p>
    <w:p w14:paraId="1E19268F" w14:textId="548AE353" w:rsidR="000718F4" w:rsidRPr="00BA0936" w:rsidRDefault="000718F4" w:rsidP="000718F4">
      <w:pPr>
        <w:rPr>
          <w:rFonts w:ascii="Arial" w:hAnsi="Arial" w:cs="Arial"/>
          <w:sz w:val="24"/>
          <w:szCs w:val="24"/>
        </w:rPr>
      </w:pPr>
      <w:r>
        <w:rPr>
          <w:rFonts w:ascii="Arial" w:hAnsi="Arial" w:cs="Arial"/>
          <w:sz w:val="24"/>
          <w:szCs w:val="24"/>
        </w:rPr>
        <w:t xml:space="preserve">The saving provision in section 84 of the </w:t>
      </w:r>
      <w:r>
        <w:rPr>
          <w:rFonts w:ascii="Arial" w:hAnsi="Arial" w:cs="Arial"/>
          <w:i/>
          <w:iCs/>
          <w:sz w:val="24"/>
          <w:szCs w:val="24"/>
        </w:rPr>
        <w:t>Legislation Act 2001</w:t>
      </w:r>
      <w:r>
        <w:rPr>
          <w:rFonts w:ascii="Arial" w:hAnsi="Arial" w:cs="Arial"/>
          <w:sz w:val="24"/>
          <w:szCs w:val="24"/>
        </w:rPr>
        <w:t xml:space="preserve"> applies to preserve the operation of any warrants issued by an Associate Judge prior to the </w:t>
      </w:r>
      <w:r w:rsidR="0074361C">
        <w:rPr>
          <w:rFonts w:ascii="Arial" w:hAnsi="Arial" w:cs="Arial"/>
          <w:sz w:val="24"/>
          <w:szCs w:val="24"/>
        </w:rPr>
        <w:t>commencement of this Act</w:t>
      </w:r>
      <w:r>
        <w:rPr>
          <w:rFonts w:ascii="Arial" w:hAnsi="Arial" w:cs="Arial"/>
          <w:sz w:val="24"/>
          <w:szCs w:val="24"/>
        </w:rPr>
        <w:t xml:space="preserve">. Warrants that may continue to be in force are saved by section 94 of the </w:t>
      </w:r>
      <w:r>
        <w:rPr>
          <w:rFonts w:ascii="Arial" w:hAnsi="Arial" w:cs="Arial"/>
          <w:i/>
          <w:iCs/>
          <w:sz w:val="24"/>
          <w:szCs w:val="24"/>
        </w:rPr>
        <w:t>Legislation Act 2001</w:t>
      </w:r>
      <w:r>
        <w:rPr>
          <w:rFonts w:ascii="Arial" w:hAnsi="Arial" w:cs="Arial"/>
          <w:sz w:val="24"/>
          <w:szCs w:val="24"/>
        </w:rPr>
        <w:t xml:space="preserve">. </w:t>
      </w:r>
    </w:p>
    <w:p w14:paraId="45E8F75E" w14:textId="77777777" w:rsidR="000718F4" w:rsidRDefault="000718F4" w:rsidP="000718F4">
      <w:pPr>
        <w:pStyle w:val="Heading3"/>
        <w:rPr>
          <w:b w:val="0"/>
          <w:bCs/>
        </w:rPr>
      </w:pPr>
      <w:r>
        <w:t>Part 1.5</w:t>
      </w:r>
      <w:r>
        <w:tab/>
        <w:t>Criminal Code 2002</w:t>
      </w:r>
    </w:p>
    <w:p w14:paraId="1566AC90" w14:textId="77777777" w:rsidR="000718F4" w:rsidRPr="002A1F14" w:rsidRDefault="000718F4" w:rsidP="000718F4">
      <w:pPr>
        <w:pStyle w:val="Heading3"/>
        <w:rPr>
          <w:b w:val="0"/>
          <w:bCs/>
        </w:rPr>
      </w:pPr>
      <w:r>
        <w:t>Clause 1.8</w:t>
      </w:r>
      <w:r>
        <w:tab/>
        <w:t xml:space="preserve">Section 300, definition of </w:t>
      </w:r>
      <w:r>
        <w:rPr>
          <w:i/>
          <w:iCs/>
        </w:rPr>
        <w:t>territory public official</w:t>
      </w:r>
      <w:r>
        <w:t>, paragraph (e)</w:t>
      </w:r>
    </w:p>
    <w:p w14:paraId="1EF6DADE" w14:textId="77777777" w:rsidR="000718F4" w:rsidRDefault="000718F4" w:rsidP="000718F4">
      <w:pPr>
        <w:rPr>
          <w:rFonts w:ascii="Arial" w:hAnsi="Arial" w:cs="Arial"/>
          <w:sz w:val="24"/>
          <w:szCs w:val="24"/>
        </w:rPr>
      </w:pPr>
      <w:r w:rsidRPr="003419E9">
        <w:rPr>
          <w:rFonts w:ascii="Arial" w:hAnsi="Arial" w:cs="Arial"/>
          <w:sz w:val="24"/>
          <w:szCs w:val="24"/>
        </w:rPr>
        <w:t>This</w:t>
      </w:r>
      <w:r>
        <w:rPr>
          <w:rFonts w:ascii="Arial" w:hAnsi="Arial" w:cs="Arial"/>
          <w:sz w:val="24"/>
          <w:szCs w:val="24"/>
        </w:rPr>
        <w:t xml:space="preserve"> clause omits ‘the associate judge of the Supreme Court’ from the definition of ‘territory public official’. </w:t>
      </w:r>
    </w:p>
    <w:p w14:paraId="7F374638" w14:textId="77777777" w:rsidR="000718F4" w:rsidRDefault="000718F4" w:rsidP="000718F4">
      <w:pPr>
        <w:rPr>
          <w:rFonts w:ascii="Arial" w:hAnsi="Arial" w:cs="Arial"/>
          <w:b/>
          <w:bCs/>
          <w:sz w:val="24"/>
          <w:szCs w:val="24"/>
        </w:rPr>
      </w:pPr>
      <w:r>
        <w:rPr>
          <w:rFonts w:ascii="Arial" w:hAnsi="Arial" w:cs="Arial"/>
          <w:b/>
          <w:bCs/>
          <w:sz w:val="24"/>
          <w:szCs w:val="24"/>
        </w:rPr>
        <w:t>Clause 1.9</w:t>
      </w:r>
      <w:r>
        <w:rPr>
          <w:rFonts w:ascii="Arial" w:hAnsi="Arial" w:cs="Arial"/>
          <w:b/>
          <w:bCs/>
          <w:sz w:val="24"/>
          <w:szCs w:val="24"/>
        </w:rPr>
        <w:tab/>
        <w:t>New section 359 (4) and (5)</w:t>
      </w:r>
    </w:p>
    <w:p w14:paraId="068DCECE" w14:textId="77777777" w:rsidR="000718F4" w:rsidRDefault="000718F4" w:rsidP="000718F4">
      <w:pPr>
        <w:rPr>
          <w:rFonts w:ascii="Arial" w:hAnsi="Arial" w:cs="Arial"/>
          <w:sz w:val="24"/>
          <w:szCs w:val="24"/>
        </w:rPr>
      </w:pPr>
      <w:r>
        <w:rPr>
          <w:rFonts w:ascii="Arial" w:hAnsi="Arial" w:cs="Arial"/>
          <w:sz w:val="24"/>
          <w:szCs w:val="24"/>
        </w:rPr>
        <w:t xml:space="preserve">This clause clarifies that the term ‘public official’ includes an Associate Judge. This clause ensures the offence in section 359 continues to apply for each former Associate Judge after ceasing from that role. </w:t>
      </w:r>
    </w:p>
    <w:p w14:paraId="09435D13" w14:textId="77777777" w:rsidR="000718F4" w:rsidRDefault="000718F4" w:rsidP="000718F4">
      <w:pPr>
        <w:rPr>
          <w:rFonts w:ascii="Arial" w:hAnsi="Arial" w:cs="Arial"/>
          <w:b/>
          <w:bCs/>
          <w:sz w:val="24"/>
          <w:szCs w:val="24"/>
        </w:rPr>
      </w:pPr>
      <w:r>
        <w:rPr>
          <w:rFonts w:ascii="Arial" w:hAnsi="Arial" w:cs="Arial"/>
          <w:b/>
          <w:bCs/>
          <w:sz w:val="24"/>
          <w:szCs w:val="24"/>
        </w:rPr>
        <w:t xml:space="preserve">Part 1.6 </w:t>
      </w:r>
      <w:r>
        <w:rPr>
          <w:rFonts w:ascii="Arial" w:hAnsi="Arial" w:cs="Arial"/>
          <w:b/>
          <w:bCs/>
          <w:sz w:val="24"/>
          <w:szCs w:val="24"/>
        </w:rPr>
        <w:tab/>
        <w:t>Drugs of Dependence Act 1989</w:t>
      </w:r>
    </w:p>
    <w:p w14:paraId="78566A21" w14:textId="77777777" w:rsidR="000718F4" w:rsidRDefault="000718F4" w:rsidP="000718F4">
      <w:pPr>
        <w:rPr>
          <w:rFonts w:ascii="Arial" w:hAnsi="Arial" w:cs="Arial"/>
          <w:b/>
          <w:bCs/>
          <w:sz w:val="24"/>
          <w:szCs w:val="24"/>
        </w:rPr>
      </w:pPr>
      <w:r>
        <w:rPr>
          <w:rFonts w:ascii="Arial" w:hAnsi="Arial" w:cs="Arial"/>
          <w:b/>
          <w:bCs/>
          <w:sz w:val="24"/>
          <w:szCs w:val="24"/>
        </w:rPr>
        <w:t>Clause 1.10</w:t>
      </w:r>
      <w:r>
        <w:rPr>
          <w:rFonts w:ascii="Arial" w:hAnsi="Arial" w:cs="Arial"/>
          <w:b/>
          <w:bCs/>
          <w:sz w:val="24"/>
          <w:szCs w:val="24"/>
        </w:rPr>
        <w:tab/>
        <w:t xml:space="preserve">Section 187 (1), definition of </w:t>
      </w:r>
      <w:r>
        <w:rPr>
          <w:rFonts w:ascii="Arial" w:hAnsi="Arial" w:cs="Arial"/>
          <w:b/>
          <w:bCs/>
          <w:i/>
          <w:iCs/>
          <w:sz w:val="24"/>
          <w:szCs w:val="24"/>
        </w:rPr>
        <w:t>issuing officer</w:t>
      </w:r>
      <w:r>
        <w:rPr>
          <w:rFonts w:ascii="Arial" w:hAnsi="Arial" w:cs="Arial"/>
          <w:b/>
          <w:bCs/>
          <w:sz w:val="24"/>
          <w:szCs w:val="24"/>
        </w:rPr>
        <w:t>, paragraph (a)</w:t>
      </w:r>
    </w:p>
    <w:p w14:paraId="26327817" w14:textId="2BA6C569" w:rsidR="000718F4" w:rsidRDefault="000718F4" w:rsidP="000718F4">
      <w:pPr>
        <w:rPr>
          <w:rFonts w:ascii="Arial" w:hAnsi="Arial" w:cs="Arial"/>
          <w:sz w:val="24"/>
          <w:szCs w:val="24"/>
        </w:rPr>
      </w:pPr>
      <w:r>
        <w:rPr>
          <w:rFonts w:ascii="Arial" w:hAnsi="Arial" w:cs="Arial"/>
          <w:sz w:val="24"/>
          <w:szCs w:val="24"/>
        </w:rPr>
        <w:t xml:space="preserve">This clause omits ‘the associate judge,’ from the definition of ‘issuing officer’. The saving provision in section 84 of the </w:t>
      </w:r>
      <w:r>
        <w:rPr>
          <w:rFonts w:ascii="Arial" w:hAnsi="Arial" w:cs="Arial"/>
          <w:i/>
          <w:iCs/>
          <w:sz w:val="24"/>
          <w:szCs w:val="24"/>
        </w:rPr>
        <w:t>Legislation Act 2001</w:t>
      </w:r>
      <w:r>
        <w:rPr>
          <w:rFonts w:ascii="Arial" w:hAnsi="Arial" w:cs="Arial"/>
          <w:sz w:val="24"/>
          <w:szCs w:val="24"/>
        </w:rPr>
        <w:t xml:space="preserve"> applies to preserve the operation of any warrants issued by an Associate Judge prior to the enactment of this </w:t>
      </w:r>
      <w:r w:rsidR="0074361C">
        <w:rPr>
          <w:rFonts w:ascii="Arial" w:hAnsi="Arial" w:cs="Arial"/>
          <w:sz w:val="24"/>
          <w:szCs w:val="24"/>
        </w:rPr>
        <w:t>Act</w:t>
      </w:r>
      <w:r>
        <w:rPr>
          <w:rFonts w:ascii="Arial" w:hAnsi="Arial" w:cs="Arial"/>
          <w:sz w:val="24"/>
          <w:szCs w:val="24"/>
        </w:rPr>
        <w:t>.</w:t>
      </w:r>
    </w:p>
    <w:p w14:paraId="7935C6D2" w14:textId="77777777" w:rsidR="000718F4" w:rsidRDefault="000718F4" w:rsidP="000718F4">
      <w:pPr>
        <w:rPr>
          <w:rFonts w:ascii="Arial" w:hAnsi="Arial" w:cs="Arial"/>
          <w:b/>
          <w:bCs/>
          <w:sz w:val="24"/>
          <w:szCs w:val="24"/>
        </w:rPr>
      </w:pPr>
      <w:r>
        <w:rPr>
          <w:rFonts w:ascii="Arial" w:hAnsi="Arial" w:cs="Arial"/>
          <w:b/>
          <w:bCs/>
          <w:sz w:val="24"/>
          <w:szCs w:val="24"/>
        </w:rPr>
        <w:t>Part 1.7</w:t>
      </w:r>
      <w:r>
        <w:rPr>
          <w:rFonts w:ascii="Arial" w:hAnsi="Arial" w:cs="Arial"/>
          <w:b/>
          <w:bCs/>
          <w:sz w:val="24"/>
          <w:szCs w:val="24"/>
        </w:rPr>
        <w:tab/>
        <w:t>Integrity Commission Act 2018</w:t>
      </w:r>
    </w:p>
    <w:p w14:paraId="1F195689" w14:textId="77777777" w:rsidR="000718F4" w:rsidRDefault="000718F4" w:rsidP="000718F4">
      <w:pPr>
        <w:rPr>
          <w:rFonts w:ascii="Arial" w:hAnsi="Arial" w:cs="Arial"/>
          <w:b/>
          <w:bCs/>
          <w:sz w:val="24"/>
          <w:szCs w:val="24"/>
        </w:rPr>
      </w:pPr>
      <w:r>
        <w:rPr>
          <w:rFonts w:ascii="Arial" w:hAnsi="Arial" w:cs="Arial"/>
          <w:b/>
          <w:bCs/>
          <w:sz w:val="24"/>
          <w:szCs w:val="24"/>
        </w:rPr>
        <w:t>Clause 1.11</w:t>
      </w:r>
      <w:r>
        <w:rPr>
          <w:rFonts w:ascii="Arial" w:hAnsi="Arial" w:cs="Arial"/>
          <w:b/>
          <w:bCs/>
          <w:sz w:val="24"/>
          <w:szCs w:val="24"/>
        </w:rPr>
        <w:tab/>
        <w:t>New section 13 (2)</w:t>
      </w:r>
    </w:p>
    <w:p w14:paraId="2A197D25" w14:textId="77777777" w:rsidR="000718F4" w:rsidRDefault="000718F4" w:rsidP="000718F4">
      <w:pPr>
        <w:rPr>
          <w:rFonts w:ascii="Arial" w:hAnsi="Arial" w:cs="Arial"/>
          <w:sz w:val="24"/>
          <w:szCs w:val="24"/>
        </w:rPr>
      </w:pPr>
      <w:r>
        <w:rPr>
          <w:rFonts w:ascii="Arial" w:hAnsi="Arial" w:cs="Arial"/>
          <w:sz w:val="24"/>
          <w:szCs w:val="24"/>
        </w:rPr>
        <w:t xml:space="preserve">This clause inserts a new definition of the term ‘associate judge’ to refer to the Master of the Supreme Court (which position is known as the Associate Judge) prior </w:t>
      </w:r>
      <w:r>
        <w:rPr>
          <w:rFonts w:ascii="Arial" w:hAnsi="Arial" w:cs="Arial"/>
          <w:sz w:val="24"/>
          <w:szCs w:val="24"/>
        </w:rPr>
        <w:lastRenderedPageBreak/>
        <w:t xml:space="preserve">to the commencement of the repeal of Part 3 of the </w:t>
      </w:r>
      <w:r>
        <w:rPr>
          <w:rFonts w:ascii="Arial" w:hAnsi="Arial" w:cs="Arial"/>
          <w:i/>
          <w:iCs/>
          <w:sz w:val="24"/>
          <w:szCs w:val="24"/>
        </w:rPr>
        <w:t>Supreme Court Act 1933</w:t>
      </w:r>
      <w:r>
        <w:rPr>
          <w:rFonts w:ascii="Arial" w:hAnsi="Arial" w:cs="Arial"/>
          <w:sz w:val="24"/>
          <w:szCs w:val="24"/>
        </w:rPr>
        <w:t xml:space="preserve">, which provided for the Master of the Supreme Court. </w:t>
      </w:r>
    </w:p>
    <w:p w14:paraId="2EE2B0D6" w14:textId="77777777" w:rsidR="000718F4" w:rsidRPr="009E2B98" w:rsidRDefault="000718F4" w:rsidP="000718F4">
      <w:pPr>
        <w:rPr>
          <w:rFonts w:ascii="Arial" w:hAnsi="Arial" w:cs="Arial"/>
          <w:sz w:val="24"/>
          <w:szCs w:val="24"/>
        </w:rPr>
      </w:pPr>
      <w:r>
        <w:rPr>
          <w:rFonts w:ascii="Arial" w:hAnsi="Arial" w:cs="Arial"/>
          <w:sz w:val="24"/>
          <w:szCs w:val="24"/>
        </w:rPr>
        <w:t xml:space="preserve">The reference to the term ‘associate judge’ in section 13 (a) is retained. This clause ensures the application of the </w:t>
      </w:r>
      <w:r>
        <w:rPr>
          <w:rFonts w:ascii="Arial" w:hAnsi="Arial" w:cs="Arial"/>
          <w:i/>
          <w:iCs/>
          <w:sz w:val="24"/>
          <w:szCs w:val="24"/>
        </w:rPr>
        <w:t xml:space="preserve">Integrity Commission Act 2018 </w:t>
      </w:r>
      <w:r>
        <w:rPr>
          <w:rFonts w:ascii="Arial" w:hAnsi="Arial" w:cs="Arial"/>
          <w:sz w:val="24"/>
          <w:szCs w:val="24"/>
        </w:rPr>
        <w:t xml:space="preserve">continues to apply to Associate Judges in perpetuity. </w:t>
      </w:r>
    </w:p>
    <w:p w14:paraId="49A6C4A7" w14:textId="77777777" w:rsidR="000718F4" w:rsidRDefault="000718F4" w:rsidP="000718F4">
      <w:pPr>
        <w:rPr>
          <w:rFonts w:ascii="Arial" w:hAnsi="Arial" w:cs="Arial"/>
          <w:b/>
          <w:bCs/>
          <w:sz w:val="24"/>
          <w:szCs w:val="24"/>
        </w:rPr>
      </w:pPr>
      <w:r w:rsidRPr="006855FC">
        <w:rPr>
          <w:rFonts w:ascii="Arial" w:hAnsi="Arial" w:cs="Arial"/>
          <w:b/>
          <w:bCs/>
          <w:sz w:val="24"/>
          <w:szCs w:val="24"/>
        </w:rPr>
        <w:t xml:space="preserve">Clause </w:t>
      </w:r>
      <w:r>
        <w:rPr>
          <w:rFonts w:ascii="Arial" w:hAnsi="Arial" w:cs="Arial"/>
          <w:b/>
          <w:bCs/>
          <w:sz w:val="24"/>
          <w:szCs w:val="24"/>
        </w:rPr>
        <w:t>1.12</w:t>
      </w:r>
      <w:r>
        <w:rPr>
          <w:rFonts w:ascii="Arial" w:hAnsi="Arial" w:cs="Arial"/>
          <w:b/>
          <w:bCs/>
          <w:sz w:val="24"/>
          <w:szCs w:val="24"/>
        </w:rPr>
        <w:tab/>
        <w:t xml:space="preserve">Section 102 (2), new definition of </w:t>
      </w:r>
      <w:r>
        <w:rPr>
          <w:rFonts w:ascii="Arial" w:hAnsi="Arial" w:cs="Arial"/>
          <w:b/>
          <w:bCs/>
          <w:i/>
          <w:iCs/>
          <w:sz w:val="24"/>
          <w:szCs w:val="24"/>
        </w:rPr>
        <w:t>associate judge</w:t>
      </w:r>
    </w:p>
    <w:p w14:paraId="1DD31C60" w14:textId="77777777" w:rsidR="000718F4" w:rsidRDefault="000718F4" w:rsidP="000718F4">
      <w:pPr>
        <w:rPr>
          <w:rFonts w:ascii="Arial" w:hAnsi="Arial" w:cs="Arial"/>
          <w:sz w:val="24"/>
          <w:szCs w:val="24"/>
        </w:rPr>
      </w:pPr>
      <w:r>
        <w:rPr>
          <w:rFonts w:ascii="Arial" w:hAnsi="Arial" w:cs="Arial"/>
          <w:sz w:val="24"/>
          <w:szCs w:val="24"/>
        </w:rPr>
        <w:t>This clause inserts a reference to the new definition of ‘associate judge’ inserted by clause 1.11.</w:t>
      </w:r>
    </w:p>
    <w:p w14:paraId="0439125A" w14:textId="2028E07B" w:rsidR="000718F4" w:rsidRPr="00314E93" w:rsidRDefault="000718F4" w:rsidP="00160563">
      <w:pPr>
        <w:rPr>
          <w:rFonts w:ascii="Arial" w:hAnsi="Arial" w:cs="Arial"/>
          <w:b/>
          <w:bCs/>
          <w:sz w:val="24"/>
          <w:szCs w:val="24"/>
        </w:rPr>
      </w:pPr>
      <w:r>
        <w:rPr>
          <w:rFonts w:ascii="Arial" w:hAnsi="Arial" w:cs="Arial"/>
          <w:b/>
          <w:bCs/>
          <w:sz w:val="24"/>
          <w:szCs w:val="24"/>
        </w:rPr>
        <w:t xml:space="preserve">Part 1.8 </w:t>
      </w:r>
      <w:r w:rsidR="00C93414">
        <w:rPr>
          <w:rFonts w:ascii="Arial" w:hAnsi="Arial" w:cs="Arial"/>
          <w:b/>
          <w:bCs/>
          <w:sz w:val="24"/>
          <w:szCs w:val="24"/>
        </w:rPr>
        <w:tab/>
      </w:r>
      <w:r>
        <w:rPr>
          <w:rFonts w:ascii="Arial" w:hAnsi="Arial" w:cs="Arial"/>
          <w:b/>
          <w:bCs/>
          <w:sz w:val="24"/>
          <w:szCs w:val="24"/>
        </w:rPr>
        <w:t>Judicial Commissions Act 1994</w:t>
      </w:r>
    </w:p>
    <w:p w14:paraId="2266E571" w14:textId="4F0B3F5B" w:rsidR="002538C8" w:rsidRDefault="002538C8" w:rsidP="002538C8">
      <w:pPr>
        <w:pStyle w:val="Heading3"/>
      </w:pPr>
      <w:r>
        <w:t xml:space="preserve">Clause </w:t>
      </w:r>
      <w:r w:rsidR="00314E93">
        <w:t>1.13</w:t>
      </w:r>
      <w:r>
        <w:tab/>
        <w:t xml:space="preserve">Dictionary, definition of </w:t>
      </w:r>
      <w:r>
        <w:rPr>
          <w:i/>
          <w:iCs/>
        </w:rPr>
        <w:t>head of jurisdiction,</w:t>
      </w:r>
      <w:r>
        <w:tab/>
      </w:r>
      <w:r>
        <w:tab/>
      </w:r>
      <w:r>
        <w:tab/>
      </w:r>
      <w:r>
        <w:tab/>
      </w:r>
      <w:r>
        <w:tab/>
      </w:r>
      <w:r>
        <w:tab/>
        <w:t>paragraph (a)</w:t>
      </w:r>
    </w:p>
    <w:p w14:paraId="011C39A7" w14:textId="1ADED020" w:rsidR="002538C8" w:rsidRDefault="002538C8" w:rsidP="002538C8">
      <w:pPr>
        <w:rPr>
          <w:rFonts w:ascii="Arial" w:hAnsi="Arial" w:cs="Arial"/>
          <w:sz w:val="24"/>
          <w:szCs w:val="24"/>
        </w:rPr>
      </w:pPr>
      <w:r w:rsidRPr="003419E9">
        <w:rPr>
          <w:rFonts w:ascii="Arial" w:hAnsi="Arial" w:cs="Arial"/>
          <w:sz w:val="24"/>
          <w:szCs w:val="24"/>
        </w:rPr>
        <w:t>This</w:t>
      </w:r>
      <w:r>
        <w:rPr>
          <w:rFonts w:ascii="Arial" w:hAnsi="Arial" w:cs="Arial"/>
          <w:sz w:val="24"/>
          <w:szCs w:val="24"/>
        </w:rPr>
        <w:t xml:space="preserve"> clause omits ‘or the associate judge’ from the definition of ‘head of jurisdiction</w:t>
      </w:r>
      <w:r w:rsidR="00314E93">
        <w:rPr>
          <w:rFonts w:ascii="Arial" w:hAnsi="Arial" w:cs="Arial"/>
          <w:sz w:val="24"/>
          <w:szCs w:val="24"/>
        </w:rPr>
        <w:t>’ to remove references to the Associate Judge.</w:t>
      </w:r>
      <w:r>
        <w:rPr>
          <w:rFonts w:ascii="Arial" w:hAnsi="Arial" w:cs="Arial"/>
          <w:sz w:val="24"/>
          <w:szCs w:val="24"/>
        </w:rPr>
        <w:t xml:space="preserve"> </w:t>
      </w:r>
    </w:p>
    <w:p w14:paraId="5AA8A2F4" w14:textId="0F9C2D71" w:rsidR="002538C8" w:rsidRPr="002538C8" w:rsidRDefault="002538C8" w:rsidP="002538C8">
      <w:pPr>
        <w:rPr>
          <w:rFonts w:ascii="Arial" w:hAnsi="Arial" w:cs="Arial"/>
          <w:b/>
          <w:bCs/>
          <w:sz w:val="24"/>
          <w:szCs w:val="24"/>
        </w:rPr>
      </w:pPr>
      <w:r w:rsidRPr="006855FC">
        <w:rPr>
          <w:rFonts w:ascii="Arial" w:hAnsi="Arial" w:cs="Arial"/>
          <w:b/>
          <w:bCs/>
          <w:sz w:val="24"/>
          <w:szCs w:val="24"/>
        </w:rPr>
        <w:t xml:space="preserve">Clause </w:t>
      </w:r>
      <w:r w:rsidR="00314E93">
        <w:rPr>
          <w:rFonts w:ascii="Arial" w:hAnsi="Arial" w:cs="Arial"/>
          <w:b/>
          <w:bCs/>
          <w:sz w:val="24"/>
          <w:szCs w:val="24"/>
        </w:rPr>
        <w:t>1.14</w:t>
      </w:r>
      <w:r>
        <w:rPr>
          <w:rFonts w:ascii="Arial" w:hAnsi="Arial" w:cs="Arial"/>
          <w:b/>
          <w:bCs/>
          <w:sz w:val="24"/>
          <w:szCs w:val="24"/>
        </w:rPr>
        <w:tab/>
        <w:t xml:space="preserve">Dictionary, definition of </w:t>
      </w:r>
      <w:r>
        <w:rPr>
          <w:rFonts w:ascii="Arial" w:hAnsi="Arial" w:cs="Arial"/>
          <w:b/>
          <w:bCs/>
          <w:i/>
          <w:iCs/>
          <w:sz w:val="24"/>
          <w:szCs w:val="24"/>
        </w:rPr>
        <w:t>judicial officer</w:t>
      </w:r>
      <w:r>
        <w:rPr>
          <w:rFonts w:ascii="Arial" w:hAnsi="Arial" w:cs="Arial"/>
          <w:b/>
          <w:bCs/>
          <w:sz w:val="24"/>
          <w:szCs w:val="24"/>
        </w:rPr>
        <w:t>, paragraph (b)</w:t>
      </w:r>
    </w:p>
    <w:p w14:paraId="37B1560C" w14:textId="7CE83BBC" w:rsidR="002538C8" w:rsidRDefault="002538C8" w:rsidP="002538C8">
      <w:pPr>
        <w:rPr>
          <w:rFonts w:ascii="Arial" w:hAnsi="Arial" w:cs="Arial"/>
          <w:sz w:val="24"/>
          <w:szCs w:val="24"/>
        </w:rPr>
      </w:pPr>
      <w:r w:rsidRPr="003419E9">
        <w:rPr>
          <w:rFonts w:ascii="Arial" w:hAnsi="Arial" w:cs="Arial"/>
          <w:sz w:val="24"/>
          <w:szCs w:val="24"/>
        </w:rPr>
        <w:t>This</w:t>
      </w:r>
      <w:r>
        <w:rPr>
          <w:rFonts w:ascii="Arial" w:hAnsi="Arial" w:cs="Arial"/>
          <w:sz w:val="24"/>
          <w:szCs w:val="24"/>
        </w:rPr>
        <w:t xml:space="preserve"> clause omits ‘</w:t>
      </w:r>
      <w:r w:rsidRPr="002538C8">
        <w:rPr>
          <w:rFonts w:ascii="Arial" w:hAnsi="Arial" w:cs="Arial"/>
          <w:sz w:val="24"/>
          <w:szCs w:val="24"/>
        </w:rPr>
        <w:t>the associate judge of the Supreme Court; or</w:t>
      </w:r>
      <w:r>
        <w:rPr>
          <w:rFonts w:ascii="Arial" w:hAnsi="Arial" w:cs="Arial"/>
          <w:sz w:val="24"/>
          <w:szCs w:val="24"/>
        </w:rPr>
        <w:t>’ from the definition of ‘judicial officer’</w:t>
      </w:r>
      <w:r w:rsidR="00314E93">
        <w:rPr>
          <w:rFonts w:ascii="Arial" w:hAnsi="Arial" w:cs="Arial"/>
          <w:sz w:val="24"/>
          <w:szCs w:val="24"/>
        </w:rPr>
        <w:t>, to remove references to the Associate Judge.</w:t>
      </w:r>
    </w:p>
    <w:p w14:paraId="124E1E89" w14:textId="5A385EA4" w:rsidR="00AC705B" w:rsidRDefault="00AC705B" w:rsidP="00AC705B">
      <w:pPr>
        <w:rPr>
          <w:rFonts w:ascii="Arial" w:hAnsi="Arial" w:cs="Arial"/>
          <w:b/>
          <w:bCs/>
          <w:sz w:val="24"/>
          <w:szCs w:val="24"/>
        </w:rPr>
      </w:pPr>
      <w:r>
        <w:rPr>
          <w:rFonts w:ascii="Arial" w:hAnsi="Arial" w:cs="Arial"/>
          <w:b/>
          <w:bCs/>
          <w:sz w:val="24"/>
          <w:szCs w:val="24"/>
        </w:rPr>
        <w:t>Part 1.9</w:t>
      </w:r>
      <w:r>
        <w:rPr>
          <w:rFonts w:ascii="Arial" w:hAnsi="Arial" w:cs="Arial"/>
          <w:b/>
          <w:bCs/>
          <w:sz w:val="24"/>
          <w:szCs w:val="24"/>
        </w:rPr>
        <w:tab/>
        <w:t>Juries Regulation 2018</w:t>
      </w:r>
    </w:p>
    <w:p w14:paraId="600C96A4" w14:textId="2D8AB9A7" w:rsidR="00AC705B" w:rsidRDefault="00AC705B" w:rsidP="00AC705B">
      <w:pPr>
        <w:rPr>
          <w:rFonts w:ascii="Arial" w:hAnsi="Arial" w:cs="Arial"/>
          <w:b/>
          <w:bCs/>
          <w:sz w:val="24"/>
          <w:szCs w:val="24"/>
        </w:rPr>
      </w:pPr>
      <w:r w:rsidRPr="006855FC">
        <w:rPr>
          <w:rFonts w:ascii="Arial" w:hAnsi="Arial" w:cs="Arial"/>
          <w:b/>
          <w:bCs/>
          <w:sz w:val="24"/>
          <w:szCs w:val="24"/>
        </w:rPr>
        <w:t xml:space="preserve">Clause </w:t>
      </w:r>
      <w:r>
        <w:rPr>
          <w:rFonts w:ascii="Arial" w:hAnsi="Arial" w:cs="Arial"/>
          <w:b/>
          <w:bCs/>
          <w:sz w:val="24"/>
          <w:szCs w:val="24"/>
        </w:rPr>
        <w:t>1.15</w:t>
      </w:r>
      <w:r>
        <w:rPr>
          <w:rFonts w:ascii="Arial" w:hAnsi="Arial" w:cs="Arial"/>
          <w:b/>
          <w:bCs/>
          <w:sz w:val="24"/>
          <w:szCs w:val="24"/>
        </w:rPr>
        <w:tab/>
        <w:t>Schedule 1, table 1.3, item 10</w:t>
      </w:r>
    </w:p>
    <w:p w14:paraId="5DFBF442" w14:textId="1AD6BB54" w:rsidR="00AC705B" w:rsidRPr="0074361C" w:rsidRDefault="00AC705B" w:rsidP="00AC705B">
      <w:pPr>
        <w:rPr>
          <w:rFonts w:ascii="Arial" w:hAnsi="Arial" w:cs="Arial"/>
          <w:sz w:val="24"/>
          <w:szCs w:val="24"/>
        </w:rPr>
      </w:pPr>
      <w:r>
        <w:rPr>
          <w:rFonts w:ascii="Arial" w:hAnsi="Arial" w:cs="Arial"/>
          <w:sz w:val="24"/>
          <w:szCs w:val="24"/>
        </w:rPr>
        <w:t>This clause substitute ‘a judge or associate judge of the Supreme Court’ in Schedule 1, table 1.3, item 10. The new item 10 is ‘a judge’</w:t>
      </w:r>
      <w:r w:rsidR="0074361C">
        <w:rPr>
          <w:rFonts w:ascii="Arial" w:hAnsi="Arial" w:cs="Arial"/>
          <w:sz w:val="24"/>
          <w:szCs w:val="24"/>
        </w:rPr>
        <w:t xml:space="preserve">, removing reference to the Associate Judge as an exempt person under section 3 of the </w:t>
      </w:r>
      <w:r w:rsidR="0074361C">
        <w:rPr>
          <w:rFonts w:ascii="Arial" w:hAnsi="Arial" w:cs="Arial"/>
          <w:i/>
          <w:iCs/>
          <w:sz w:val="24"/>
          <w:szCs w:val="24"/>
        </w:rPr>
        <w:t>Juries Regulation 2018</w:t>
      </w:r>
      <w:r w:rsidR="0074361C">
        <w:rPr>
          <w:rFonts w:ascii="Arial" w:hAnsi="Arial" w:cs="Arial"/>
          <w:sz w:val="24"/>
          <w:szCs w:val="24"/>
        </w:rPr>
        <w:t>.</w:t>
      </w:r>
    </w:p>
    <w:p w14:paraId="1EE94F9A" w14:textId="6AC4E7F3" w:rsidR="00AC705B" w:rsidRDefault="00AC705B" w:rsidP="00AC705B">
      <w:pPr>
        <w:rPr>
          <w:rFonts w:ascii="Arial" w:hAnsi="Arial" w:cs="Arial"/>
          <w:b/>
          <w:bCs/>
          <w:sz w:val="24"/>
          <w:szCs w:val="24"/>
        </w:rPr>
      </w:pPr>
      <w:r>
        <w:rPr>
          <w:rFonts w:ascii="Arial" w:hAnsi="Arial" w:cs="Arial"/>
          <w:b/>
          <w:bCs/>
          <w:sz w:val="24"/>
          <w:szCs w:val="24"/>
        </w:rPr>
        <w:t>Part 1.10</w:t>
      </w:r>
      <w:r>
        <w:rPr>
          <w:rFonts w:ascii="Arial" w:hAnsi="Arial" w:cs="Arial"/>
          <w:b/>
          <w:bCs/>
          <w:sz w:val="24"/>
          <w:szCs w:val="24"/>
        </w:rPr>
        <w:tab/>
        <w:t>Legislation Act 2001</w:t>
      </w:r>
    </w:p>
    <w:p w14:paraId="592023D8" w14:textId="77777777" w:rsidR="00AC705B" w:rsidRDefault="00AC705B" w:rsidP="00AC705B">
      <w:pPr>
        <w:rPr>
          <w:rFonts w:ascii="Arial" w:hAnsi="Arial" w:cs="Arial"/>
          <w:b/>
          <w:bCs/>
          <w:sz w:val="24"/>
          <w:szCs w:val="24"/>
        </w:rPr>
      </w:pPr>
      <w:r w:rsidRPr="006855FC">
        <w:rPr>
          <w:rFonts w:ascii="Arial" w:hAnsi="Arial" w:cs="Arial"/>
          <w:b/>
          <w:bCs/>
          <w:sz w:val="24"/>
          <w:szCs w:val="24"/>
        </w:rPr>
        <w:t xml:space="preserve">Clause </w:t>
      </w:r>
      <w:r>
        <w:rPr>
          <w:rFonts w:ascii="Arial" w:hAnsi="Arial" w:cs="Arial"/>
          <w:b/>
          <w:bCs/>
          <w:sz w:val="24"/>
          <w:szCs w:val="24"/>
        </w:rPr>
        <w:t>1.16</w:t>
      </w:r>
      <w:r>
        <w:rPr>
          <w:rFonts w:ascii="Arial" w:hAnsi="Arial" w:cs="Arial"/>
          <w:b/>
          <w:bCs/>
          <w:sz w:val="24"/>
          <w:szCs w:val="24"/>
        </w:rPr>
        <w:tab/>
      </w:r>
      <w:r w:rsidRPr="00AC705B">
        <w:rPr>
          <w:rFonts w:ascii="Arial" w:hAnsi="Arial" w:cs="Arial"/>
          <w:b/>
          <w:bCs/>
          <w:sz w:val="24"/>
          <w:szCs w:val="24"/>
        </w:rPr>
        <w:t xml:space="preserve">Dictionary, part 1, definition of </w:t>
      </w:r>
      <w:r w:rsidRPr="0074361C">
        <w:rPr>
          <w:rFonts w:ascii="Arial" w:hAnsi="Arial" w:cs="Arial"/>
          <w:b/>
          <w:bCs/>
          <w:i/>
          <w:iCs/>
          <w:sz w:val="24"/>
          <w:szCs w:val="24"/>
        </w:rPr>
        <w:t>associate judge</w:t>
      </w:r>
    </w:p>
    <w:p w14:paraId="3F0551EE" w14:textId="3D76697B" w:rsidR="00AC705B" w:rsidRDefault="00AC705B" w:rsidP="00AC705B">
      <w:pPr>
        <w:rPr>
          <w:rFonts w:ascii="Arial" w:hAnsi="Arial" w:cs="Arial"/>
          <w:sz w:val="24"/>
          <w:szCs w:val="24"/>
        </w:rPr>
      </w:pPr>
      <w:r>
        <w:rPr>
          <w:rFonts w:ascii="Arial" w:hAnsi="Arial" w:cs="Arial"/>
          <w:sz w:val="24"/>
          <w:szCs w:val="24"/>
        </w:rPr>
        <w:t xml:space="preserve">This clause omits </w:t>
      </w:r>
      <w:r w:rsidR="00386491">
        <w:rPr>
          <w:rFonts w:ascii="Arial" w:hAnsi="Arial" w:cs="Arial"/>
          <w:sz w:val="24"/>
          <w:szCs w:val="24"/>
        </w:rPr>
        <w:t>‘</w:t>
      </w:r>
      <w:r w:rsidR="00386491" w:rsidRPr="002538C8">
        <w:rPr>
          <w:rFonts w:ascii="Arial" w:hAnsi="Arial" w:cs="Arial"/>
          <w:sz w:val="24"/>
          <w:szCs w:val="24"/>
        </w:rPr>
        <w:t>associate judge</w:t>
      </w:r>
      <w:r w:rsidR="00386491">
        <w:rPr>
          <w:rFonts w:ascii="Arial" w:hAnsi="Arial" w:cs="Arial"/>
          <w:sz w:val="24"/>
          <w:szCs w:val="24"/>
        </w:rPr>
        <w:t>’ from the Dictionary</w:t>
      </w:r>
      <w:r w:rsidR="0074361C">
        <w:rPr>
          <w:rFonts w:ascii="Arial" w:hAnsi="Arial" w:cs="Arial"/>
          <w:sz w:val="24"/>
          <w:szCs w:val="24"/>
        </w:rPr>
        <w:t>,</w:t>
      </w:r>
      <w:r w:rsidR="00386491">
        <w:rPr>
          <w:rFonts w:ascii="Arial" w:hAnsi="Arial" w:cs="Arial"/>
          <w:sz w:val="24"/>
          <w:szCs w:val="24"/>
        </w:rPr>
        <w:t xml:space="preserve"> Part 1.</w:t>
      </w:r>
    </w:p>
    <w:p w14:paraId="697C9133" w14:textId="292505F1" w:rsidR="00386491" w:rsidRDefault="00386491" w:rsidP="00386491">
      <w:pPr>
        <w:rPr>
          <w:rFonts w:ascii="Arial" w:hAnsi="Arial" w:cs="Arial"/>
          <w:b/>
          <w:bCs/>
          <w:sz w:val="24"/>
          <w:szCs w:val="24"/>
        </w:rPr>
      </w:pPr>
      <w:r>
        <w:rPr>
          <w:rFonts w:ascii="Arial" w:hAnsi="Arial" w:cs="Arial"/>
          <w:b/>
          <w:bCs/>
          <w:sz w:val="24"/>
          <w:szCs w:val="24"/>
        </w:rPr>
        <w:t>Part 1.1</w:t>
      </w:r>
      <w:r w:rsidR="00197D88">
        <w:rPr>
          <w:rFonts w:ascii="Arial" w:hAnsi="Arial" w:cs="Arial"/>
          <w:b/>
          <w:bCs/>
          <w:sz w:val="24"/>
          <w:szCs w:val="24"/>
        </w:rPr>
        <w:t>1</w:t>
      </w:r>
      <w:r>
        <w:rPr>
          <w:rFonts w:ascii="Arial" w:hAnsi="Arial" w:cs="Arial"/>
          <w:b/>
          <w:bCs/>
          <w:sz w:val="24"/>
          <w:szCs w:val="24"/>
        </w:rPr>
        <w:tab/>
      </w:r>
      <w:r w:rsidR="00197D88">
        <w:rPr>
          <w:rFonts w:ascii="Arial" w:hAnsi="Arial" w:cs="Arial"/>
          <w:b/>
          <w:bCs/>
          <w:sz w:val="24"/>
          <w:szCs w:val="24"/>
        </w:rPr>
        <w:t>Ombudsman Act 1989</w:t>
      </w:r>
    </w:p>
    <w:p w14:paraId="6ADB3987" w14:textId="7B3DD33E" w:rsidR="00386491" w:rsidRDefault="00386491" w:rsidP="00386491">
      <w:pPr>
        <w:rPr>
          <w:rFonts w:ascii="Arial" w:hAnsi="Arial" w:cs="Arial"/>
          <w:b/>
          <w:bCs/>
          <w:sz w:val="24"/>
          <w:szCs w:val="24"/>
        </w:rPr>
      </w:pPr>
      <w:r w:rsidRPr="006855FC">
        <w:rPr>
          <w:rFonts w:ascii="Arial" w:hAnsi="Arial" w:cs="Arial"/>
          <w:b/>
          <w:bCs/>
          <w:sz w:val="24"/>
          <w:szCs w:val="24"/>
        </w:rPr>
        <w:t xml:space="preserve">Clause </w:t>
      </w:r>
      <w:r>
        <w:rPr>
          <w:rFonts w:ascii="Arial" w:hAnsi="Arial" w:cs="Arial"/>
          <w:b/>
          <w:bCs/>
          <w:sz w:val="24"/>
          <w:szCs w:val="24"/>
        </w:rPr>
        <w:t>1.1</w:t>
      </w:r>
      <w:r w:rsidR="00197D88">
        <w:rPr>
          <w:rFonts w:ascii="Arial" w:hAnsi="Arial" w:cs="Arial"/>
          <w:b/>
          <w:bCs/>
          <w:sz w:val="24"/>
          <w:szCs w:val="24"/>
        </w:rPr>
        <w:t>7</w:t>
      </w:r>
      <w:r>
        <w:rPr>
          <w:rFonts w:ascii="Arial" w:hAnsi="Arial" w:cs="Arial"/>
          <w:b/>
          <w:bCs/>
          <w:sz w:val="24"/>
          <w:szCs w:val="24"/>
        </w:rPr>
        <w:tab/>
      </w:r>
      <w:r w:rsidR="00197D88">
        <w:rPr>
          <w:rFonts w:ascii="Arial" w:hAnsi="Arial" w:cs="Arial"/>
          <w:b/>
          <w:bCs/>
          <w:sz w:val="24"/>
          <w:szCs w:val="24"/>
        </w:rPr>
        <w:t>Section 5 (2) (b) (i)</w:t>
      </w:r>
    </w:p>
    <w:p w14:paraId="773ACE60" w14:textId="211DF053" w:rsidR="00386491" w:rsidRDefault="00386491" w:rsidP="00386491">
      <w:pPr>
        <w:rPr>
          <w:rFonts w:ascii="Arial" w:hAnsi="Arial" w:cs="Arial"/>
          <w:sz w:val="24"/>
          <w:szCs w:val="24"/>
        </w:rPr>
      </w:pPr>
      <w:r>
        <w:rPr>
          <w:rFonts w:ascii="Arial" w:hAnsi="Arial" w:cs="Arial"/>
          <w:sz w:val="24"/>
          <w:szCs w:val="24"/>
        </w:rPr>
        <w:t>This clause omits</w:t>
      </w:r>
      <w:r w:rsidR="00197D88">
        <w:rPr>
          <w:rFonts w:ascii="Arial" w:hAnsi="Arial" w:cs="Arial"/>
          <w:sz w:val="24"/>
          <w:szCs w:val="24"/>
        </w:rPr>
        <w:t xml:space="preserve"> ‘of the Supreme Court’ from section 5 (2) (b) (i). The </w:t>
      </w:r>
      <w:r w:rsidR="0074361C">
        <w:rPr>
          <w:rFonts w:ascii="Arial" w:hAnsi="Arial" w:cs="Arial"/>
          <w:sz w:val="24"/>
          <w:szCs w:val="24"/>
        </w:rPr>
        <w:t>clause ensures the prohibition on</w:t>
      </w:r>
      <w:r w:rsidR="00197D88">
        <w:rPr>
          <w:rFonts w:ascii="Arial" w:hAnsi="Arial" w:cs="Arial"/>
          <w:sz w:val="24"/>
          <w:szCs w:val="24"/>
        </w:rPr>
        <w:t xml:space="preserve"> the ombudsman </w:t>
      </w:r>
      <w:r w:rsidR="0074361C">
        <w:rPr>
          <w:rFonts w:ascii="Arial" w:hAnsi="Arial" w:cs="Arial"/>
          <w:sz w:val="24"/>
          <w:szCs w:val="24"/>
        </w:rPr>
        <w:t>to</w:t>
      </w:r>
      <w:r w:rsidR="00197D88">
        <w:rPr>
          <w:rFonts w:ascii="Arial" w:hAnsi="Arial" w:cs="Arial"/>
          <w:sz w:val="24"/>
          <w:szCs w:val="24"/>
        </w:rPr>
        <w:t xml:space="preserve"> investigate action taken by </w:t>
      </w:r>
      <w:r w:rsidR="0074361C">
        <w:rPr>
          <w:rFonts w:ascii="Arial" w:hAnsi="Arial" w:cs="Arial"/>
          <w:sz w:val="24"/>
          <w:szCs w:val="24"/>
        </w:rPr>
        <w:t>an A</w:t>
      </w:r>
      <w:r w:rsidR="00197D88">
        <w:rPr>
          <w:rFonts w:ascii="Arial" w:hAnsi="Arial" w:cs="Arial"/>
          <w:sz w:val="24"/>
          <w:szCs w:val="24"/>
        </w:rPr>
        <w:t xml:space="preserve">ssociate </w:t>
      </w:r>
      <w:r w:rsidR="0074361C">
        <w:rPr>
          <w:rFonts w:ascii="Arial" w:hAnsi="Arial" w:cs="Arial"/>
          <w:sz w:val="24"/>
          <w:szCs w:val="24"/>
        </w:rPr>
        <w:t>J</w:t>
      </w:r>
      <w:r w:rsidR="00197D88">
        <w:rPr>
          <w:rFonts w:ascii="Arial" w:hAnsi="Arial" w:cs="Arial"/>
          <w:sz w:val="24"/>
          <w:szCs w:val="24"/>
        </w:rPr>
        <w:t xml:space="preserve">udge </w:t>
      </w:r>
      <w:r w:rsidR="0074361C">
        <w:rPr>
          <w:rFonts w:ascii="Arial" w:hAnsi="Arial" w:cs="Arial"/>
          <w:sz w:val="24"/>
          <w:szCs w:val="24"/>
        </w:rPr>
        <w:t>will continue in perpetuity</w:t>
      </w:r>
      <w:r w:rsidR="00197D88">
        <w:rPr>
          <w:rFonts w:ascii="Arial" w:hAnsi="Arial" w:cs="Arial"/>
          <w:sz w:val="24"/>
          <w:szCs w:val="24"/>
        </w:rPr>
        <w:t>.</w:t>
      </w:r>
    </w:p>
    <w:p w14:paraId="156D2A36" w14:textId="18F01B6A" w:rsidR="00197D88" w:rsidRPr="0074361C" w:rsidRDefault="00197D88" w:rsidP="00197D88">
      <w:pPr>
        <w:rPr>
          <w:rFonts w:ascii="Arial" w:hAnsi="Arial" w:cs="Arial"/>
          <w:b/>
          <w:bCs/>
          <w:i/>
          <w:iCs/>
          <w:sz w:val="24"/>
          <w:szCs w:val="24"/>
        </w:rPr>
      </w:pPr>
      <w:r w:rsidRPr="006855FC">
        <w:rPr>
          <w:rFonts w:ascii="Arial" w:hAnsi="Arial" w:cs="Arial"/>
          <w:b/>
          <w:bCs/>
          <w:sz w:val="24"/>
          <w:szCs w:val="24"/>
        </w:rPr>
        <w:t xml:space="preserve">Clause </w:t>
      </w:r>
      <w:r>
        <w:rPr>
          <w:rFonts w:ascii="Arial" w:hAnsi="Arial" w:cs="Arial"/>
          <w:b/>
          <w:bCs/>
          <w:sz w:val="24"/>
          <w:szCs w:val="24"/>
        </w:rPr>
        <w:t>1.18</w:t>
      </w:r>
      <w:r>
        <w:rPr>
          <w:rFonts w:ascii="Arial" w:hAnsi="Arial" w:cs="Arial"/>
          <w:b/>
          <w:bCs/>
          <w:sz w:val="24"/>
          <w:szCs w:val="24"/>
        </w:rPr>
        <w:tab/>
        <w:t xml:space="preserve">Section 5 (8), new definition of </w:t>
      </w:r>
      <w:r>
        <w:rPr>
          <w:rFonts w:ascii="Arial" w:hAnsi="Arial" w:cs="Arial"/>
          <w:b/>
          <w:bCs/>
          <w:i/>
          <w:iCs/>
          <w:sz w:val="24"/>
          <w:szCs w:val="24"/>
        </w:rPr>
        <w:t>associate judge</w:t>
      </w:r>
    </w:p>
    <w:p w14:paraId="36EFBD6A" w14:textId="64FB2E2F" w:rsidR="00197D88" w:rsidRDefault="00197D88" w:rsidP="00197D88">
      <w:pPr>
        <w:rPr>
          <w:rFonts w:ascii="Arial" w:hAnsi="Arial" w:cs="Arial"/>
          <w:sz w:val="24"/>
          <w:szCs w:val="24"/>
        </w:rPr>
      </w:pPr>
      <w:r>
        <w:rPr>
          <w:rFonts w:ascii="Arial" w:hAnsi="Arial" w:cs="Arial"/>
          <w:sz w:val="24"/>
          <w:szCs w:val="24"/>
        </w:rPr>
        <w:lastRenderedPageBreak/>
        <w:t xml:space="preserve">This clause inserts a definition of ‘associate judge’ in section 5 (8) </w:t>
      </w:r>
      <w:r w:rsidR="0074361C">
        <w:rPr>
          <w:rFonts w:ascii="Arial" w:hAnsi="Arial" w:cs="Arial"/>
          <w:sz w:val="24"/>
          <w:szCs w:val="24"/>
        </w:rPr>
        <w:t>to refer to the Associate Judge prior to the commencement of this Act.</w:t>
      </w:r>
      <w:r w:rsidRPr="002723DE">
        <w:rPr>
          <w:rFonts w:ascii="Arial" w:hAnsi="Arial" w:cs="Arial"/>
          <w:sz w:val="24"/>
          <w:szCs w:val="24"/>
        </w:rPr>
        <w:t xml:space="preserve"> </w:t>
      </w:r>
    </w:p>
    <w:p w14:paraId="1019F5A2" w14:textId="1E3D764A" w:rsidR="00197D88" w:rsidRDefault="00197D88" w:rsidP="00197D88">
      <w:pPr>
        <w:rPr>
          <w:rFonts w:ascii="Arial" w:hAnsi="Arial" w:cs="Arial"/>
          <w:b/>
          <w:bCs/>
          <w:sz w:val="24"/>
          <w:szCs w:val="24"/>
        </w:rPr>
      </w:pPr>
      <w:r w:rsidRPr="006855FC">
        <w:rPr>
          <w:rFonts w:ascii="Arial" w:hAnsi="Arial" w:cs="Arial"/>
          <w:b/>
          <w:bCs/>
          <w:sz w:val="24"/>
          <w:szCs w:val="24"/>
        </w:rPr>
        <w:t xml:space="preserve">Clause </w:t>
      </w:r>
      <w:r>
        <w:rPr>
          <w:rFonts w:ascii="Arial" w:hAnsi="Arial" w:cs="Arial"/>
          <w:b/>
          <w:bCs/>
          <w:sz w:val="24"/>
          <w:szCs w:val="24"/>
        </w:rPr>
        <w:t>1.19</w:t>
      </w:r>
      <w:r>
        <w:rPr>
          <w:rFonts w:ascii="Arial" w:hAnsi="Arial" w:cs="Arial"/>
          <w:b/>
          <w:bCs/>
          <w:sz w:val="24"/>
          <w:szCs w:val="24"/>
        </w:rPr>
        <w:tab/>
        <w:t>Dictionary, note 2</w:t>
      </w:r>
    </w:p>
    <w:p w14:paraId="4EF100B9" w14:textId="4B6BDDBE" w:rsidR="00197D88" w:rsidRDefault="00197D88" w:rsidP="00197D88">
      <w:pPr>
        <w:rPr>
          <w:rFonts w:ascii="Arial" w:hAnsi="Arial" w:cs="Arial"/>
          <w:sz w:val="24"/>
          <w:szCs w:val="24"/>
        </w:rPr>
      </w:pPr>
      <w:r>
        <w:rPr>
          <w:rFonts w:ascii="Arial" w:hAnsi="Arial" w:cs="Arial"/>
          <w:sz w:val="24"/>
          <w:szCs w:val="24"/>
        </w:rPr>
        <w:t xml:space="preserve">This clause inserts ‘coroner’, ‘judge’ and ‘magistrate’ in the note 2 of the Dictionary. </w:t>
      </w:r>
    </w:p>
    <w:p w14:paraId="3971B667" w14:textId="36B3FA26" w:rsidR="00197D88" w:rsidRPr="00922E96" w:rsidRDefault="00197D88" w:rsidP="00197D88">
      <w:pPr>
        <w:rPr>
          <w:rFonts w:ascii="Arial" w:hAnsi="Arial" w:cs="Arial"/>
          <w:b/>
          <w:bCs/>
          <w:sz w:val="24"/>
          <w:szCs w:val="24"/>
        </w:rPr>
      </w:pPr>
      <w:r>
        <w:rPr>
          <w:rFonts w:ascii="Arial" w:hAnsi="Arial" w:cs="Arial"/>
          <w:b/>
          <w:bCs/>
          <w:sz w:val="24"/>
          <w:szCs w:val="24"/>
        </w:rPr>
        <w:t>Part 1.</w:t>
      </w:r>
      <w:r w:rsidR="00F10051">
        <w:rPr>
          <w:rFonts w:ascii="Arial" w:hAnsi="Arial" w:cs="Arial"/>
          <w:b/>
          <w:bCs/>
          <w:sz w:val="24"/>
          <w:szCs w:val="24"/>
        </w:rPr>
        <w:t>12</w:t>
      </w:r>
      <w:r>
        <w:rPr>
          <w:rFonts w:ascii="Arial" w:hAnsi="Arial" w:cs="Arial"/>
          <w:b/>
          <w:bCs/>
          <w:sz w:val="24"/>
          <w:szCs w:val="24"/>
        </w:rPr>
        <w:t xml:space="preserve"> </w:t>
      </w:r>
      <w:r w:rsidR="00F10051">
        <w:rPr>
          <w:rFonts w:ascii="Arial" w:hAnsi="Arial" w:cs="Arial"/>
          <w:b/>
          <w:bCs/>
          <w:sz w:val="24"/>
          <w:szCs w:val="24"/>
        </w:rPr>
        <w:tab/>
        <w:t>Public Sector Management Act 1994</w:t>
      </w:r>
    </w:p>
    <w:p w14:paraId="5A6F5EB7" w14:textId="3B385946" w:rsidR="00197D88" w:rsidRDefault="00197D88" w:rsidP="00197D88">
      <w:pPr>
        <w:pStyle w:val="Heading3"/>
      </w:pPr>
      <w:r>
        <w:t xml:space="preserve">Clause </w:t>
      </w:r>
      <w:r w:rsidR="00F10051">
        <w:t>1.20</w:t>
      </w:r>
      <w:r>
        <w:tab/>
      </w:r>
      <w:r w:rsidR="00F10051">
        <w:t>Section 150 (1)</w:t>
      </w:r>
      <w:r>
        <w:rPr>
          <w:i/>
          <w:iCs/>
        </w:rPr>
        <w:t>,</w:t>
      </w:r>
      <w:r w:rsidR="00F10051">
        <w:rPr>
          <w:i/>
          <w:iCs/>
        </w:rPr>
        <w:t xml:space="preserve"> </w:t>
      </w:r>
      <w:r w:rsidR="00F10051">
        <w:t xml:space="preserve">definition of </w:t>
      </w:r>
      <w:r w:rsidR="00F10051">
        <w:rPr>
          <w:i/>
          <w:iCs/>
        </w:rPr>
        <w:t>public sector member</w:t>
      </w:r>
      <w:r w:rsidR="00F10051">
        <w:t xml:space="preserve">, </w:t>
      </w:r>
      <w:r>
        <w:tab/>
      </w:r>
      <w:r>
        <w:tab/>
      </w:r>
      <w:r>
        <w:tab/>
      </w:r>
      <w:r>
        <w:tab/>
        <w:t>paragraph (</w:t>
      </w:r>
      <w:r w:rsidR="00F10051">
        <w:t>b</w:t>
      </w:r>
      <w:r>
        <w:t>)</w:t>
      </w:r>
      <w:r w:rsidR="00F10051">
        <w:t xml:space="preserve"> (i)</w:t>
      </w:r>
    </w:p>
    <w:p w14:paraId="7D916F63" w14:textId="58CCA32B" w:rsidR="00197D88" w:rsidRDefault="00197D88" w:rsidP="00197D88">
      <w:pPr>
        <w:rPr>
          <w:rFonts w:ascii="Arial" w:hAnsi="Arial" w:cs="Arial"/>
          <w:sz w:val="24"/>
          <w:szCs w:val="24"/>
        </w:rPr>
      </w:pPr>
      <w:r w:rsidRPr="003419E9">
        <w:rPr>
          <w:rFonts w:ascii="Arial" w:hAnsi="Arial" w:cs="Arial"/>
          <w:sz w:val="24"/>
          <w:szCs w:val="24"/>
        </w:rPr>
        <w:t>This</w:t>
      </w:r>
      <w:r>
        <w:rPr>
          <w:rFonts w:ascii="Arial" w:hAnsi="Arial" w:cs="Arial"/>
          <w:sz w:val="24"/>
          <w:szCs w:val="24"/>
        </w:rPr>
        <w:t xml:space="preserve"> clause </w:t>
      </w:r>
      <w:r w:rsidR="0075091A">
        <w:rPr>
          <w:rFonts w:ascii="Arial" w:hAnsi="Arial" w:cs="Arial"/>
          <w:sz w:val="24"/>
          <w:szCs w:val="24"/>
        </w:rPr>
        <w:t>substitutes</w:t>
      </w:r>
      <w:r>
        <w:rPr>
          <w:rFonts w:ascii="Arial" w:hAnsi="Arial" w:cs="Arial"/>
          <w:sz w:val="24"/>
          <w:szCs w:val="24"/>
        </w:rPr>
        <w:t xml:space="preserve"> ‘</w:t>
      </w:r>
      <w:r w:rsidR="0075091A" w:rsidRPr="0075091A">
        <w:rPr>
          <w:rFonts w:ascii="Arial" w:hAnsi="Arial" w:cs="Arial"/>
          <w:sz w:val="24"/>
          <w:szCs w:val="24"/>
        </w:rPr>
        <w:t>the Chief Justice, a judge or the associate judge</w:t>
      </w:r>
      <w:r>
        <w:rPr>
          <w:rFonts w:ascii="Arial" w:hAnsi="Arial" w:cs="Arial"/>
          <w:sz w:val="24"/>
          <w:szCs w:val="24"/>
        </w:rPr>
        <w:t xml:space="preserve">’ </w:t>
      </w:r>
      <w:r w:rsidR="0075091A">
        <w:rPr>
          <w:rFonts w:ascii="Arial" w:hAnsi="Arial" w:cs="Arial"/>
          <w:sz w:val="24"/>
          <w:szCs w:val="24"/>
        </w:rPr>
        <w:t>with ‘</w:t>
      </w:r>
      <w:r w:rsidR="0075091A" w:rsidRPr="0075091A">
        <w:rPr>
          <w:rFonts w:ascii="Arial" w:hAnsi="Arial" w:cs="Arial"/>
          <w:sz w:val="24"/>
          <w:szCs w:val="24"/>
        </w:rPr>
        <w:t>the Chief Justice or a judge</w:t>
      </w:r>
      <w:r w:rsidR="0075091A">
        <w:rPr>
          <w:rFonts w:ascii="Arial" w:hAnsi="Arial" w:cs="Arial"/>
          <w:sz w:val="24"/>
          <w:szCs w:val="24"/>
        </w:rPr>
        <w:t>’ in section 150 (1) (b) (i)</w:t>
      </w:r>
      <w:r w:rsidR="0074361C">
        <w:rPr>
          <w:rFonts w:ascii="Arial" w:hAnsi="Arial" w:cs="Arial"/>
          <w:sz w:val="24"/>
          <w:szCs w:val="24"/>
        </w:rPr>
        <w:t>, removing reference to the Associate Judge.</w:t>
      </w:r>
    </w:p>
    <w:p w14:paraId="18122009" w14:textId="20006656" w:rsidR="00197D88" w:rsidRDefault="00197D88" w:rsidP="00197D88">
      <w:pPr>
        <w:pStyle w:val="Heading3"/>
      </w:pPr>
      <w:r>
        <w:t xml:space="preserve">Clause </w:t>
      </w:r>
      <w:r w:rsidR="00F10051">
        <w:t>1.21</w:t>
      </w:r>
      <w:r>
        <w:tab/>
      </w:r>
      <w:r w:rsidR="00F10051">
        <w:t>Section 150 (1)</w:t>
      </w:r>
      <w:r w:rsidR="00F10051">
        <w:rPr>
          <w:i/>
          <w:iCs/>
        </w:rPr>
        <w:t xml:space="preserve">, </w:t>
      </w:r>
      <w:r w:rsidR="00F10051">
        <w:t xml:space="preserve">definition of </w:t>
      </w:r>
      <w:r w:rsidR="00F10051">
        <w:rPr>
          <w:i/>
          <w:iCs/>
        </w:rPr>
        <w:t>public sector member</w:t>
      </w:r>
      <w:r w:rsidR="00F10051">
        <w:t xml:space="preserve">, </w:t>
      </w:r>
      <w:r w:rsidR="00F10051">
        <w:tab/>
      </w:r>
      <w:r w:rsidR="00F10051">
        <w:tab/>
      </w:r>
      <w:r w:rsidR="00F10051">
        <w:tab/>
      </w:r>
      <w:r w:rsidR="00F10051">
        <w:tab/>
        <w:t>paragraph (b), note 1</w:t>
      </w:r>
    </w:p>
    <w:p w14:paraId="0A63B07F" w14:textId="7989E2A5" w:rsidR="00197D88" w:rsidRDefault="00197D88" w:rsidP="00197D88">
      <w:pPr>
        <w:rPr>
          <w:rFonts w:ascii="Arial" w:hAnsi="Arial" w:cs="Arial"/>
          <w:sz w:val="24"/>
          <w:szCs w:val="24"/>
        </w:rPr>
      </w:pPr>
      <w:r w:rsidRPr="003419E9">
        <w:rPr>
          <w:rFonts w:ascii="Arial" w:hAnsi="Arial" w:cs="Arial"/>
          <w:sz w:val="24"/>
          <w:szCs w:val="24"/>
        </w:rPr>
        <w:t>This</w:t>
      </w:r>
      <w:r>
        <w:rPr>
          <w:rFonts w:ascii="Arial" w:hAnsi="Arial" w:cs="Arial"/>
          <w:sz w:val="24"/>
          <w:szCs w:val="24"/>
        </w:rPr>
        <w:t xml:space="preserve"> clause omits ‘associate judge’ from the </w:t>
      </w:r>
      <w:r w:rsidR="0075091A">
        <w:rPr>
          <w:rFonts w:ascii="Arial" w:hAnsi="Arial" w:cs="Arial"/>
          <w:sz w:val="24"/>
          <w:szCs w:val="24"/>
        </w:rPr>
        <w:t>section 150 (1) (b), note 1</w:t>
      </w:r>
      <w:r>
        <w:rPr>
          <w:rFonts w:ascii="Arial" w:hAnsi="Arial" w:cs="Arial"/>
          <w:sz w:val="24"/>
          <w:szCs w:val="24"/>
        </w:rPr>
        <w:t xml:space="preserve">. </w:t>
      </w:r>
    </w:p>
    <w:p w14:paraId="3B9443F9" w14:textId="431399C1" w:rsidR="0075091A" w:rsidRDefault="0075091A" w:rsidP="0075091A">
      <w:pPr>
        <w:rPr>
          <w:rFonts w:ascii="Arial" w:hAnsi="Arial" w:cs="Arial"/>
          <w:b/>
          <w:bCs/>
          <w:sz w:val="24"/>
          <w:szCs w:val="24"/>
        </w:rPr>
      </w:pPr>
      <w:r>
        <w:rPr>
          <w:rFonts w:ascii="Arial" w:hAnsi="Arial" w:cs="Arial"/>
          <w:b/>
          <w:bCs/>
          <w:sz w:val="24"/>
          <w:szCs w:val="24"/>
        </w:rPr>
        <w:t>Part 1.13</w:t>
      </w:r>
      <w:r>
        <w:rPr>
          <w:rFonts w:ascii="Arial" w:hAnsi="Arial" w:cs="Arial"/>
          <w:b/>
          <w:bCs/>
          <w:sz w:val="24"/>
          <w:szCs w:val="24"/>
        </w:rPr>
        <w:tab/>
        <w:t>Remuneration Tribunal Act 1995</w:t>
      </w:r>
    </w:p>
    <w:p w14:paraId="42006FFD" w14:textId="77751351" w:rsidR="0075091A" w:rsidRDefault="0075091A" w:rsidP="0075091A">
      <w:pPr>
        <w:rPr>
          <w:rFonts w:ascii="Arial" w:hAnsi="Arial" w:cs="Arial"/>
          <w:b/>
          <w:bCs/>
          <w:sz w:val="24"/>
          <w:szCs w:val="24"/>
        </w:rPr>
      </w:pPr>
      <w:r w:rsidRPr="006855FC">
        <w:rPr>
          <w:rFonts w:ascii="Arial" w:hAnsi="Arial" w:cs="Arial"/>
          <w:b/>
          <w:bCs/>
          <w:sz w:val="24"/>
          <w:szCs w:val="24"/>
        </w:rPr>
        <w:t xml:space="preserve">Clause </w:t>
      </w:r>
      <w:r>
        <w:rPr>
          <w:rFonts w:ascii="Arial" w:hAnsi="Arial" w:cs="Arial"/>
          <w:b/>
          <w:bCs/>
          <w:sz w:val="24"/>
          <w:szCs w:val="24"/>
        </w:rPr>
        <w:t>1.22</w:t>
      </w:r>
      <w:r>
        <w:rPr>
          <w:rFonts w:ascii="Arial" w:hAnsi="Arial" w:cs="Arial"/>
          <w:b/>
          <w:bCs/>
          <w:sz w:val="24"/>
          <w:szCs w:val="24"/>
        </w:rPr>
        <w:tab/>
        <w:t>Schedule 1, part 1.1</w:t>
      </w:r>
    </w:p>
    <w:p w14:paraId="25D51028" w14:textId="264D75A7" w:rsidR="0075091A" w:rsidRDefault="0075091A" w:rsidP="0075091A">
      <w:pPr>
        <w:rPr>
          <w:rFonts w:ascii="Arial" w:hAnsi="Arial" w:cs="Arial"/>
          <w:sz w:val="24"/>
          <w:szCs w:val="24"/>
        </w:rPr>
      </w:pPr>
      <w:r>
        <w:rPr>
          <w:rFonts w:ascii="Arial" w:hAnsi="Arial" w:cs="Arial"/>
          <w:sz w:val="24"/>
          <w:szCs w:val="24"/>
        </w:rPr>
        <w:t>This clause omits ‘</w:t>
      </w:r>
      <w:r w:rsidRPr="002538C8">
        <w:rPr>
          <w:rFonts w:ascii="Arial" w:hAnsi="Arial" w:cs="Arial"/>
          <w:sz w:val="24"/>
          <w:szCs w:val="24"/>
        </w:rPr>
        <w:t>associate judge</w:t>
      </w:r>
      <w:r>
        <w:rPr>
          <w:rFonts w:ascii="Arial" w:hAnsi="Arial" w:cs="Arial"/>
          <w:sz w:val="24"/>
          <w:szCs w:val="24"/>
        </w:rPr>
        <w:t xml:space="preserve"> of the Supreme Court’ from Schedule 1, part 1.1.</w:t>
      </w:r>
    </w:p>
    <w:p w14:paraId="7D542D7C" w14:textId="5C16720A" w:rsidR="000100F3" w:rsidRDefault="000100F3" w:rsidP="000100F3">
      <w:pPr>
        <w:rPr>
          <w:rFonts w:ascii="Arial" w:hAnsi="Arial" w:cs="Arial"/>
          <w:b/>
          <w:bCs/>
          <w:sz w:val="24"/>
          <w:szCs w:val="24"/>
        </w:rPr>
      </w:pPr>
      <w:r>
        <w:rPr>
          <w:rFonts w:ascii="Arial" w:hAnsi="Arial" w:cs="Arial"/>
          <w:b/>
          <w:bCs/>
          <w:sz w:val="24"/>
          <w:szCs w:val="24"/>
        </w:rPr>
        <w:t>Part 1.14</w:t>
      </w:r>
      <w:r>
        <w:rPr>
          <w:rFonts w:ascii="Arial" w:hAnsi="Arial" w:cs="Arial"/>
          <w:b/>
          <w:bCs/>
          <w:sz w:val="24"/>
          <w:szCs w:val="24"/>
        </w:rPr>
        <w:tab/>
        <w:t>Road Transport (Driver Licensing) Regulation 2000</w:t>
      </w:r>
    </w:p>
    <w:p w14:paraId="2161F6CB" w14:textId="0D2880E4" w:rsidR="000100F3" w:rsidRPr="0074361C" w:rsidRDefault="000100F3" w:rsidP="000100F3">
      <w:pPr>
        <w:rPr>
          <w:rFonts w:ascii="Arial" w:hAnsi="Arial" w:cs="Arial"/>
          <w:b/>
          <w:bCs/>
          <w:i/>
          <w:iCs/>
          <w:sz w:val="24"/>
          <w:szCs w:val="24"/>
        </w:rPr>
      </w:pPr>
      <w:r w:rsidRPr="006855FC">
        <w:rPr>
          <w:rFonts w:ascii="Arial" w:hAnsi="Arial" w:cs="Arial"/>
          <w:b/>
          <w:bCs/>
          <w:sz w:val="24"/>
          <w:szCs w:val="24"/>
        </w:rPr>
        <w:t xml:space="preserve">Clause </w:t>
      </w:r>
      <w:r>
        <w:rPr>
          <w:rFonts w:ascii="Arial" w:hAnsi="Arial" w:cs="Arial"/>
          <w:b/>
          <w:bCs/>
          <w:sz w:val="24"/>
          <w:szCs w:val="24"/>
        </w:rPr>
        <w:t>1.23</w:t>
      </w:r>
      <w:r>
        <w:rPr>
          <w:rFonts w:ascii="Arial" w:hAnsi="Arial" w:cs="Arial"/>
          <w:b/>
          <w:bCs/>
          <w:sz w:val="24"/>
          <w:szCs w:val="24"/>
        </w:rPr>
        <w:tab/>
        <w:t xml:space="preserve">Section 12 (10), definition of </w:t>
      </w:r>
      <w:r>
        <w:rPr>
          <w:rFonts w:ascii="Arial" w:hAnsi="Arial" w:cs="Arial"/>
          <w:b/>
          <w:bCs/>
          <w:i/>
          <w:iCs/>
          <w:sz w:val="24"/>
          <w:szCs w:val="24"/>
        </w:rPr>
        <w:t>judicial officer</w:t>
      </w:r>
    </w:p>
    <w:p w14:paraId="46459041" w14:textId="15B058F4" w:rsidR="000100F3" w:rsidRDefault="000100F3" w:rsidP="000100F3">
      <w:pPr>
        <w:rPr>
          <w:rFonts w:ascii="Arial" w:hAnsi="Arial" w:cs="Arial"/>
          <w:sz w:val="24"/>
          <w:szCs w:val="24"/>
        </w:rPr>
      </w:pPr>
      <w:r>
        <w:rPr>
          <w:rFonts w:ascii="Arial" w:hAnsi="Arial" w:cs="Arial"/>
          <w:sz w:val="24"/>
          <w:szCs w:val="24"/>
        </w:rPr>
        <w:t xml:space="preserve">This clause omits ‘the </w:t>
      </w:r>
      <w:r w:rsidRPr="002538C8">
        <w:rPr>
          <w:rFonts w:ascii="Arial" w:hAnsi="Arial" w:cs="Arial"/>
          <w:sz w:val="24"/>
          <w:szCs w:val="24"/>
        </w:rPr>
        <w:t>associate judge</w:t>
      </w:r>
      <w:r>
        <w:rPr>
          <w:rFonts w:ascii="Arial" w:hAnsi="Arial" w:cs="Arial"/>
          <w:sz w:val="24"/>
          <w:szCs w:val="24"/>
        </w:rPr>
        <w:t>’ from the definition of judicial officer in section 12 (10).</w:t>
      </w:r>
    </w:p>
    <w:p w14:paraId="122F8CD4" w14:textId="1AFD0FF3" w:rsidR="000100F3" w:rsidRDefault="000100F3" w:rsidP="000100F3">
      <w:pPr>
        <w:rPr>
          <w:rFonts w:ascii="Arial" w:hAnsi="Arial" w:cs="Arial"/>
          <w:b/>
          <w:bCs/>
          <w:sz w:val="24"/>
          <w:szCs w:val="24"/>
        </w:rPr>
      </w:pPr>
      <w:r w:rsidRPr="006855FC">
        <w:rPr>
          <w:rFonts w:ascii="Arial" w:hAnsi="Arial" w:cs="Arial"/>
          <w:b/>
          <w:bCs/>
          <w:sz w:val="24"/>
          <w:szCs w:val="24"/>
        </w:rPr>
        <w:t xml:space="preserve">Clause </w:t>
      </w:r>
      <w:r>
        <w:rPr>
          <w:rFonts w:ascii="Arial" w:hAnsi="Arial" w:cs="Arial"/>
          <w:b/>
          <w:bCs/>
          <w:sz w:val="24"/>
          <w:szCs w:val="24"/>
        </w:rPr>
        <w:t>1.24</w:t>
      </w:r>
      <w:r>
        <w:rPr>
          <w:rFonts w:ascii="Arial" w:hAnsi="Arial" w:cs="Arial"/>
          <w:b/>
          <w:bCs/>
          <w:sz w:val="24"/>
          <w:szCs w:val="24"/>
        </w:rPr>
        <w:tab/>
        <w:t>Dictionary, note 2</w:t>
      </w:r>
    </w:p>
    <w:p w14:paraId="453A4DD3" w14:textId="23B09686" w:rsidR="000100F3" w:rsidRDefault="000100F3" w:rsidP="000100F3">
      <w:pPr>
        <w:rPr>
          <w:rFonts w:ascii="Arial" w:hAnsi="Arial" w:cs="Arial"/>
          <w:sz w:val="24"/>
          <w:szCs w:val="24"/>
        </w:rPr>
      </w:pPr>
      <w:r>
        <w:rPr>
          <w:rFonts w:ascii="Arial" w:hAnsi="Arial" w:cs="Arial"/>
          <w:sz w:val="24"/>
          <w:szCs w:val="24"/>
        </w:rPr>
        <w:t>This clause omits ‘</w:t>
      </w:r>
      <w:r w:rsidRPr="002538C8">
        <w:rPr>
          <w:rFonts w:ascii="Arial" w:hAnsi="Arial" w:cs="Arial"/>
          <w:sz w:val="24"/>
          <w:szCs w:val="24"/>
        </w:rPr>
        <w:t>associate judge</w:t>
      </w:r>
      <w:r>
        <w:rPr>
          <w:rFonts w:ascii="Arial" w:hAnsi="Arial" w:cs="Arial"/>
          <w:sz w:val="24"/>
          <w:szCs w:val="24"/>
        </w:rPr>
        <w:t>’ from the Dictionary, note 2.</w:t>
      </w:r>
    </w:p>
    <w:p w14:paraId="09B65C01" w14:textId="7715FB1B" w:rsidR="000100F3" w:rsidRPr="00922E96" w:rsidRDefault="000100F3" w:rsidP="000100F3">
      <w:pPr>
        <w:rPr>
          <w:rFonts w:ascii="Arial" w:hAnsi="Arial" w:cs="Arial"/>
          <w:b/>
          <w:bCs/>
          <w:sz w:val="24"/>
          <w:szCs w:val="24"/>
        </w:rPr>
      </w:pPr>
      <w:r>
        <w:rPr>
          <w:rFonts w:ascii="Arial" w:hAnsi="Arial" w:cs="Arial"/>
          <w:b/>
          <w:bCs/>
          <w:sz w:val="24"/>
          <w:szCs w:val="24"/>
        </w:rPr>
        <w:t xml:space="preserve">Part 1.15 </w:t>
      </w:r>
      <w:r>
        <w:rPr>
          <w:rFonts w:ascii="Arial" w:hAnsi="Arial" w:cs="Arial"/>
          <w:b/>
          <w:bCs/>
          <w:sz w:val="24"/>
          <w:szCs w:val="24"/>
        </w:rPr>
        <w:tab/>
        <w:t>Victims of Crime Act 1994</w:t>
      </w:r>
    </w:p>
    <w:p w14:paraId="33F4405F" w14:textId="55B3BCC9" w:rsidR="000100F3" w:rsidRDefault="000100F3" w:rsidP="000100F3">
      <w:pPr>
        <w:pStyle w:val="Heading3"/>
      </w:pPr>
      <w:r>
        <w:t>Clause 1.25</w:t>
      </w:r>
      <w:r>
        <w:tab/>
        <w:t>Section 8 (1)</w:t>
      </w:r>
      <w:r>
        <w:rPr>
          <w:i/>
          <w:iCs/>
        </w:rPr>
        <w:t xml:space="preserve">, </w:t>
      </w:r>
      <w:r>
        <w:t xml:space="preserve">definition of </w:t>
      </w:r>
      <w:r>
        <w:rPr>
          <w:i/>
          <w:iCs/>
        </w:rPr>
        <w:t>justice agency</w:t>
      </w:r>
      <w:r>
        <w:t xml:space="preserve">, </w:t>
      </w:r>
      <w:r>
        <w:tab/>
      </w:r>
      <w:r>
        <w:tab/>
      </w:r>
      <w:r>
        <w:tab/>
      </w:r>
      <w:r>
        <w:tab/>
      </w:r>
      <w:r>
        <w:tab/>
      </w:r>
      <w:r>
        <w:tab/>
        <w:t>paragraph (b) (i)</w:t>
      </w:r>
    </w:p>
    <w:p w14:paraId="3C564438" w14:textId="42D52A18" w:rsidR="000100F3" w:rsidRDefault="000100F3" w:rsidP="000100F3">
      <w:pPr>
        <w:rPr>
          <w:rFonts w:ascii="Arial" w:hAnsi="Arial" w:cs="Arial"/>
          <w:sz w:val="24"/>
          <w:szCs w:val="24"/>
        </w:rPr>
      </w:pPr>
      <w:r w:rsidRPr="003419E9">
        <w:rPr>
          <w:rFonts w:ascii="Arial" w:hAnsi="Arial" w:cs="Arial"/>
          <w:sz w:val="24"/>
          <w:szCs w:val="24"/>
        </w:rPr>
        <w:t>This</w:t>
      </w:r>
      <w:r>
        <w:rPr>
          <w:rFonts w:ascii="Arial" w:hAnsi="Arial" w:cs="Arial"/>
          <w:sz w:val="24"/>
          <w:szCs w:val="24"/>
        </w:rPr>
        <w:t xml:space="preserve"> clause substitutes ‘</w:t>
      </w:r>
      <w:r w:rsidRPr="0075091A">
        <w:rPr>
          <w:rFonts w:ascii="Arial" w:hAnsi="Arial" w:cs="Arial"/>
          <w:sz w:val="24"/>
          <w:szCs w:val="24"/>
        </w:rPr>
        <w:t>the Chief Justice, a judge or associate judge</w:t>
      </w:r>
      <w:r>
        <w:rPr>
          <w:rFonts w:ascii="Arial" w:hAnsi="Arial" w:cs="Arial"/>
          <w:sz w:val="24"/>
          <w:szCs w:val="24"/>
        </w:rPr>
        <w:t>’ with ‘</w:t>
      </w:r>
      <w:r w:rsidRPr="0075091A">
        <w:rPr>
          <w:rFonts w:ascii="Arial" w:hAnsi="Arial" w:cs="Arial"/>
          <w:sz w:val="24"/>
          <w:szCs w:val="24"/>
        </w:rPr>
        <w:t>the Chief Justice or a judge</w:t>
      </w:r>
      <w:r>
        <w:rPr>
          <w:rFonts w:ascii="Arial" w:hAnsi="Arial" w:cs="Arial"/>
          <w:sz w:val="24"/>
          <w:szCs w:val="24"/>
        </w:rPr>
        <w:t>’ in section 8 (1) (b) (i)</w:t>
      </w:r>
      <w:r w:rsidR="0074361C">
        <w:rPr>
          <w:rFonts w:ascii="Arial" w:hAnsi="Arial" w:cs="Arial"/>
          <w:sz w:val="24"/>
          <w:szCs w:val="24"/>
        </w:rPr>
        <w:t>, removing reference to the Associate Judge.</w:t>
      </w:r>
    </w:p>
    <w:p w14:paraId="0CE5E9FA" w14:textId="3A5C049F" w:rsidR="000100F3" w:rsidRDefault="000100F3" w:rsidP="000100F3">
      <w:pPr>
        <w:rPr>
          <w:rFonts w:ascii="Arial" w:hAnsi="Arial" w:cs="Arial"/>
          <w:b/>
          <w:bCs/>
          <w:sz w:val="24"/>
          <w:szCs w:val="24"/>
        </w:rPr>
      </w:pPr>
      <w:r w:rsidRPr="006855FC">
        <w:rPr>
          <w:rFonts w:ascii="Arial" w:hAnsi="Arial" w:cs="Arial"/>
          <w:b/>
          <w:bCs/>
          <w:sz w:val="24"/>
          <w:szCs w:val="24"/>
        </w:rPr>
        <w:t xml:space="preserve">Clause </w:t>
      </w:r>
      <w:r>
        <w:rPr>
          <w:rFonts w:ascii="Arial" w:hAnsi="Arial" w:cs="Arial"/>
          <w:b/>
          <w:bCs/>
          <w:sz w:val="24"/>
          <w:szCs w:val="24"/>
        </w:rPr>
        <w:t>1.26</w:t>
      </w:r>
      <w:r>
        <w:rPr>
          <w:rFonts w:ascii="Arial" w:hAnsi="Arial" w:cs="Arial"/>
          <w:b/>
          <w:bCs/>
          <w:sz w:val="24"/>
          <w:szCs w:val="24"/>
        </w:rPr>
        <w:tab/>
        <w:t>Dictionary, note 2</w:t>
      </w:r>
    </w:p>
    <w:p w14:paraId="378F9D74" w14:textId="5572F5C4" w:rsidR="00160563" w:rsidRPr="004923C1" w:rsidRDefault="000100F3" w:rsidP="00160563">
      <w:pPr>
        <w:rPr>
          <w:rFonts w:ascii="Arial" w:hAnsi="Arial" w:cs="Arial"/>
          <w:sz w:val="24"/>
          <w:szCs w:val="24"/>
        </w:rPr>
      </w:pPr>
      <w:r>
        <w:rPr>
          <w:rFonts w:ascii="Arial" w:hAnsi="Arial" w:cs="Arial"/>
          <w:sz w:val="24"/>
          <w:szCs w:val="24"/>
        </w:rPr>
        <w:t>This clause omits ‘</w:t>
      </w:r>
      <w:r w:rsidRPr="002538C8">
        <w:rPr>
          <w:rFonts w:ascii="Arial" w:hAnsi="Arial" w:cs="Arial"/>
          <w:sz w:val="24"/>
          <w:szCs w:val="24"/>
        </w:rPr>
        <w:t>associate judge</w:t>
      </w:r>
      <w:r>
        <w:rPr>
          <w:rFonts w:ascii="Arial" w:hAnsi="Arial" w:cs="Arial"/>
          <w:sz w:val="24"/>
          <w:szCs w:val="24"/>
        </w:rPr>
        <w:t>’ from the Dictionary, note 2.</w:t>
      </w:r>
    </w:p>
    <w:p w14:paraId="7E20FA38" w14:textId="77777777" w:rsidR="00D7062D" w:rsidRPr="004923C1" w:rsidRDefault="00D7062D" w:rsidP="00D3034B">
      <w:pPr>
        <w:rPr>
          <w:rFonts w:ascii="Arial" w:hAnsi="Arial" w:cs="Arial"/>
          <w:sz w:val="24"/>
          <w:szCs w:val="24"/>
        </w:rPr>
      </w:pPr>
    </w:p>
    <w:sectPr w:rsidR="00D7062D" w:rsidRPr="004923C1"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523C" w14:textId="77777777" w:rsidR="00EA058A" w:rsidRDefault="00EA058A">
      <w:pPr>
        <w:spacing w:after="0" w:line="240" w:lineRule="auto"/>
      </w:pPr>
      <w:r>
        <w:separator/>
      </w:r>
    </w:p>
  </w:endnote>
  <w:endnote w:type="continuationSeparator" w:id="0">
    <w:p w14:paraId="6919AF78" w14:textId="77777777" w:rsidR="00EA058A" w:rsidRDefault="00EA058A">
      <w:pPr>
        <w:spacing w:after="0" w:line="240" w:lineRule="auto"/>
      </w:pPr>
      <w:r>
        <w:continuationSeparator/>
      </w:r>
    </w:p>
  </w:endnote>
  <w:endnote w:type="continuationNotice" w:id="1">
    <w:p w14:paraId="192ECF41" w14:textId="77777777" w:rsidR="00EA058A" w:rsidRDefault="00EA05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904A" w14:textId="77777777" w:rsidR="005C7581" w:rsidRDefault="005C7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C67C" w14:textId="58036772" w:rsidR="00B5097A" w:rsidRPr="005C7581" w:rsidRDefault="005C7581" w:rsidP="005C7581">
    <w:pPr>
      <w:pStyle w:val="Footer"/>
      <w:jc w:val="center"/>
      <w:rPr>
        <w:rFonts w:cs="Arial"/>
        <w:sz w:val="14"/>
      </w:rPr>
    </w:pPr>
    <w:r w:rsidRPr="005C758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16493F99"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13197D18" w14:textId="5FC50327" w:rsidR="00707FCE" w:rsidRPr="005C7581" w:rsidRDefault="005C7581" w:rsidP="005C7581">
    <w:pPr>
      <w:pStyle w:val="Footer"/>
      <w:spacing w:before="60" w:line="240" w:lineRule="auto"/>
      <w:jc w:val="center"/>
      <w:rPr>
        <w:rFonts w:cs="Arial"/>
        <w:sz w:val="14"/>
      </w:rPr>
    </w:pPr>
    <w:r w:rsidRPr="005C7581">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5F231255"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5F833672" w14:textId="15A46BB7" w:rsidR="00B5097A" w:rsidRPr="005C7581" w:rsidRDefault="005C7581" w:rsidP="005C7581">
    <w:pPr>
      <w:pStyle w:val="Footer"/>
      <w:jc w:val="center"/>
      <w:rPr>
        <w:rFonts w:cs="Arial"/>
        <w:sz w:val="14"/>
      </w:rPr>
    </w:pPr>
    <w:r w:rsidRPr="005C7581">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5813D" w14:textId="77777777" w:rsidR="00EA058A" w:rsidRDefault="00EA058A">
      <w:pPr>
        <w:spacing w:after="0" w:line="240" w:lineRule="auto"/>
      </w:pPr>
      <w:r>
        <w:separator/>
      </w:r>
    </w:p>
  </w:footnote>
  <w:footnote w:type="continuationSeparator" w:id="0">
    <w:p w14:paraId="24795849" w14:textId="77777777" w:rsidR="00EA058A" w:rsidRDefault="00EA058A">
      <w:pPr>
        <w:spacing w:after="0" w:line="240" w:lineRule="auto"/>
      </w:pPr>
      <w:r>
        <w:continuationSeparator/>
      </w:r>
    </w:p>
  </w:footnote>
  <w:footnote w:type="continuationNotice" w:id="1">
    <w:p w14:paraId="5741CB69" w14:textId="77777777" w:rsidR="00EA058A" w:rsidRDefault="00EA058A">
      <w:pPr>
        <w:spacing w:after="0" w:line="240" w:lineRule="auto"/>
      </w:pPr>
    </w:p>
  </w:footnote>
  <w:footnote w:id="2">
    <w:p w14:paraId="08DBCE20" w14:textId="77777777" w:rsidR="00BF1259" w:rsidRDefault="00BF1259" w:rsidP="00BF1259"/>
  </w:footnote>
  <w:footnote w:id="3">
    <w:p w14:paraId="62D01D23" w14:textId="77777777" w:rsidR="000D5D0D" w:rsidRDefault="000D5D0D" w:rsidP="00475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57E7" w14:textId="77777777" w:rsidR="005C7581" w:rsidRDefault="005C7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216F" w14:textId="41D61ABB" w:rsidR="00B5097A" w:rsidRPr="00B5097A" w:rsidRDefault="00B5097A" w:rsidP="00B5097A">
    <w:pPr>
      <w:pStyle w:val="Header"/>
      <w:jc w:val="center"/>
      <w:rPr>
        <w:rFonts w:ascii="Arial" w:hAnsi="Arial" w:cs="Arial"/>
        <w:b/>
        <w:bCs/>
        <w:color w:val="FF0000"/>
        <w:sz w:val="32"/>
        <w:szCs w:val="3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3399" w14:textId="77777777" w:rsidR="005C7581" w:rsidRDefault="005C7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B8067B6"/>
    <w:multiLevelType w:val="hybridMultilevel"/>
    <w:tmpl w:val="225A2DE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3E66A1A"/>
    <w:multiLevelType w:val="hybridMultilevel"/>
    <w:tmpl w:val="65B2F7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61D6EE4"/>
    <w:multiLevelType w:val="hybridMultilevel"/>
    <w:tmpl w:val="D842E546"/>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9A56AC5"/>
    <w:multiLevelType w:val="hybridMultilevel"/>
    <w:tmpl w:val="8E142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D57C52"/>
    <w:multiLevelType w:val="hybridMultilevel"/>
    <w:tmpl w:val="587AC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7C0929"/>
    <w:multiLevelType w:val="hybridMultilevel"/>
    <w:tmpl w:val="EE1EA7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74F65B69"/>
    <w:multiLevelType w:val="hybridMultilevel"/>
    <w:tmpl w:val="1DC8D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num w:numId="1" w16cid:durableId="1241450332">
    <w:abstractNumId w:val="8"/>
  </w:num>
  <w:num w:numId="2" w16cid:durableId="1107967996">
    <w:abstractNumId w:val="10"/>
  </w:num>
  <w:num w:numId="3" w16cid:durableId="1937862758">
    <w:abstractNumId w:val="0"/>
  </w:num>
  <w:num w:numId="4" w16cid:durableId="239100830">
    <w:abstractNumId w:val="7"/>
  </w:num>
  <w:num w:numId="5" w16cid:durableId="650863428">
    <w:abstractNumId w:val="9"/>
  </w:num>
  <w:num w:numId="6" w16cid:durableId="20124457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8762917">
    <w:abstractNumId w:val="3"/>
  </w:num>
  <w:num w:numId="8" w16cid:durableId="758016630">
    <w:abstractNumId w:val="1"/>
  </w:num>
  <w:num w:numId="9" w16cid:durableId="140316900">
    <w:abstractNumId w:val="2"/>
  </w:num>
  <w:num w:numId="10" w16cid:durableId="823394919">
    <w:abstractNumId w:val="6"/>
  </w:num>
  <w:num w:numId="11" w16cid:durableId="34651814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0F3"/>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1098"/>
    <w:rsid w:val="00032126"/>
    <w:rsid w:val="0003311C"/>
    <w:rsid w:val="0003332B"/>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802"/>
    <w:rsid w:val="00041F36"/>
    <w:rsid w:val="00041FDD"/>
    <w:rsid w:val="000420D8"/>
    <w:rsid w:val="0004219D"/>
    <w:rsid w:val="00042214"/>
    <w:rsid w:val="000426C2"/>
    <w:rsid w:val="00042847"/>
    <w:rsid w:val="000429CE"/>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0F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18E7"/>
    <w:rsid w:val="000718F4"/>
    <w:rsid w:val="00071A66"/>
    <w:rsid w:val="00072D58"/>
    <w:rsid w:val="00072EA8"/>
    <w:rsid w:val="0007375C"/>
    <w:rsid w:val="00073760"/>
    <w:rsid w:val="00073A1C"/>
    <w:rsid w:val="00073F18"/>
    <w:rsid w:val="00074ACD"/>
    <w:rsid w:val="00076249"/>
    <w:rsid w:val="000762EC"/>
    <w:rsid w:val="00076783"/>
    <w:rsid w:val="00077294"/>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BE1"/>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001"/>
    <w:rsid w:val="000B77EF"/>
    <w:rsid w:val="000B7EC6"/>
    <w:rsid w:val="000B7F10"/>
    <w:rsid w:val="000C007A"/>
    <w:rsid w:val="000C0B71"/>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5D0D"/>
    <w:rsid w:val="000D6034"/>
    <w:rsid w:val="000D652C"/>
    <w:rsid w:val="000D6905"/>
    <w:rsid w:val="000D703B"/>
    <w:rsid w:val="000D758B"/>
    <w:rsid w:val="000E0B99"/>
    <w:rsid w:val="000E0C67"/>
    <w:rsid w:val="000E15C9"/>
    <w:rsid w:val="000E1813"/>
    <w:rsid w:val="000E1A96"/>
    <w:rsid w:val="000E1D21"/>
    <w:rsid w:val="000E29A4"/>
    <w:rsid w:val="000E368C"/>
    <w:rsid w:val="000E3C40"/>
    <w:rsid w:val="000E43D7"/>
    <w:rsid w:val="000E47FE"/>
    <w:rsid w:val="000E4BD4"/>
    <w:rsid w:val="000E508E"/>
    <w:rsid w:val="000E571C"/>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0E54"/>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967"/>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4E4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3D83"/>
    <w:rsid w:val="001564B6"/>
    <w:rsid w:val="001577A9"/>
    <w:rsid w:val="00157AED"/>
    <w:rsid w:val="00160563"/>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3CE7"/>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97D88"/>
    <w:rsid w:val="001A0E08"/>
    <w:rsid w:val="001A168A"/>
    <w:rsid w:val="001A1C0B"/>
    <w:rsid w:val="001A1CFA"/>
    <w:rsid w:val="001A250B"/>
    <w:rsid w:val="001A2651"/>
    <w:rsid w:val="001A2A0B"/>
    <w:rsid w:val="001A2FF6"/>
    <w:rsid w:val="001A3048"/>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83C"/>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7FD"/>
    <w:rsid w:val="001C49B8"/>
    <w:rsid w:val="001C4B20"/>
    <w:rsid w:val="001C4DF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1B"/>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40D"/>
    <w:rsid w:val="00205808"/>
    <w:rsid w:val="0020585F"/>
    <w:rsid w:val="002059D6"/>
    <w:rsid w:val="0020655C"/>
    <w:rsid w:val="00206BA3"/>
    <w:rsid w:val="00206D41"/>
    <w:rsid w:val="002079B0"/>
    <w:rsid w:val="00207ECF"/>
    <w:rsid w:val="00210051"/>
    <w:rsid w:val="00210235"/>
    <w:rsid w:val="002107F3"/>
    <w:rsid w:val="00210D30"/>
    <w:rsid w:val="00210D7A"/>
    <w:rsid w:val="0021142F"/>
    <w:rsid w:val="00212C22"/>
    <w:rsid w:val="002131FC"/>
    <w:rsid w:val="00213C0E"/>
    <w:rsid w:val="00213CE5"/>
    <w:rsid w:val="00214118"/>
    <w:rsid w:val="0021435A"/>
    <w:rsid w:val="00214E0A"/>
    <w:rsid w:val="002151AC"/>
    <w:rsid w:val="00215586"/>
    <w:rsid w:val="00215603"/>
    <w:rsid w:val="00215820"/>
    <w:rsid w:val="00215843"/>
    <w:rsid w:val="00215A07"/>
    <w:rsid w:val="00215DD1"/>
    <w:rsid w:val="00215F81"/>
    <w:rsid w:val="0021608C"/>
    <w:rsid w:val="00216B01"/>
    <w:rsid w:val="0021720E"/>
    <w:rsid w:val="00217363"/>
    <w:rsid w:val="00217DC5"/>
    <w:rsid w:val="002200C2"/>
    <w:rsid w:val="002208F0"/>
    <w:rsid w:val="00220BC7"/>
    <w:rsid w:val="00221BFA"/>
    <w:rsid w:val="002220FE"/>
    <w:rsid w:val="0022225E"/>
    <w:rsid w:val="002222B7"/>
    <w:rsid w:val="00222E7B"/>
    <w:rsid w:val="00223187"/>
    <w:rsid w:val="00223360"/>
    <w:rsid w:val="00223FAE"/>
    <w:rsid w:val="00224320"/>
    <w:rsid w:val="002250E9"/>
    <w:rsid w:val="0022586C"/>
    <w:rsid w:val="00225E8D"/>
    <w:rsid w:val="00225FD3"/>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6DA"/>
    <w:rsid w:val="00251CE4"/>
    <w:rsid w:val="00252655"/>
    <w:rsid w:val="00252AEA"/>
    <w:rsid w:val="00252E05"/>
    <w:rsid w:val="00252FB5"/>
    <w:rsid w:val="0025305F"/>
    <w:rsid w:val="0025311A"/>
    <w:rsid w:val="00253269"/>
    <w:rsid w:val="002532E1"/>
    <w:rsid w:val="002538C8"/>
    <w:rsid w:val="00253A3C"/>
    <w:rsid w:val="0025410F"/>
    <w:rsid w:val="002541C0"/>
    <w:rsid w:val="00254694"/>
    <w:rsid w:val="00256826"/>
    <w:rsid w:val="00256C1E"/>
    <w:rsid w:val="00257DA0"/>
    <w:rsid w:val="00261D69"/>
    <w:rsid w:val="00261E42"/>
    <w:rsid w:val="00262B78"/>
    <w:rsid w:val="00263C09"/>
    <w:rsid w:val="00264788"/>
    <w:rsid w:val="00264B8F"/>
    <w:rsid w:val="00264C61"/>
    <w:rsid w:val="00264D73"/>
    <w:rsid w:val="002651D6"/>
    <w:rsid w:val="002654F1"/>
    <w:rsid w:val="002658E4"/>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3DE"/>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405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26A"/>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7D0"/>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6E81"/>
    <w:rsid w:val="00307340"/>
    <w:rsid w:val="00307E87"/>
    <w:rsid w:val="00310DE4"/>
    <w:rsid w:val="003119D9"/>
    <w:rsid w:val="003124D6"/>
    <w:rsid w:val="00312B5F"/>
    <w:rsid w:val="00312E3D"/>
    <w:rsid w:val="0031311E"/>
    <w:rsid w:val="0031372C"/>
    <w:rsid w:val="00313B96"/>
    <w:rsid w:val="00314524"/>
    <w:rsid w:val="00314CC2"/>
    <w:rsid w:val="00314E93"/>
    <w:rsid w:val="0031545D"/>
    <w:rsid w:val="00315D92"/>
    <w:rsid w:val="00316A3F"/>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51BF"/>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78A"/>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3402"/>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B82"/>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5CD"/>
    <w:rsid w:val="003827A9"/>
    <w:rsid w:val="00382E5F"/>
    <w:rsid w:val="0038423E"/>
    <w:rsid w:val="00384870"/>
    <w:rsid w:val="0038506B"/>
    <w:rsid w:val="003854A9"/>
    <w:rsid w:val="00386491"/>
    <w:rsid w:val="003864A6"/>
    <w:rsid w:val="003876E9"/>
    <w:rsid w:val="00387CEA"/>
    <w:rsid w:val="0039021B"/>
    <w:rsid w:val="00390B90"/>
    <w:rsid w:val="00391355"/>
    <w:rsid w:val="003915E8"/>
    <w:rsid w:val="0039212F"/>
    <w:rsid w:val="00392D0C"/>
    <w:rsid w:val="003930D0"/>
    <w:rsid w:val="0039330E"/>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A88"/>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5D5"/>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43F"/>
    <w:rsid w:val="003D6500"/>
    <w:rsid w:val="003D663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07F"/>
    <w:rsid w:val="003F23D6"/>
    <w:rsid w:val="003F28B1"/>
    <w:rsid w:val="003F2E41"/>
    <w:rsid w:val="003F3CA5"/>
    <w:rsid w:val="003F517E"/>
    <w:rsid w:val="003F68EE"/>
    <w:rsid w:val="003F6C17"/>
    <w:rsid w:val="003F7126"/>
    <w:rsid w:val="003F7252"/>
    <w:rsid w:val="003F7DCF"/>
    <w:rsid w:val="00400064"/>
    <w:rsid w:val="004008D1"/>
    <w:rsid w:val="00400DC2"/>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4EA4"/>
    <w:rsid w:val="00405A4A"/>
    <w:rsid w:val="004061EA"/>
    <w:rsid w:val="00406420"/>
    <w:rsid w:val="004067A1"/>
    <w:rsid w:val="00407676"/>
    <w:rsid w:val="00407F0F"/>
    <w:rsid w:val="004108E5"/>
    <w:rsid w:val="00411053"/>
    <w:rsid w:val="0041221F"/>
    <w:rsid w:val="004126F8"/>
    <w:rsid w:val="004131EB"/>
    <w:rsid w:val="004135D5"/>
    <w:rsid w:val="00414534"/>
    <w:rsid w:val="00414921"/>
    <w:rsid w:val="004149E8"/>
    <w:rsid w:val="00414BA9"/>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5D6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421"/>
    <w:rsid w:val="004434D0"/>
    <w:rsid w:val="00443EA3"/>
    <w:rsid w:val="00444694"/>
    <w:rsid w:val="00444FED"/>
    <w:rsid w:val="00445033"/>
    <w:rsid w:val="004459C7"/>
    <w:rsid w:val="00445AA8"/>
    <w:rsid w:val="00445AB3"/>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081"/>
    <w:rsid w:val="004575FD"/>
    <w:rsid w:val="00457BAA"/>
    <w:rsid w:val="004604F5"/>
    <w:rsid w:val="0046185D"/>
    <w:rsid w:val="00461B27"/>
    <w:rsid w:val="00461DF2"/>
    <w:rsid w:val="00464591"/>
    <w:rsid w:val="00464B28"/>
    <w:rsid w:val="004654EA"/>
    <w:rsid w:val="0046558A"/>
    <w:rsid w:val="004660FA"/>
    <w:rsid w:val="00466308"/>
    <w:rsid w:val="00466772"/>
    <w:rsid w:val="004667B4"/>
    <w:rsid w:val="00466B7A"/>
    <w:rsid w:val="004670CC"/>
    <w:rsid w:val="00467EA1"/>
    <w:rsid w:val="004700DF"/>
    <w:rsid w:val="00470162"/>
    <w:rsid w:val="0047043B"/>
    <w:rsid w:val="00470DD4"/>
    <w:rsid w:val="0047106F"/>
    <w:rsid w:val="004713F6"/>
    <w:rsid w:val="00471567"/>
    <w:rsid w:val="00471F9D"/>
    <w:rsid w:val="004731C8"/>
    <w:rsid w:val="0047347F"/>
    <w:rsid w:val="004738B7"/>
    <w:rsid w:val="00473A42"/>
    <w:rsid w:val="00474121"/>
    <w:rsid w:val="004741FD"/>
    <w:rsid w:val="00474655"/>
    <w:rsid w:val="0047521F"/>
    <w:rsid w:val="004756EB"/>
    <w:rsid w:val="0047591F"/>
    <w:rsid w:val="00475C0E"/>
    <w:rsid w:val="00476852"/>
    <w:rsid w:val="00476EF9"/>
    <w:rsid w:val="0048014F"/>
    <w:rsid w:val="00480D6F"/>
    <w:rsid w:val="00480EFF"/>
    <w:rsid w:val="00481171"/>
    <w:rsid w:val="00481293"/>
    <w:rsid w:val="00481649"/>
    <w:rsid w:val="004817C7"/>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151"/>
    <w:rsid w:val="004A26C3"/>
    <w:rsid w:val="004A3521"/>
    <w:rsid w:val="004A3E34"/>
    <w:rsid w:val="004A3E84"/>
    <w:rsid w:val="004A4234"/>
    <w:rsid w:val="004A4696"/>
    <w:rsid w:val="004A472F"/>
    <w:rsid w:val="004A5FE9"/>
    <w:rsid w:val="004A6217"/>
    <w:rsid w:val="004A6A4A"/>
    <w:rsid w:val="004A6B0B"/>
    <w:rsid w:val="004B0EEE"/>
    <w:rsid w:val="004B140B"/>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5665"/>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5C0"/>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687"/>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2BF"/>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55D"/>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1B2"/>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1D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1E1"/>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405"/>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158"/>
    <w:rsid w:val="005B77A2"/>
    <w:rsid w:val="005B7C06"/>
    <w:rsid w:val="005B7F41"/>
    <w:rsid w:val="005C13CA"/>
    <w:rsid w:val="005C18A0"/>
    <w:rsid w:val="005C3491"/>
    <w:rsid w:val="005C36E0"/>
    <w:rsid w:val="005C43F0"/>
    <w:rsid w:val="005C4A1F"/>
    <w:rsid w:val="005C579A"/>
    <w:rsid w:val="005C5EB2"/>
    <w:rsid w:val="005C67DC"/>
    <w:rsid w:val="005C6966"/>
    <w:rsid w:val="005C6B99"/>
    <w:rsid w:val="005C723B"/>
    <w:rsid w:val="005C7581"/>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513C"/>
    <w:rsid w:val="005D591E"/>
    <w:rsid w:val="005D5BFA"/>
    <w:rsid w:val="005D6672"/>
    <w:rsid w:val="005D686D"/>
    <w:rsid w:val="005D7819"/>
    <w:rsid w:val="005D787C"/>
    <w:rsid w:val="005D79BE"/>
    <w:rsid w:val="005E09A7"/>
    <w:rsid w:val="005E0B8D"/>
    <w:rsid w:val="005E209D"/>
    <w:rsid w:val="005E2196"/>
    <w:rsid w:val="005E3E13"/>
    <w:rsid w:val="005E41D4"/>
    <w:rsid w:val="005E4415"/>
    <w:rsid w:val="005E4C63"/>
    <w:rsid w:val="005E5BCB"/>
    <w:rsid w:val="005E64AA"/>
    <w:rsid w:val="005E68DA"/>
    <w:rsid w:val="005E7243"/>
    <w:rsid w:val="005E7CCB"/>
    <w:rsid w:val="005F01EA"/>
    <w:rsid w:val="005F03F6"/>
    <w:rsid w:val="005F0BDF"/>
    <w:rsid w:val="005F1043"/>
    <w:rsid w:val="005F1326"/>
    <w:rsid w:val="005F30A2"/>
    <w:rsid w:val="005F31DD"/>
    <w:rsid w:val="005F3349"/>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A8E"/>
    <w:rsid w:val="00606E39"/>
    <w:rsid w:val="00607A9E"/>
    <w:rsid w:val="00607ADD"/>
    <w:rsid w:val="00607C67"/>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2EF5"/>
    <w:rsid w:val="0062300E"/>
    <w:rsid w:val="00623483"/>
    <w:rsid w:val="00623655"/>
    <w:rsid w:val="00623B53"/>
    <w:rsid w:val="0062581E"/>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1EF8"/>
    <w:rsid w:val="00642730"/>
    <w:rsid w:val="00642833"/>
    <w:rsid w:val="00642B5B"/>
    <w:rsid w:val="00642C89"/>
    <w:rsid w:val="00642CC7"/>
    <w:rsid w:val="00642DAA"/>
    <w:rsid w:val="00643391"/>
    <w:rsid w:val="00643D81"/>
    <w:rsid w:val="0064553F"/>
    <w:rsid w:val="00645FC9"/>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15D8"/>
    <w:rsid w:val="00662661"/>
    <w:rsid w:val="00665195"/>
    <w:rsid w:val="0066575D"/>
    <w:rsid w:val="00665791"/>
    <w:rsid w:val="00665C2E"/>
    <w:rsid w:val="00665E11"/>
    <w:rsid w:val="006662D8"/>
    <w:rsid w:val="00666A23"/>
    <w:rsid w:val="00667B63"/>
    <w:rsid w:val="00667E26"/>
    <w:rsid w:val="00670515"/>
    <w:rsid w:val="00670A76"/>
    <w:rsid w:val="00670B9F"/>
    <w:rsid w:val="00670E1C"/>
    <w:rsid w:val="00672775"/>
    <w:rsid w:val="0067305E"/>
    <w:rsid w:val="006739F7"/>
    <w:rsid w:val="00673DA9"/>
    <w:rsid w:val="00674074"/>
    <w:rsid w:val="00674703"/>
    <w:rsid w:val="0067665D"/>
    <w:rsid w:val="00676836"/>
    <w:rsid w:val="00676F9A"/>
    <w:rsid w:val="00677385"/>
    <w:rsid w:val="006774F3"/>
    <w:rsid w:val="00677558"/>
    <w:rsid w:val="0068019C"/>
    <w:rsid w:val="0068081D"/>
    <w:rsid w:val="00681143"/>
    <w:rsid w:val="00681520"/>
    <w:rsid w:val="00682BC2"/>
    <w:rsid w:val="00683C94"/>
    <w:rsid w:val="00684943"/>
    <w:rsid w:val="00685640"/>
    <w:rsid w:val="00685794"/>
    <w:rsid w:val="00685878"/>
    <w:rsid w:val="00685C33"/>
    <w:rsid w:val="00686C30"/>
    <w:rsid w:val="00686CE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1C9F"/>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7F01"/>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3D9F"/>
    <w:rsid w:val="006E444E"/>
    <w:rsid w:val="006E58A4"/>
    <w:rsid w:val="006E6256"/>
    <w:rsid w:val="006E69F3"/>
    <w:rsid w:val="006E6A6F"/>
    <w:rsid w:val="006E6C4A"/>
    <w:rsid w:val="006E7344"/>
    <w:rsid w:val="006E74DA"/>
    <w:rsid w:val="006E7B71"/>
    <w:rsid w:val="006E7EE1"/>
    <w:rsid w:val="006F0A84"/>
    <w:rsid w:val="006F1312"/>
    <w:rsid w:val="006F1776"/>
    <w:rsid w:val="006F1C8B"/>
    <w:rsid w:val="006F1F52"/>
    <w:rsid w:val="006F21D8"/>
    <w:rsid w:val="006F2DB5"/>
    <w:rsid w:val="006F2E92"/>
    <w:rsid w:val="006F35F0"/>
    <w:rsid w:val="006F3CBF"/>
    <w:rsid w:val="006F46AE"/>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07FCE"/>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85E"/>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142"/>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61C"/>
    <w:rsid w:val="00743742"/>
    <w:rsid w:val="00743D60"/>
    <w:rsid w:val="00743F9E"/>
    <w:rsid w:val="00744732"/>
    <w:rsid w:val="0074529F"/>
    <w:rsid w:val="0074546A"/>
    <w:rsid w:val="00745BA5"/>
    <w:rsid w:val="00745D47"/>
    <w:rsid w:val="00745D7C"/>
    <w:rsid w:val="007468E1"/>
    <w:rsid w:val="007476AD"/>
    <w:rsid w:val="007502DA"/>
    <w:rsid w:val="0075091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819"/>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749D"/>
    <w:rsid w:val="007774BB"/>
    <w:rsid w:val="00777D35"/>
    <w:rsid w:val="00777F5D"/>
    <w:rsid w:val="0078002B"/>
    <w:rsid w:val="0078071F"/>
    <w:rsid w:val="00780DDC"/>
    <w:rsid w:val="00781C4A"/>
    <w:rsid w:val="00781DEE"/>
    <w:rsid w:val="00781DFE"/>
    <w:rsid w:val="00781F9D"/>
    <w:rsid w:val="007824D1"/>
    <w:rsid w:val="00782978"/>
    <w:rsid w:val="00783153"/>
    <w:rsid w:val="007839D0"/>
    <w:rsid w:val="007849BD"/>
    <w:rsid w:val="00784CA4"/>
    <w:rsid w:val="00784CBD"/>
    <w:rsid w:val="00785608"/>
    <w:rsid w:val="007867C7"/>
    <w:rsid w:val="00786F6E"/>
    <w:rsid w:val="00787FC9"/>
    <w:rsid w:val="00790FE4"/>
    <w:rsid w:val="00792803"/>
    <w:rsid w:val="00792D72"/>
    <w:rsid w:val="0079332F"/>
    <w:rsid w:val="00793669"/>
    <w:rsid w:val="007936A0"/>
    <w:rsid w:val="0079391E"/>
    <w:rsid w:val="007944F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854"/>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1F1D"/>
    <w:rsid w:val="00812E49"/>
    <w:rsid w:val="00812FCC"/>
    <w:rsid w:val="00813F4B"/>
    <w:rsid w:val="00815693"/>
    <w:rsid w:val="00815A2C"/>
    <w:rsid w:val="00815B1F"/>
    <w:rsid w:val="008164D3"/>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3BA"/>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B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3FC4"/>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5D33"/>
    <w:rsid w:val="0088608D"/>
    <w:rsid w:val="00886384"/>
    <w:rsid w:val="0088641E"/>
    <w:rsid w:val="00886F8C"/>
    <w:rsid w:val="00887DBF"/>
    <w:rsid w:val="0089129A"/>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48B2"/>
    <w:rsid w:val="008B5054"/>
    <w:rsid w:val="008B5AC8"/>
    <w:rsid w:val="008B5AE9"/>
    <w:rsid w:val="008B6AEB"/>
    <w:rsid w:val="008B7265"/>
    <w:rsid w:val="008B74F0"/>
    <w:rsid w:val="008B79FB"/>
    <w:rsid w:val="008B7FAE"/>
    <w:rsid w:val="008C0BB3"/>
    <w:rsid w:val="008C0F69"/>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6E6"/>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074F"/>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1B9"/>
    <w:rsid w:val="00906221"/>
    <w:rsid w:val="00906793"/>
    <w:rsid w:val="00906922"/>
    <w:rsid w:val="00907043"/>
    <w:rsid w:val="0090760B"/>
    <w:rsid w:val="0090795C"/>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6BA"/>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99A"/>
    <w:rsid w:val="00935B0E"/>
    <w:rsid w:val="0093668E"/>
    <w:rsid w:val="009366E7"/>
    <w:rsid w:val="00936D8A"/>
    <w:rsid w:val="00937334"/>
    <w:rsid w:val="0093774B"/>
    <w:rsid w:val="00937954"/>
    <w:rsid w:val="00940192"/>
    <w:rsid w:val="009407D6"/>
    <w:rsid w:val="00940A6A"/>
    <w:rsid w:val="0094179E"/>
    <w:rsid w:val="00941CEC"/>
    <w:rsid w:val="00942057"/>
    <w:rsid w:val="009420D1"/>
    <w:rsid w:val="00942182"/>
    <w:rsid w:val="00942C4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CEB"/>
    <w:rsid w:val="00967E48"/>
    <w:rsid w:val="00967E64"/>
    <w:rsid w:val="009705AB"/>
    <w:rsid w:val="00970CAB"/>
    <w:rsid w:val="00971117"/>
    <w:rsid w:val="00971F6D"/>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2D5"/>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0C1F"/>
    <w:rsid w:val="009C16AA"/>
    <w:rsid w:val="009C16AE"/>
    <w:rsid w:val="009C172D"/>
    <w:rsid w:val="009C17EC"/>
    <w:rsid w:val="009C199D"/>
    <w:rsid w:val="009C1D4F"/>
    <w:rsid w:val="009C1F0B"/>
    <w:rsid w:val="009C24B2"/>
    <w:rsid w:val="009C31F9"/>
    <w:rsid w:val="009C39FB"/>
    <w:rsid w:val="009C3A1D"/>
    <w:rsid w:val="009C3AA2"/>
    <w:rsid w:val="009C44C7"/>
    <w:rsid w:val="009C458F"/>
    <w:rsid w:val="009C5C21"/>
    <w:rsid w:val="009C6375"/>
    <w:rsid w:val="009C6628"/>
    <w:rsid w:val="009C7452"/>
    <w:rsid w:val="009C77D7"/>
    <w:rsid w:val="009C7BF4"/>
    <w:rsid w:val="009C7F92"/>
    <w:rsid w:val="009D0E13"/>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9A"/>
    <w:rsid w:val="009F16AC"/>
    <w:rsid w:val="009F250A"/>
    <w:rsid w:val="009F2D9C"/>
    <w:rsid w:val="009F3A7B"/>
    <w:rsid w:val="009F3F1D"/>
    <w:rsid w:val="009F4DF9"/>
    <w:rsid w:val="009F589F"/>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960"/>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44E88"/>
    <w:rsid w:val="00A500A0"/>
    <w:rsid w:val="00A50657"/>
    <w:rsid w:val="00A5148E"/>
    <w:rsid w:val="00A51A61"/>
    <w:rsid w:val="00A51DFF"/>
    <w:rsid w:val="00A5201D"/>
    <w:rsid w:val="00A5315D"/>
    <w:rsid w:val="00A53181"/>
    <w:rsid w:val="00A531C3"/>
    <w:rsid w:val="00A53B94"/>
    <w:rsid w:val="00A53BFF"/>
    <w:rsid w:val="00A53C3D"/>
    <w:rsid w:val="00A53E77"/>
    <w:rsid w:val="00A540C6"/>
    <w:rsid w:val="00A54CF5"/>
    <w:rsid w:val="00A551B1"/>
    <w:rsid w:val="00A56101"/>
    <w:rsid w:val="00A5717D"/>
    <w:rsid w:val="00A57523"/>
    <w:rsid w:val="00A61221"/>
    <w:rsid w:val="00A613DE"/>
    <w:rsid w:val="00A61585"/>
    <w:rsid w:val="00A61699"/>
    <w:rsid w:val="00A61C62"/>
    <w:rsid w:val="00A620B1"/>
    <w:rsid w:val="00A62A35"/>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5E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3938"/>
    <w:rsid w:val="00AB4AEF"/>
    <w:rsid w:val="00AB5504"/>
    <w:rsid w:val="00AB57F6"/>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05B"/>
    <w:rsid w:val="00AC7407"/>
    <w:rsid w:val="00AC7C2E"/>
    <w:rsid w:val="00AC7E00"/>
    <w:rsid w:val="00AD1BB5"/>
    <w:rsid w:val="00AD1C44"/>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19E"/>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66DE"/>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05"/>
    <w:rsid w:val="00B322A4"/>
    <w:rsid w:val="00B330B1"/>
    <w:rsid w:val="00B332C7"/>
    <w:rsid w:val="00B334F5"/>
    <w:rsid w:val="00B33D13"/>
    <w:rsid w:val="00B33E0D"/>
    <w:rsid w:val="00B34319"/>
    <w:rsid w:val="00B34E38"/>
    <w:rsid w:val="00B35CCE"/>
    <w:rsid w:val="00B35D33"/>
    <w:rsid w:val="00B35F67"/>
    <w:rsid w:val="00B36222"/>
    <w:rsid w:val="00B36B3A"/>
    <w:rsid w:val="00B36BF7"/>
    <w:rsid w:val="00B37786"/>
    <w:rsid w:val="00B37FB4"/>
    <w:rsid w:val="00B40111"/>
    <w:rsid w:val="00B40149"/>
    <w:rsid w:val="00B407F1"/>
    <w:rsid w:val="00B409DA"/>
    <w:rsid w:val="00B40E28"/>
    <w:rsid w:val="00B4147F"/>
    <w:rsid w:val="00B41991"/>
    <w:rsid w:val="00B41B37"/>
    <w:rsid w:val="00B41FA8"/>
    <w:rsid w:val="00B424FB"/>
    <w:rsid w:val="00B44D31"/>
    <w:rsid w:val="00B44D9E"/>
    <w:rsid w:val="00B455BD"/>
    <w:rsid w:val="00B45F5C"/>
    <w:rsid w:val="00B46C4B"/>
    <w:rsid w:val="00B5015E"/>
    <w:rsid w:val="00B5017A"/>
    <w:rsid w:val="00B504C5"/>
    <w:rsid w:val="00B509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4A4"/>
    <w:rsid w:val="00BA377F"/>
    <w:rsid w:val="00BA37DF"/>
    <w:rsid w:val="00BA3D86"/>
    <w:rsid w:val="00BA4069"/>
    <w:rsid w:val="00BA5CE4"/>
    <w:rsid w:val="00BA5FC1"/>
    <w:rsid w:val="00BA67D8"/>
    <w:rsid w:val="00BA6E00"/>
    <w:rsid w:val="00BA79A0"/>
    <w:rsid w:val="00BB0006"/>
    <w:rsid w:val="00BB0222"/>
    <w:rsid w:val="00BB04D1"/>
    <w:rsid w:val="00BB0627"/>
    <w:rsid w:val="00BB0FAD"/>
    <w:rsid w:val="00BB1447"/>
    <w:rsid w:val="00BB1A5D"/>
    <w:rsid w:val="00BB2279"/>
    <w:rsid w:val="00BB28E7"/>
    <w:rsid w:val="00BB3183"/>
    <w:rsid w:val="00BB3587"/>
    <w:rsid w:val="00BB387E"/>
    <w:rsid w:val="00BB396F"/>
    <w:rsid w:val="00BB3991"/>
    <w:rsid w:val="00BB3C7F"/>
    <w:rsid w:val="00BB4265"/>
    <w:rsid w:val="00BB5BB8"/>
    <w:rsid w:val="00BB6406"/>
    <w:rsid w:val="00BB677A"/>
    <w:rsid w:val="00BB695E"/>
    <w:rsid w:val="00BB79B5"/>
    <w:rsid w:val="00BB7B42"/>
    <w:rsid w:val="00BC069F"/>
    <w:rsid w:val="00BC077A"/>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C7EB6"/>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259"/>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5C84"/>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0D22"/>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0F8"/>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5E16"/>
    <w:rsid w:val="00C8642E"/>
    <w:rsid w:val="00C876F8"/>
    <w:rsid w:val="00C9022E"/>
    <w:rsid w:val="00C90F90"/>
    <w:rsid w:val="00C9145D"/>
    <w:rsid w:val="00C91540"/>
    <w:rsid w:val="00C92701"/>
    <w:rsid w:val="00C92C33"/>
    <w:rsid w:val="00C9327D"/>
    <w:rsid w:val="00C93414"/>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6E5E"/>
    <w:rsid w:val="00CB7A12"/>
    <w:rsid w:val="00CB7BDC"/>
    <w:rsid w:val="00CC00D8"/>
    <w:rsid w:val="00CC049C"/>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5823"/>
    <w:rsid w:val="00CD6177"/>
    <w:rsid w:val="00CD6540"/>
    <w:rsid w:val="00CD72B6"/>
    <w:rsid w:val="00CD77B8"/>
    <w:rsid w:val="00CE0B68"/>
    <w:rsid w:val="00CE0BD4"/>
    <w:rsid w:val="00CE0CCB"/>
    <w:rsid w:val="00CE0F37"/>
    <w:rsid w:val="00CE139F"/>
    <w:rsid w:val="00CE19FD"/>
    <w:rsid w:val="00CE1C38"/>
    <w:rsid w:val="00CE2AC7"/>
    <w:rsid w:val="00CE2ED3"/>
    <w:rsid w:val="00CE36EB"/>
    <w:rsid w:val="00CE38B6"/>
    <w:rsid w:val="00CE394A"/>
    <w:rsid w:val="00CE40E3"/>
    <w:rsid w:val="00CE450F"/>
    <w:rsid w:val="00CE4672"/>
    <w:rsid w:val="00CE5C18"/>
    <w:rsid w:val="00CE6764"/>
    <w:rsid w:val="00CE686B"/>
    <w:rsid w:val="00CE6E16"/>
    <w:rsid w:val="00CE6E37"/>
    <w:rsid w:val="00CE7AA9"/>
    <w:rsid w:val="00CE7DAE"/>
    <w:rsid w:val="00CF03C3"/>
    <w:rsid w:val="00CF09AD"/>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07E0A"/>
    <w:rsid w:val="00D10691"/>
    <w:rsid w:val="00D1078E"/>
    <w:rsid w:val="00D10FBF"/>
    <w:rsid w:val="00D11B5E"/>
    <w:rsid w:val="00D12480"/>
    <w:rsid w:val="00D1274C"/>
    <w:rsid w:val="00D12C08"/>
    <w:rsid w:val="00D12D4C"/>
    <w:rsid w:val="00D158F8"/>
    <w:rsid w:val="00D15B74"/>
    <w:rsid w:val="00D161C0"/>
    <w:rsid w:val="00D169E2"/>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9D6"/>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4CF8"/>
    <w:rsid w:val="00D45079"/>
    <w:rsid w:val="00D45602"/>
    <w:rsid w:val="00D47072"/>
    <w:rsid w:val="00D47D37"/>
    <w:rsid w:val="00D47FCA"/>
    <w:rsid w:val="00D51634"/>
    <w:rsid w:val="00D521BD"/>
    <w:rsid w:val="00D53404"/>
    <w:rsid w:val="00D534CB"/>
    <w:rsid w:val="00D535F1"/>
    <w:rsid w:val="00D53802"/>
    <w:rsid w:val="00D53A67"/>
    <w:rsid w:val="00D54052"/>
    <w:rsid w:val="00D546EF"/>
    <w:rsid w:val="00D5473A"/>
    <w:rsid w:val="00D548D9"/>
    <w:rsid w:val="00D54C43"/>
    <w:rsid w:val="00D54EFF"/>
    <w:rsid w:val="00D55614"/>
    <w:rsid w:val="00D55AA6"/>
    <w:rsid w:val="00D56FEB"/>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391"/>
    <w:rsid w:val="00D909F1"/>
    <w:rsid w:val="00D90AD5"/>
    <w:rsid w:val="00D911E6"/>
    <w:rsid w:val="00D91989"/>
    <w:rsid w:val="00D92660"/>
    <w:rsid w:val="00D92B72"/>
    <w:rsid w:val="00D93187"/>
    <w:rsid w:val="00D937FE"/>
    <w:rsid w:val="00D944C1"/>
    <w:rsid w:val="00D94B05"/>
    <w:rsid w:val="00D959B6"/>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247"/>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66F1"/>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65A"/>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29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3203"/>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24C"/>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58A"/>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5AA"/>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AB8"/>
    <w:rsid w:val="00F00D3C"/>
    <w:rsid w:val="00F01528"/>
    <w:rsid w:val="00F02C3D"/>
    <w:rsid w:val="00F03AFE"/>
    <w:rsid w:val="00F04546"/>
    <w:rsid w:val="00F0486D"/>
    <w:rsid w:val="00F05D84"/>
    <w:rsid w:val="00F06FCF"/>
    <w:rsid w:val="00F0738C"/>
    <w:rsid w:val="00F10051"/>
    <w:rsid w:val="00F10976"/>
    <w:rsid w:val="00F11E24"/>
    <w:rsid w:val="00F1213C"/>
    <w:rsid w:val="00F12D8C"/>
    <w:rsid w:val="00F130AF"/>
    <w:rsid w:val="00F134D2"/>
    <w:rsid w:val="00F13507"/>
    <w:rsid w:val="00F13615"/>
    <w:rsid w:val="00F140A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64A1"/>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77C"/>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1A8"/>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A40"/>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5:docId w15:val="{45B15F05-5BB9-4A9F-8DC1-1DD22D6A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uiPriority w:val="99"/>
    <w:rsid w:val="008609A8"/>
    <w:rPr>
      <w:sz w:val="20"/>
      <w:szCs w:val="20"/>
    </w:rPr>
  </w:style>
  <w:style w:type="character" w:customStyle="1" w:styleId="CommentTextChar">
    <w:name w:val="Comment Text Char"/>
    <w:basedOn w:val="DefaultParagraphFont"/>
    <w:link w:val="CommentText"/>
    <w:uiPriority w:val="99"/>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CS-Paragraphnumbering">
    <w:name w:val="CS - Paragraph numbering"/>
    <w:basedOn w:val="Normal"/>
    <w:rsid w:val="00585405"/>
    <w:pPr>
      <w:numPr>
        <w:numId w:val="6"/>
      </w:numPr>
      <w:spacing w:after="120"/>
      <w:ind w:right="-45"/>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4674</Words>
  <Characters>24279</Characters>
  <Application>Microsoft Office Word</Application>
  <DocSecurity>0</DocSecurity>
  <Lines>578</Lines>
  <Paragraphs>180</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7</cp:revision>
  <cp:lastPrinted>2019-05-13T07:51:00Z</cp:lastPrinted>
  <dcterms:created xsi:type="dcterms:W3CDTF">2023-06-26T22:50:00Z</dcterms:created>
  <dcterms:modified xsi:type="dcterms:W3CDTF">2023-06-26T23:25:00Z</dcterms:modified>
</cp:coreProperties>
</file>