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94E2" w14:textId="77777777" w:rsidR="00C425D7" w:rsidRDefault="00C425D7" w:rsidP="00D171C0">
      <w:pPr>
        <w:pStyle w:val="Header"/>
        <w:outlineLvl w:val="0"/>
        <w:rPr>
          <w:rFonts w:ascii="Arial" w:hAnsi="Arial" w:cs="Arial"/>
        </w:rPr>
      </w:pPr>
      <w:bookmarkStart w:id="0" w:name="Citation"/>
      <w:smartTag w:uri="urn:schemas-microsoft-com:office:smarttags" w:element="City">
        <w:smartTag w:uri="urn:schemas-microsoft-com:office:smarttags" w:element="State">
          <w:smartTag w:uri="urn:schemas-microsoft-com:office:smarttags" w:element="place">
            <w:r>
              <w:rPr>
                <w:rFonts w:ascii="Arial" w:hAnsi="Arial" w:cs="Arial"/>
              </w:rPr>
              <w:t>Australian Capital Territory</w:t>
            </w:r>
          </w:smartTag>
        </w:smartTag>
      </w:smartTag>
    </w:p>
    <w:p w14:paraId="520254E7" w14:textId="2ED98970" w:rsidR="00C425D7" w:rsidRDefault="00C425D7" w:rsidP="00C425D7">
      <w:pPr>
        <w:pStyle w:val="BodyText2"/>
        <w:rPr>
          <w:sz w:val="32"/>
          <w:szCs w:val="32"/>
        </w:rPr>
      </w:pPr>
      <w:r>
        <w:t>Cemeteries and Crematoria (Fees) Determination 2</w:t>
      </w:r>
      <w:r w:rsidR="00925F00">
        <w:t>02</w:t>
      </w:r>
      <w:r w:rsidR="009F3FDE">
        <w:t>3</w:t>
      </w:r>
      <w:r w:rsidR="00925F00">
        <w:t xml:space="preserve"> </w:t>
      </w:r>
      <w:r>
        <w:t>(No 1)</w:t>
      </w:r>
    </w:p>
    <w:bookmarkEnd w:id="0"/>
    <w:p w14:paraId="3E80019A" w14:textId="6871168D" w:rsidR="00C425D7" w:rsidRPr="008B0F0C" w:rsidRDefault="00A23FA9" w:rsidP="00D171C0">
      <w:pPr>
        <w:spacing w:before="1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Disallowable Instrument DI</w:t>
      </w:r>
      <w:r w:rsidR="00650354">
        <w:rPr>
          <w:rFonts w:ascii="Arial" w:hAnsi="Arial" w:cs="Arial"/>
          <w:b/>
        </w:rPr>
        <w:t>20</w:t>
      </w:r>
      <w:r w:rsidR="00925F00">
        <w:rPr>
          <w:rFonts w:ascii="Arial" w:hAnsi="Arial" w:cs="Arial"/>
          <w:b/>
        </w:rPr>
        <w:t>2</w:t>
      </w:r>
      <w:r w:rsidR="009F3FDE">
        <w:rPr>
          <w:rFonts w:ascii="Arial" w:hAnsi="Arial" w:cs="Arial"/>
          <w:b/>
        </w:rPr>
        <w:t>3</w:t>
      </w:r>
      <w:r w:rsidR="0085623B">
        <w:rPr>
          <w:rFonts w:ascii="Arial" w:hAnsi="Arial" w:cs="Arial"/>
          <w:b/>
        </w:rPr>
        <w:t>-</w:t>
      </w:r>
      <w:r w:rsidR="00D079FE">
        <w:rPr>
          <w:rFonts w:ascii="Arial" w:hAnsi="Arial" w:cs="Arial"/>
          <w:b/>
        </w:rPr>
        <w:t>158</w:t>
      </w:r>
    </w:p>
    <w:p w14:paraId="4FCA490F" w14:textId="77777777" w:rsidR="00C425D7" w:rsidRPr="008B0F0C" w:rsidRDefault="00C425D7" w:rsidP="00C425D7">
      <w:pPr>
        <w:spacing w:before="180"/>
      </w:pPr>
      <w:r w:rsidRPr="008B0F0C">
        <w:t>made under the</w:t>
      </w:r>
    </w:p>
    <w:p w14:paraId="1E61B5AB" w14:textId="10C08906" w:rsidR="00C425D7" w:rsidRPr="008B0F0C" w:rsidRDefault="00C425D7" w:rsidP="00D171C0">
      <w:pPr>
        <w:spacing w:before="180"/>
        <w:outlineLvl w:val="0"/>
        <w:rPr>
          <w:rFonts w:ascii="Arial" w:hAnsi="Arial" w:cs="Arial"/>
          <w:b/>
          <w:sz w:val="20"/>
          <w:szCs w:val="20"/>
        </w:rPr>
      </w:pPr>
      <w:r w:rsidRPr="00ED3F40">
        <w:rPr>
          <w:rFonts w:ascii="Arial" w:hAnsi="Arial" w:cs="Arial"/>
          <w:b/>
          <w:iCs/>
          <w:sz w:val="20"/>
          <w:szCs w:val="20"/>
        </w:rPr>
        <w:t>Cemeteries and Crematoria Act 20</w:t>
      </w:r>
      <w:r w:rsidR="00ED3F40" w:rsidRPr="00ED3F40">
        <w:rPr>
          <w:rFonts w:ascii="Arial" w:hAnsi="Arial" w:cs="Arial"/>
          <w:b/>
          <w:iCs/>
          <w:sz w:val="20"/>
          <w:szCs w:val="20"/>
        </w:rPr>
        <w:t>20</w:t>
      </w:r>
      <w:r w:rsidRPr="008B0F0C">
        <w:rPr>
          <w:rFonts w:ascii="Arial" w:hAnsi="Arial" w:cs="Arial"/>
          <w:b/>
          <w:sz w:val="20"/>
          <w:szCs w:val="20"/>
        </w:rPr>
        <w:t xml:space="preserve">, </w:t>
      </w:r>
      <w:r w:rsidR="00ED3F40">
        <w:rPr>
          <w:rFonts w:ascii="Arial" w:hAnsi="Arial" w:cs="Arial"/>
          <w:b/>
          <w:sz w:val="20"/>
          <w:szCs w:val="20"/>
        </w:rPr>
        <w:t>s</w:t>
      </w:r>
      <w:r w:rsidRPr="008B0F0C">
        <w:rPr>
          <w:rFonts w:ascii="Arial" w:hAnsi="Arial" w:cs="Arial"/>
          <w:b/>
          <w:sz w:val="20"/>
          <w:szCs w:val="20"/>
        </w:rPr>
        <w:t xml:space="preserve"> </w:t>
      </w:r>
      <w:r w:rsidR="00ED3F40">
        <w:rPr>
          <w:rFonts w:ascii="Arial" w:hAnsi="Arial" w:cs="Arial"/>
          <w:b/>
          <w:sz w:val="20"/>
          <w:szCs w:val="20"/>
        </w:rPr>
        <w:t>128</w:t>
      </w:r>
      <w:r w:rsidRPr="008B0F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8B0F0C">
        <w:rPr>
          <w:rFonts w:ascii="Arial" w:hAnsi="Arial" w:cs="Arial"/>
          <w:b/>
          <w:sz w:val="20"/>
          <w:szCs w:val="20"/>
        </w:rPr>
        <w:t>Determination of fees</w:t>
      </w:r>
      <w:r>
        <w:rPr>
          <w:rFonts w:ascii="Arial" w:hAnsi="Arial" w:cs="Arial"/>
          <w:b/>
          <w:sz w:val="20"/>
          <w:szCs w:val="20"/>
        </w:rPr>
        <w:t>)</w:t>
      </w:r>
    </w:p>
    <w:p w14:paraId="25832635" w14:textId="77777777" w:rsidR="00F55A08" w:rsidRPr="00D079F3" w:rsidRDefault="00F55A08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335D84DD" w14:textId="77777777" w:rsidR="00F55A08" w:rsidRDefault="00F55A08" w:rsidP="00D171C0">
      <w:pPr>
        <w:pStyle w:val="Header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5BEE24F" w14:textId="77777777" w:rsidR="00F55A08" w:rsidRPr="00D079F3" w:rsidRDefault="00F55A0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4AE76252" w14:textId="77777777" w:rsidR="00F55A08" w:rsidRDefault="00F55A0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29B3CDAA" w14:textId="39BC0BDE" w:rsidR="00C425D7" w:rsidRDefault="00C425D7" w:rsidP="00C425D7">
      <w:r>
        <w:t xml:space="preserve">The </w:t>
      </w:r>
      <w:r>
        <w:rPr>
          <w:i/>
          <w:iCs/>
        </w:rPr>
        <w:t>Cemeteries and Crematoria Act 20</w:t>
      </w:r>
      <w:r w:rsidR="00925F00">
        <w:rPr>
          <w:i/>
          <w:iCs/>
        </w:rPr>
        <w:t>20</w:t>
      </w:r>
      <w:r>
        <w:t xml:space="preserve"> (the Act) regulates the operation of cemeteries and crematoria.  Section </w:t>
      </w:r>
      <w:r w:rsidR="00AD2075">
        <w:t>128</w:t>
      </w:r>
      <w:r>
        <w:t xml:space="preserve"> of the Act provides the Minister with the power to determine fees for the purposes of the Act.</w:t>
      </w:r>
    </w:p>
    <w:p w14:paraId="71E5BF7B" w14:textId="77777777" w:rsidR="00C425D7" w:rsidRDefault="00C425D7" w:rsidP="00C425D7"/>
    <w:p w14:paraId="15EFD1E4" w14:textId="7D0AFF94" w:rsidR="00C425D7" w:rsidRDefault="00C425D7" w:rsidP="00C425D7">
      <w:r>
        <w:t xml:space="preserve">Public cemeteries and crematoria are managed by the Cemeteries </w:t>
      </w:r>
      <w:r w:rsidR="00AD2075">
        <w:t xml:space="preserve">and Crematoria </w:t>
      </w:r>
      <w:r>
        <w:t>Authority (the Authority). The Authority is required to operate on a sound financial basis.</w:t>
      </w:r>
    </w:p>
    <w:p w14:paraId="2C53C337" w14:textId="77777777" w:rsidR="00C425D7" w:rsidRDefault="00C425D7" w:rsidP="00C425D7">
      <w:pPr>
        <w:pStyle w:val="LongTitle"/>
        <w:spacing w:before="0" w:after="0"/>
        <w:jc w:val="left"/>
        <w:rPr>
          <w:color w:val="000000"/>
        </w:rPr>
      </w:pPr>
    </w:p>
    <w:p w14:paraId="2474CEFA" w14:textId="2B496C2A" w:rsidR="00CE4526" w:rsidRDefault="00C425D7" w:rsidP="00CE4526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</w:t>
      </w:r>
      <w:r w:rsidR="00ED3F40">
        <w:rPr>
          <w:color w:val="000000"/>
        </w:rPr>
        <w:t>e</w:t>
      </w:r>
      <w:r>
        <w:rPr>
          <w:color w:val="000000"/>
        </w:rPr>
        <w:t xml:space="preserve"> determination revokes the </w:t>
      </w:r>
      <w:r w:rsidR="00605314" w:rsidRPr="00E57B19">
        <w:rPr>
          <w:i/>
          <w:iCs/>
          <w:color w:val="000000"/>
        </w:rPr>
        <w:t>Cemeteries and Crematoria (Fees) Determination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202</w:t>
      </w:r>
      <w:r w:rsidR="009F3FDE">
        <w:rPr>
          <w:i/>
          <w:iCs/>
          <w:color w:val="000000"/>
        </w:rPr>
        <w:t>2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(No</w:t>
      </w:r>
      <w:r w:rsidR="00605314">
        <w:rPr>
          <w:i/>
          <w:iCs/>
          <w:color w:val="000000"/>
        </w:rPr>
        <w:t> </w:t>
      </w:r>
      <w:r w:rsidR="00605314" w:rsidRPr="00E57B19">
        <w:rPr>
          <w:i/>
          <w:iCs/>
          <w:color w:val="000000"/>
        </w:rPr>
        <w:t>1)</w:t>
      </w:r>
      <w:r>
        <w:rPr>
          <w:color w:val="000000"/>
        </w:rPr>
        <w:t xml:space="preserve"> (</w:t>
      </w:r>
      <w:r w:rsidR="00E5036A">
        <w:t>DI20</w:t>
      </w:r>
      <w:r w:rsidR="00AD2075">
        <w:t>2</w:t>
      </w:r>
      <w:r w:rsidR="009F3FDE">
        <w:t>2</w:t>
      </w:r>
      <w:r w:rsidR="00E5036A">
        <w:t>-</w:t>
      </w:r>
      <w:r w:rsidR="009F3FDE">
        <w:t>171</w:t>
      </w:r>
      <w:r w:rsidR="003754AE">
        <w:t>)</w:t>
      </w:r>
      <w:r w:rsidR="00ED3F40">
        <w:rPr>
          <w:color w:val="000000"/>
        </w:rPr>
        <w:t>.</w:t>
      </w:r>
    </w:p>
    <w:p w14:paraId="20706A04" w14:textId="17BD3385" w:rsidR="00704D0D" w:rsidRDefault="00704D0D" w:rsidP="00CE4526">
      <w:pPr>
        <w:pStyle w:val="LongTitle"/>
        <w:spacing w:before="0" w:after="0"/>
        <w:jc w:val="left"/>
        <w:rPr>
          <w:color w:val="000000"/>
        </w:rPr>
      </w:pPr>
    </w:p>
    <w:p w14:paraId="2EC9D498" w14:textId="37742D71" w:rsidR="006940D0" w:rsidRDefault="00704D0D" w:rsidP="006940D0">
      <w:pPr>
        <w:pStyle w:val="LongTitle"/>
        <w:spacing w:before="0" w:after="0"/>
        <w:jc w:val="left"/>
      </w:pPr>
      <w:r w:rsidRPr="006940D0">
        <w:rPr>
          <w:color w:val="000000"/>
        </w:rPr>
        <w:t xml:space="preserve">This determination increases fees by approximately </w:t>
      </w:r>
      <w:r w:rsidR="009F3FDE">
        <w:rPr>
          <w:color w:val="000000"/>
        </w:rPr>
        <w:t>3.75</w:t>
      </w:r>
      <w:r w:rsidR="00E559C2">
        <w:rPr>
          <w:color w:val="000000"/>
        </w:rPr>
        <w:t>%</w:t>
      </w:r>
      <w:r w:rsidRPr="006940D0">
        <w:rPr>
          <w:color w:val="000000"/>
        </w:rPr>
        <w:t xml:space="preserve"> for the majority of </w:t>
      </w:r>
      <w:r w:rsidR="006940D0" w:rsidRPr="006940D0">
        <w:rPr>
          <w:color w:val="000000"/>
        </w:rPr>
        <w:t xml:space="preserve">burial </w:t>
      </w:r>
      <w:r w:rsidRPr="006940D0">
        <w:rPr>
          <w:color w:val="000000"/>
        </w:rPr>
        <w:t>services provided</w:t>
      </w:r>
      <w:r w:rsidR="00323979">
        <w:rPr>
          <w:color w:val="000000"/>
        </w:rPr>
        <w:t xml:space="preserve"> for Wage Price Index (WPI)</w:t>
      </w:r>
      <w:r w:rsidR="006940D0" w:rsidRPr="006940D0">
        <w:rPr>
          <w:color w:val="000000"/>
        </w:rPr>
        <w:t>.</w:t>
      </w:r>
    </w:p>
    <w:p w14:paraId="176AFAFE" w14:textId="7E2B94EC" w:rsidR="009E7C63" w:rsidRDefault="009E7C63" w:rsidP="006940D0">
      <w:pPr>
        <w:pStyle w:val="LongTitle"/>
        <w:spacing w:before="0" w:after="0"/>
        <w:jc w:val="left"/>
      </w:pPr>
    </w:p>
    <w:p w14:paraId="68FD19D8" w14:textId="752D11B8" w:rsidR="009E7C63" w:rsidRDefault="009E7C63" w:rsidP="006940D0">
      <w:pPr>
        <w:pStyle w:val="LongTitle"/>
        <w:spacing w:before="0" w:after="0"/>
        <w:jc w:val="left"/>
        <w:rPr>
          <w:color w:val="000000"/>
        </w:rPr>
      </w:pPr>
      <w:r>
        <w:t>In previous years, the Authority has permitted the purchase of memorial plaques as part of the overall cost of a burial or ashes interment allotment. Due to the length of time between the purchase of an allotment and the interment, in some cases more than a decade, it is no longer practicable to include the payment of a plaque fee in advance of the actual ordering of the plaque. An increase in the proportion of plaques that were pre-paid, where the price paid at the time of purchase no longer covers the actual production cost of the plaque many years later, resulting in a negative financial outcome.</w:t>
      </w:r>
      <w:r w:rsidR="00AE6AE4">
        <w:t xml:space="preserve"> Plaque fees will increase by approximately 8.75% to cover 3.75% WPI and a 5% increase in plaque supplier production costs.</w:t>
      </w:r>
    </w:p>
    <w:p w14:paraId="5D57A20D" w14:textId="05F0ACDC" w:rsidR="008B7371" w:rsidRDefault="008B7371" w:rsidP="006940D0">
      <w:pPr>
        <w:pStyle w:val="LongTitle"/>
        <w:spacing w:before="0" w:after="0"/>
        <w:jc w:val="left"/>
        <w:rPr>
          <w:color w:val="000000"/>
        </w:rPr>
      </w:pPr>
    </w:p>
    <w:p w14:paraId="7D24291E" w14:textId="15724617" w:rsidR="008B7371" w:rsidRDefault="008B7371" w:rsidP="006940D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Fees have been developed for the </w:t>
      </w:r>
      <w:r w:rsidR="00323979">
        <w:rPr>
          <w:color w:val="000000"/>
        </w:rPr>
        <w:t xml:space="preserve">Gungahlin Cemetery Ashes Memorialisation Garden </w:t>
      </w:r>
      <w:r>
        <w:rPr>
          <w:color w:val="000000"/>
        </w:rPr>
        <w:t xml:space="preserve">(a new ashes garden opening in </w:t>
      </w:r>
      <w:r w:rsidR="00323979">
        <w:rPr>
          <w:color w:val="000000"/>
        </w:rPr>
        <w:t>May 2024</w:t>
      </w:r>
      <w:r>
        <w:rPr>
          <w:color w:val="000000"/>
        </w:rPr>
        <w:t>)</w:t>
      </w:r>
      <w:r w:rsidR="00F32332">
        <w:rPr>
          <w:color w:val="000000"/>
        </w:rPr>
        <w:t>, and for the interment of ashes into crypts at the Woden Mausoleum.</w:t>
      </w:r>
    </w:p>
    <w:p w14:paraId="26020BA3" w14:textId="2C90D08F" w:rsidR="00082FDF" w:rsidRDefault="0033558F" w:rsidP="00872C50">
      <w:pPr>
        <w:pStyle w:val="LongTitle"/>
      </w:pPr>
      <w:r>
        <w:t xml:space="preserve">Fees for </w:t>
      </w:r>
      <w:r w:rsidR="0085623B">
        <w:t xml:space="preserve">cremation services </w:t>
      </w:r>
      <w:r>
        <w:t>will increase</w:t>
      </w:r>
      <w:r w:rsidR="0085623B">
        <w:t xml:space="preserve"> by approximately </w:t>
      </w:r>
      <w:r w:rsidR="00323979">
        <w:t>3.75</w:t>
      </w:r>
      <w:r w:rsidR="0085623B">
        <w:t>%</w:t>
      </w:r>
      <w:r w:rsidR="00CC22E7">
        <w:t>.</w:t>
      </w:r>
      <w:r w:rsidR="009E7C63">
        <w:t xml:space="preserve"> A</w:t>
      </w:r>
      <w:r w:rsidR="00F32332">
        <w:t xml:space="preserve"> </w:t>
      </w:r>
      <w:r w:rsidR="009E7C63">
        <w:t xml:space="preserve">discount in cremation fees is now offered to funeral directors who meet the requirements of early delivery on weekdays and </w:t>
      </w:r>
      <w:r w:rsidR="00F32332">
        <w:t xml:space="preserve">for </w:t>
      </w:r>
      <w:r w:rsidR="009E7C63">
        <w:t xml:space="preserve">funeral directors who are based interstate. </w:t>
      </w:r>
    </w:p>
    <w:p w14:paraId="4A9DC3A2" w14:textId="6A8E5671" w:rsidR="00F32332" w:rsidRDefault="00F32332" w:rsidP="00872C50">
      <w:pPr>
        <w:pStyle w:val="LongTitle"/>
      </w:pPr>
      <w:r>
        <w:t>Fees have been developed for the use of streaming services for cremation services, and for the collection of ashes outside of regular business hours.</w:t>
      </w:r>
    </w:p>
    <w:p w14:paraId="6BF22BFC" w14:textId="55575130" w:rsidR="006940D0" w:rsidRDefault="009E7C63" w:rsidP="00872C50">
      <w:pPr>
        <w:pStyle w:val="LongTitle"/>
      </w:pPr>
      <w:r>
        <w:lastRenderedPageBreak/>
        <w:t>The Authority will continue</w:t>
      </w:r>
      <w:r w:rsidR="00082FDF">
        <w:t xml:space="preserve"> with the handling fees payment to funeral directors for cemetery services including cremations.</w:t>
      </w:r>
    </w:p>
    <w:p w14:paraId="31AA0252" w14:textId="77777777" w:rsidR="00335DA7" w:rsidRDefault="00335DA7" w:rsidP="006940D0">
      <w:pPr>
        <w:pStyle w:val="LongTitle"/>
        <w:spacing w:before="0" w:after="0"/>
        <w:jc w:val="left"/>
      </w:pPr>
    </w:p>
    <w:p w14:paraId="7FBD4E39" w14:textId="1778351C" w:rsidR="00A92F36" w:rsidRDefault="00A55A19" w:rsidP="006940D0">
      <w:pPr>
        <w:pStyle w:val="LongTitle"/>
        <w:spacing w:before="0" w:after="0"/>
        <w:jc w:val="left"/>
      </w:pPr>
      <w:r w:rsidRPr="006940D0">
        <w:t xml:space="preserve">All </w:t>
      </w:r>
      <w:r w:rsidR="007343D3" w:rsidRPr="006940D0">
        <w:t>fee</w:t>
      </w:r>
      <w:r w:rsidR="00E5036A" w:rsidRPr="006940D0">
        <w:t xml:space="preserve">s are </w:t>
      </w:r>
      <w:r w:rsidR="007343D3" w:rsidRPr="006940D0">
        <w:t>rounded for cash handling purposes</w:t>
      </w:r>
      <w:r w:rsidR="00CA2B81">
        <w:t>.</w:t>
      </w:r>
    </w:p>
    <w:p w14:paraId="1C6ECF87" w14:textId="5EB46AF7" w:rsidR="00E80025" w:rsidRDefault="00E80025">
      <w:pPr>
        <w:pStyle w:val="LongTitle"/>
        <w:spacing w:before="0" w:after="0"/>
        <w:jc w:val="left"/>
      </w:pPr>
    </w:p>
    <w:p w14:paraId="41366300" w14:textId="2A1493D3" w:rsidR="00050ABF" w:rsidRDefault="007343D3">
      <w:pPr>
        <w:pStyle w:val="LongTitle"/>
        <w:spacing w:before="0" w:after="0"/>
        <w:jc w:val="left"/>
      </w:pPr>
      <w:r>
        <w:t>The determina</w:t>
      </w:r>
      <w:r w:rsidR="009B2C68">
        <w:t>tion takes effect on</w:t>
      </w:r>
      <w:r w:rsidR="00F655E2">
        <w:t xml:space="preserve"> 1 </w:t>
      </w:r>
      <w:r w:rsidR="0085623B">
        <w:t>July</w:t>
      </w:r>
      <w:r w:rsidR="00F655E2">
        <w:t xml:space="preserve"> 202</w:t>
      </w:r>
      <w:r w:rsidR="00AE6AE4">
        <w:t>3</w:t>
      </w:r>
      <w:r w:rsidR="00CA2B81">
        <w:t>.</w:t>
      </w:r>
    </w:p>
    <w:sectPr w:rsidR="00050ABF" w:rsidSect="00375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7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0369" w14:textId="77777777" w:rsidR="00C961AC" w:rsidRDefault="00C961AC">
      <w:r>
        <w:separator/>
      </w:r>
    </w:p>
  </w:endnote>
  <w:endnote w:type="continuationSeparator" w:id="0">
    <w:p w14:paraId="43C23BA3" w14:textId="77777777" w:rsidR="00C961AC" w:rsidRDefault="00C9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F8FE" w14:textId="77777777" w:rsidR="008F4FC0" w:rsidRDefault="008F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9903" w14:textId="19C650ED" w:rsidR="00475234" w:rsidRPr="008F4FC0" w:rsidRDefault="008F4FC0" w:rsidP="008F4FC0">
    <w:pPr>
      <w:pStyle w:val="Footer"/>
      <w:jc w:val="center"/>
      <w:rPr>
        <w:rFonts w:ascii="Arial" w:hAnsi="Arial" w:cs="Arial"/>
        <w:sz w:val="14"/>
      </w:rPr>
    </w:pPr>
    <w:r w:rsidRPr="008F4FC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E1D" w14:textId="77777777" w:rsidR="008F4FC0" w:rsidRDefault="008F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3E00" w14:textId="77777777" w:rsidR="00C961AC" w:rsidRDefault="00C961AC">
      <w:r>
        <w:separator/>
      </w:r>
    </w:p>
  </w:footnote>
  <w:footnote w:type="continuationSeparator" w:id="0">
    <w:p w14:paraId="68862C63" w14:textId="77777777" w:rsidR="00C961AC" w:rsidRDefault="00C9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FD1C" w14:textId="77777777" w:rsidR="008F4FC0" w:rsidRDefault="008F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724F" w14:textId="77777777" w:rsidR="008F4FC0" w:rsidRDefault="008F4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2DB" w14:textId="77777777" w:rsidR="008F4FC0" w:rsidRDefault="008F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361706">
    <w:abstractNumId w:val="2"/>
  </w:num>
  <w:num w:numId="2" w16cid:durableId="1092819896">
    <w:abstractNumId w:val="0"/>
  </w:num>
  <w:num w:numId="3" w16cid:durableId="1820413631">
    <w:abstractNumId w:val="1"/>
  </w:num>
  <w:num w:numId="4" w16cid:durableId="174417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F6"/>
    <w:rsid w:val="00050ABF"/>
    <w:rsid w:val="000547D7"/>
    <w:rsid w:val="00082FDF"/>
    <w:rsid w:val="000854C7"/>
    <w:rsid w:val="000933A5"/>
    <w:rsid w:val="000A0DEC"/>
    <w:rsid w:val="000A21B0"/>
    <w:rsid w:val="000A3C99"/>
    <w:rsid w:val="000B7E94"/>
    <w:rsid w:val="000C0A61"/>
    <w:rsid w:val="000C5781"/>
    <w:rsid w:val="000F1AB4"/>
    <w:rsid w:val="001111B8"/>
    <w:rsid w:val="00121A2C"/>
    <w:rsid w:val="00127316"/>
    <w:rsid w:val="00157FD7"/>
    <w:rsid w:val="001673F0"/>
    <w:rsid w:val="00180B3A"/>
    <w:rsid w:val="00180F0C"/>
    <w:rsid w:val="00185359"/>
    <w:rsid w:val="001C0629"/>
    <w:rsid w:val="001C1C2C"/>
    <w:rsid w:val="001D22E8"/>
    <w:rsid w:val="001E7305"/>
    <w:rsid w:val="001F0FC4"/>
    <w:rsid w:val="00202D7C"/>
    <w:rsid w:val="00225455"/>
    <w:rsid w:val="00225B59"/>
    <w:rsid w:val="00247BBE"/>
    <w:rsid w:val="00262C07"/>
    <w:rsid w:val="00277E02"/>
    <w:rsid w:val="002835E1"/>
    <w:rsid w:val="002851DD"/>
    <w:rsid w:val="003073F9"/>
    <w:rsid w:val="00312E96"/>
    <w:rsid w:val="00314CED"/>
    <w:rsid w:val="00323979"/>
    <w:rsid w:val="0033558F"/>
    <w:rsid w:val="00335DA7"/>
    <w:rsid w:val="00365877"/>
    <w:rsid w:val="003754AE"/>
    <w:rsid w:val="003A1165"/>
    <w:rsid w:val="003C3E0C"/>
    <w:rsid w:val="003D03A1"/>
    <w:rsid w:val="003E2857"/>
    <w:rsid w:val="003E3490"/>
    <w:rsid w:val="003E63CE"/>
    <w:rsid w:val="0040223F"/>
    <w:rsid w:val="00411461"/>
    <w:rsid w:val="00414A92"/>
    <w:rsid w:val="00443480"/>
    <w:rsid w:val="00475234"/>
    <w:rsid w:val="00477F5B"/>
    <w:rsid w:val="00496674"/>
    <w:rsid w:val="004C2ECE"/>
    <w:rsid w:val="004E02C3"/>
    <w:rsid w:val="004F44E7"/>
    <w:rsid w:val="00505DC8"/>
    <w:rsid w:val="00515337"/>
    <w:rsid w:val="00532CC8"/>
    <w:rsid w:val="005444BD"/>
    <w:rsid w:val="00557A67"/>
    <w:rsid w:val="005B0C65"/>
    <w:rsid w:val="005C64F6"/>
    <w:rsid w:val="005E63F9"/>
    <w:rsid w:val="00605314"/>
    <w:rsid w:val="00607900"/>
    <w:rsid w:val="00624843"/>
    <w:rsid w:val="00650354"/>
    <w:rsid w:val="00653785"/>
    <w:rsid w:val="00681253"/>
    <w:rsid w:val="006940D0"/>
    <w:rsid w:val="006942DD"/>
    <w:rsid w:val="006C3328"/>
    <w:rsid w:val="007013D0"/>
    <w:rsid w:val="00703BDC"/>
    <w:rsid w:val="00704D0D"/>
    <w:rsid w:val="00710E7A"/>
    <w:rsid w:val="00723A78"/>
    <w:rsid w:val="007302E2"/>
    <w:rsid w:val="007343D3"/>
    <w:rsid w:val="00753CB1"/>
    <w:rsid w:val="00766675"/>
    <w:rsid w:val="007B3DD9"/>
    <w:rsid w:val="007C2830"/>
    <w:rsid w:val="007C33D5"/>
    <w:rsid w:val="007C67B9"/>
    <w:rsid w:val="007F730C"/>
    <w:rsid w:val="0080036A"/>
    <w:rsid w:val="0085623B"/>
    <w:rsid w:val="00865D60"/>
    <w:rsid w:val="008701C6"/>
    <w:rsid w:val="00872C50"/>
    <w:rsid w:val="008B0F0C"/>
    <w:rsid w:val="008B5763"/>
    <w:rsid w:val="008B7371"/>
    <w:rsid w:val="008C0604"/>
    <w:rsid w:val="008C2C22"/>
    <w:rsid w:val="008C524D"/>
    <w:rsid w:val="008D369D"/>
    <w:rsid w:val="008D5A53"/>
    <w:rsid w:val="008D77A0"/>
    <w:rsid w:val="008E1226"/>
    <w:rsid w:val="008F4FC0"/>
    <w:rsid w:val="00910221"/>
    <w:rsid w:val="00913AB4"/>
    <w:rsid w:val="009157CC"/>
    <w:rsid w:val="00925F00"/>
    <w:rsid w:val="00930F23"/>
    <w:rsid w:val="00943AD0"/>
    <w:rsid w:val="00953BB2"/>
    <w:rsid w:val="00953F5A"/>
    <w:rsid w:val="0096371A"/>
    <w:rsid w:val="009B2C68"/>
    <w:rsid w:val="009C0F3F"/>
    <w:rsid w:val="009D145C"/>
    <w:rsid w:val="009E4C09"/>
    <w:rsid w:val="009E7C63"/>
    <w:rsid w:val="009F04BF"/>
    <w:rsid w:val="009F3FDE"/>
    <w:rsid w:val="00A1068E"/>
    <w:rsid w:val="00A1118E"/>
    <w:rsid w:val="00A22547"/>
    <w:rsid w:val="00A23FA9"/>
    <w:rsid w:val="00A36D59"/>
    <w:rsid w:val="00A55A19"/>
    <w:rsid w:val="00A756CA"/>
    <w:rsid w:val="00A8344C"/>
    <w:rsid w:val="00A92F36"/>
    <w:rsid w:val="00AB5425"/>
    <w:rsid w:val="00AC7BFF"/>
    <w:rsid w:val="00AD2075"/>
    <w:rsid w:val="00AD5B7C"/>
    <w:rsid w:val="00AD785E"/>
    <w:rsid w:val="00AE6AE4"/>
    <w:rsid w:val="00AF40F9"/>
    <w:rsid w:val="00B00457"/>
    <w:rsid w:val="00B17ECA"/>
    <w:rsid w:val="00B2246B"/>
    <w:rsid w:val="00B528B3"/>
    <w:rsid w:val="00B563E4"/>
    <w:rsid w:val="00B76320"/>
    <w:rsid w:val="00B86CA8"/>
    <w:rsid w:val="00B93595"/>
    <w:rsid w:val="00BB620F"/>
    <w:rsid w:val="00BE29E0"/>
    <w:rsid w:val="00BE780B"/>
    <w:rsid w:val="00BF1B8F"/>
    <w:rsid w:val="00C425D7"/>
    <w:rsid w:val="00C43040"/>
    <w:rsid w:val="00C43C63"/>
    <w:rsid w:val="00C52476"/>
    <w:rsid w:val="00C528C9"/>
    <w:rsid w:val="00C55080"/>
    <w:rsid w:val="00C5540F"/>
    <w:rsid w:val="00C5777A"/>
    <w:rsid w:val="00C70C20"/>
    <w:rsid w:val="00C76045"/>
    <w:rsid w:val="00C82976"/>
    <w:rsid w:val="00C83E06"/>
    <w:rsid w:val="00C87950"/>
    <w:rsid w:val="00C961AC"/>
    <w:rsid w:val="00CA2B81"/>
    <w:rsid w:val="00CA3454"/>
    <w:rsid w:val="00CA36E1"/>
    <w:rsid w:val="00CC1FD8"/>
    <w:rsid w:val="00CC22E7"/>
    <w:rsid w:val="00CC2EEC"/>
    <w:rsid w:val="00CC416E"/>
    <w:rsid w:val="00CE4526"/>
    <w:rsid w:val="00D05F2B"/>
    <w:rsid w:val="00D079F3"/>
    <w:rsid w:val="00D079FE"/>
    <w:rsid w:val="00D171C0"/>
    <w:rsid w:val="00D21FD8"/>
    <w:rsid w:val="00D223E9"/>
    <w:rsid w:val="00D31097"/>
    <w:rsid w:val="00D918C1"/>
    <w:rsid w:val="00D91F1D"/>
    <w:rsid w:val="00DA23C7"/>
    <w:rsid w:val="00DB0604"/>
    <w:rsid w:val="00E12921"/>
    <w:rsid w:val="00E23576"/>
    <w:rsid w:val="00E32931"/>
    <w:rsid w:val="00E43A5A"/>
    <w:rsid w:val="00E5036A"/>
    <w:rsid w:val="00E559C2"/>
    <w:rsid w:val="00E57B19"/>
    <w:rsid w:val="00E7321E"/>
    <w:rsid w:val="00E80025"/>
    <w:rsid w:val="00E83CF0"/>
    <w:rsid w:val="00EA23DC"/>
    <w:rsid w:val="00EC36AD"/>
    <w:rsid w:val="00ED3F40"/>
    <w:rsid w:val="00F036F9"/>
    <w:rsid w:val="00F04D43"/>
    <w:rsid w:val="00F075FF"/>
    <w:rsid w:val="00F14EB2"/>
    <w:rsid w:val="00F24745"/>
    <w:rsid w:val="00F30248"/>
    <w:rsid w:val="00F32332"/>
    <w:rsid w:val="00F35373"/>
    <w:rsid w:val="00F36D46"/>
    <w:rsid w:val="00F42292"/>
    <w:rsid w:val="00F45CD8"/>
    <w:rsid w:val="00F55A08"/>
    <w:rsid w:val="00F574DD"/>
    <w:rsid w:val="00F612CC"/>
    <w:rsid w:val="00F655E2"/>
    <w:rsid w:val="00F678A3"/>
    <w:rsid w:val="00F83F0B"/>
    <w:rsid w:val="00F85AD0"/>
    <w:rsid w:val="00F952DC"/>
    <w:rsid w:val="00FA25A9"/>
    <w:rsid w:val="00FC463B"/>
    <w:rsid w:val="00FD7E98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BEFD9C"/>
  <w14:defaultImageDpi w14:val="0"/>
  <w15:docId w15:val="{EB5DC9FE-650A-4A87-BEA0-3C04FBD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78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781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C5781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rsid w:val="000C5781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rsid w:val="000C5781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rsid w:val="000C5781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rsid w:val="000C5781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rsid w:val="000C5781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rsid w:val="000C5781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5781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rsid w:val="000C5781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0C57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2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425D7"/>
    <w:pPr>
      <w:spacing w:before="700" w:after="100"/>
    </w:pPr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3C63"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171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3C63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532C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2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2CC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2CC8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4D9DCB4-8460-4E00-A8CD-C988329B02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1995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4</cp:revision>
  <cp:lastPrinted>2022-06-07T07:28:00Z</cp:lastPrinted>
  <dcterms:created xsi:type="dcterms:W3CDTF">2023-06-27T00:45:00Z</dcterms:created>
  <dcterms:modified xsi:type="dcterms:W3CDTF">2023-06-27T00:45:00Z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3d051b75-9a0e-4501-bc77-9a8d75dce762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A42410832</vt:lpwstr>
  </property>
  <property fmtid="{D5CDD505-2E9C-101B-9397-08002B2CF9AE}" pid="10" name="Objective-Title">
    <vt:lpwstr>ATTACHMENT B - Cemeteries and Crematoria Authority (Fees) Determination 2023 Explanatory Statement FINAL DRAFT (TCCS LEGAL APPROVED)</vt:lpwstr>
  </property>
  <property fmtid="{D5CDD505-2E9C-101B-9397-08002B2CF9AE}" pid="11" name="Objective-Comment">
    <vt:lpwstr/>
  </property>
  <property fmtid="{D5CDD505-2E9C-101B-9397-08002B2CF9AE}" pid="12" name="Objective-CreationStamp">
    <vt:filetime>2023-06-16T06:25:10Z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2023-06-19T01:22:03Z</vt:filetime>
  </property>
  <property fmtid="{D5CDD505-2E9C-101B-9397-08002B2CF9AE}" pid="16" name="Objective-ModificationStamp">
    <vt:filetime>2023-06-26T23:35:11Z</vt:filetime>
  </property>
  <property fmtid="{D5CDD505-2E9C-101B-9397-08002B2CF9AE}" pid="17" name="Objective-Owner">
    <vt:lpwstr>Gregory Mirenda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(Minister):2023 Information Brief (Minister):TCBS - MIN S2023/01528 - Cemeteries and Crematoria Fees Determination 2023-24 - Minister Brief:</vt:lpwstr>
  </property>
  <property fmtid="{D5CDD505-2E9C-101B-9397-08002B2CF9AE}" pid="19" name="Objective-Parent">
    <vt:lpwstr>TCBS - MIN S2023/01528 - Cemeteries and Crematoria Fees Determination 2023-24 -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1-2023/00081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M Author">
    <vt:lpwstr/>
  </property>
  <property fmtid="{D5CDD505-2E9C-101B-9397-08002B2CF9AE}" pid="28" name="Objective-OM Author Organisation">
    <vt:lpwstr/>
  </property>
  <property fmtid="{D5CDD505-2E9C-101B-9397-08002B2CF9AE}" pid="29" name="Objective-OM Author Type">
    <vt:lpwstr/>
  </property>
  <property fmtid="{D5CDD505-2E9C-101B-9397-08002B2CF9AE}" pid="30" name="Objective-OM Date Received">
    <vt:lpwstr/>
  </property>
  <property fmtid="{D5CDD505-2E9C-101B-9397-08002B2CF9AE}" pid="31" name="Objective-OM Date of Document">
    <vt:lpwstr/>
  </property>
  <property fmtid="{D5CDD505-2E9C-101B-9397-08002B2CF9AE}" pid="32" name="Objective-OM External Reference">
    <vt:lpwstr/>
  </property>
  <property fmtid="{D5CDD505-2E9C-101B-9397-08002B2CF9AE}" pid="33" name="Objective-OM Reference">
    <vt:lpwstr/>
  </property>
  <property fmtid="{D5CDD505-2E9C-101B-9397-08002B2CF9AE}" pid="34" name="Objective-OM Topic">
    <vt:lpwstr/>
  </property>
  <property fmtid="{D5CDD505-2E9C-101B-9397-08002B2CF9AE}" pid="35" name="Objective-Suburb">
    <vt:lpwstr/>
  </property>
  <property fmtid="{D5CDD505-2E9C-101B-9397-08002B2CF9AE}" pid="36" name="Objective-Owner Agency">
    <vt:lpwstr>TCCS</vt:lpwstr>
  </property>
  <property fmtid="{D5CDD505-2E9C-101B-9397-08002B2CF9AE}" pid="37" name="Objective-Document Type">
    <vt:lpwstr>0-Document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</Properties>
</file>