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A7E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D80E06" w14:textId="466EA78B" w:rsidR="001C52BB" w:rsidRDefault="001C52BB" w:rsidP="00DA3B00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Energy Efficiency (Cost of Living) Improvement (Energy Savings Target) Determination 2023</w:t>
      </w:r>
    </w:p>
    <w:p w14:paraId="496E3B8E" w14:textId="1973DDF9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C52BB">
        <w:rPr>
          <w:rFonts w:ascii="Arial" w:hAnsi="Arial" w:cs="Arial"/>
          <w:b/>
          <w:bCs/>
        </w:rPr>
        <w:t>2023</w:t>
      </w:r>
      <w:r w:rsidR="00C17FAB">
        <w:rPr>
          <w:rFonts w:ascii="Arial" w:hAnsi="Arial" w:cs="Arial"/>
          <w:b/>
          <w:bCs/>
        </w:rPr>
        <w:t>–</w:t>
      </w:r>
      <w:r w:rsidR="0063155E">
        <w:rPr>
          <w:rFonts w:ascii="Arial" w:hAnsi="Arial" w:cs="Arial"/>
          <w:b/>
          <w:bCs/>
        </w:rPr>
        <w:t>154</w:t>
      </w:r>
    </w:p>
    <w:p w14:paraId="24EF818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6C0897B" w14:textId="77777777" w:rsidR="001C52BB" w:rsidRDefault="001C52BB">
      <w:pPr>
        <w:spacing w:before="360"/>
        <w:ind w:right="565"/>
        <w:rPr>
          <w:rFonts w:ascii="Arial" w:hAnsi="Arial" w:cs="Arial"/>
          <w:b/>
          <w:sz w:val="20"/>
        </w:rPr>
      </w:pPr>
      <w:r w:rsidRPr="001C52BB">
        <w:rPr>
          <w:rFonts w:ascii="Arial" w:hAnsi="Arial" w:cs="Arial"/>
          <w:b/>
          <w:sz w:val="20"/>
        </w:rPr>
        <w:t>Energy Efficiency (Cost of Living) Improvement Act 2012, s 7 (Energy savings target)</w:t>
      </w:r>
    </w:p>
    <w:p w14:paraId="5D241B36" w14:textId="00430918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34DD61" w14:textId="77777777" w:rsidR="00C17FAB" w:rsidRDefault="00C17FAB">
      <w:pPr>
        <w:pStyle w:val="N-line3"/>
        <w:pBdr>
          <w:bottom w:val="none" w:sz="0" w:space="0" w:color="auto"/>
        </w:pBdr>
      </w:pPr>
    </w:p>
    <w:p w14:paraId="001DA84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7976351" w14:textId="77777777" w:rsidR="001C52BB" w:rsidRPr="00EB2920" w:rsidRDefault="001C52BB" w:rsidP="001C52BB">
      <w:pPr>
        <w:pStyle w:val="Default"/>
        <w:spacing w:after="120"/>
        <w:rPr>
          <w:rFonts w:ascii="Times New Roman" w:hAnsi="Times New Roman" w:cs="Times New Roman"/>
        </w:rPr>
      </w:pPr>
      <w:r w:rsidRPr="00EB2920">
        <w:rPr>
          <w:rFonts w:ascii="Times New Roman" w:hAnsi="Times New Roman" w:cs="Times New Roman"/>
          <w:b/>
          <w:bCs/>
        </w:rPr>
        <w:t>Introduction</w:t>
      </w:r>
    </w:p>
    <w:p w14:paraId="65C9F4F0" w14:textId="0D280BFD" w:rsidR="001C52BB" w:rsidRPr="00042BD5" w:rsidRDefault="001C52BB" w:rsidP="001C52BB">
      <w:pPr>
        <w:pStyle w:val="BodyText"/>
        <w:spacing w:before="116"/>
        <w:ind w:right="157"/>
      </w:pPr>
      <w:r w:rsidRPr="006A2782">
        <w:t xml:space="preserve">This explanatory statement relates to the </w:t>
      </w:r>
      <w:r w:rsidRPr="006E4869">
        <w:rPr>
          <w:i/>
          <w:iCs/>
        </w:rPr>
        <w:t>Energy Efficiency (Cost of Living) Improvement (Energy Savings Target) Determination 202</w:t>
      </w:r>
      <w:r>
        <w:rPr>
          <w:i/>
          <w:iCs/>
        </w:rPr>
        <w:t>3</w:t>
      </w:r>
      <w:r w:rsidRPr="006A2782">
        <w:t xml:space="preserve"> (the </w:t>
      </w:r>
      <w:r w:rsidRPr="006E4869">
        <w:rPr>
          <w:b/>
          <w:bCs/>
          <w:i/>
          <w:iCs/>
        </w:rPr>
        <w:t>Determination</w:t>
      </w:r>
      <w:r w:rsidRPr="006A2782">
        <w:t>). It has been prepared in order to assist the reader of the Determination. It does not form part of</w:t>
      </w:r>
      <w:r w:rsidRPr="00042BD5">
        <w:t xml:space="preserve"> the Determination and has not been endorsed by the Assembly. </w:t>
      </w:r>
    </w:p>
    <w:p w14:paraId="0FC68537" w14:textId="77777777" w:rsidR="001C52BB" w:rsidRPr="00627DF8" w:rsidRDefault="001C52BB" w:rsidP="001C52BB">
      <w:pPr>
        <w:pStyle w:val="BodyText"/>
        <w:spacing w:before="116"/>
        <w:ind w:right="157"/>
      </w:pPr>
      <w:r w:rsidRPr="00627DF8">
        <w:t xml:space="preserve">This explanatory statement clarifies the intent of the Determination and must be read in conjunction with the Determination. It is not, and is not intended to be, a comprehensive description of the Determination. What is written about a provision is not to be taken as an authoritative guide to the meaning of a provision, this being a task for the courts. </w:t>
      </w:r>
    </w:p>
    <w:p w14:paraId="4DF14348" w14:textId="77777777" w:rsidR="001C52BB" w:rsidRDefault="001C52BB" w:rsidP="001C52BB">
      <w:pPr>
        <w:pStyle w:val="Default"/>
        <w:rPr>
          <w:rFonts w:ascii="Times New Roman" w:hAnsi="Times New Roman" w:cs="Times New Roman"/>
          <w:b/>
          <w:bCs/>
        </w:rPr>
      </w:pPr>
    </w:p>
    <w:p w14:paraId="3BAEF2C1" w14:textId="77777777" w:rsidR="001C52BB" w:rsidRPr="00616E11" w:rsidRDefault="001C52BB" w:rsidP="001C52BB">
      <w:pPr>
        <w:pStyle w:val="Default"/>
        <w:spacing w:before="120" w:after="120"/>
        <w:rPr>
          <w:rFonts w:ascii="Times New Roman" w:hAnsi="Times New Roman" w:cs="Times New Roman"/>
          <w:b/>
          <w:bCs/>
        </w:rPr>
      </w:pPr>
      <w:r w:rsidRPr="00616E11">
        <w:rPr>
          <w:rFonts w:ascii="Times New Roman" w:hAnsi="Times New Roman" w:cs="Times New Roman"/>
          <w:b/>
          <w:bCs/>
        </w:rPr>
        <w:t>Overview</w:t>
      </w:r>
    </w:p>
    <w:p w14:paraId="41A3A889" w14:textId="77777777" w:rsidR="001C52BB" w:rsidRPr="00A4608A" w:rsidRDefault="001C52BB" w:rsidP="001C52BB">
      <w:pPr>
        <w:pStyle w:val="BodyText"/>
        <w:spacing w:before="116"/>
        <w:ind w:right="157"/>
        <w:rPr>
          <w:bCs/>
        </w:rPr>
      </w:pPr>
      <w:r>
        <w:t>Section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 xml:space="preserve">Energy </w:t>
      </w:r>
      <w:r>
        <w:rPr>
          <w:i/>
          <w:spacing w:val="-1"/>
        </w:rPr>
        <w:t>Efficiency</w:t>
      </w:r>
      <w:r>
        <w:rPr>
          <w:i/>
        </w:rPr>
        <w:t xml:space="preserve"> </w:t>
      </w:r>
      <w:r>
        <w:rPr>
          <w:i/>
          <w:spacing w:val="-1"/>
        </w:rPr>
        <w:t>(Cost</w:t>
      </w:r>
      <w:r>
        <w:rPr>
          <w:i/>
        </w:rPr>
        <w:t xml:space="preserve"> of </w:t>
      </w:r>
      <w:r>
        <w:rPr>
          <w:i/>
          <w:spacing w:val="-1"/>
        </w:rPr>
        <w:t>Living)</w:t>
      </w:r>
      <w:r>
        <w:rPr>
          <w:i/>
          <w:spacing w:val="-3"/>
        </w:rPr>
        <w:t xml:space="preserve"> </w:t>
      </w:r>
      <w:r>
        <w:rPr>
          <w:i/>
        </w:rPr>
        <w:t xml:space="preserve">Improvement Act </w:t>
      </w:r>
      <w:r w:rsidRPr="000B0619">
        <w:rPr>
          <w:i/>
          <w:spacing w:val="-1"/>
        </w:rPr>
        <w:t>2012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(the </w:t>
      </w:r>
      <w:r w:rsidRPr="006E4869">
        <w:rPr>
          <w:b/>
          <w:bCs/>
          <w:i/>
          <w:iCs/>
          <w:spacing w:val="-2"/>
        </w:rPr>
        <w:t>Act</w:t>
      </w:r>
      <w:r>
        <w:rPr>
          <w:spacing w:val="-2"/>
        </w:rPr>
        <w:t xml:space="preserve">) </w:t>
      </w:r>
      <w:r>
        <w:t>provides</w:t>
      </w:r>
      <w:r>
        <w:rPr>
          <w:spacing w:val="3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must </w:t>
      </w:r>
      <w:r>
        <w:t>determine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target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 w:rsidRPr="00A4608A">
        <w:rPr>
          <w:bCs/>
        </w:rPr>
        <w:t>energy savings</w:t>
      </w:r>
      <w:r>
        <w:rPr>
          <w:bCs/>
        </w:rPr>
        <w:t xml:space="preserve"> </w:t>
      </w:r>
      <w:r w:rsidRPr="00A4608A">
        <w:rPr>
          <w:bCs/>
        </w:rPr>
        <w:t>to</w:t>
      </w:r>
      <w:r>
        <w:rPr>
          <w:bCs/>
        </w:rPr>
        <w:t xml:space="preserve"> </w:t>
      </w:r>
      <w:r w:rsidRPr="00A4608A">
        <w:rPr>
          <w:bCs/>
        </w:rPr>
        <w:t xml:space="preserve">be achieved by </w:t>
      </w:r>
      <w:r>
        <w:rPr>
          <w:bCs/>
        </w:rPr>
        <w:t>National Energy Retail Law (</w:t>
      </w:r>
      <w:r w:rsidRPr="006E4869">
        <w:rPr>
          <w:b/>
          <w:i/>
          <w:iCs/>
        </w:rPr>
        <w:t>NERL</w:t>
      </w:r>
      <w:r>
        <w:rPr>
          <w:bCs/>
        </w:rPr>
        <w:t>)</w:t>
      </w:r>
      <w:r w:rsidRPr="00A4608A">
        <w:rPr>
          <w:bCs/>
        </w:rPr>
        <w:t xml:space="preserve"> retailers</w:t>
      </w:r>
      <w:r>
        <w:rPr>
          <w:bCs/>
        </w:rPr>
        <w:t xml:space="preserve"> </w:t>
      </w:r>
      <w:r w:rsidRPr="00A4608A">
        <w:rPr>
          <w:bCs/>
        </w:rPr>
        <w:t xml:space="preserve">in a compliance period, expressed as a percentage of </w:t>
      </w:r>
      <w:r>
        <w:rPr>
          <w:bCs/>
        </w:rPr>
        <w:t xml:space="preserve">their </w:t>
      </w:r>
      <w:r w:rsidRPr="00A4608A">
        <w:rPr>
          <w:bCs/>
        </w:rPr>
        <w:t>total electricity sales in the ACT.</w:t>
      </w:r>
    </w:p>
    <w:p w14:paraId="3E85621E" w14:textId="69947FD7" w:rsidR="001C52BB" w:rsidRDefault="001C52BB" w:rsidP="001C52BB">
      <w:pPr>
        <w:pStyle w:val="BodyText"/>
        <w:ind w:right="159"/>
      </w:pPr>
      <w:r w:rsidRPr="00401062">
        <w:t xml:space="preserve">NERL retailers </w:t>
      </w:r>
      <w:r>
        <w:t>will</w:t>
      </w:r>
      <w:r w:rsidRPr="00401062">
        <w:t xml:space="preserve"> apply </w:t>
      </w:r>
      <w:r>
        <w:t>the energy savings</w:t>
      </w:r>
      <w:r w:rsidRPr="00401062">
        <w:t xml:space="preserve"> </w:t>
      </w:r>
      <w:r>
        <w:t>target</w:t>
      </w:r>
      <w:r w:rsidRPr="00401062">
        <w:t xml:space="preserve"> </w:t>
      </w:r>
      <w:r>
        <w:t>to</w:t>
      </w:r>
      <w:r w:rsidRPr="00401062">
        <w:t xml:space="preserve"> their electricity</w:t>
      </w:r>
      <w:r>
        <w:t xml:space="preserve"> </w:t>
      </w:r>
      <w:r w:rsidRPr="00401062">
        <w:t>sales</w:t>
      </w:r>
      <w:r>
        <w:t xml:space="preserve"> to </w:t>
      </w:r>
      <w:r w:rsidRPr="00401062">
        <w:t>determine</w:t>
      </w:r>
      <w:r>
        <w:t xml:space="preserve"> their </w:t>
      </w:r>
      <w:r w:rsidRPr="00401062">
        <w:t xml:space="preserve">obligation </w:t>
      </w:r>
      <w:r>
        <w:t xml:space="preserve">under the Energy Efficiency Improvement </w:t>
      </w:r>
      <w:r w:rsidRPr="00401062">
        <w:t>Scheme</w:t>
      </w:r>
      <w:r w:rsidR="009413E9">
        <w:t xml:space="preserve"> (the </w:t>
      </w:r>
      <w:r w:rsidR="009413E9" w:rsidRPr="009413E9">
        <w:rPr>
          <w:b/>
          <w:i/>
          <w:iCs/>
        </w:rPr>
        <w:t>Scheme</w:t>
      </w:r>
      <w:r w:rsidR="009413E9">
        <w:t>)</w:t>
      </w:r>
      <w:r w:rsidRPr="00401062">
        <w:t>.</w:t>
      </w:r>
      <w:r>
        <w:t xml:space="preserve"> </w:t>
      </w:r>
    </w:p>
    <w:p w14:paraId="1E11E447" w14:textId="77777777" w:rsidR="001C52BB" w:rsidRPr="006A2782" w:rsidRDefault="001C52BB" w:rsidP="001C52BB">
      <w:pPr>
        <w:pStyle w:val="BodyText"/>
        <w:ind w:right="159"/>
        <w:rPr>
          <w:bCs/>
        </w:rPr>
      </w:pPr>
      <w:r w:rsidRPr="002B456E">
        <w:rPr>
          <w:bCs/>
        </w:rPr>
        <w:t>Section 10 of the Act provides that the Minister may determine eligible activities that NERL retailers may undertake to meet this obligation. This determination by the Minister includes a specific energy savings factor the activity is deemed to save over its lifetime, as counting towards a NERL retailer’s obligation.</w:t>
      </w:r>
    </w:p>
    <w:p w14:paraId="2F6F474B" w14:textId="65E5A94F" w:rsidR="001C52BB" w:rsidRPr="00C96127" w:rsidRDefault="001C52BB" w:rsidP="001C52BB">
      <w:pPr>
        <w:pStyle w:val="BodyText"/>
        <w:spacing w:before="116"/>
        <w:ind w:right="157"/>
        <w:rPr>
          <w:bCs/>
        </w:rPr>
      </w:pPr>
      <w:r w:rsidRPr="006A2782">
        <w:rPr>
          <w:bCs/>
        </w:rPr>
        <w:t xml:space="preserve">It is important to note that the </w:t>
      </w:r>
      <w:r w:rsidR="009413E9">
        <w:rPr>
          <w:bCs/>
        </w:rPr>
        <w:t>e</w:t>
      </w:r>
      <w:r w:rsidRPr="006A2782">
        <w:rPr>
          <w:bCs/>
        </w:rPr>
        <w:t xml:space="preserve">nergy </w:t>
      </w:r>
      <w:r w:rsidR="009413E9">
        <w:rPr>
          <w:bCs/>
        </w:rPr>
        <w:t>s</w:t>
      </w:r>
      <w:r w:rsidRPr="006A2782">
        <w:rPr>
          <w:bCs/>
        </w:rPr>
        <w:t xml:space="preserve">avings </w:t>
      </w:r>
      <w:r w:rsidR="009413E9">
        <w:rPr>
          <w:bCs/>
        </w:rPr>
        <w:t>t</w:t>
      </w:r>
      <w:r w:rsidRPr="006A2782">
        <w:rPr>
          <w:bCs/>
        </w:rPr>
        <w:t>arget determined for each compliance period reflect</w:t>
      </w:r>
      <w:r>
        <w:rPr>
          <w:bCs/>
        </w:rPr>
        <w:t>s</w:t>
      </w:r>
      <w:r w:rsidRPr="006A2782">
        <w:rPr>
          <w:bCs/>
        </w:rPr>
        <w:t xml:space="preserve"> the total life-cycle energy savings of activities </w:t>
      </w:r>
      <w:r w:rsidRPr="00C96127">
        <w:rPr>
          <w:bCs/>
        </w:rPr>
        <w:t>undertaken in a given year (rather than actual reductions in a year) as a percentage of a NERL retailer’s own energy sales.</w:t>
      </w:r>
    </w:p>
    <w:p w14:paraId="5B0ED75E" w14:textId="111FA31F" w:rsidR="001C52BB" w:rsidRPr="00C96127" w:rsidRDefault="001C52BB" w:rsidP="001C52BB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lastRenderedPageBreak/>
        <w:t xml:space="preserve">The Determination sets the energy </w:t>
      </w:r>
      <w:r w:rsidRPr="001C3F3F">
        <w:rPr>
          <w:bCs/>
        </w:rPr>
        <w:t>savings target at 14.6 per cent, for 1 January 2024 to 31 December 2024.</w:t>
      </w:r>
    </w:p>
    <w:p w14:paraId="63692A28" w14:textId="77777777" w:rsidR="001C52BB" w:rsidRPr="00C96127" w:rsidRDefault="001C52BB" w:rsidP="001C52BB">
      <w:pPr>
        <w:pStyle w:val="BodyText"/>
      </w:pPr>
      <w:r w:rsidRPr="00C96127">
        <w:t>Th</w:t>
      </w:r>
      <w:r>
        <w:t>e</w:t>
      </w:r>
      <w:r w:rsidRPr="00C96127">
        <w:t xml:space="preserve"> target has been determined based on detailed modelling of the energy savings opportunities that exist in the ACT, considering:</w:t>
      </w:r>
    </w:p>
    <w:p w14:paraId="4487BB1D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costs to electricity retailers to deliver the Scheme;</w:t>
      </w:r>
    </w:p>
    <w:p w14:paraId="2622123E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expected passthrough costs to consumers;</w:t>
      </w:r>
    </w:p>
    <w:p w14:paraId="04228BAD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lifetime achievements of the Scheme;</w:t>
      </w:r>
    </w:p>
    <w:p w14:paraId="3C551356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complementary ACT programs and policies;</w:t>
      </w:r>
    </w:p>
    <w:p w14:paraId="26D39985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available activities; and</w:t>
      </w:r>
    </w:p>
    <w:p w14:paraId="79A161E7" w14:textId="079C32F8" w:rsidR="002B3A84" w:rsidRPr="00C96127" w:rsidRDefault="002B3A84" w:rsidP="002B3A84">
      <w:pPr>
        <w:pStyle w:val="BodyText"/>
        <w:numPr>
          <w:ilvl w:val="0"/>
          <w:numId w:val="10"/>
        </w:numPr>
      </w:pPr>
      <w:r w:rsidRPr="002B3A84">
        <w:t>the benefit-to-cost ratio.</w:t>
      </w:r>
    </w:p>
    <w:p w14:paraId="1E596EE5" w14:textId="55817705" w:rsidR="001C52BB" w:rsidRDefault="001C52BB" w:rsidP="001C52BB">
      <w:pPr>
        <w:pStyle w:val="BodyText"/>
      </w:pPr>
      <w:r w:rsidRPr="00C96127">
        <w:t xml:space="preserve">The anticipated cost per </w:t>
      </w:r>
      <w:r>
        <w:t xml:space="preserve">megawatt </w:t>
      </w:r>
      <w:r w:rsidRPr="00C96127">
        <w:t>h</w:t>
      </w:r>
      <w:r>
        <w:t>our</w:t>
      </w:r>
      <w:r w:rsidRPr="00C96127">
        <w:t xml:space="preserve"> of </w:t>
      </w:r>
      <w:r w:rsidR="002B3A84">
        <w:t>energy savings</w:t>
      </w:r>
      <w:r w:rsidRPr="00C96127">
        <w:t xml:space="preserve"> has also been considered in setting the target</w:t>
      </w:r>
      <w:r>
        <w:t>,</w:t>
      </w:r>
      <w:r w:rsidRPr="00C96127">
        <w:t xml:space="preserve"> as reflected in </w:t>
      </w:r>
      <w:r w:rsidR="002B3A84" w:rsidRPr="00C96127">
        <w:t xml:space="preserve">the </w:t>
      </w:r>
      <w:r w:rsidR="002B3A84">
        <w:t>e</w:t>
      </w:r>
      <w:r w:rsidR="002B3A84" w:rsidRPr="00C96127">
        <w:t xml:space="preserve">nergy </w:t>
      </w:r>
      <w:r w:rsidR="002B3A84">
        <w:t>s</w:t>
      </w:r>
      <w:r w:rsidR="002B3A84" w:rsidRPr="00C96127">
        <w:t>aving</w:t>
      </w:r>
      <w:r w:rsidR="002B3A84">
        <w:t>s</w:t>
      </w:r>
      <w:r w:rsidR="002B3A84" w:rsidRPr="00C96127">
        <w:t xml:space="preserve"> </w:t>
      </w:r>
      <w:r w:rsidR="002B3A84">
        <w:t>c</w:t>
      </w:r>
      <w:r w:rsidR="002B3A84" w:rsidRPr="00C96127">
        <w:t>ontribution provided for by section 11 of the Act</w:t>
      </w:r>
      <w:r w:rsidR="00C56434">
        <w:t>,</w:t>
      </w:r>
      <w:r w:rsidR="002B3A84" w:rsidRPr="00C96127">
        <w:t xml:space="preserve"> </w:t>
      </w:r>
      <w:r w:rsidR="002B3A84">
        <w:t xml:space="preserve">and </w:t>
      </w:r>
      <w:r w:rsidRPr="00C96127">
        <w:t>the shortfall penalty price provided for in section 22 of the</w:t>
      </w:r>
      <w:r w:rsidR="003A775D">
        <w:t> </w:t>
      </w:r>
      <w:r w:rsidRPr="00C96127">
        <w:t>Act.</w:t>
      </w:r>
    </w:p>
    <w:p w14:paraId="68000BC0" w14:textId="3476A2EF" w:rsidR="001C52BB" w:rsidRPr="002B7223" w:rsidRDefault="001C52BB" w:rsidP="001C52BB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 xml:space="preserve">The energy savings target has </w:t>
      </w:r>
      <w:r>
        <w:rPr>
          <w:bCs/>
        </w:rPr>
        <w:t>remained constant</w:t>
      </w:r>
      <w:r w:rsidRPr="00C96127">
        <w:rPr>
          <w:bCs/>
        </w:rPr>
        <w:t xml:space="preserve"> </w:t>
      </w:r>
      <w:r>
        <w:rPr>
          <w:bCs/>
        </w:rPr>
        <w:t xml:space="preserve">with </w:t>
      </w:r>
      <w:r w:rsidRPr="00C96127">
        <w:rPr>
          <w:bCs/>
        </w:rPr>
        <w:t>the value set for the 202</w:t>
      </w:r>
      <w:r>
        <w:rPr>
          <w:bCs/>
        </w:rPr>
        <w:t>3</w:t>
      </w:r>
      <w:r w:rsidRPr="00C96127">
        <w:rPr>
          <w:bCs/>
        </w:rPr>
        <w:t xml:space="preserve"> compliance </w:t>
      </w:r>
      <w:r w:rsidRPr="001C3F3F">
        <w:rPr>
          <w:bCs/>
        </w:rPr>
        <w:t>period (14.6 per cent). As required by section 7 (2) (b) of the Act, the Determination is being made at</w:t>
      </w:r>
      <w:r w:rsidRPr="00C96127">
        <w:rPr>
          <w:bCs/>
        </w:rPr>
        <w:t xml:space="preserve"> least </w:t>
      </w:r>
      <w:r>
        <w:rPr>
          <w:bCs/>
        </w:rPr>
        <w:t>3</w:t>
      </w:r>
      <w:r w:rsidRPr="00C96127">
        <w:rPr>
          <w:bCs/>
        </w:rPr>
        <w:t xml:space="preserve"> months before the start of the compliance period on 1 January 202</w:t>
      </w:r>
      <w:r>
        <w:rPr>
          <w:bCs/>
        </w:rPr>
        <w:t>4</w:t>
      </w:r>
      <w:r w:rsidRPr="00C96127">
        <w:rPr>
          <w:bCs/>
        </w:rPr>
        <w:t xml:space="preserve">.  </w:t>
      </w:r>
    </w:p>
    <w:p w14:paraId="64CFA64E" w14:textId="0A2AE84D" w:rsidR="001C52BB" w:rsidRDefault="001C52BB" w:rsidP="001C52BB">
      <w:pPr>
        <w:pStyle w:val="BodyText"/>
      </w:pPr>
      <w:r>
        <w:t xml:space="preserve">The </w:t>
      </w:r>
      <w:r w:rsidRPr="00EF1980">
        <w:rPr>
          <w:i/>
          <w:iCs/>
        </w:rPr>
        <w:t>Energy Efficiency (Cost of Living) Improvement (Energy Savings Target) Determination 2015 (No 1)</w:t>
      </w:r>
      <w:r w:rsidRPr="00EF1980">
        <w:t xml:space="preserve"> </w:t>
      </w:r>
      <w:r>
        <w:t xml:space="preserve">(DI2015-268), </w:t>
      </w:r>
      <w:r w:rsidRPr="00EF1980">
        <w:rPr>
          <w:i/>
          <w:iCs/>
        </w:rPr>
        <w:t>Energy Efficiency (Cost of Living) Improvement (Energy Savings Target) Determination 2020 (No 1)</w:t>
      </w:r>
      <w:r w:rsidRPr="00EF1980">
        <w:t xml:space="preserve"> </w:t>
      </w:r>
      <w:r>
        <w:t xml:space="preserve">(DI2020-219), </w:t>
      </w:r>
      <w:r w:rsidRPr="005C6E62">
        <w:rPr>
          <w:i/>
          <w:iCs/>
        </w:rPr>
        <w:t>Energy Efficiency (Cost of Living) Improvement (Energy Savings Target) Determination 2021</w:t>
      </w:r>
      <w:r>
        <w:t xml:space="preserve"> (DI2021-162) and </w:t>
      </w:r>
      <w:r w:rsidRPr="001C52BB">
        <w:rPr>
          <w:i/>
          <w:iCs/>
        </w:rPr>
        <w:t>Energy Efficiency (Cost of Living) Improvement (Energy Savings Target) Determination 2022</w:t>
      </w:r>
      <w:r>
        <w:t xml:space="preserve"> (DI2022-150) </w:t>
      </w:r>
      <w:r w:rsidRPr="00EF1980">
        <w:t>remain in effect to permit auditing compliance of the 2016, 2017, 2018, 2019, 2020</w:t>
      </w:r>
      <w:r>
        <w:t xml:space="preserve">, </w:t>
      </w:r>
      <w:r w:rsidRPr="00EF1980">
        <w:t>2021</w:t>
      </w:r>
      <w:r>
        <w:t xml:space="preserve">, 2022 and 2023 </w:t>
      </w:r>
      <w:r w:rsidRPr="00EF1980">
        <w:t>compliance periods.</w:t>
      </w:r>
    </w:p>
    <w:p w14:paraId="0D2BEB36" w14:textId="77777777" w:rsidR="001C52BB" w:rsidRDefault="001C52BB" w:rsidP="001C52BB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>The instrument does not engage human rights under the</w:t>
      </w:r>
      <w:r w:rsidRPr="00C96127">
        <w:rPr>
          <w:bCs/>
          <w:i/>
          <w:iCs/>
        </w:rPr>
        <w:t xml:space="preserve"> Human Rights Act 2004</w:t>
      </w:r>
      <w:r w:rsidRPr="00C96127">
        <w:rPr>
          <w:bCs/>
        </w:rPr>
        <w:t xml:space="preserve">. </w:t>
      </w:r>
    </w:p>
    <w:p w14:paraId="68EB272B" w14:textId="77777777" w:rsidR="001C52BB" w:rsidRPr="006A2782" w:rsidRDefault="001C52BB" w:rsidP="001C52BB">
      <w:pPr>
        <w:pStyle w:val="BodyText"/>
        <w:spacing w:before="116"/>
        <w:ind w:right="157"/>
        <w:rPr>
          <w:bCs/>
        </w:rPr>
      </w:pPr>
      <w:r w:rsidRPr="001C3F3F">
        <w:rPr>
          <w:bCs/>
        </w:rPr>
        <w:t>A regulatory impact statement has been prepared for the determination.</w:t>
      </w:r>
      <w:r w:rsidRPr="006A2782">
        <w:rPr>
          <w:bCs/>
        </w:rPr>
        <w:t xml:space="preserve"> </w:t>
      </w:r>
    </w:p>
    <w:p w14:paraId="0CCCB389" w14:textId="77777777"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FBAD" w14:textId="77777777" w:rsidR="003A0440" w:rsidRDefault="003A0440" w:rsidP="00C17FAB">
      <w:r>
        <w:separator/>
      </w:r>
    </w:p>
  </w:endnote>
  <w:endnote w:type="continuationSeparator" w:id="0">
    <w:p w14:paraId="4EBCDFC9" w14:textId="77777777" w:rsidR="003A0440" w:rsidRDefault="003A0440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D0FB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1E88" w14:textId="0D394CA6" w:rsidR="00DA3B00" w:rsidRPr="0021653C" w:rsidRDefault="0021653C" w:rsidP="0021653C">
    <w:pPr>
      <w:pStyle w:val="Footer"/>
      <w:jc w:val="center"/>
      <w:rPr>
        <w:rFonts w:cs="Arial"/>
        <w:sz w:val="14"/>
      </w:rPr>
    </w:pPr>
    <w:r w:rsidRPr="0021653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F95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D3A0" w14:textId="77777777" w:rsidR="003A0440" w:rsidRDefault="003A0440" w:rsidP="00C17FAB">
      <w:r>
        <w:separator/>
      </w:r>
    </w:p>
  </w:footnote>
  <w:footnote w:type="continuationSeparator" w:id="0">
    <w:p w14:paraId="70263B0F" w14:textId="77777777" w:rsidR="003A0440" w:rsidRDefault="003A0440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07AE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A8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0354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77665A3"/>
    <w:multiLevelType w:val="multilevel"/>
    <w:tmpl w:val="E48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C1E5E"/>
    <w:multiLevelType w:val="hybridMultilevel"/>
    <w:tmpl w:val="636CB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5293435">
    <w:abstractNumId w:val="2"/>
  </w:num>
  <w:num w:numId="2" w16cid:durableId="1288508838">
    <w:abstractNumId w:val="0"/>
  </w:num>
  <w:num w:numId="3" w16cid:durableId="842165046">
    <w:abstractNumId w:val="3"/>
  </w:num>
  <w:num w:numId="4" w16cid:durableId="1430278047">
    <w:abstractNumId w:val="6"/>
  </w:num>
  <w:num w:numId="5" w16cid:durableId="794716282">
    <w:abstractNumId w:val="9"/>
  </w:num>
  <w:num w:numId="6" w16cid:durableId="342977731">
    <w:abstractNumId w:val="1"/>
  </w:num>
  <w:num w:numId="7" w16cid:durableId="57823351">
    <w:abstractNumId w:val="4"/>
  </w:num>
  <w:num w:numId="8" w16cid:durableId="1115714733">
    <w:abstractNumId w:val="5"/>
  </w:num>
  <w:num w:numId="9" w16cid:durableId="585655425">
    <w:abstractNumId w:val="10"/>
  </w:num>
  <w:num w:numId="10" w16cid:durableId="237516601">
    <w:abstractNumId w:val="8"/>
  </w:num>
  <w:num w:numId="11" w16cid:durableId="1204904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1C6C"/>
    <w:rsid w:val="0008638E"/>
    <w:rsid w:val="001B5DC8"/>
    <w:rsid w:val="001C3F3F"/>
    <w:rsid w:val="001C52BB"/>
    <w:rsid w:val="001D3621"/>
    <w:rsid w:val="001D5738"/>
    <w:rsid w:val="0021653C"/>
    <w:rsid w:val="002B3A84"/>
    <w:rsid w:val="002D7C60"/>
    <w:rsid w:val="00387C64"/>
    <w:rsid w:val="003A0440"/>
    <w:rsid w:val="003A775D"/>
    <w:rsid w:val="004E5A46"/>
    <w:rsid w:val="0063155E"/>
    <w:rsid w:val="00702155"/>
    <w:rsid w:val="007346AC"/>
    <w:rsid w:val="007443D9"/>
    <w:rsid w:val="00766BC2"/>
    <w:rsid w:val="009413E9"/>
    <w:rsid w:val="009508A5"/>
    <w:rsid w:val="00A0353E"/>
    <w:rsid w:val="00C17FAB"/>
    <w:rsid w:val="00C56434"/>
    <w:rsid w:val="00CA0215"/>
    <w:rsid w:val="00CE599C"/>
    <w:rsid w:val="00D23B68"/>
    <w:rsid w:val="00DA3B00"/>
    <w:rsid w:val="00E24711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E64D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1C52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2BB"/>
    <w:rPr>
      <w:sz w:val="24"/>
      <w:lang w:eastAsia="en-US"/>
    </w:rPr>
  </w:style>
  <w:style w:type="paragraph" w:customStyle="1" w:styleId="Default">
    <w:name w:val="Default"/>
    <w:rsid w:val="001C52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7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7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11"/>
    <w:rPr>
      <w:b/>
      <w:bCs/>
      <w:lang w:eastAsia="en-US"/>
    </w:rPr>
  </w:style>
  <w:style w:type="paragraph" w:styleId="Revision">
    <w:name w:val="Revision"/>
    <w:hidden/>
    <w:uiPriority w:val="99"/>
    <w:semiHidden/>
    <w:rsid w:val="00C564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3188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2023-06-27T02:35:00Z</dcterms:created>
  <dcterms:modified xsi:type="dcterms:W3CDTF">2023-06-27T02:35:00Z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A41582632</vt:lpwstr>
  </property>
  <property fmtid="{D5CDD505-2E9C-101B-9397-08002B2CF9AE}" pid="4" name="Objective-Title">
    <vt:lpwstr>Attachment H - Energy Savings Target - ES</vt:lpwstr>
  </property>
  <property fmtid="{D5CDD505-2E9C-101B-9397-08002B2CF9AE}" pid="5" name="Objective-Comment">
    <vt:lpwstr/>
  </property>
  <property fmtid="{D5CDD505-2E9C-101B-9397-08002B2CF9AE}" pid="6" name="Objective-CreationStamp">
    <vt:filetime>2023-04-10T23:51:23Z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2023-06-26T23:59:33Z</vt:filetime>
  </property>
  <property fmtid="{D5CDD505-2E9C-101B-9397-08002B2CF9AE}" pid="11" name="Objective-Owner">
    <vt:lpwstr>Damien Hillcrest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Energy:23/47849 Ministerial Information Brief-2024 Targets for the Energy Efficiency Improvement Scheme:</vt:lpwstr>
  </property>
  <property fmtid="{D5CDD505-2E9C-101B-9397-08002B2CF9AE}" pid="13" name="Objective-Parent">
    <vt:lpwstr>23/47849 Ministerial Information Brief-2024 Targets for the Energy Efficiency Improvement Scheme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1-2023/47849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