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B067" w14:textId="77777777" w:rsidR="00C17FAB" w:rsidRPr="00F83CD8" w:rsidRDefault="00C17FAB">
      <w:pPr>
        <w:spacing w:before="120"/>
        <w:rPr>
          <w:rFonts w:asciiTheme="minorHAnsi" w:hAnsiTheme="minorHAnsi" w:cstheme="minorHAnsi"/>
          <w:sz w:val="22"/>
          <w:szCs w:val="22"/>
        </w:rPr>
      </w:pPr>
      <w:bookmarkStart w:id="0" w:name="_Toc44738651"/>
      <w:r w:rsidRPr="00F83CD8">
        <w:rPr>
          <w:rFonts w:asciiTheme="minorHAnsi" w:hAnsiTheme="minorHAnsi" w:cstheme="minorHAnsi"/>
          <w:sz w:val="22"/>
          <w:szCs w:val="22"/>
        </w:rPr>
        <w:t>Australian Capital Territory</w:t>
      </w:r>
    </w:p>
    <w:p w14:paraId="7D8C3CED" w14:textId="6716DF2F" w:rsidR="00C17FAB" w:rsidRPr="00697714" w:rsidRDefault="004D6598">
      <w:pPr>
        <w:pStyle w:val="Billname"/>
        <w:spacing w:before="700"/>
      </w:pPr>
      <w:r w:rsidRPr="00697714">
        <w:t>Medicines, Poisons and Therapeutic Goods Amendment Regulation 202</w:t>
      </w:r>
      <w:r w:rsidR="00697714">
        <w:t>3</w:t>
      </w:r>
      <w:r w:rsidR="00FD75CE" w:rsidRPr="00697714">
        <w:t xml:space="preserve"> (No</w:t>
      </w:r>
      <w:r w:rsidR="00221244">
        <w:t xml:space="preserve"> </w:t>
      </w:r>
      <w:r w:rsidR="00663654">
        <w:t>2</w:t>
      </w:r>
      <w:r w:rsidR="00FD75CE" w:rsidRPr="00697714">
        <w:t>)</w:t>
      </w:r>
    </w:p>
    <w:p w14:paraId="080A4451" w14:textId="78C2A7EF" w:rsidR="00C17FAB" w:rsidRPr="00F83CD8" w:rsidRDefault="004D6598" w:rsidP="00DA3B00">
      <w:pPr>
        <w:spacing w:before="340"/>
        <w:rPr>
          <w:rFonts w:asciiTheme="minorHAnsi" w:hAnsiTheme="minorHAnsi" w:cstheme="minorHAnsi"/>
          <w:b/>
          <w:bCs/>
          <w:sz w:val="22"/>
          <w:szCs w:val="22"/>
        </w:rPr>
      </w:pPr>
      <w:r w:rsidRPr="00F83CD8">
        <w:rPr>
          <w:rFonts w:asciiTheme="minorHAnsi" w:hAnsiTheme="minorHAnsi" w:cstheme="minorHAnsi"/>
          <w:b/>
          <w:bCs/>
          <w:sz w:val="22"/>
          <w:szCs w:val="22"/>
        </w:rPr>
        <w:t>Subordinate law SL202</w:t>
      </w:r>
      <w:r w:rsidR="00697714">
        <w:rPr>
          <w:rFonts w:asciiTheme="minorHAnsi" w:hAnsiTheme="minorHAnsi" w:cstheme="minorHAnsi"/>
          <w:b/>
          <w:bCs/>
          <w:sz w:val="22"/>
          <w:szCs w:val="22"/>
        </w:rPr>
        <w:t>3</w:t>
      </w:r>
      <w:r w:rsidRPr="00F83CD8">
        <w:rPr>
          <w:rFonts w:asciiTheme="minorHAnsi" w:hAnsiTheme="minorHAnsi" w:cstheme="minorHAnsi"/>
          <w:b/>
          <w:bCs/>
          <w:sz w:val="22"/>
          <w:szCs w:val="22"/>
        </w:rPr>
        <w:t>-</w:t>
      </w:r>
      <w:r w:rsidR="00F200B1">
        <w:rPr>
          <w:rFonts w:asciiTheme="minorHAnsi" w:hAnsiTheme="minorHAnsi" w:cstheme="minorHAnsi"/>
          <w:b/>
          <w:bCs/>
          <w:sz w:val="22"/>
          <w:szCs w:val="22"/>
        </w:rPr>
        <w:t>17</w:t>
      </w:r>
    </w:p>
    <w:p w14:paraId="0CEB806A" w14:textId="77777777" w:rsidR="00C17FAB" w:rsidRPr="00F83CD8" w:rsidRDefault="00C17FAB" w:rsidP="00DA3B00">
      <w:pPr>
        <w:pStyle w:val="madeunder"/>
        <w:spacing w:before="300" w:after="0"/>
        <w:rPr>
          <w:rFonts w:asciiTheme="minorHAnsi" w:hAnsiTheme="minorHAnsi" w:cstheme="minorHAnsi"/>
          <w:sz w:val="22"/>
          <w:szCs w:val="22"/>
        </w:rPr>
      </w:pPr>
      <w:r w:rsidRPr="00F83CD8">
        <w:rPr>
          <w:rFonts w:asciiTheme="minorHAnsi" w:hAnsiTheme="minorHAnsi" w:cstheme="minorHAnsi"/>
          <w:sz w:val="22"/>
          <w:szCs w:val="22"/>
        </w:rPr>
        <w:t xml:space="preserve">made under the  </w:t>
      </w:r>
    </w:p>
    <w:p w14:paraId="41AA23B2" w14:textId="2ACD2065" w:rsidR="00C17FAB" w:rsidRPr="00F83CD8" w:rsidRDefault="004D6598" w:rsidP="00DA3B00">
      <w:pPr>
        <w:pStyle w:val="CoverActName"/>
        <w:spacing w:before="320" w:after="0"/>
        <w:rPr>
          <w:rFonts w:asciiTheme="minorHAnsi" w:hAnsiTheme="minorHAnsi" w:cstheme="minorHAnsi"/>
          <w:sz w:val="22"/>
          <w:szCs w:val="22"/>
        </w:rPr>
      </w:pPr>
      <w:r w:rsidRPr="00F83CD8">
        <w:rPr>
          <w:rFonts w:asciiTheme="minorHAnsi" w:hAnsiTheme="minorHAnsi" w:cstheme="minorHAnsi"/>
          <w:i/>
          <w:iCs/>
          <w:sz w:val="22"/>
          <w:szCs w:val="22"/>
        </w:rPr>
        <w:t>Medicines, Poisons and Therapeutic Goods Act 2008</w:t>
      </w:r>
      <w:r w:rsidRPr="00F83CD8">
        <w:rPr>
          <w:rFonts w:asciiTheme="minorHAnsi" w:hAnsiTheme="minorHAnsi" w:cstheme="minorHAnsi"/>
          <w:sz w:val="22"/>
          <w:szCs w:val="22"/>
        </w:rPr>
        <w:t>, Section 184</w:t>
      </w:r>
      <w:r w:rsidR="00C17FAB" w:rsidRPr="00F83CD8">
        <w:rPr>
          <w:rFonts w:asciiTheme="minorHAnsi" w:hAnsiTheme="minorHAnsi" w:cstheme="minorHAnsi"/>
          <w:sz w:val="22"/>
          <w:szCs w:val="22"/>
        </w:rPr>
        <w:t xml:space="preserve"> (</w:t>
      </w:r>
      <w:r w:rsidRPr="00F83CD8">
        <w:rPr>
          <w:rFonts w:asciiTheme="minorHAnsi" w:hAnsiTheme="minorHAnsi" w:cstheme="minorHAnsi"/>
          <w:sz w:val="22"/>
          <w:szCs w:val="22"/>
        </w:rPr>
        <w:t>Regulation-making power</w:t>
      </w:r>
      <w:r w:rsidR="00C17FAB" w:rsidRPr="00F83CD8">
        <w:rPr>
          <w:rFonts w:asciiTheme="minorHAnsi" w:hAnsiTheme="minorHAnsi" w:cstheme="minorHAnsi"/>
          <w:sz w:val="22"/>
          <w:szCs w:val="22"/>
        </w:rPr>
        <w:t>)</w:t>
      </w:r>
    </w:p>
    <w:p w14:paraId="37283E8E" w14:textId="77777777" w:rsidR="00C17FAB" w:rsidRPr="00F83CD8" w:rsidRDefault="00C17FAB">
      <w:pPr>
        <w:spacing w:before="360"/>
        <w:ind w:right="565"/>
        <w:rPr>
          <w:rFonts w:asciiTheme="minorHAnsi" w:hAnsiTheme="minorHAnsi" w:cstheme="minorHAnsi"/>
          <w:b/>
          <w:bCs/>
          <w:sz w:val="22"/>
          <w:szCs w:val="22"/>
        </w:rPr>
      </w:pPr>
      <w:r w:rsidRPr="00F83CD8">
        <w:rPr>
          <w:rFonts w:asciiTheme="minorHAnsi" w:hAnsiTheme="minorHAnsi" w:cstheme="minorHAnsi"/>
          <w:b/>
          <w:bCs/>
          <w:sz w:val="22"/>
          <w:szCs w:val="22"/>
        </w:rPr>
        <w:t>EXPLANATORY STATEMENT</w:t>
      </w:r>
    </w:p>
    <w:p w14:paraId="1DF48DBA" w14:textId="77777777" w:rsidR="00C17FAB" w:rsidRPr="00F83CD8" w:rsidRDefault="00C17FAB">
      <w:pPr>
        <w:pStyle w:val="N-line3"/>
        <w:pBdr>
          <w:bottom w:val="none" w:sz="0" w:space="0" w:color="auto"/>
        </w:pBdr>
        <w:rPr>
          <w:rFonts w:asciiTheme="minorHAnsi" w:hAnsiTheme="minorHAnsi" w:cstheme="minorHAnsi"/>
          <w:sz w:val="22"/>
          <w:szCs w:val="22"/>
        </w:rPr>
      </w:pPr>
    </w:p>
    <w:p w14:paraId="49EDDEA1" w14:textId="77777777" w:rsidR="00C17FAB" w:rsidRPr="00F83CD8" w:rsidRDefault="00C17FAB">
      <w:pPr>
        <w:pStyle w:val="N-line3"/>
        <w:pBdr>
          <w:top w:val="single" w:sz="12" w:space="1" w:color="auto"/>
          <w:bottom w:val="none" w:sz="0" w:space="0" w:color="auto"/>
        </w:pBdr>
        <w:rPr>
          <w:rFonts w:asciiTheme="minorHAnsi" w:hAnsiTheme="minorHAnsi" w:cstheme="minorHAnsi"/>
          <w:sz w:val="22"/>
          <w:szCs w:val="22"/>
        </w:rPr>
      </w:pPr>
    </w:p>
    <w:bookmarkEnd w:id="0"/>
    <w:p w14:paraId="4E8F324F" w14:textId="4A561182" w:rsidR="0049462B" w:rsidRPr="00F83CD8" w:rsidRDefault="0049462B" w:rsidP="0062615A">
      <w:pPr>
        <w:rPr>
          <w:rFonts w:asciiTheme="minorHAnsi" w:hAnsiTheme="minorHAnsi" w:cstheme="minorHAnsi"/>
          <w:b/>
          <w:bCs/>
          <w:sz w:val="22"/>
          <w:szCs w:val="22"/>
        </w:rPr>
      </w:pPr>
      <w:r w:rsidRPr="00F83CD8">
        <w:rPr>
          <w:rFonts w:asciiTheme="minorHAnsi" w:hAnsiTheme="minorHAnsi" w:cstheme="minorHAnsi"/>
          <w:b/>
          <w:bCs/>
          <w:sz w:val="22"/>
          <w:szCs w:val="22"/>
        </w:rPr>
        <w:t>PURPOSE AND OUTLINE</w:t>
      </w:r>
    </w:p>
    <w:p w14:paraId="4446551B" w14:textId="77777777" w:rsidR="0049462B" w:rsidRPr="00F83CD8" w:rsidRDefault="0049462B" w:rsidP="0062615A">
      <w:pPr>
        <w:rPr>
          <w:rFonts w:asciiTheme="minorHAnsi" w:hAnsiTheme="minorHAnsi" w:cstheme="minorHAnsi"/>
          <w:sz w:val="22"/>
          <w:szCs w:val="22"/>
        </w:rPr>
      </w:pPr>
    </w:p>
    <w:p w14:paraId="279E111F" w14:textId="759F987C" w:rsidR="00CB47BF" w:rsidRPr="00F83CD8" w:rsidRDefault="004D6598" w:rsidP="00CB47BF">
      <w:pPr>
        <w:pStyle w:val="Default"/>
        <w:rPr>
          <w:rFonts w:asciiTheme="minorHAnsi" w:hAnsiTheme="minorHAnsi" w:cstheme="minorHAnsi"/>
          <w:sz w:val="22"/>
          <w:szCs w:val="22"/>
        </w:rPr>
      </w:pPr>
      <w:r w:rsidRPr="00F83CD8">
        <w:rPr>
          <w:rFonts w:asciiTheme="minorHAnsi" w:hAnsiTheme="minorHAnsi" w:cstheme="minorHAnsi"/>
          <w:sz w:val="22"/>
          <w:szCs w:val="22"/>
        </w:rPr>
        <w:t xml:space="preserve">The objective of the </w:t>
      </w:r>
      <w:r w:rsidRPr="00F83CD8">
        <w:rPr>
          <w:rFonts w:asciiTheme="minorHAnsi" w:hAnsiTheme="minorHAnsi" w:cstheme="minorHAnsi"/>
          <w:i/>
          <w:iCs/>
          <w:sz w:val="22"/>
          <w:szCs w:val="22"/>
        </w:rPr>
        <w:t>Medicines, Poisons and Therapeutic Goods Act 2008</w:t>
      </w:r>
      <w:r w:rsidRPr="00F83CD8">
        <w:rPr>
          <w:rFonts w:asciiTheme="minorHAnsi" w:hAnsiTheme="minorHAnsi" w:cstheme="minorHAnsi"/>
          <w:sz w:val="22"/>
          <w:szCs w:val="22"/>
        </w:rPr>
        <w:t xml:space="preserve"> (MPTG</w:t>
      </w:r>
      <w:r w:rsidR="00416248" w:rsidRPr="00F83CD8">
        <w:rPr>
          <w:rFonts w:asciiTheme="minorHAnsi" w:hAnsiTheme="minorHAnsi" w:cstheme="minorHAnsi"/>
          <w:sz w:val="22"/>
          <w:szCs w:val="22"/>
        </w:rPr>
        <w:t> </w:t>
      </w:r>
      <w:r w:rsidRPr="00F83CD8">
        <w:rPr>
          <w:rFonts w:asciiTheme="minorHAnsi" w:hAnsiTheme="minorHAnsi" w:cstheme="minorHAnsi"/>
          <w:sz w:val="22"/>
          <w:szCs w:val="22"/>
        </w:rPr>
        <w:t xml:space="preserve">Act) is to promote and protect public health and safety by minimising medicinal misadventure with, and diversion of, regulated substances, and the manufacture of regulated substances that are subject to abuse. </w:t>
      </w:r>
      <w:r w:rsidR="00CB47BF" w:rsidRPr="00F83CD8">
        <w:rPr>
          <w:rFonts w:asciiTheme="minorHAnsi" w:hAnsiTheme="minorHAnsi" w:cstheme="minorHAnsi"/>
          <w:sz w:val="22"/>
          <w:szCs w:val="22"/>
        </w:rPr>
        <w:t xml:space="preserve">The MPTG Act outlines the appropriate prescription and supply of medicines and defines the concepts of deal, supply, prescribe and administer in relation to medications. </w:t>
      </w:r>
    </w:p>
    <w:p w14:paraId="539F5735" w14:textId="77777777" w:rsidR="004D6598" w:rsidRPr="00F83CD8" w:rsidRDefault="004D6598" w:rsidP="004D6598">
      <w:pPr>
        <w:rPr>
          <w:rFonts w:asciiTheme="minorHAnsi" w:hAnsiTheme="minorHAnsi" w:cstheme="minorHAnsi"/>
          <w:sz w:val="22"/>
          <w:szCs w:val="22"/>
        </w:rPr>
      </w:pPr>
    </w:p>
    <w:p w14:paraId="0B1B438B" w14:textId="2C8AE80D" w:rsidR="00AA5430" w:rsidRDefault="004D6598" w:rsidP="00AA5430">
      <w:pPr>
        <w:pStyle w:val="Default"/>
        <w:rPr>
          <w:rFonts w:asciiTheme="minorHAnsi" w:hAnsiTheme="minorHAnsi" w:cstheme="minorHAnsi"/>
          <w:bCs/>
          <w:sz w:val="22"/>
          <w:szCs w:val="22"/>
        </w:rPr>
      </w:pPr>
      <w:r w:rsidRPr="00F83CD8">
        <w:rPr>
          <w:rFonts w:asciiTheme="minorHAnsi" w:hAnsiTheme="minorHAnsi" w:cstheme="minorHAnsi"/>
          <w:sz w:val="22"/>
          <w:szCs w:val="22"/>
        </w:rPr>
        <w:t>The Medicines, Poisons and Therapeutic Goods Regulation 2008 (MPTG Regulation) provides the detail for the regulatory framework established by the MPTG Act.</w:t>
      </w:r>
      <w:r w:rsidR="002B790A" w:rsidRPr="00F83CD8">
        <w:rPr>
          <w:rFonts w:asciiTheme="minorHAnsi" w:hAnsiTheme="minorHAnsi" w:cstheme="minorHAnsi"/>
          <w:bCs/>
          <w:sz w:val="22"/>
          <w:szCs w:val="22"/>
        </w:rPr>
        <w:t xml:space="preserve"> </w:t>
      </w:r>
      <w:r w:rsidR="008669E6" w:rsidRPr="004728DC">
        <w:rPr>
          <w:rFonts w:asciiTheme="minorHAnsi" w:hAnsiTheme="minorHAnsi" w:cstheme="minorHAnsi"/>
          <w:sz w:val="22"/>
          <w:szCs w:val="22"/>
        </w:rPr>
        <w:t xml:space="preserve">The Poisons Standard </w:t>
      </w:r>
      <w:r w:rsidR="008669E6">
        <w:rPr>
          <w:rFonts w:asciiTheme="minorHAnsi" w:hAnsiTheme="minorHAnsi" w:cstheme="minorHAnsi"/>
          <w:sz w:val="22"/>
          <w:szCs w:val="22"/>
        </w:rPr>
        <w:t>(</w:t>
      </w:r>
      <w:proofErr w:type="spellStart"/>
      <w:r w:rsidR="008669E6">
        <w:rPr>
          <w:rFonts w:asciiTheme="minorHAnsi" w:hAnsiTheme="minorHAnsi" w:cstheme="minorHAnsi"/>
          <w:sz w:val="22"/>
          <w:szCs w:val="22"/>
        </w:rPr>
        <w:t>Cwth</w:t>
      </w:r>
      <w:proofErr w:type="spellEnd"/>
      <w:r w:rsidR="008669E6">
        <w:rPr>
          <w:rFonts w:asciiTheme="minorHAnsi" w:hAnsiTheme="minorHAnsi" w:cstheme="minorHAnsi"/>
          <w:sz w:val="22"/>
          <w:szCs w:val="22"/>
        </w:rPr>
        <w:t xml:space="preserve">) </w:t>
      </w:r>
      <w:r w:rsidR="008669E6" w:rsidRPr="004728DC">
        <w:rPr>
          <w:rFonts w:asciiTheme="minorHAnsi" w:hAnsiTheme="minorHAnsi" w:cstheme="minorHAnsi"/>
          <w:sz w:val="22"/>
          <w:szCs w:val="22"/>
        </w:rPr>
        <w:t>is adopted by reference under Part 3.3 of the M</w:t>
      </w:r>
      <w:r w:rsidR="008669E6">
        <w:rPr>
          <w:rFonts w:asciiTheme="minorHAnsi" w:hAnsiTheme="minorHAnsi" w:cstheme="minorHAnsi"/>
          <w:sz w:val="22"/>
          <w:szCs w:val="22"/>
        </w:rPr>
        <w:t>PTG</w:t>
      </w:r>
      <w:r w:rsidR="008669E6" w:rsidRPr="004728DC">
        <w:rPr>
          <w:rFonts w:asciiTheme="minorHAnsi" w:hAnsiTheme="minorHAnsi" w:cstheme="minorHAnsi"/>
          <w:sz w:val="22"/>
          <w:szCs w:val="22"/>
        </w:rPr>
        <w:t xml:space="preserve"> Act.</w:t>
      </w:r>
      <w:r w:rsidR="008669E6">
        <w:rPr>
          <w:rFonts w:asciiTheme="minorHAnsi" w:hAnsiTheme="minorHAnsi" w:cstheme="minorHAnsi"/>
          <w:bCs/>
          <w:sz w:val="22"/>
          <w:szCs w:val="22"/>
        </w:rPr>
        <w:t xml:space="preserve"> </w:t>
      </w:r>
      <w:r w:rsidR="002B790A" w:rsidRPr="00F83CD8">
        <w:rPr>
          <w:rFonts w:asciiTheme="minorHAnsi" w:hAnsiTheme="minorHAnsi" w:cstheme="minorHAnsi"/>
          <w:bCs/>
          <w:sz w:val="22"/>
          <w:szCs w:val="22"/>
        </w:rPr>
        <w:t>With reference to medicine and poisons categorised by the Poisons Standard, t</w:t>
      </w:r>
      <w:r w:rsidR="00AA5430" w:rsidRPr="00F83CD8">
        <w:rPr>
          <w:rFonts w:asciiTheme="minorHAnsi" w:hAnsiTheme="minorHAnsi" w:cstheme="minorHAnsi"/>
          <w:bCs/>
          <w:sz w:val="22"/>
          <w:szCs w:val="22"/>
        </w:rPr>
        <w:t xml:space="preserve">he MPTG Regulation sets out which health professionals </w:t>
      </w:r>
      <w:r w:rsidR="002547BC" w:rsidRPr="00F83CD8">
        <w:rPr>
          <w:rFonts w:asciiTheme="minorHAnsi" w:hAnsiTheme="minorHAnsi" w:cstheme="minorHAnsi"/>
          <w:bCs/>
          <w:sz w:val="22"/>
          <w:szCs w:val="22"/>
        </w:rPr>
        <w:t>can</w:t>
      </w:r>
      <w:r w:rsidR="00AA5430" w:rsidRPr="00F83CD8">
        <w:rPr>
          <w:rFonts w:asciiTheme="minorHAnsi" w:hAnsiTheme="minorHAnsi" w:cstheme="minorHAnsi"/>
          <w:bCs/>
          <w:sz w:val="22"/>
          <w:szCs w:val="22"/>
        </w:rPr>
        <w:t xml:space="preserve"> </w:t>
      </w:r>
      <w:r w:rsidR="002B790A" w:rsidRPr="00F83CD8">
        <w:rPr>
          <w:rFonts w:asciiTheme="minorHAnsi" w:hAnsiTheme="minorHAnsi" w:cstheme="minorHAnsi"/>
          <w:bCs/>
          <w:sz w:val="22"/>
          <w:szCs w:val="22"/>
        </w:rPr>
        <w:t>deal with</w:t>
      </w:r>
      <w:r w:rsidR="00AA5430" w:rsidRPr="00F83CD8">
        <w:rPr>
          <w:rFonts w:asciiTheme="minorHAnsi" w:hAnsiTheme="minorHAnsi" w:cstheme="minorHAnsi"/>
          <w:bCs/>
          <w:sz w:val="22"/>
          <w:szCs w:val="22"/>
        </w:rPr>
        <w:t xml:space="preserve"> a medicine</w:t>
      </w:r>
      <w:r w:rsidR="002B790A" w:rsidRPr="00F83CD8">
        <w:rPr>
          <w:rFonts w:asciiTheme="minorHAnsi" w:hAnsiTheme="minorHAnsi" w:cstheme="minorHAnsi"/>
          <w:bCs/>
          <w:sz w:val="22"/>
          <w:szCs w:val="22"/>
        </w:rPr>
        <w:t xml:space="preserve"> and</w:t>
      </w:r>
      <w:r w:rsidR="00120291" w:rsidRPr="00F83CD8">
        <w:rPr>
          <w:rFonts w:asciiTheme="minorHAnsi" w:hAnsiTheme="minorHAnsi" w:cstheme="minorHAnsi"/>
          <w:bCs/>
          <w:sz w:val="22"/>
          <w:szCs w:val="22"/>
        </w:rPr>
        <w:t xml:space="preserve"> the</w:t>
      </w:r>
      <w:r w:rsidR="00AA5430" w:rsidRPr="00F83CD8">
        <w:rPr>
          <w:rFonts w:asciiTheme="minorHAnsi" w:hAnsiTheme="minorHAnsi" w:cstheme="minorHAnsi"/>
          <w:bCs/>
          <w:sz w:val="22"/>
          <w:szCs w:val="22"/>
        </w:rPr>
        <w:t xml:space="preserve"> conditions </w:t>
      </w:r>
      <w:r w:rsidR="00120291" w:rsidRPr="00F83CD8">
        <w:rPr>
          <w:rFonts w:asciiTheme="minorHAnsi" w:hAnsiTheme="minorHAnsi" w:cstheme="minorHAnsi"/>
          <w:bCs/>
          <w:sz w:val="22"/>
          <w:szCs w:val="22"/>
        </w:rPr>
        <w:t>for</w:t>
      </w:r>
      <w:r w:rsidR="00AA5430" w:rsidRPr="00F83CD8">
        <w:rPr>
          <w:rFonts w:asciiTheme="minorHAnsi" w:hAnsiTheme="minorHAnsi" w:cstheme="minorHAnsi"/>
          <w:bCs/>
          <w:sz w:val="22"/>
          <w:szCs w:val="22"/>
        </w:rPr>
        <w:t xml:space="preserve"> such dealings. Some provisions of the MPTG Regulation also prescribe additional information required for licences or authorisations.</w:t>
      </w:r>
    </w:p>
    <w:p w14:paraId="1082876B" w14:textId="7A91D85A" w:rsidR="002518C0" w:rsidRPr="00F83CD8" w:rsidRDefault="002518C0" w:rsidP="00AA5430">
      <w:pPr>
        <w:pStyle w:val="Default"/>
        <w:rPr>
          <w:rFonts w:asciiTheme="minorHAnsi" w:hAnsiTheme="minorHAnsi" w:cstheme="minorHAnsi"/>
          <w:bCs/>
          <w:sz w:val="22"/>
          <w:szCs w:val="22"/>
        </w:rPr>
      </w:pPr>
    </w:p>
    <w:p w14:paraId="4825F5A6" w14:textId="6C48EFE1" w:rsidR="002518C0" w:rsidRDefault="002518C0" w:rsidP="00AA5430">
      <w:pPr>
        <w:pStyle w:val="Default"/>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t>Overview</w:t>
      </w:r>
      <w:r w:rsidR="009451C4">
        <w:rPr>
          <w:rFonts w:asciiTheme="minorHAnsi" w:hAnsiTheme="minorHAnsi" w:cstheme="minorHAnsi"/>
          <w:b/>
          <w:bCs/>
          <w:sz w:val="22"/>
          <w:szCs w:val="22"/>
          <w:u w:val="single"/>
        </w:rPr>
        <w:t xml:space="preserve"> of amendments</w:t>
      </w:r>
    </w:p>
    <w:p w14:paraId="45278A44" w14:textId="18F0328A" w:rsidR="00424A95" w:rsidRDefault="00424A95" w:rsidP="00AA5430">
      <w:pPr>
        <w:pStyle w:val="Default"/>
        <w:rPr>
          <w:rFonts w:asciiTheme="minorHAnsi" w:hAnsiTheme="minorHAnsi" w:cstheme="minorHAnsi"/>
          <w:b/>
          <w:bCs/>
          <w:sz w:val="22"/>
          <w:szCs w:val="22"/>
          <w:u w:val="single"/>
        </w:rPr>
      </w:pPr>
    </w:p>
    <w:p w14:paraId="252725F5" w14:textId="643056D8" w:rsidR="00D10289" w:rsidRPr="004728DC" w:rsidRDefault="00D10289" w:rsidP="00D10289">
      <w:pPr>
        <w:pStyle w:val="Default"/>
      </w:pPr>
      <w:r w:rsidRPr="00A24BC4">
        <w:rPr>
          <w:rFonts w:asciiTheme="minorHAnsi" w:hAnsiTheme="minorHAnsi" w:cstheme="minorHAnsi"/>
          <w:sz w:val="22"/>
          <w:szCs w:val="22"/>
        </w:rPr>
        <w:t xml:space="preserve">Under Division 13.1.3 of the MPTG Regulation, a person may apply to the Chief Health Officer (CHO) for approval to prescribe a controlled medicine. Applications are processed by ACT Health </w:t>
      </w:r>
      <w:r w:rsidR="005C488E">
        <w:rPr>
          <w:rFonts w:asciiTheme="minorHAnsi" w:hAnsiTheme="minorHAnsi" w:cstheme="minorHAnsi"/>
          <w:sz w:val="22"/>
          <w:szCs w:val="22"/>
        </w:rPr>
        <w:t xml:space="preserve">Directorate (ACTHD) </w:t>
      </w:r>
      <w:r w:rsidRPr="00A24BC4">
        <w:rPr>
          <w:rFonts w:asciiTheme="minorHAnsi" w:hAnsiTheme="minorHAnsi" w:cstheme="minorHAnsi"/>
          <w:sz w:val="22"/>
          <w:szCs w:val="22"/>
        </w:rPr>
        <w:t>staff as CHO delegates. In processing applications, CHO delegates are required to consider the objectives of the MPTG Act and follow any relevant guidelines or standards published under sections 574 – 575 of the MPTG Regulation.</w:t>
      </w:r>
      <w:r w:rsidRPr="00424A95">
        <w:rPr>
          <w:rFonts w:asciiTheme="minorHAnsi" w:hAnsiTheme="minorHAnsi" w:cstheme="minorHAnsi"/>
          <w:sz w:val="22"/>
          <w:szCs w:val="22"/>
        </w:rPr>
        <w:t xml:space="preserve"> </w:t>
      </w:r>
      <w:r w:rsidRPr="004728DC">
        <w:rPr>
          <w:rFonts w:asciiTheme="minorHAnsi" w:hAnsiTheme="minorHAnsi" w:cstheme="minorHAnsi"/>
          <w:sz w:val="22"/>
          <w:szCs w:val="22"/>
        </w:rPr>
        <w:t>Applications approved by CHO delegates under Division 13.1.3 MPTG Regulation are entered into the Monitored Medicines Database.</w:t>
      </w:r>
    </w:p>
    <w:p w14:paraId="1300C790" w14:textId="77777777" w:rsidR="00D10289" w:rsidRDefault="00D10289" w:rsidP="00D10289">
      <w:pPr>
        <w:pStyle w:val="Default"/>
        <w:rPr>
          <w:rFonts w:asciiTheme="minorHAnsi" w:hAnsiTheme="minorHAnsi" w:cstheme="minorHAnsi"/>
          <w:sz w:val="22"/>
          <w:szCs w:val="22"/>
        </w:rPr>
      </w:pPr>
    </w:p>
    <w:p w14:paraId="1C13E325" w14:textId="16C505A3" w:rsidR="00D10289" w:rsidRDefault="00D10289" w:rsidP="00D10289">
      <w:pPr>
        <w:pStyle w:val="Default"/>
        <w:rPr>
          <w:rFonts w:asciiTheme="minorHAnsi" w:hAnsiTheme="minorHAnsi" w:cstheme="minorHAnsi"/>
          <w:sz w:val="22"/>
          <w:szCs w:val="22"/>
        </w:rPr>
      </w:pPr>
      <w:r w:rsidRPr="001E7F16">
        <w:rPr>
          <w:rFonts w:asciiTheme="minorHAnsi" w:hAnsiTheme="minorHAnsi" w:cstheme="minorHAnsi"/>
          <w:sz w:val="22"/>
          <w:szCs w:val="22"/>
        </w:rPr>
        <w:t>A person may not be required to seek approval to prescribe a controlled medicine if the prescription relates to an in-patient at a hospital or for short-term treatment not exceed</w:t>
      </w:r>
      <w:r w:rsidR="008669E6" w:rsidRPr="001E7F16">
        <w:rPr>
          <w:rFonts w:asciiTheme="minorHAnsi" w:hAnsiTheme="minorHAnsi" w:cstheme="minorHAnsi"/>
          <w:sz w:val="22"/>
          <w:szCs w:val="22"/>
        </w:rPr>
        <w:t>ing</w:t>
      </w:r>
      <w:r w:rsidRPr="001E7F16">
        <w:rPr>
          <w:rFonts w:asciiTheme="minorHAnsi" w:hAnsiTheme="minorHAnsi" w:cstheme="minorHAnsi"/>
          <w:sz w:val="22"/>
          <w:szCs w:val="22"/>
        </w:rPr>
        <w:t xml:space="preserve"> two months in length (standing approvals). Prescribers and pharmacists are not currently obliged to consult the monitored medicines database before prescribing or dispensing controlled medicines.</w:t>
      </w:r>
      <w:r w:rsidRPr="00424A95">
        <w:rPr>
          <w:rFonts w:asciiTheme="minorHAnsi" w:hAnsiTheme="minorHAnsi" w:cstheme="minorHAnsi"/>
          <w:sz w:val="22"/>
          <w:szCs w:val="22"/>
        </w:rPr>
        <w:t xml:space="preserve"> </w:t>
      </w:r>
    </w:p>
    <w:p w14:paraId="6FEFBC9B" w14:textId="0F8194A5" w:rsidR="00424A95" w:rsidRPr="004728DC" w:rsidRDefault="00424A95" w:rsidP="00424A95">
      <w:pPr>
        <w:pStyle w:val="Default"/>
        <w:rPr>
          <w:rFonts w:asciiTheme="minorHAnsi" w:hAnsiTheme="minorHAnsi" w:cstheme="minorHAnsi"/>
          <w:sz w:val="22"/>
          <w:szCs w:val="22"/>
        </w:rPr>
      </w:pPr>
      <w:r w:rsidRPr="004728DC">
        <w:rPr>
          <w:rFonts w:asciiTheme="minorHAnsi" w:hAnsiTheme="minorHAnsi" w:cstheme="minorHAnsi"/>
          <w:sz w:val="22"/>
          <w:szCs w:val="22"/>
        </w:rPr>
        <w:lastRenderedPageBreak/>
        <w:t xml:space="preserve">On 3 February 2023, the Therapeutic Goods Administration (TGA) announced their final decision regarding the </w:t>
      </w:r>
      <w:r w:rsidRPr="008669E6">
        <w:rPr>
          <w:rFonts w:asciiTheme="minorHAnsi" w:hAnsiTheme="minorHAnsi" w:cstheme="minorHAnsi"/>
          <w:sz w:val="22"/>
          <w:szCs w:val="22"/>
        </w:rPr>
        <w:t xml:space="preserve">rescheduling of psilocybin and 3,4-methylenedioxy-methamphetamine </w:t>
      </w:r>
      <w:r w:rsidR="008435D7" w:rsidRPr="008669E6">
        <w:rPr>
          <w:rFonts w:asciiTheme="minorHAnsi" w:hAnsiTheme="minorHAnsi" w:cstheme="minorHAnsi"/>
          <w:sz w:val="22"/>
          <w:szCs w:val="22"/>
        </w:rPr>
        <w:t xml:space="preserve">(MDMA) </w:t>
      </w:r>
      <w:r w:rsidRPr="008669E6">
        <w:rPr>
          <w:rFonts w:asciiTheme="minorHAnsi" w:hAnsiTheme="minorHAnsi" w:cstheme="minorHAnsi"/>
          <w:sz w:val="22"/>
          <w:szCs w:val="22"/>
        </w:rPr>
        <w:t xml:space="preserve">in the Poisons Standard as a Schedule 8 substance (controlled medicine) in defined circumstances.  </w:t>
      </w:r>
    </w:p>
    <w:p w14:paraId="5B2370DB" w14:textId="77777777" w:rsidR="00424A95" w:rsidRPr="004728DC" w:rsidRDefault="00424A95" w:rsidP="00424A95">
      <w:pPr>
        <w:pStyle w:val="Default"/>
        <w:rPr>
          <w:rFonts w:asciiTheme="minorHAnsi" w:hAnsiTheme="minorHAnsi" w:cstheme="minorHAnsi"/>
          <w:sz w:val="22"/>
          <w:szCs w:val="22"/>
        </w:rPr>
      </w:pPr>
    </w:p>
    <w:p w14:paraId="79AD66C9" w14:textId="2C0741A3" w:rsidR="00424A95" w:rsidRDefault="000958CC" w:rsidP="00424A95">
      <w:pPr>
        <w:pStyle w:val="Default"/>
        <w:rPr>
          <w:rFonts w:asciiTheme="minorHAnsi" w:hAnsiTheme="minorHAnsi" w:cstheme="minorHAnsi"/>
          <w:sz w:val="22"/>
          <w:szCs w:val="22"/>
        </w:rPr>
      </w:pPr>
      <w:r>
        <w:rPr>
          <w:rFonts w:asciiTheme="minorHAnsi" w:hAnsiTheme="minorHAnsi" w:cstheme="minorHAnsi"/>
          <w:sz w:val="22"/>
          <w:szCs w:val="22"/>
        </w:rPr>
        <w:t>T</w:t>
      </w:r>
      <w:r w:rsidR="00424A95" w:rsidRPr="004728DC">
        <w:rPr>
          <w:rFonts w:asciiTheme="minorHAnsi" w:hAnsiTheme="minorHAnsi" w:cstheme="minorHAnsi"/>
          <w:sz w:val="22"/>
          <w:szCs w:val="22"/>
        </w:rPr>
        <w:t xml:space="preserve">he TGA decisions will permit prescribing of MDMA for the treatment of post-traumatic stress disorder (PTSD) and psilocybin for treatment-resistant depression (TRD) by psychiatrists who are specifically authorised under the TGA’s Authorised Prescriber scheme, effective from 1 July 2023. </w:t>
      </w:r>
    </w:p>
    <w:p w14:paraId="2D6DE328" w14:textId="6BB0404F" w:rsidR="00DF6935" w:rsidRDefault="00DF6935" w:rsidP="00424A95">
      <w:pPr>
        <w:pStyle w:val="Default"/>
        <w:rPr>
          <w:rFonts w:asciiTheme="minorHAnsi" w:hAnsiTheme="minorHAnsi" w:cstheme="minorHAnsi"/>
          <w:sz w:val="22"/>
          <w:szCs w:val="22"/>
        </w:rPr>
      </w:pPr>
    </w:p>
    <w:p w14:paraId="639FFB2D" w14:textId="17DB59B6" w:rsidR="00DF6935" w:rsidRPr="004728DC" w:rsidRDefault="00DF6935" w:rsidP="00424A95">
      <w:pPr>
        <w:pStyle w:val="Default"/>
        <w:rPr>
          <w:rFonts w:asciiTheme="minorHAnsi" w:hAnsiTheme="minorHAnsi" w:cstheme="minorHAnsi"/>
          <w:sz w:val="22"/>
          <w:szCs w:val="22"/>
        </w:rPr>
      </w:pPr>
      <w:r>
        <w:rPr>
          <w:rFonts w:asciiTheme="minorHAnsi" w:hAnsiTheme="minorHAnsi" w:cstheme="minorHAnsi"/>
          <w:sz w:val="22"/>
          <w:szCs w:val="22"/>
        </w:rPr>
        <w:t>Should</w:t>
      </w:r>
      <w:r w:rsidRPr="00DF6935">
        <w:rPr>
          <w:rFonts w:asciiTheme="minorHAnsi" w:hAnsiTheme="minorHAnsi" w:cstheme="minorHAnsi"/>
          <w:sz w:val="22"/>
          <w:szCs w:val="22"/>
        </w:rPr>
        <w:t xml:space="preserve"> MDMA or psilocybin </w:t>
      </w:r>
      <w:r w:rsidR="007E470E">
        <w:rPr>
          <w:rFonts w:asciiTheme="minorHAnsi" w:hAnsiTheme="minorHAnsi" w:cstheme="minorHAnsi"/>
          <w:sz w:val="22"/>
          <w:szCs w:val="22"/>
        </w:rPr>
        <w:t>be</w:t>
      </w:r>
      <w:r w:rsidR="009C458E">
        <w:rPr>
          <w:rFonts w:asciiTheme="minorHAnsi" w:hAnsiTheme="minorHAnsi" w:cstheme="minorHAnsi"/>
          <w:sz w:val="22"/>
          <w:szCs w:val="22"/>
        </w:rPr>
        <w:t xml:space="preserve"> </w:t>
      </w:r>
      <w:r w:rsidRPr="00DF6935">
        <w:rPr>
          <w:rFonts w:asciiTheme="minorHAnsi" w:hAnsiTheme="minorHAnsi" w:cstheme="minorHAnsi"/>
          <w:sz w:val="22"/>
          <w:szCs w:val="22"/>
        </w:rPr>
        <w:t xml:space="preserve">prescribed under an existing standing approval (Division 13.1.2), bypassing the CHO application pathway (Division 13.1.3), there is </w:t>
      </w:r>
      <w:r w:rsidR="007E470E">
        <w:rPr>
          <w:rFonts w:asciiTheme="minorHAnsi" w:hAnsiTheme="minorHAnsi" w:cstheme="minorHAnsi"/>
          <w:sz w:val="22"/>
          <w:szCs w:val="22"/>
        </w:rPr>
        <w:t xml:space="preserve">the </w:t>
      </w:r>
      <w:r w:rsidRPr="00DF6935">
        <w:rPr>
          <w:rFonts w:asciiTheme="minorHAnsi" w:hAnsiTheme="minorHAnsi" w:cstheme="minorHAnsi"/>
          <w:sz w:val="22"/>
          <w:szCs w:val="22"/>
        </w:rPr>
        <w:t>potential for these medicines to be used in conjunction with other prescribed therapies. However, it is important to recogni</w:t>
      </w:r>
      <w:r w:rsidR="009C458E">
        <w:rPr>
          <w:rFonts w:asciiTheme="minorHAnsi" w:hAnsiTheme="minorHAnsi" w:cstheme="minorHAnsi"/>
          <w:sz w:val="22"/>
          <w:szCs w:val="22"/>
        </w:rPr>
        <w:t>s</w:t>
      </w:r>
      <w:r w:rsidRPr="00DF6935">
        <w:rPr>
          <w:rFonts w:asciiTheme="minorHAnsi" w:hAnsiTheme="minorHAnsi" w:cstheme="minorHAnsi"/>
          <w:sz w:val="22"/>
          <w:szCs w:val="22"/>
        </w:rPr>
        <w:t>e that combining these substances with certain prescribed medicines can pose significant risks and potential harm to patients. It is this concern that</w:t>
      </w:r>
      <w:r w:rsidR="00D5732D">
        <w:rPr>
          <w:rFonts w:asciiTheme="minorHAnsi" w:hAnsiTheme="minorHAnsi" w:cstheme="minorHAnsi"/>
          <w:sz w:val="22"/>
          <w:szCs w:val="22"/>
        </w:rPr>
        <w:t xml:space="preserve"> has prompted the </w:t>
      </w:r>
      <w:r w:rsidRPr="00DF6935">
        <w:rPr>
          <w:rFonts w:asciiTheme="minorHAnsi" w:hAnsiTheme="minorHAnsi" w:cstheme="minorHAnsi"/>
          <w:sz w:val="22"/>
          <w:szCs w:val="22"/>
        </w:rPr>
        <w:t>regulatory amendment.</w:t>
      </w:r>
    </w:p>
    <w:p w14:paraId="5913C64D" w14:textId="1DC2CE7B" w:rsidR="006C6C3B" w:rsidRPr="004728DC" w:rsidRDefault="006C6C3B" w:rsidP="002B5258">
      <w:pPr>
        <w:pStyle w:val="Default"/>
        <w:rPr>
          <w:rFonts w:asciiTheme="minorHAnsi" w:hAnsiTheme="minorHAnsi" w:cstheme="minorHAnsi"/>
          <w:sz w:val="22"/>
          <w:szCs w:val="22"/>
        </w:rPr>
      </w:pPr>
    </w:p>
    <w:p w14:paraId="00C9C51F" w14:textId="7443C4EE" w:rsidR="00DF6935" w:rsidRDefault="009C458E" w:rsidP="002B5258">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6A6EAC" w:rsidRPr="004728DC">
        <w:rPr>
          <w:rFonts w:asciiTheme="minorHAnsi" w:hAnsiTheme="minorHAnsi" w:cstheme="minorHAnsi"/>
          <w:sz w:val="22"/>
          <w:szCs w:val="22"/>
        </w:rPr>
        <w:t>Medicines, Poisons and Therapeutic Goods Amendment Regulation 2023 (No 2) (</w:t>
      </w:r>
      <w:r w:rsidR="00CE0F5F">
        <w:rPr>
          <w:rFonts w:asciiTheme="minorHAnsi" w:hAnsiTheme="minorHAnsi" w:cstheme="minorHAnsi"/>
          <w:sz w:val="22"/>
          <w:szCs w:val="22"/>
        </w:rPr>
        <w:t>A</w:t>
      </w:r>
      <w:r w:rsidR="006A6EAC" w:rsidRPr="004728DC">
        <w:rPr>
          <w:rFonts w:asciiTheme="minorHAnsi" w:hAnsiTheme="minorHAnsi" w:cstheme="minorHAnsi"/>
          <w:sz w:val="22"/>
          <w:szCs w:val="22"/>
        </w:rPr>
        <w:t xml:space="preserve">mendment </w:t>
      </w:r>
      <w:r w:rsidR="00CE0F5F">
        <w:rPr>
          <w:rFonts w:asciiTheme="minorHAnsi" w:hAnsiTheme="minorHAnsi" w:cstheme="minorHAnsi"/>
          <w:sz w:val="22"/>
          <w:szCs w:val="22"/>
        </w:rPr>
        <w:t>R</w:t>
      </w:r>
      <w:r w:rsidR="006A6EAC" w:rsidRPr="004728DC">
        <w:rPr>
          <w:rFonts w:asciiTheme="minorHAnsi" w:hAnsiTheme="minorHAnsi" w:cstheme="minorHAnsi"/>
          <w:sz w:val="22"/>
          <w:szCs w:val="22"/>
        </w:rPr>
        <w:t>egulation) seeks to amend the MPTG Regulation to enable the CHO to declare (via notifiable instrument) a controlled medicin</w:t>
      </w:r>
      <w:r w:rsidR="008435D7">
        <w:rPr>
          <w:rFonts w:asciiTheme="minorHAnsi" w:hAnsiTheme="minorHAnsi" w:cstheme="minorHAnsi"/>
          <w:sz w:val="22"/>
          <w:szCs w:val="22"/>
        </w:rPr>
        <w:t>e to</w:t>
      </w:r>
      <w:r w:rsidR="006A6EAC" w:rsidRPr="004728DC">
        <w:rPr>
          <w:rFonts w:asciiTheme="minorHAnsi" w:hAnsiTheme="minorHAnsi" w:cstheme="minorHAnsi"/>
          <w:sz w:val="22"/>
          <w:szCs w:val="22"/>
        </w:rPr>
        <w:t xml:space="preserve"> not be within the scope of Division 13.1.2. </w:t>
      </w:r>
      <w:r w:rsidR="00DF6935" w:rsidRPr="00DF6935">
        <w:rPr>
          <w:rFonts w:asciiTheme="minorHAnsi" w:hAnsiTheme="minorHAnsi" w:cstheme="minorHAnsi"/>
          <w:sz w:val="22"/>
          <w:szCs w:val="22"/>
        </w:rPr>
        <w:t>This mechanism grants the CHO the ability to declare</w:t>
      </w:r>
      <w:r w:rsidR="00DF6935">
        <w:rPr>
          <w:rFonts w:asciiTheme="minorHAnsi" w:hAnsiTheme="minorHAnsi" w:cstheme="minorHAnsi"/>
          <w:sz w:val="22"/>
          <w:szCs w:val="22"/>
        </w:rPr>
        <w:t xml:space="preserve"> in the future</w:t>
      </w:r>
      <w:r w:rsidR="00DF6935" w:rsidRPr="00DF6935">
        <w:rPr>
          <w:rFonts w:asciiTheme="minorHAnsi" w:hAnsiTheme="minorHAnsi" w:cstheme="minorHAnsi"/>
          <w:sz w:val="22"/>
          <w:szCs w:val="22"/>
        </w:rPr>
        <w:t xml:space="preserve">, any substance that necessitates exclusion from </w:t>
      </w:r>
      <w:r w:rsidR="00DF6935">
        <w:rPr>
          <w:rFonts w:asciiTheme="minorHAnsi" w:hAnsiTheme="minorHAnsi" w:cstheme="minorHAnsi"/>
          <w:sz w:val="22"/>
          <w:szCs w:val="22"/>
        </w:rPr>
        <w:t>standing</w:t>
      </w:r>
      <w:r w:rsidR="00DF6935" w:rsidRPr="00DF6935">
        <w:rPr>
          <w:rFonts w:asciiTheme="minorHAnsi" w:hAnsiTheme="minorHAnsi" w:cstheme="minorHAnsi"/>
          <w:sz w:val="22"/>
          <w:szCs w:val="22"/>
        </w:rPr>
        <w:t xml:space="preserve"> approvals</w:t>
      </w:r>
      <w:r w:rsidR="00DF6935">
        <w:rPr>
          <w:rFonts w:asciiTheme="minorHAnsi" w:hAnsiTheme="minorHAnsi" w:cstheme="minorHAnsi"/>
          <w:sz w:val="22"/>
          <w:szCs w:val="22"/>
        </w:rPr>
        <w:t xml:space="preserve">. </w:t>
      </w:r>
      <w:r w:rsidR="00DF6935" w:rsidRPr="00DF6935">
        <w:rPr>
          <w:rFonts w:asciiTheme="minorHAnsi" w:hAnsiTheme="minorHAnsi" w:cstheme="minorHAnsi"/>
          <w:sz w:val="22"/>
          <w:szCs w:val="22"/>
        </w:rPr>
        <w:t xml:space="preserve"> </w:t>
      </w:r>
      <w:r w:rsidR="002012FF" w:rsidRPr="00DF6935">
        <w:rPr>
          <w:rFonts w:asciiTheme="minorHAnsi" w:hAnsiTheme="minorHAnsi" w:cstheme="minorHAnsi"/>
          <w:sz w:val="22"/>
          <w:szCs w:val="22"/>
        </w:rPr>
        <w:t>If</w:t>
      </w:r>
      <w:r w:rsidR="00DF6935" w:rsidRPr="00DF6935">
        <w:rPr>
          <w:rFonts w:asciiTheme="minorHAnsi" w:hAnsiTheme="minorHAnsi" w:cstheme="minorHAnsi"/>
          <w:sz w:val="22"/>
          <w:szCs w:val="22"/>
        </w:rPr>
        <w:t xml:space="preserve"> </w:t>
      </w:r>
      <w:r w:rsidR="00DF6935">
        <w:rPr>
          <w:rFonts w:asciiTheme="minorHAnsi" w:hAnsiTheme="minorHAnsi" w:cstheme="minorHAnsi"/>
          <w:sz w:val="22"/>
          <w:szCs w:val="22"/>
        </w:rPr>
        <w:t>further</w:t>
      </w:r>
      <w:r w:rsidR="00DF6935" w:rsidRPr="00DF6935">
        <w:rPr>
          <w:rFonts w:asciiTheme="minorHAnsi" w:hAnsiTheme="minorHAnsi" w:cstheme="minorHAnsi"/>
          <w:sz w:val="22"/>
          <w:szCs w:val="22"/>
        </w:rPr>
        <w:t xml:space="preserve"> clinical evidence or guidance arises for these products, the notifiable instrument that declares their exclusion can be </w:t>
      </w:r>
      <w:r w:rsidR="004C21E7">
        <w:rPr>
          <w:rFonts w:asciiTheme="minorHAnsi" w:hAnsiTheme="minorHAnsi" w:cstheme="minorHAnsi"/>
          <w:sz w:val="22"/>
          <w:szCs w:val="22"/>
        </w:rPr>
        <w:t>re</w:t>
      </w:r>
      <w:r w:rsidR="00DF6935" w:rsidRPr="00DF6935">
        <w:rPr>
          <w:rFonts w:asciiTheme="minorHAnsi" w:hAnsiTheme="minorHAnsi" w:cstheme="minorHAnsi"/>
          <w:sz w:val="22"/>
          <w:szCs w:val="22"/>
        </w:rPr>
        <w:t>peal</w:t>
      </w:r>
      <w:r w:rsidR="00DF6935">
        <w:rPr>
          <w:rFonts w:asciiTheme="minorHAnsi" w:hAnsiTheme="minorHAnsi" w:cstheme="minorHAnsi"/>
          <w:sz w:val="22"/>
          <w:szCs w:val="22"/>
        </w:rPr>
        <w:t xml:space="preserve">ed. </w:t>
      </w:r>
    </w:p>
    <w:p w14:paraId="5CA05CAE" w14:textId="77777777" w:rsidR="008435D7" w:rsidRDefault="008435D7" w:rsidP="002B5258">
      <w:pPr>
        <w:pStyle w:val="Default"/>
        <w:rPr>
          <w:rFonts w:asciiTheme="minorHAnsi" w:hAnsiTheme="minorHAnsi" w:cstheme="minorHAnsi"/>
          <w:sz w:val="22"/>
          <w:szCs w:val="22"/>
        </w:rPr>
      </w:pPr>
    </w:p>
    <w:p w14:paraId="55781621" w14:textId="32F0ADF3" w:rsidR="00424A95" w:rsidRDefault="006A6EAC" w:rsidP="002B5258">
      <w:pPr>
        <w:pStyle w:val="Default"/>
        <w:rPr>
          <w:rFonts w:asciiTheme="minorHAnsi" w:hAnsiTheme="minorHAnsi" w:cstheme="minorHAnsi"/>
          <w:sz w:val="22"/>
          <w:szCs w:val="22"/>
        </w:rPr>
      </w:pPr>
      <w:r w:rsidRPr="004728DC">
        <w:rPr>
          <w:rFonts w:asciiTheme="minorHAnsi" w:hAnsiTheme="minorHAnsi" w:cstheme="minorHAnsi"/>
          <w:sz w:val="22"/>
          <w:szCs w:val="22"/>
        </w:rPr>
        <w:t xml:space="preserve">The </w:t>
      </w:r>
      <w:r w:rsidR="00CE0F5F">
        <w:rPr>
          <w:rFonts w:asciiTheme="minorHAnsi" w:hAnsiTheme="minorHAnsi" w:cstheme="minorHAnsi"/>
          <w:sz w:val="22"/>
          <w:szCs w:val="22"/>
        </w:rPr>
        <w:t>A</w:t>
      </w:r>
      <w:r w:rsidRPr="004728DC">
        <w:rPr>
          <w:rFonts w:asciiTheme="minorHAnsi" w:hAnsiTheme="minorHAnsi" w:cstheme="minorHAnsi"/>
          <w:sz w:val="22"/>
          <w:szCs w:val="22"/>
        </w:rPr>
        <w:t xml:space="preserve">mendment </w:t>
      </w:r>
      <w:r w:rsidR="00CE0F5F">
        <w:rPr>
          <w:rFonts w:asciiTheme="minorHAnsi" w:hAnsiTheme="minorHAnsi" w:cstheme="minorHAnsi"/>
          <w:sz w:val="22"/>
          <w:szCs w:val="22"/>
        </w:rPr>
        <w:t>R</w:t>
      </w:r>
      <w:r w:rsidRPr="004728DC">
        <w:rPr>
          <w:rFonts w:asciiTheme="minorHAnsi" w:hAnsiTheme="minorHAnsi" w:cstheme="minorHAnsi"/>
          <w:sz w:val="22"/>
          <w:szCs w:val="22"/>
        </w:rPr>
        <w:t xml:space="preserve">egulation </w:t>
      </w:r>
      <w:r w:rsidR="004728DC" w:rsidRPr="004728DC">
        <w:rPr>
          <w:rFonts w:asciiTheme="minorHAnsi" w:hAnsiTheme="minorHAnsi" w:cstheme="minorHAnsi"/>
          <w:sz w:val="22"/>
          <w:szCs w:val="22"/>
        </w:rPr>
        <w:t xml:space="preserve">will allow the CHO to declare MDMA and psilocybin to be exempt from Division 13.1.2, and therefore require CHO approval in all circumstances. </w:t>
      </w:r>
      <w:r w:rsidR="00DB5929">
        <w:rPr>
          <w:rFonts w:asciiTheme="minorHAnsi" w:hAnsiTheme="minorHAnsi" w:cstheme="minorHAnsi"/>
          <w:sz w:val="22"/>
          <w:szCs w:val="22"/>
        </w:rPr>
        <w:t xml:space="preserve">Requiring CHO approval will ensure all prescriptions for MDMA and psilocybin are entered into the Monitored Medicines Database. </w:t>
      </w:r>
      <w:r w:rsidR="00424A95" w:rsidRPr="004728DC">
        <w:rPr>
          <w:rFonts w:asciiTheme="minorHAnsi" w:hAnsiTheme="minorHAnsi" w:cstheme="minorHAnsi"/>
          <w:sz w:val="22"/>
          <w:szCs w:val="22"/>
        </w:rPr>
        <w:t xml:space="preserve">This information </w:t>
      </w:r>
      <w:r w:rsidR="004728DC" w:rsidRPr="004728DC">
        <w:rPr>
          <w:rFonts w:asciiTheme="minorHAnsi" w:hAnsiTheme="minorHAnsi" w:cstheme="minorHAnsi"/>
          <w:sz w:val="22"/>
          <w:szCs w:val="22"/>
        </w:rPr>
        <w:t xml:space="preserve">will improve drug safety by </w:t>
      </w:r>
      <w:r w:rsidR="00424A95" w:rsidRPr="004728DC">
        <w:rPr>
          <w:rFonts w:asciiTheme="minorHAnsi" w:hAnsiTheme="minorHAnsi" w:cstheme="minorHAnsi"/>
          <w:sz w:val="22"/>
          <w:szCs w:val="22"/>
        </w:rPr>
        <w:t>enabl</w:t>
      </w:r>
      <w:r w:rsidR="004728DC" w:rsidRPr="004728DC">
        <w:rPr>
          <w:rFonts w:asciiTheme="minorHAnsi" w:hAnsiTheme="minorHAnsi" w:cstheme="minorHAnsi"/>
          <w:sz w:val="22"/>
          <w:szCs w:val="22"/>
        </w:rPr>
        <w:t>ing</w:t>
      </w:r>
      <w:r w:rsidR="00424A95" w:rsidRPr="004728DC">
        <w:rPr>
          <w:rFonts w:asciiTheme="minorHAnsi" w:hAnsiTheme="minorHAnsi" w:cstheme="minorHAnsi"/>
          <w:sz w:val="22"/>
          <w:szCs w:val="22"/>
        </w:rPr>
        <w:t xml:space="preserve"> treating health practitioners to view a </w:t>
      </w:r>
      <w:r w:rsidR="007E470E">
        <w:rPr>
          <w:rFonts w:asciiTheme="minorHAnsi" w:hAnsiTheme="minorHAnsi" w:cstheme="minorHAnsi"/>
          <w:sz w:val="22"/>
          <w:szCs w:val="22"/>
        </w:rPr>
        <w:t xml:space="preserve">psilocybin or </w:t>
      </w:r>
      <w:r w:rsidR="00424A95" w:rsidRPr="004728DC">
        <w:rPr>
          <w:rFonts w:asciiTheme="minorHAnsi" w:hAnsiTheme="minorHAnsi" w:cstheme="minorHAnsi"/>
          <w:sz w:val="22"/>
          <w:szCs w:val="22"/>
        </w:rPr>
        <w:t>MDMA therapy</w:t>
      </w:r>
      <w:r w:rsidR="007E470E">
        <w:rPr>
          <w:rFonts w:asciiTheme="minorHAnsi" w:hAnsiTheme="minorHAnsi" w:cstheme="minorHAnsi"/>
          <w:sz w:val="22"/>
          <w:szCs w:val="22"/>
        </w:rPr>
        <w:t xml:space="preserve"> approval</w:t>
      </w:r>
      <w:r w:rsidR="00424A95" w:rsidRPr="004728DC">
        <w:rPr>
          <w:rFonts w:asciiTheme="minorHAnsi" w:hAnsiTheme="minorHAnsi" w:cstheme="minorHAnsi"/>
          <w:sz w:val="22"/>
          <w:szCs w:val="22"/>
        </w:rPr>
        <w:t xml:space="preserve"> in the Monitored Medicines Database and inform prescribing or dispensing decisions.</w:t>
      </w:r>
    </w:p>
    <w:p w14:paraId="536285B6" w14:textId="6344CC71" w:rsidR="00BA5012" w:rsidRPr="004728DC" w:rsidRDefault="00BA5012" w:rsidP="00AA5430">
      <w:pPr>
        <w:pStyle w:val="Default"/>
        <w:rPr>
          <w:rFonts w:asciiTheme="minorHAnsi" w:hAnsiTheme="minorHAnsi" w:cstheme="minorHAnsi"/>
          <w:sz w:val="22"/>
          <w:szCs w:val="22"/>
          <w:highlight w:val="yellow"/>
          <w:lang w:eastAsia="en-AU"/>
        </w:rPr>
      </w:pPr>
    </w:p>
    <w:p w14:paraId="6DB3D236" w14:textId="77777777" w:rsidR="00E26143" w:rsidRDefault="00E26143" w:rsidP="00123ACD">
      <w:pPr>
        <w:pStyle w:val="Default"/>
        <w:rPr>
          <w:rFonts w:asciiTheme="minorHAnsi" w:hAnsiTheme="minorHAnsi" w:cstheme="minorHAnsi"/>
          <w:sz w:val="22"/>
          <w:szCs w:val="22"/>
        </w:rPr>
      </w:pPr>
    </w:p>
    <w:p w14:paraId="6413538C" w14:textId="0B24609A" w:rsidR="001B1505" w:rsidRDefault="001B1505" w:rsidP="001157E8">
      <w:pPr>
        <w:pStyle w:val="Default"/>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t>Regulatory Impact Statement</w:t>
      </w:r>
    </w:p>
    <w:p w14:paraId="0D9ABD74" w14:textId="77777777" w:rsidR="004D4761" w:rsidRPr="00F83CD8" w:rsidRDefault="004D4761" w:rsidP="001157E8">
      <w:pPr>
        <w:pStyle w:val="Default"/>
        <w:rPr>
          <w:rFonts w:asciiTheme="minorHAnsi" w:hAnsiTheme="minorHAnsi" w:cstheme="minorHAnsi"/>
          <w:b/>
          <w:bCs/>
          <w:sz w:val="22"/>
          <w:szCs w:val="22"/>
          <w:u w:val="single"/>
        </w:rPr>
      </w:pPr>
    </w:p>
    <w:p w14:paraId="030B55C5" w14:textId="71C64A21" w:rsidR="00164BC4" w:rsidRDefault="00164BC4" w:rsidP="00164BC4">
      <w:pPr>
        <w:rPr>
          <w:rFonts w:asciiTheme="minorHAnsi" w:hAnsiTheme="minorHAnsi" w:cstheme="minorHAnsi"/>
          <w:sz w:val="22"/>
          <w:szCs w:val="22"/>
        </w:rPr>
      </w:pPr>
      <w:r w:rsidRPr="00F83CD8">
        <w:rPr>
          <w:rFonts w:asciiTheme="minorHAnsi" w:hAnsiTheme="minorHAnsi" w:cstheme="minorHAnsi"/>
          <w:sz w:val="22"/>
          <w:szCs w:val="22"/>
        </w:rPr>
        <w:t xml:space="preserve">In accordance with the </w:t>
      </w:r>
      <w:r w:rsidRPr="00F83CD8">
        <w:rPr>
          <w:rFonts w:asciiTheme="minorHAnsi" w:hAnsiTheme="minorHAnsi" w:cstheme="minorHAnsi"/>
          <w:i/>
          <w:iCs/>
          <w:sz w:val="22"/>
          <w:szCs w:val="22"/>
        </w:rPr>
        <w:t xml:space="preserve">Legislation Act 2001, </w:t>
      </w:r>
      <w:r w:rsidRPr="00F83CD8">
        <w:rPr>
          <w:rFonts w:asciiTheme="minorHAnsi" w:hAnsiTheme="minorHAnsi" w:cstheme="minorHAnsi"/>
          <w:sz w:val="22"/>
          <w:szCs w:val="22"/>
        </w:rPr>
        <w:t>a regulatory impact statement was not required to be presented with th</w:t>
      </w:r>
      <w:r w:rsidR="0049462B" w:rsidRPr="00F83CD8">
        <w:rPr>
          <w:rFonts w:asciiTheme="minorHAnsi" w:hAnsiTheme="minorHAnsi" w:cstheme="minorHAnsi"/>
          <w:sz w:val="22"/>
          <w:szCs w:val="22"/>
        </w:rPr>
        <w:t xml:space="preserve">e </w:t>
      </w:r>
      <w:r w:rsidR="00CE0F5F">
        <w:rPr>
          <w:rFonts w:asciiTheme="minorHAnsi" w:hAnsiTheme="minorHAnsi" w:cstheme="minorHAnsi"/>
          <w:sz w:val="22"/>
          <w:szCs w:val="22"/>
        </w:rPr>
        <w:t>A</w:t>
      </w:r>
      <w:r w:rsidRPr="00F83CD8">
        <w:rPr>
          <w:rFonts w:asciiTheme="minorHAnsi" w:hAnsiTheme="minorHAnsi" w:cstheme="minorHAnsi"/>
          <w:sz w:val="22"/>
          <w:szCs w:val="22"/>
        </w:rPr>
        <w:t xml:space="preserve">mendment </w:t>
      </w:r>
      <w:r w:rsidR="00CE0F5F">
        <w:rPr>
          <w:rFonts w:asciiTheme="minorHAnsi" w:hAnsiTheme="minorHAnsi" w:cstheme="minorHAnsi"/>
          <w:sz w:val="22"/>
          <w:szCs w:val="22"/>
        </w:rPr>
        <w:t>R</w:t>
      </w:r>
      <w:r w:rsidRPr="00F83CD8">
        <w:rPr>
          <w:rFonts w:asciiTheme="minorHAnsi" w:hAnsiTheme="minorHAnsi" w:cstheme="minorHAnsi"/>
          <w:sz w:val="22"/>
          <w:szCs w:val="22"/>
        </w:rPr>
        <w:t xml:space="preserve">egulation as the amendments </w:t>
      </w:r>
      <w:r w:rsidR="00697714">
        <w:rPr>
          <w:rFonts w:asciiTheme="minorHAnsi" w:hAnsiTheme="minorHAnsi" w:cstheme="minorHAnsi"/>
          <w:sz w:val="22"/>
          <w:szCs w:val="22"/>
        </w:rPr>
        <w:t>do</w:t>
      </w:r>
      <w:r w:rsidRPr="00F83CD8">
        <w:rPr>
          <w:rFonts w:asciiTheme="minorHAnsi" w:hAnsiTheme="minorHAnsi" w:cstheme="minorHAnsi"/>
          <w:sz w:val="22"/>
          <w:szCs w:val="22"/>
        </w:rPr>
        <w:t xml:space="preserve"> not impose appreciable costs</w:t>
      </w:r>
      <w:r w:rsidR="00DC17F8">
        <w:rPr>
          <w:rFonts w:asciiTheme="minorHAnsi" w:hAnsiTheme="minorHAnsi" w:cstheme="minorHAnsi"/>
          <w:sz w:val="22"/>
          <w:szCs w:val="22"/>
        </w:rPr>
        <w:t xml:space="preserve"> or regulatory burden</w:t>
      </w:r>
      <w:r w:rsidRPr="00F83CD8">
        <w:rPr>
          <w:rFonts w:asciiTheme="minorHAnsi" w:hAnsiTheme="minorHAnsi" w:cstheme="minorHAnsi"/>
          <w:sz w:val="22"/>
          <w:szCs w:val="22"/>
        </w:rPr>
        <w:t xml:space="preserve"> on the community.</w:t>
      </w:r>
      <w:r w:rsidR="00697714">
        <w:rPr>
          <w:rFonts w:asciiTheme="minorHAnsi" w:hAnsiTheme="minorHAnsi" w:cstheme="minorHAnsi"/>
          <w:sz w:val="22"/>
          <w:szCs w:val="22"/>
        </w:rPr>
        <w:t xml:space="preserve"> These amendments do not operate to the disadvantage of anyone</w:t>
      </w:r>
      <w:r w:rsidR="002B5258">
        <w:rPr>
          <w:rFonts w:asciiTheme="minorHAnsi" w:hAnsiTheme="minorHAnsi" w:cstheme="minorHAnsi"/>
          <w:sz w:val="22"/>
          <w:szCs w:val="22"/>
        </w:rPr>
        <w:t xml:space="preserve"> or impose additional liabilities on a person. </w:t>
      </w:r>
    </w:p>
    <w:p w14:paraId="64E03B52" w14:textId="2D807C14" w:rsidR="005C488E" w:rsidRDefault="005C488E" w:rsidP="00164BC4">
      <w:pPr>
        <w:rPr>
          <w:rFonts w:asciiTheme="minorHAnsi" w:hAnsiTheme="minorHAnsi" w:cstheme="minorHAnsi"/>
          <w:sz w:val="22"/>
          <w:szCs w:val="22"/>
        </w:rPr>
      </w:pPr>
    </w:p>
    <w:p w14:paraId="74D667FB" w14:textId="3F94E9B3" w:rsidR="005C488E" w:rsidRDefault="009C458E" w:rsidP="00164BC4">
      <w:pPr>
        <w:rPr>
          <w:rFonts w:asciiTheme="minorHAnsi" w:hAnsiTheme="minorHAnsi" w:cstheme="minorHAnsi"/>
          <w:sz w:val="22"/>
          <w:szCs w:val="22"/>
        </w:rPr>
      </w:pPr>
      <w:r>
        <w:rPr>
          <w:rFonts w:asciiTheme="minorHAnsi" w:hAnsiTheme="minorHAnsi" w:cstheme="minorHAnsi"/>
          <w:sz w:val="22"/>
          <w:szCs w:val="22"/>
        </w:rPr>
        <w:t>It is however acknowledged</w:t>
      </w:r>
      <w:r w:rsidR="005C488E" w:rsidRPr="005C488E">
        <w:rPr>
          <w:rFonts w:asciiTheme="minorHAnsi" w:hAnsiTheme="minorHAnsi" w:cstheme="minorHAnsi"/>
          <w:sz w:val="22"/>
          <w:szCs w:val="22"/>
        </w:rPr>
        <w:t xml:space="preserve"> that future declarations by </w:t>
      </w:r>
      <w:r w:rsidR="005C488E">
        <w:rPr>
          <w:rFonts w:asciiTheme="minorHAnsi" w:hAnsiTheme="minorHAnsi" w:cstheme="minorHAnsi"/>
          <w:sz w:val="22"/>
          <w:szCs w:val="22"/>
        </w:rPr>
        <w:t xml:space="preserve">the </w:t>
      </w:r>
      <w:r w:rsidR="005C488E" w:rsidRPr="005C488E">
        <w:rPr>
          <w:rFonts w:asciiTheme="minorHAnsi" w:hAnsiTheme="minorHAnsi" w:cstheme="minorHAnsi"/>
          <w:sz w:val="22"/>
          <w:szCs w:val="22"/>
        </w:rPr>
        <w:t>CHO</w:t>
      </w:r>
      <w:r w:rsidR="00CE0F5F">
        <w:rPr>
          <w:rFonts w:asciiTheme="minorHAnsi" w:hAnsiTheme="minorHAnsi" w:cstheme="minorHAnsi"/>
          <w:sz w:val="22"/>
          <w:szCs w:val="22"/>
        </w:rPr>
        <w:t xml:space="preserve"> </w:t>
      </w:r>
      <w:r w:rsidR="005C488E">
        <w:rPr>
          <w:rFonts w:asciiTheme="minorHAnsi" w:hAnsiTheme="minorHAnsi" w:cstheme="minorHAnsi"/>
          <w:sz w:val="22"/>
          <w:szCs w:val="22"/>
        </w:rPr>
        <w:t>under</w:t>
      </w:r>
      <w:r w:rsidR="005C488E" w:rsidRPr="005C488E">
        <w:rPr>
          <w:rFonts w:asciiTheme="minorHAnsi" w:hAnsiTheme="minorHAnsi" w:cstheme="minorHAnsi"/>
          <w:sz w:val="22"/>
          <w:szCs w:val="22"/>
        </w:rPr>
        <w:t xml:space="preserve"> </w:t>
      </w:r>
      <w:r w:rsidR="00CE0F5F">
        <w:rPr>
          <w:rFonts w:asciiTheme="minorHAnsi" w:hAnsiTheme="minorHAnsi" w:cstheme="minorHAnsi"/>
          <w:sz w:val="22"/>
          <w:szCs w:val="22"/>
        </w:rPr>
        <w:t xml:space="preserve">Division 13.1.2, </w:t>
      </w:r>
      <w:r w:rsidR="005C488E" w:rsidRPr="005C488E">
        <w:rPr>
          <w:rFonts w:asciiTheme="minorHAnsi" w:hAnsiTheme="minorHAnsi" w:cstheme="minorHAnsi"/>
          <w:sz w:val="22"/>
          <w:szCs w:val="22"/>
        </w:rPr>
        <w:t>section 556A of the MPTG Regulation through notifiable instrument, may potentially place a minor burden on medical specialists. In making any notifiable decision, the CHO will diligently evaluate all possible burdens and consider relevant human rights considerations.</w:t>
      </w:r>
    </w:p>
    <w:p w14:paraId="085E38E9" w14:textId="77777777" w:rsidR="005C488E" w:rsidRDefault="005C488E" w:rsidP="00164BC4">
      <w:pPr>
        <w:rPr>
          <w:rFonts w:asciiTheme="minorHAnsi" w:hAnsiTheme="minorHAnsi" w:cstheme="minorHAnsi"/>
          <w:sz w:val="22"/>
          <w:szCs w:val="22"/>
        </w:rPr>
      </w:pPr>
    </w:p>
    <w:p w14:paraId="615A6089" w14:textId="63365A2F" w:rsidR="001B1505" w:rsidRPr="00F83CD8" w:rsidRDefault="001B1505" w:rsidP="00164BC4">
      <w:pPr>
        <w:rPr>
          <w:rFonts w:asciiTheme="minorHAnsi" w:hAnsiTheme="minorHAnsi" w:cstheme="minorHAnsi"/>
          <w:sz w:val="22"/>
          <w:szCs w:val="22"/>
        </w:rPr>
      </w:pPr>
    </w:p>
    <w:p w14:paraId="7B3B9BE4" w14:textId="6160EE21" w:rsidR="001B1505" w:rsidRDefault="001B1505" w:rsidP="001B1505">
      <w:pPr>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t>Human rights considerations</w:t>
      </w:r>
    </w:p>
    <w:p w14:paraId="5E9C5036" w14:textId="4CB5A763" w:rsidR="00286C2A" w:rsidRDefault="00286C2A" w:rsidP="001B1505">
      <w:pPr>
        <w:rPr>
          <w:rFonts w:asciiTheme="minorHAnsi" w:hAnsiTheme="minorHAnsi" w:cstheme="minorHAnsi"/>
          <w:b/>
          <w:bCs/>
          <w:sz w:val="22"/>
          <w:szCs w:val="22"/>
          <w:u w:val="single"/>
        </w:rPr>
      </w:pPr>
    </w:p>
    <w:p w14:paraId="11E3F9E2" w14:textId="154C2593" w:rsidR="00865033" w:rsidRPr="00865033" w:rsidRDefault="00865033" w:rsidP="00865033">
      <w:pPr>
        <w:rPr>
          <w:rFonts w:asciiTheme="minorHAnsi" w:hAnsiTheme="minorHAnsi" w:cstheme="minorHAnsi"/>
          <w:sz w:val="22"/>
          <w:szCs w:val="22"/>
        </w:rPr>
      </w:pPr>
      <w:r w:rsidRPr="00865033">
        <w:rPr>
          <w:rFonts w:asciiTheme="minorHAnsi" w:hAnsiTheme="minorHAnsi" w:cstheme="minorHAnsi"/>
          <w:sz w:val="22"/>
          <w:szCs w:val="22"/>
        </w:rPr>
        <w:t xml:space="preserve">During the development of the </w:t>
      </w:r>
      <w:r w:rsidR="00CE0F5F">
        <w:rPr>
          <w:rFonts w:asciiTheme="minorHAnsi" w:hAnsiTheme="minorHAnsi" w:cstheme="minorHAnsi"/>
          <w:sz w:val="22"/>
          <w:szCs w:val="22"/>
        </w:rPr>
        <w:t>A</w:t>
      </w:r>
      <w:r w:rsidRPr="00865033">
        <w:rPr>
          <w:rFonts w:asciiTheme="minorHAnsi" w:hAnsiTheme="minorHAnsi" w:cstheme="minorHAnsi"/>
          <w:sz w:val="22"/>
          <w:szCs w:val="22"/>
        </w:rPr>
        <w:t xml:space="preserve">mendment </w:t>
      </w:r>
      <w:r w:rsidR="00CE0F5F">
        <w:rPr>
          <w:rFonts w:asciiTheme="minorHAnsi" w:hAnsiTheme="minorHAnsi" w:cstheme="minorHAnsi"/>
          <w:sz w:val="22"/>
          <w:szCs w:val="22"/>
        </w:rPr>
        <w:t>R</w:t>
      </w:r>
      <w:r w:rsidRPr="00865033">
        <w:rPr>
          <w:rFonts w:asciiTheme="minorHAnsi" w:hAnsiTheme="minorHAnsi" w:cstheme="minorHAnsi"/>
          <w:sz w:val="22"/>
          <w:szCs w:val="22"/>
        </w:rPr>
        <w:t xml:space="preserve">egulation, due regard was given to its compatibility with the </w:t>
      </w:r>
      <w:r w:rsidRPr="00865033">
        <w:rPr>
          <w:rFonts w:asciiTheme="minorHAnsi" w:hAnsiTheme="minorHAnsi" w:cstheme="minorHAnsi"/>
          <w:i/>
          <w:iCs/>
          <w:sz w:val="22"/>
          <w:szCs w:val="22"/>
        </w:rPr>
        <w:t>Human Rights Act 2004</w:t>
      </w:r>
      <w:r w:rsidRPr="00865033">
        <w:rPr>
          <w:rFonts w:asciiTheme="minorHAnsi" w:hAnsiTheme="minorHAnsi" w:cstheme="minorHAnsi"/>
          <w:sz w:val="22"/>
          <w:szCs w:val="22"/>
        </w:rPr>
        <w:t xml:space="preserve"> (HR Act).</w:t>
      </w:r>
    </w:p>
    <w:p w14:paraId="71F6176F" w14:textId="0E4EF2BB" w:rsidR="00865033" w:rsidRDefault="00865033" w:rsidP="00865033">
      <w:pPr>
        <w:autoSpaceDE w:val="0"/>
        <w:autoSpaceDN w:val="0"/>
        <w:adjustRightInd w:val="0"/>
        <w:spacing w:before="240"/>
        <w:rPr>
          <w:rFonts w:asciiTheme="minorHAnsi" w:hAnsiTheme="minorHAnsi" w:cstheme="minorHAnsi"/>
          <w:bCs/>
          <w:sz w:val="22"/>
          <w:szCs w:val="22"/>
        </w:rPr>
      </w:pPr>
      <w:r w:rsidRPr="00865033">
        <w:rPr>
          <w:rFonts w:asciiTheme="minorHAnsi" w:hAnsiTheme="minorHAnsi" w:cstheme="minorHAnsi"/>
          <w:bCs/>
          <w:sz w:val="22"/>
          <w:szCs w:val="22"/>
        </w:rPr>
        <w:t xml:space="preserve">The </w:t>
      </w:r>
      <w:r w:rsidR="00CE0F5F">
        <w:rPr>
          <w:rFonts w:asciiTheme="minorHAnsi" w:hAnsiTheme="minorHAnsi" w:cstheme="minorHAnsi"/>
          <w:bCs/>
          <w:sz w:val="22"/>
          <w:szCs w:val="22"/>
        </w:rPr>
        <w:t>A</w:t>
      </w:r>
      <w:r w:rsidRPr="00865033">
        <w:rPr>
          <w:rFonts w:asciiTheme="minorHAnsi" w:hAnsiTheme="minorHAnsi" w:cstheme="minorHAnsi"/>
          <w:bCs/>
          <w:sz w:val="22"/>
          <w:szCs w:val="22"/>
        </w:rPr>
        <w:t xml:space="preserve">mendment </w:t>
      </w:r>
      <w:r w:rsidR="00CE0F5F">
        <w:rPr>
          <w:rFonts w:asciiTheme="minorHAnsi" w:hAnsiTheme="minorHAnsi" w:cstheme="minorHAnsi"/>
          <w:bCs/>
          <w:sz w:val="22"/>
          <w:szCs w:val="22"/>
        </w:rPr>
        <w:t>R</w:t>
      </w:r>
      <w:r w:rsidRPr="00865033">
        <w:rPr>
          <w:rFonts w:asciiTheme="minorHAnsi" w:hAnsiTheme="minorHAnsi" w:cstheme="minorHAnsi"/>
          <w:bCs/>
          <w:sz w:val="22"/>
          <w:szCs w:val="22"/>
        </w:rPr>
        <w:t xml:space="preserve">egulation engages the following HR Act rights: </w:t>
      </w:r>
    </w:p>
    <w:p w14:paraId="05C29A32" w14:textId="16BFDBBD" w:rsidR="005469F4" w:rsidRDefault="005469F4" w:rsidP="005469F4">
      <w:pPr>
        <w:pStyle w:val="ListParagraph"/>
        <w:numPr>
          <w:ilvl w:val="0"/>
          <w:numId w:val="26"/>
        </w:numPr>
        <w:autoSpaceDE w:val="0"/>
        <w:autoSpaceDN w:val="0"/>
        <w:adjustRightInd w:val="0"/>
        <w:spacing w:before="240"/>
        <w:rPr>
          <w:rFonts w:asciiTheme="minorHAnsi" w:hAnsiTheme="minorHAnsi" w:cstheme="minorHAnsi"/>
          <w:bCs/>
          <w:sz w:val="22"/>
          <w:szCs w:val="22"/>
        </w:rPr>
      </w:pPr>
      <w:r>
        <w:rPr>
          <w:rFonts w:asciiTheme="minorHAnsi" w:hAnsiTheme="minorHAnsi" w:cstheme="minorHAnsi"/>
          <w:bCs/>
          <w:sz w:val="22"/>
          <w:szCs w:val="22"/>
        </w:rPr>
        <w:lastRenderedPageBreak/>
        <w:t xml:space="preserve">Section 8 – Right to </w:t>
      </w:r>
      <w:r w:rsidR="001C595E">
        <w:rPr>
          <w:rFonts w:asciiTheme="minorHAnsi" w:hAnsiTheme="minorHAnsi" w:cstheme="minorHAnsi"/>
          <w:bCs/>
          <w:sz w:val="22"/>
          <w:szCs w:val="22"/>
        </w:rPr>
        <w:t xml:space="preserve">recognition and </w:t>
      </w:r>
      <w:r>
        <w:rPr>
          <w:rFonts w:asciiTheme="minorHAnsi" w:hAnsiTheme="minorHAnsi" w:cstheme="minorHAnsi"/>
          <w:bCs/>
          <w:sz w:val="22"/>
          <w:szCs w:val="22"/>
        </w:rPr>
        <w:t>equality</w:t>
      </w:r>
      <w:r w:rsidR="001C595E">
        <w:rPr>
          <w:rFonts w:asciiTheme="minorHAnsi" w:hAnsiTheme="minorHAnsi" w:cstheme="minorHAnsi"/>
          <w:bCs/>
          <w:sz w:val="22"/>
          <w:szCs w:val="22"/>
        </w:rPr>
        <w:t xml:space="preserve"> before the law</w:t>
      </w:r>
      <w:r>
        <w:rPr>
          <w:rFonts w:asciiTheme="minorHAnsi" w:hAnsiTheme="minorHAnsi" w:cstheme="minorHAnsi"/>
          <w:bCs/>
          <w:sz w:val="22"/>
          <w:szCs w:val="22"/>
        </w:rPr>
        <w:t xml:space="preserve"> </w:t>
      </w:r>
    </w:p>
    <w:p w14:paraId="681A94B5" w14:textId="2F2E0D77" w:rsidR="005469F4" w:rsidRDefault="005469F4" w:rsidP="005469F4">
      <w:pPr>
        <w:autoSpaceDE w:val="0"/>
        <w:autoSpaceDN w:val="0"/>
        <w:adjustRightInd w:val="0"/>
        <w:spacing w:before="240"/>
        <w:rPr>
          <w:rFonts w:asciiTheme="minorHAnsi" w:hAnsiTheme="minorHAnsi" w:cstheme="minorHAnsi"/>
          <w:bCs/>
          <w:sz w:val="22"/>
          <w:szCs w:val="22"/>
        </w:rPr>
      </w:pPr>
      <w:r>
        <w:rPr>
          <w:rFonts w:asciiTheme="minorHAnsi" w:hAnsiTheme="minorHAnsi" w:cstheme="minorHAnsi"/>
          <w:bCs/>
          <w:sz w:val="22"/>
          <w:szCs w:val="22"/>
        </w:rPr>
        <w:t>The Amendment Regulation</w:t>
      </w:r>
      <w:r w:rsidR="001C595E" w:rsidRPr="001C595E">
        <w:rPr>
          <w:rFonts w:asciiTheme="minorHAnsi" w:hAnsiTheme="minorHAnsi" w:cstheme="minorHAnsi"/>
          <w:bCs/>
          <w:sz w:val="22"/>
          <w:szCs w:val="22"/>
        </w:rPr>
        <w:t xml:space="preserve"> </w:t>
      </w:r>
      <w:r w:rsidR="001C595E">
        <w:rPr>
          <w:rFonts w:asciiTheme="minorHAnsi" w:hAnsiTheme="minorHAnsi" w:cstheme="minorHAnsi"/>
          <w:bCs/>
          <w:sz w:val="22"/>
          <w:szCs w:val="22"/>
        </w:rPr>
        <w:t xml:space="preserve">engages the right to recognition and equality before the law under the HR Act. </w:t>
      </w:r>
      <w:r w:rsidR="00A23B21">
        <w:rPr>
          <w:rFonts w:asciiTheme="minorHAnsi" w:hAnsiTheme="minorHAnsi" w:cstheme="minorHAnsi"/>
          <w:bCs/>
          <w:sz w:val="22"/>
          <w:szCs w:val="22"/>
        </w:rPr>
        <w:t xml:space="preserve">This is because the initial </w:t>
      </w:r>
      <w:r w:rsidR="008D7719">
        <w:rPr>
          <w:rFonts w:asciiTheme="minorHAnsi" w:hAnsiTheme="minorHAnsi" w:cstheme="minorHAnsi"/>
          <w:bCs/>
          <w:sz w:val="22"/>
          <w:szCs w:val="22"/>
        </w:rPr>
        <w:t>medications</w:t>
      </w:r>
      <w:r w:rsidR="00B95460">
        <w:rPr>
          <w:rFonts w:asciiTheme="minorHAnsi" w:hAnsiTheme="minorHAnsi" w:cstheme="minorHAnsi"/>
          <w:bCs/>
          <w:sz w:val="22"/>
          <w:szCs w:val="22"/>
        </w:rPr>
        <w:t xml:space="preserve"> </w:t>
      </w:r>
      <w:r w:rsidR="008D7719" w:rsidRPr="009C458E">
        <w:rPr>
          <w:rFonts w:asciiTheme="minorHAnsi" w:hAnsiTheme="minorHAnsi" w:cstheme="minorHAnsi"/>
          <w:bCs/>
          <w:sz w:val="22"/>
          <w:szCs w:val="22"/>
        </w:rPr>
        <w:t xml:space="preserve">subject to </w:t>
      </w:r>
      <w:r w:rsidR="00A23B21">
        <w:rPr>
          <w:rFonts w:asciiTheme="minorHAnsi" w:hAnsiTheme="minorHAnsi" w:cstheme="minorHAnsi"/>
          <w:bCs/>
          <w:sz w:val="22"/>
          <w:szCs w:val="22"/>
        </w:rPr>
        <w:t>the</w:t>
      </w:r>
      <w:r w:rsidR="008D7719" w:rsidRPr="009C458E">
        <w:rPr>
          <w:rFonts w:asciiTheme="minorHAnsi" w:hAnsiTheme="minorHAnsi" w:cstheme="minorHAnsi"/>
          <w:bCs/>
          <w:sz w:val="22"/>
          <w:szCs w:val="22"/>
        </w:rPr>
        <w:t xml:space="preserve"> CHO declaration under</w:t>
      </w:r>
      <w:r w:rsidR="008D7719">
        <w:rPr>
          <w:rFonts w:asciiTheme="minorHAnsi" w:hAnsiTheme="minorHAnsi" w:cstheme="minorHAnsi"/>
          <w:bCs/>
          <w:sz w:val="22"/>
          <w:szCs w:val="22"/>
        </w:rPr>
        <w:t xml:space="preserve"> the</w:t>
      </w:r>
      <w:r w:rsidR="008D7719" w:rsidRPr="009C458E">
        <w:rPr>
          <w:rFonts w:asciiTheme="minorHAnsi" w:hAnsiTheme="minorHAnsi" w:cstheme="minorHAnsi"/>
          <w:bCs/>
          <w:sz w:val="22"/>
          <w:szCs w:val="22"/>
        </w:rPr>
        <w:t xml:space="preserve"> new section 556A</w:t>
      </w:r>
      <w:r w:rsidR="008D7719">
        <w:rPr>
          <w:rFonts w:asciiTheme="minorHAnsi" w:hAnsiTheme="minorHAnsi" w:cstheme="minorHAnsi"/>
          <w:bCs/>
          <w:sz w:val="22"/>
          <w:szCs w:val="22"/>
        </w:rPr>
        <w:t xml:space="preserve"> will be used to treat mental health conditions. As these medications provide new treatment options </w:t>
      </w:r>
      <w:r w:rsidR="00B95460">
        <w:rPr>
          <w:rFonts w:asciiTheme="minorHAnsi" w:hAnsiTheme="minorHAnsi" w:cstheme="minorHAnsi"/>
          <w:bCs/>
          <w:sz w:val="22"/>
          <w:szCs w:val="22"/>
        </w:rPr>
        <w:t xml:space="preserve">that are not currently available </w:t>
      </w:r>
      <w:r w:rsidR="008D7719">
        <w:rPr>
          <w:rFonts w:asciiTheme="minorHAnsi" w:hAnsiTheme="minorHAnsi" w:cstheme="minorHAnsi"/>
          <w:bCs/>
          <w:sz w:val="22"/>
          <w:szCs w:val="22"/>
        </w:rPr>
        <w:t>for people with PTSD and TRD, it is considered that the Amendment Regulation promotes</w:t>
      </w:r>
      <w:r w:rsidR="001C595E">
        <w:rPr>
          <w:rFonts w:asciiTheme="minorHAnsi" w:hAnsiTheme="minorHAnsi" w:cstheme="minorHAnsi"/>
          <w:bCs/>
          <w:sz w:val="22"/>
          <w:szCs w:val="22"/>
        </w:rPr>
        <w:t xml:space="preserve"> </w:t>
      </w:r>
      <w:r w:rsidR="008D7719">
        <w:rPr>
          <w:rFonts w:asciiTheme="minorHAnsi" w:hAnsiTheme="minorHAnsi" w:cstheme="minorHAnsi"/>
          <w:bCs/>
          <w:sz w:val="22"/>
          <w:szCs w:val="22"/>
        </w:rPr>
        <w:t xml:space="preserve">equality. </w:t>
      </w:r>
    </w:p>
    <w:p w14:paraId="3B10FC47" w14:textId="0F48FFAD" w:rsidR="008D7719" w:rsidRPr="001C595E" w:rsidRDefault="008D7719" w:rsidP="005469F4">
      <w:pPr>
        <w:autoSpaceDE w:val="0"/>
        <w:autoSpaceDN w:val="0"/>
        <w:adjustRightInd w:val="0"/>
        <w:spacing w:before="240"/>
        <w:rPr>
          <w:rFonts w:asciiTheme="minorHAnsi" w:hAnsiTheme="minorHAnsi" w:cstheme="minorHAnsi"/>
          <w:bCs/>
          <w:sz w:val="22"/>
          <w:szCs w:val="22"/>
        </w:rPr>
      </w:pPr>
      <w:r>
        <w:rPr>
          <w:rFonts w:asciiTheme="minorHAnsi" w:hAnsiTheme="minorHAnsi" w:cstheme="minorHAnsi"/>
          <w:bCs/>
          <w:sz w:val="22"/>
          <w:szCs w:val="22"/>
        </w:rPr>
        <w:t>Should other medications be declared by the CHO under section 556A, this may impact individuals with other health conditions.</w:t>
      </w:r>
      <w:r w:rsidR="00964544">
        <w:rPr>
          <w:rFonts w:asciiTheme="minorHAnsi" w:hAnsiTheme="minorHAnsi" w:cstheme="minorHAnsi"/>
          <w:bCs/>
          <w:sz w:val="22"/>
          <w:szCs w:val="22"/>
        </w:rPr>
        <w:t xml:space="preserve"> While acknowledging that Amendment Regulation encroaches on the right to equality, it is intended to promote patient safety.</w:t>
      </w:r>
    </w:p>
    <w:p w14:paraId="0FA3A804" w14:textId="447D5385" w:rsidR="00865033" w:rsidRDefault="00865033" w:rsidP="00865033">
      <w:pPr>
        <w:numPr>
          <w:ilvl w:val="0"/>
          <w:numId w:val="26"/>
        </w:numPr>
        <w:autoSpaceDE w:val="0"/>
        <w:autoSpaceDN w:val="0"/>
        <w:adjustRightInd w:val="0"/>
        <w:spacing w:before="120"/>
        <w:ind w:left="714" w:hanging="357"/>
        <w:rPr>
          <w:rFonts w:asciiTheme="minorHAnsi" w:hAnsiTheme="minorHAnsi" w:cstheme="minorHAnsi"/>
          <w:bCs/>
          <w:sz w:val="22"/>
          <w:szCs w:val="22"/>
        </w:rPr>
      </w:pPr>
      <w:r w:rsidRPr="00865033">
        <w:rPr>
          <w:rFonts w:asciiTheme="minorHAnsi" w:hAnsiTheme="minorHAnsi" w:cstheme="minorHAnsi"/>
          <w:bCs/>
          <w:sz w:val="22"/>
          <w:szCs w:val="22"/>
        </w:rPr>
        <w:t>Section 9 – Right to life</w:t>
      </w:r>
    </w:p>
    <w:p w14:paraId="03271193" w14:textId="06913CF4" w:rsidR="00865033" w:rsidRPr="00865033" w:rsidRDefault="00865033" w:rsidP="00865033">
      <w:pPr>
        <w:autoSpaceDE w:val="0"/>
        <w:autoSpaceDN w:val="0"/>
        <w:adjustRightInd w:val="0"/>
        <w:spacing w:before="120"/>
        <w:rPr>
          <w:rFonts w:asciiTheme="minorHAnsi" w:hAnsiTheme="minorHAnsi" w:cstheme="minorHAnsi"/>
          <w:bCs/>
          <w:sz w:val="22"/>
          <w:szCs w:val="22"/>
        </w:rPr>
      </w:pPr>
      <w:r w:rsidRPr="00865033">
        <w:rPr>
          <w:rFonts w:asciiTheme="minorHAnsi" w:hAnsiTheme="minorHAnsi" w:cstheme="minorHAnsi"/>
          <w:bCs/>
          <w:sz w:val="22"/>
          <w:szCs w:val="22"/>
        </w:rPr>
        <w:t>Ensuring the effective regulation of medicines and poisons in the ACT</w:t>
      </w:r>
      <w:r w:rsidR="007E0756">
        <w:rPr>
          <w:rFonts w:asciiTheme="minorHAnsi" w:hAnsiTheme="minorHAnsi" w:cstheme="minorHAnsi"/>
          <w:bCs/>
          <w:sz w:val="22"/>
          <w:szCs w:val="22"/>
        </w:rPr>
        <w:t xml:space="preserve">, </w:t>
      </w:r>
      <w:r w:rsidRPr="00865033">
        <w:rPr>
          <w:rFonts w:asciiTheme="minorHAnsi" w:hAnsiTheme="minorHAnsi" w:cstheme="minorHAnsi"/>
          <w:bCs/>
          <w:sz w:val="22"/>
          <w:szCs w:val="22"/>
        </w:rPr>
        <w:t xml:space="preserve">the Amendment Regulation as described above engages and promotes the right to life under the HR Act. The right to life is concerned with preventing the arbitrary deprivation of life and is relevant to the delivery of medical treatment. </w:t>
      </w:r>
    </w:p>
    <w:p w14:paraId="325A81D0" w14:textId="6DD360E5" w:rsidR="00865033" w:rsidRPr="00865033" w:rsidRDefault="00865033" w:rsidP="0055359C">
      <w:pPr>
        <w:autoSpaceDE w:val="0"/>
        <w:autoSpaceDN w:val="0"/>
        <w:adjustRightInd w:val="0"/>
        <w:spacing w:before="120"/>
        <w:rPr>
          <w:rFonts w:asciiTheme="minorHAnsi" w:hAnsiTheme="minorHAnsi" w:cstheme="minorHAnsi"/>
          <w:bCs/>
          <w:sz w:val="22"/>
          <w:szCs w:val="22"/>
        </w:rPr>
      </w:pPr>
      <w:r w:rsidRPr="00865033">
        <w:rPr>
          <w:rFonts w:asciiTheme="minorHAnsi" w:hAnsiTheme="minorHAnsi" w:cstheme="minorHAnsi"/>
          <w:bCs/>
          <w:sz w:val="22"/>
          <w:szCs w:val="22"/>
        </w:rPr>
        <w:t xml:space="preserve">The amendment </w:t>
      </w:r>
      <w:r w:rsidR="009C458E">
        <w:rPr>
          <w:rFonts w:asciiTheme="minorHAnsi" w:hAnsiTheme="minorHAnsi" w:cstheme="minorHAnsi"/>
          <w:bCs/>
          <w:sz w:val="22"/>
          <w:szCs w:val="22"/>
        </w:rPr>
        <w:t xml:space="preserve">has been prepared to </w:t>
      </w:r>
      <w:r w:rsidR="007E0756">
        <w:rPr>
          <w:rFonts w:asciiTheme="minorHAnsi" w:hAnsiTheme="minorHAnsi" w:cstheme="minorHAnsi"/>
          <w:bCs/>
          <w:sz w:val="22"/>
          <w:szCs w:val="22"/>
        </w:rPr>
        <w:t xml:space="preserve">improve patient safety for those prescribed MDMA or psilocybin as their treating health practitioners will be aware that the patient has taken these medications. </w:t>
      </w:r>
      <w:r w:rsidR="009C458E">
        <w:rPr>
          <w:rFonts w:asciiTheme="minorHAnsi" w:hAnsiTheme="minorHAnsi" w:cstheme="minorHAnsi"/>
          <w:bCs/>
          <w:sz w:val="22"/>
          <w:szCs w:val="22"/>
        </w:rPr>
        <w:t xml:space="preserve">This engagement is likely to also arise for any </w:t>
      </w:r>
      <w:r w:rsidR="009C458E" w:rsidRPr="009C458E">
        <w:rPr>
          <w:rFonts w:asciiTheme="minorHAnsi" w:hAnsiTheme="minorHAnsi" w:cstheme="minorHAnsi"/>
          <w:bCs/>
          <w:sz w:val="22"/>
          <w:szCs w:val="22"/>
        </w:rPr>
        <w:t>other future medicines that may be subject to a CHO declaration under new section 556A</w:t>
      </w:r>
      <w:r w:rsidR="009C458E">
        <w:rPr>
          <w:rFonts w:asciiTheme="minorHAnsi" w:hAnsiTheme="minorHAnsi" w:cstheme="minorHAnsi"/>
          <w:bCs/>
          <w:sz w:val="22"/>
          <w:szCs w:val="22"/>
        </w:rPr>
        <w:t>.</w:t>
      </w:r>
    </w:p>
    <w:p w14:paraId="1FD6EB9D" w14:textId="5190211E" w:rsidR="00865033" w:rsidRPr="0055359C" w:rsidRDefault="00865033" w:rsidP="0055359C">
      <w:pPr>
        <w:pStyle w:val="ListParagraph"/>
        <w:numPr>
          <w:ilvl w:val="0"/>
          <w:numId w:val="26"/>
        </w:numPr>
        <w:autoSpaceDE w:val="0"/>
        <w:autoSpaceDN w:val="0"/>
        <w:adjustRightInd w:val="0"/>
        <w:spacing w:before="240"/>
        <w:rPr>
          <w:rFonts w:asciiTheme="minorHAnsi" w:hAnsiTheme="minorHAnsi" w:cstheme="minorHAnsi"/>
          <w:bCs/>
          <w:sz w:val="22"/>
          <w:szCs w:val="22"/>
        </w:rPr>
      </w:pPr>
      <w:r w:rsidRPr="0055359C">
        <w:rPr>
          <w:rFonts w:asciiTheme="minorHAnsi" w:hAnsiTheme="minorHAnsi" w:cstheme="minorHAnsi"/>
          <w:bCs/>
          <w:sz w:val="22"/>
          <w:szCs w:val="22"/>
        </w:rPr>
        <w:t>Section 12 – Right to privacy and reputation</w:t>
      </w:r>
    </w:p>
    <w:p w14:paraId="60840ECB" w14:textId="66210CC5" w:rsidR="00347AA2" w:rsidRDefault="00347AA2" w:rsidP="0055359C">
      <w:pPr>
        <w:autoSpaceDE w:val="0"/>
        <w:autoSpaceDN w:val="0"/>
        <w:adjustRightInd w:val="0"/>
        <w:spacing w:before="240"/>
        <w:rPr>
          <w:rFonts w:asciiTheme="minorHAnsi" w:hAnsiTheme="minorHAnsi" w:cstheme="minorHAnsi"/>
          <w:bCs/>
          <w:sz w:val="22"/>
          <w:szCs w:val="22"/>
        </w:rPr>
      </w:pPr>
      <w:r>
        <w:rPr>
          <w:rFonts w:asciiTheme="minorHAnsi" w:hAnsiTheme="minorHAnsi" w:cstheme="minorHAnsi"/>
          <w:bCs/>
          <w:sz w:val="22"/>
          <w:szCs w:val="22"/>
        </w:rPr>
        <w:t xml:space="preserve">The Amendment Regulation outlined above engages the right to privacy and reputation under the HR Act. The right to privacy and reputation </w:t>
      </w:r>
      <w:r w:rsidR="00262187">
        <w:rPr>
          <w:rFonts w:asciiTheme="minorHAnsi" w:hAnsiTheme="minorHAnsi" w:cstheme="minorHAnsi"/>
          <w:bCs/>
          <w:sz w:val="22"/>
          <w:szCs w:val="22"/>
        </w:rPr>
        <w:t>protects</w:t>
      </w:r>
      <w:r>
        <w:rPr>
          <w:rFonts w:asciiTheme="minorHAnsi" w:hAnsiTheme="minorHAnsi" w:cstheme="minorHAnsi"/>
          <w:bCs/>
          <w:sz w:val="22"/>
          <w:szCs w:val="22"/>
        </w:rPr>
        <w:t xml:space="preserve"> physical, psychological and bodily privacy, including the mandatory reporting of injuries or illnesses</w:t>
      </w:r>
      <w:r w:rsidR="00262187">
        <w:rPr>
          <w:rFonts w:asciiTheme="minorHAnsi" w:hAnsiTheme="minorHAnsi" w:cstheme="minorHAnsi"/>
          <w:bCs/>
          <w:sz w:val="22"/>
          <w:szCs w:val="22"/>
        </w:rPr>
        <w:t>, as well as communication and informational privacy, such as the collection, use, retention and disclosure of personal or confidential information</w:t>
      </w:r>
      <w:r>
        <w:rPr>
          <w:rFonts w:asciiTheme="minorHAnsi" w:hAnsiTheme="minorHAnsi" w:cstheme="minorHAnsi"/>
          <w:bCs/>
          <w:sz w:val="22"/>
          <w:szCs w:val="22"/>
        </w:rPr>
        <w:t xml:space="preserve">. </w:t>
      </w:r>
    </w:p>
    <w:p w14:paraId="4F503008" w14:textId="0F72CE9C" w:rsidR="004D4DCB" w:rsidRDefault="00404929" w:rsidP="008D6354">
      <w:pPr>
        <w:autoSpaceDE w:val="0"/>
        <w:autoSpaceDN w:val="0"/>
        <w:adjustRightInd w:val="0"/>
        <w:spacing w:before="240"/>
        <w:rPr>
          <w:rFonts w:asciiTheme="minorHAnsi" w:hAnsiTheme="minorHAnsi" w:cstheme="minorHAnsi"/>
          <w:bCs/>
          <w:sz w:val="22"/>
          <w:szCs w:val="22"/>
        </w:rPr>
      </w:pPr>
      <w:r>
        <w:rPr>
          <w:rFonts w:asciiTheme="minorHAnsi" w:hAnsiTheme="minorHAnsi" w:cstheme="minorHAnsi"/>
          <w:bCs/>
          <w:sz w:val="22"/>
          <w:szCs w:val="22"/>
        </w:rPr>
        <w:t xml:space="preserve">The right to privacy and reputation is engaged as the Amendment Regulation will </w:t>
      </w:r>
      <w:r w:rsidR="00C17727">
        <w:rPr>
          <w:rFonts w:asciiTheme="minorHAnsi" w:hAnsiTheme="minorHAnsi" w:cstheme="minorHAnsi"/>
          <w:bCs/>
          <w:sz w:val="22"/>
          <w:szCs w:val="22"/>
        </w:rPr>
        <w:t>result in the mandatory reporting of all prescriptions for MDMA and psilocybin in the ACT. T</w:t>
      </w:r>
      <w:r>
        <w:rPr>
          <w:rFonts w:asciiTheme="minorHAnsi" w:hAnsiTheme="minorHAnsi" w:cstheme="minorHAnsi"/>
          <w:bCs/>
          <w:sz w:val="22"/>
          <w:szCs w:val="22"/>
        </w:rPr>
        <w:t xml:space="preserve">his </w:t>
      </w:r>
      <w:r w:rsidR="009C458E">
        <w:rPr>
          <w:rFonts w:asciiTheme="minorHAnsi" w:hAnsiTheme="minorHAnsi" w:cstheme="minorHAnsi"/>
          <w:bCs/>
          <w:sz w:val="22"/>
          <w:szCs w:val="22"/>
        </w:rPr>
        <w:t xml:space="preserve">engagement is considered to be reasonably restricted and necessary in order to pursue a legitimate aim of </w:t>
      </w:r>
      <w:r w:rsidR="0055359C">
        <w:rPr>
          <w:rFonts w:asciiTheme="minorHAnsi" w:hAnsiTheme="minorHAnsi" w:cstheme="minorHAnsi"/>
          <w:bCs/>
          <w:sz w:val="22"/>
          <w:szCs w:val="22"/>
        </w:rPr>
        <w:t>improve</w:t>
      </w:r>
      <w:r w:rsidR="009C458E">
        <w:rPr>
          <w:rFonts w:asciiTheme="minorHAnsi" w:hAnsiTheme="minorHAnsi" w:cstheme="minorHAnsi"/>
          <w:bCs/>
          <w:sz w:val="22"/>
          <w:szCs w:val="22"/>
        </w:rPr>
        <w:t>d</w:t>
      </w:r>
      <w:r w:rsidR="0055359C">
        <w:rPr>
          <w:rFonts w:asciiTheme="minorHAnsi" w:hAnsiTheme="minorHAnsi" w:cstheme="minorHAnsi"/>
          <w:bCs/>
          <w:sz w:val="22"/>
          <w:szCs w:val="22"/>
        </w:rPr>
        <w:t xml:space="preserve"> safety and </w:t>
      </w:r>
      <w:r w:rsidR="009C458E">
        <w:rPr>
          <w:rFonts w:asciiTheme="minorHAnsi" w:hAnsiTheme="minorHAnsi" w:cstheme="minorHAnsi"/>
          <w:bCs/>
          <w:sz w:val="22"/>
          <w:szCs w:val="22"/>
        </w:rPr>
        <w:t xml:space="preserve">quality use of medicines. These changes are considered </w:t>
      </w:r>
      <w:proofErr w:type="spellStart"/>
      <w:r w:rsidR="009C458E">
        <w:rPr>
          <w:rFonts w:asciiTheme="minorHAnsi" w:hAnsiTheme="minorHAnsi" w:cstheme="minorHAnsi"/>
          <w:bCs/>
          <w:sz w:val="22"/>
          <w:szCs w:val="22"/>
        </w:rPr>
        <w:t>to</w:t>
      </w:r>
      <w:proofErr w:type="spellEnd"/>
      <w:r w:rsidR="009C458E">
        <w:rPr>
          <w:rFonts w:asciiTheme="minorHAnsi" w:hAnsiTheme="minorHAnsi" w:cstheme="minorHAnsi"/>
          <w:bCs/>
          <w:sz w:val="22"/>
          <w:szCs w:val="22"/>
        </w:rPr>
        <w:t xml:space="preserve"> </w:t>
      </w:r>
      <w:r w:rsidR="00F20F16">
        <w:rPr>
          <w:rFonts w:asciiTheme="minorHAnsi" w:hAnsiTheme="minorHAnsi" w:cstheme="minorHAnsi"/>
          <w:bCs/>
          <w:sz w:val="22"/>
          <w:szCs w:val="22"/>
        </w:rPr>
        <w:t xml:space="preserve">closely </w:t>
      </w:r>
      <w:r w:rsidR="009C458E">
        <w:rPr>
          <w:rFonts w:asciiTheme="minorHAnsi" w:hAnsiTheme="minorHAnsi" w:cstheme="minorHAnsi"/>
          <w:bCs/>
          <w:sz w:val="22"/>
          <w:szCs w:val="22"/>
        </w:rPr>
        <w:t xml:space="preserve">align with core </w:t>
      </w:r>
      <w:r w:rsidR="00F20F16">
        <w:rPr>
          <w:rFonts w:asciiTheme="minorHAnsi" w:hAnsiTheme="minorHAnsi" w:cstheme="minorHAnsi"/>
          <w:bCs/>
          <w:sz w:val="22"/>
          <w:szCs w:val="22"/>
        </w:rPr>
        <w:t>objects</w:t>
      </w:r>
      <w:r w:rsidR="009C458E">
        <w:rPr>
          <w:rFonts w:asciiTheme="minorHAnsi" w:hAnsiTheme="minorHAnsi" w:cstheme="minorHAnsi"/>
          <w:bCs/>
          <w:sz w:val="22"/>
          <w:szCs w:val="22"/>
        </w:rPr>
        <w:t xml:space="preserve"> of the </w:t>
      </w:r>
      <w:r w:rsidR="009C458E" w:rsidRPr="00F20F16">
        <w:rPr>
          <w:rFonts w:asciiTheme="minorHAnsi" w:hAnsiTheme="minorHAnsi" w:cstheme="minorHAnsi"/>
          <w:bCs/>
          <w:sz w:val="22"/>
          <w:szCs w:val="22"/>
        </w:rPr>
        <w:t>MPTG</w:t>
      </w:r>
      <w:r w:rsidR="009C458E">
        <w:rPr>
          <w:rFonts w:asciiTheme="minorHAnsi" w:hAnsiTheme="minorHAnsi" w:cstheme="minorHAnsi"/>
          <w:bCs/>
          <w:sz w:val="22"/>
          <w:szCs w:val="22"/>
        </w:rPr>
        <w:t xml:space="preserve"> Act</w:t>
      </w:r>
      <w:r w:rsidR="00F20F16">
        <w:rPr>
          <w:rFonts w:asciiTheme="minorHAnsi" w:hAnsiTheme="minorHAnsi" w:cstheme="minorHAnsi"/>
          <w:bCs/>
          <w:sz w:val="22"/>
          <w:szCs w:val="22"/>
        </w:rPr>
        <w:t xml:space="preserve"> including to protect public health and safety through minimising accidental and deliberate poisons, and medicinal misadventures relating to regulated substances.</w:t>
      </w:r>
    </w:p>
    <w:p w14:paraId="77F94E8C" w14:textId="1430CD18" w:rsidR="00E50BDC" w:rsidRDefault="00AB0F0A" w:rsidP="004D4DCB">
      <w:pPr>
        <w:autoSpaceDE w:val="0"/>
        <w:autoSpaceDN w:val="0"/>
        <w:adjustRightInd w:val="0"/>
        <w:spacing w:before="240"/>
        <w:rPr>
          <w:rFonts w:asciiTheme="minorHAnsi" w:hAnsiTheme="minorHAnsi" w:cstheme="minorHAnsi"/>
          <w:bCs/>
          <w:sz w:val="22"/>
          <w:szCs w:val="22"/>
        </w:rPr>
      </w:pPr>
      <w:r>
        <w:rPr>
          <w:rFonts w:asciiTheme="minorHAnsi" w:hAnsiTheme="minorHAnsi" w:cstheme="minorHAnsi"/>
          <w:bCs/>
          <w:sz w:val="22"/>
          <w:szCs w:val="22"/>
        </w:rPr>
        <w:t>I</w:t>
      </w:r>
      <w:r w:rsidR="00F20F16">
        <w:rPr>
          <w:rFonts w:asciiTheme="minorHAnsi" w:hAnsiTheme="minorHAnsi" w:cstheme="minorHAnsi"/>
          <w:bCs/>
          <w:sz w:val="22"/>
          <w:szCs w:val="22"/>
        </w:rPr>
        <w:t>nformation collected by ACT Government relating to the prescription of controlled medicines</w:t>
      </w:r>
      <w:r>
        <w:rPr>
          <w:rFonts w:asciiTheme="minorHAnsi" w:hAnsiTheme="minorHAnsi" w:cstheme="minorHAnsi"/>
          <w:bCs/>
          <w:sz w:val="22"/>
          <w:szCs w:val="22"/>
        </w:rPr>
        <w:t>, including information stored on the Monitored Medicines Database,</w:t>
      </w:r>
      <w:r w:rsidR="00F20F16">
        <w:rPr>
          <w:rFonts w:asciiTheme="minorHAnsi" w:hAnsiTheme="minorHAnsi" w:cstheme="minorHAnsi"/>
          <w:bCs/>
          <w:sz w:val="22"/>
          <w:szCs w:val="22"/>
        </w:rPr>
        <w:t xml:space="preserve"> is considered personal health information and subject to strict privacy protections under the </w:t>
      </w:r>
      <w:r w:rsidR="00F20F16">
        <w:rPr>
          <w:rFonts w:asciiTheme="minorHAnsi" w:hAnsiTheme="minorHAnsi" w:cstheme="minorHAnsi"/>
          <w:bCs/>
          <w:i/>
          <w:iCs/>
          <w:sz w:val="22"/>
          <w:szCs w:val="22"/>
        </w:rPr>
        <w:t>Health Records (Privacy and Access) Act 1997</w:t>
      </w:r>
      <w:r w:rsidR="00F20F16">
        <w:rPr>
          <w:rFonts w:asciiTheme="minorHAnsi" w:hAnsiTheme="minorHAnsi" w:cstheme="minorHAnsi"/>
          <w:bCs/>
          <w:sz w:val="22"/>
          <w:szCs w:val="22"/>
        </w:rPr>
        <w:t xml:space="preserve"> and MPTG Act.</w:t>
      </w:r>
      <w:r w:rsidR="0069240D">
        <w:rPr>
          <w:rFonts w:asciiTheme="minorHAnsi" w:hAnsiTheme="minorHAnsi" w:cstheme="minorHAnsi"/>
          <w:bCs/>
          <w:sz w:val="22"/>
          <w:szCs w:val="22"/>
        </w:rPr>
        <w:t xml:space="preserve"> </w:t>
      </w:r>
      <w:r w:rsidR="00697A76" w:rsidRPr="00697A76">
        <w:rPr>
          <w:rFonts w:asciiTheme="minorHAnsi" w:hAnsiTheme="minorHAnsi" w:cstheme="minorHAnsi"/>
          <w:bCs/>
          <w:sz w:val="22"/>
          <w:szCs w:val="22"/>
        </w:rPr>
        <w:t xml:space="preserve">The </w:t>
      </w:r>
      <w:r w:rsidR="005A0D09">
        <w:rPr>
          <w:rFonts w:asciiTheme="minorHAnsi" w:hAnsiTheme="minorHAnsi" w:cstheme="minorHAnsi"/>
          <w:bCs/>
          <w:sz w:val="22"/>
          <w:szCs w:val="22"/>
        </w:rPr>
        <w:t>M</w:t>
      </w:r>
      <w:r w:rsidR="00697A76" w:rsidRPr="00697A76">
        <w:rPr>
          <w:rFonts w:asciiTheme="minorHAnsi" w:hAnsiTheme="minorHAnsi" w:cstheme="minorHAnsi"/>
          <w:bCs/>
          <w:sz w:val="22"/>
          <w:szCs w:val="22"/>
        </w:rPr>
        <w:t xml:space="preserve">onitored </w:t>
      </w:r>
      <w:r w:rsidR="005A0D09">
        <w:rPr>
          <w:rFonts w:asciiTheme="minorHAnsi" w:hAnsiTheme="minorHAnsi" w:cstheme="minorHAnsi"/>
          <w:bCs/>
          <w:sz w:val="22"/>
          <w:szCs w:val="22"/>
        </w:rPr>
        <w:t>M</w:t>
      </w:r>
      <w:r w:rsidR="00697A76" w:rsidRPr="00697A76">
        <w:rPr>
          <w:rFonts w:asciiTheme="minorHAnsi" w:hAnsiTheme="minorHAnsi" w:cstheme="minorHAnsi"/>
          <w:bCs/>
          <w:sz w:val="22"/>
          <w:szCs w:val="22"/>
        </w:rPr>
        <w:t xml:space="preserve">edicine </w:t>
      </w:r>
      <w:r w:rsidR="005A0D09">
        <w:rPr>
          <w:rFonts w:asciiTheme="minorHAnsi" w:hAnsiTheme="minorHAnsi" w:cstheme="minorHAnsi"/>
          <w:bCs/>
          <w:sz w:val="22"/>
          <w:szCs w:val="22"/>
        </w:rPr>
        <w:t>D</w:t>
      </w:r>
      <w:r w:rsidR="00697A76" w:rsidRPr="00697A76">
        <w:rPr>
          <w:rFonts w:asciiTheme="minorHAnsi" w:hAnsiTheme="minorHAnsi" w:cstheme="minorHAnsi"/>
          <w:bCs/>
          <w:sz w:val="22"/>
          <w:szCs w:val="22"/>
        </w:rPr>
        <w:t>atabase records information on those using the site</w:t>
      </w:r>
      <w:r w:rsidR="00942A8D">
        <w:rPr>
          <w:rFonts w:asciiTheme="minorHAnsi" w:hAnsiTheme="minorHAnsi" w:cstheme="minorHAnsi"/>
          <w:bCs/>
          <w:sz w:val="22"/>
          <w:szCs w:val="22"/>
        </w:rPr>
        <w:t xml:space="preserve"> including username, device and records accessed</w:t>
      </w:r>
      <w:r w:rsidR="00697A76">
        <w:rPr>
          <w:rFonts w:asciiTheme="minorHAnsi" w:hAnsiTheme="minorHAnsi" w:cstheme="minorHAnsi"/>
          <w:bCs/>
          <w:sz w:val="22"/>
          <w:szCs w:val="22"/>
        </w:rPr>
        <w:t xml:space="preserve">. </w:t>
      </w:r>
      <w:r w:rsidR="00697A76" w:rsidRPr="00697A76">
        <w:rPr>
          <w:rFonts w:asciiTheme="minorHAnsi" w:hAnsiTheme="minorHAnsi" w:cstheme="minorHAnsi"/>
          <w:bCs/>
          <w:sz w:val="22"/>
          <w:szCs w:val="22"/>
        </w:rPr>
        <w:t>This information is available for ACTHD to safeguard against unauthorised access of information. </w:t>
      </w:r>
    </w:p>
    <w:p w14:paraId="2F38BD2E" w14:textId="41E4999A" w:rsidR="005A0D09" w:rsidRDefault="005A0D09" w:rsidP="00164BC4">
      <w:pPr>
        <w:rPr>
          <w:rFonts w:asciiTheme="minorHAnsi" w:hAnsiTheme="minorHAnsi" w:cstheme="minorHAnsi"/>
          <w:bCs/>
          <w:sz w:val="22"/>
          <w:szCs w:val="22"/>
        </w:rPr>
      </w:pPr>
    </w:p>
    <w:p w14:paraId="5BC19623" w14:textId="77777777" w:rsidR="00B70518" w:rsidRDefault="00B70518" w:rsidP="00265FE9">
      <w:pPr>
        <w:rPr>
          <w:rFonts w:asciiTheme="minorHAnsi" w:hAnsiTheme="minorHAnsi" w:cstheme="minorHAnsi"/>
          <w:sz w:val="22"/>
          <w:szCs w:val="22"/>
        </w:rPr>
      </w:pPr>
      <w:bookmarkStart w:id="1" w:name="_Hlk84317861"/>
    </w:p>
    <w:p w14:paraId="1BAEB517" w14:textId="12D43049" w:rsidR="00704D3E" w:rsidRPr="00F83CD8" w:rsidRDefault="00704D3E" w:rsidP="004D6598">
      <w:pPr>
        <w:rPr>
          <w:rFonts w:asciiTheme="minorHAnsi" w:hAnsiTheme="minorHAnsi" w:cstheme="minorHAnsi"/>
          <w:b/>
          <w:bCs/>
          <w:sz w:val="22"/>
          <w:szCs w:val="22"/>
        </w:rPr>
      </w:pPr>
      <w:r w:rsidRPr="00F83CD8">
        <w:rPr>
          <w:rFonts w:asciiTheme="minorHAnsi" w:hAnsiTheme="minorHAnsi" w:cstheme="minorHAnsi"/>
          <w:b/>
          <w:bCs/>
          <w:sz w:val="22"/>
          <w:szCs w:val="22"/>
        </w:rPr>
        <w:t>C</w:t>
      </w:r>
      <w:r w:rsidR="003A4F8F" w:rsidRPr="00F83CD8">
        <w:rPr>
          <w:rFonts w:asciiTheme="minorHAnsi" w:hAnsiTheme="minorHAnsi" w:cstheme="minorHAnsi"/>
          <w:b/>
          <w:bCs/>
          <w:sz w:val="22"/>
          <w:szCs w:val="22"/>
        </w:rPr>
        <w:t>LAUSE</w:t>
      </w:r>
      <w:r w:rsidR="0049462B" w:rsidRPr="00F83CD8">
        <w:rPr>
          <w:rFonts w:asciiTheme="minorHAnsi" w:hAnsiTheme="minorHAnsi" w:cstheme="minorHAnsi"/>
          <w:b/>
          <w:bCs/>
          <w:sz w:val="22"/>
          <w:szCs w:val="22"/>
        </w:rPr>
        <w:t xml:space="preserve"> NOTES</w:t>
      </w:r>
    </w:p>
    <w:p w14:paraId="7A14E400" w14:textId="77777777" w:rsidR="00704D3E" w:rsidRPr="00F83CD8" w:rsidRDefault="00704D3E" w:rsidP="004D6598">
      <w:pPr>
        <w:rPr>
          <w:rFonts w:asciiTheme="minorHAnsi" w:hAnsiTheme="minorHAnsi" w:cstheme="minorHAnsi"/>
          <w:sz w:val="22"/>
          <w:szCs w:val="22"/>
        </w:rPr>
      </w:pPr>
    </w:p>
    <w:p w14:paraId="48DB1676" w14:textId="77777777" w:rsidR="00704D3E" w:rsidRPr="00F83CD8" w:rsidRDefault="00704D3E" w:rsidP="004D6598">
      <w:pPr>
        <w:rPr>
          <w:rFonts w:asciiTheme="minorHAnsi" w:hAnsiTheme="minorHAnsi" w:cstheme="minorHAnsi"/>
          <w:b/>
          <w:bCs/>
          <w:sz w:val="22"/>
          <w:szCs w:val="22"/>
        </w:rPr>
      </w:pPr>
      <w:r w:rsidRPr="00F83CD8">
        <w:rPr>
          <w:rFonts w:asciiTheme="minorHAnsi" w:hAnsiTheme="minorHAnsi" w:cstheme="minorHAnsi"/>
          <w:b/>
          <w:bCs/>
          <w:sz w:val="22"/>
          <w:szCs w:val="22"/>
        </w:rPr>
        <w:t xml:space="preserve">Clause 1 </w:t>
      </w:r>
      <w:r w:rsidRPr="00F83CD8">
        <w:rPr>
          <w:rFonts w:asciiTheme="minorHAnsi" w:hAnsiTheme="minorHAnsi" w:cstheme="minorHAnsi"/>
          <w:b/>
          <w:bCs/>
          <w:sz w:val="22"/>
          <w:szCs w:val="22"/>
        </w:rPr>
        <w:tab/>
        <w:t xml:space="preserve">Name of Regulation </w:t>
      </w:r>
    </w:p>
    <w:p w14:paraId="7B473790" w14:textId="77777777" w:rsidR="0049462B" w:rsidRPr="00F83CD8" w:rsidRDefault="0049462B" w:rsidP="004D6598">
      <w:pPr>
        <w:rPr>
          <w:rFonts w:asciiTheme="minorHAnsi" w:hAnsiTheme="minorHAnsi" w:cstheme="minorHAnsi"/>
          <w:sz w:val="22"/>
          <w:szCs w:val="22"/>
        </w:rPr>
      </w:pPr>
    </w:p>
    <w:p w14:paraId="105F3EA3" w14:textId="685E0F27" w:rsidR="00323987" w:rsidRPr="00F83CD8" w:rsidRDefault="00E536BF" w:rsidP="004D6598">
      <w:pPr>
        <w:rPr>
          <w:rFonts w:asciiTheme="minorHAnsi" w:hAnsiTheme="minorHAnsi" w:cstheme="minorHAnsi"/>
          <w:sz w:val="22"/>
          <w:szCs w:val="22"/>
        </w:rPr>
      </w:pPr>
      <w:r>
        <w:rPr>
          <w:rFonts w:asciiTheme="minorHAnsi" w:hAnsiTheme="minorHAnsi" w:cstheme="minorHAnsi"/>
          <w:sz w:val="22"/>
          <w:szCs w:val="22"/>
        </w:rPr>
        <w:lastRenderedPageBreak/>
        <w:t>This clause</w:t>
      </w:r>
      <w:r w:rsidR="00892B53">
        <w:rPr>
          <w:rFonts w:asciiTheme="minorHAnsi" w:hAnsiTheme="minorHAnsi" w:cstheme="minorHAnsi"/>
          <w:sz w:val="22"/>
          <w:szCs w:val="22"/>
        </w:rPr>
        <w:t xml:space="preserve"> </w:t>
      </w:r>
      <w:r w:rsidR="00704D3E" w:rsidRPr="00F83CD8">
        <w:rPr>
          <w:rFonts w:asciiTheme="minorHAnsi" w:hAnsiTheme="minorHAnsi" w:cstheme="minorHAnsi"/>
          <w:sz w:val="22"/>
          <w:szCs w:val="22"/>
        </w:rPr>
        <w:t xml:space="preserve">declares the name of the </w:t>
      </w:r>
      <w:r>
        <w:rPr>
          <w:rFonts w:asciiTheme="minorHAnsi" w:hAnsiTheme="minorHAnsi" w:cstheme="minorHAnsi"/>
          <w:sz w:val="22"/>
          <w:szCs w:val="22"/>
        </w:rPr>
        <w:t xml:space="preserve">Amendment </w:t>
      </w:r>
      <w:r w:rsidR="00704D3E" w:rsidRPr="00F83CD8">
        <w:rPr>
          <w:rFonts w:asciiTheme="minorHAnsi" w:hAnsiTheme="minorHAnsi" w:cstheme="minorHAnsi"/>
          <w:sz w:val="22"/>
          <w:szCs w:val="22"/>
        </w:rPr>
        <w:t xml:space="preserve">Regulation to be the </w:t>
      </w:r>
      <w:r w:rsidR="00704D3E" w:rsidRPr="002F0EAB">
        <w:rPr>
          <w:rFonts w:asciiTheme="minorHAnsi" w:hAnsiTheme="minorHAnsi" w:cstheme="minorHAnsi"/>
          <w:sz w:val="22"/>
          <w:szCs w:val="22"/>
        </w:rPr>
        <w:t>Medicines, Poisons and Therapeutic Goods Amendment Regulation 20</w:t>
      </w:r>
      <w:r w:rsidR="00323987" w:rsidRPr="002F0EAB">
        <w:rPr>
          <w:rFonts w:asciiTheme="minorHAnsi" w:hAnsiTheme="minorHAnsi" w:cstheme="minorHAnsi"/>
          <w:sz w:val="22"/>
          <w:szCs w:val="22"/>
        </w:rPr>
        <w:t>2</w:t>
      </w:r>
      <w:r w:rsidR="00F0149F" w:rsidRPr="002F0EAB">
        <w:rPr>
          <w:rFonts w:asciiTheme="minorHAnsi" w:hAnsiTheme="minorHAnsi" w:cstheme="minorHAnsi"/>
          <w:sz w:val="22"/>
          <w:szCs w:val="22"/>
        </w:rPr>
        <w:t>3</w:t>
      </w:r>
      <w:r w:rsidR="008610D6" w:rsidRPr="002F0EAB">
        <w:rPr>
          <w:rFonts w:asciiTheme="minorHAnsi" w:hAnsiTheme="minorHAnsi" w:cstheme="minorHAnsi"/>
          <w:sz w:val="22"/>
          <w:szCs w:val="22"/>
        </w:rPr>
        <w:t xml:space="preserve"> (No </w:t>
      </w:r>
      <w:r w:rsidR="00D767FB" w:rsidRPr="002F0EAB">
        <w:rPr>
          <w:rFonts w:asciiTheme="minorHAnsi" w:hAnsiTheme="minorHAnsi" w:cstheme="minorHAnsi"/>
          <w:sz w:val="22"/>
          <w:szCs w:val="22"/>
        </w:rPr>
        <w:t>2</w:t>
      </w:r>
      <w:r w:rsidR="008610D6" w:rsidRPr="002F0EAB">
        <w:rPr>
          <w:rFonts w:asciiTheme="minorHAnsi" w:hAnsiTheme="minorHAnsi" w:cstheme="minorHAnsi"/>
          <w:sz w:val="22"/>
          <w:szCs w:val="22"/>
        </w:rPr>
        <w:t>)</w:t>
      </w:r>
      <w:r w:rsidR="00704D3E" w:rsidRPr="00F83CD8">
        <w:rPr>
          <w:rFonts w:asciiTheme="minorHAnsi" w:hAnsiTheme="minorHAnsi" w:cstheme="minorHAnsi"/>
          <w:sz w:val="22"/>
          <w:szCs w:val="22"/>
        </w:rPr>
        <w:t xml:space="preserve">. </w:t>
      </w:r>
    </w:p>
    <w:p w14:paraId="13BC8B30" w14:textId="77777777" w:rsidR="00323987" w:rsidRPr="00F83CD8" w:rsidRDefault="00323987" w:rsidP="004D6598">
      <w:pPr>
        <w:rPr>
          <w:rFonts w:asciiTheme="minorHAnsi" w:hAnsiTheme="minorHAnsi" w:cstheme="minorHAnsi"/>
          <w:sz w:val="22"/>
          <w:szCs w:val="22"/>
        </w:rPr>
      </w:pPr>
    </w:p>
    <w:p w14:paraId="61B4CEF8" w14:textId="77777777" w:rsidR="00323987" w:rsidRPr="00F83CD8" w:rsidRDefault="00704D3E" w:rsidP="004D6598">
      <w:pPr>
        <w:rPr>
          <w:rFonts w:asciiTheme="minorHAnsi" w:hAnsiTheme="minorHAnsi" w:cstheme="minorHAnsi"/>
          <w:sz w:val="22"/>
          <w:szCs w:val="22"/>
        </w:rPr>
      </w:pPr>
      <w:r w:rsidRPr="00F83CD8">
        <w:rPr>
          <w:rFonts w:asciiTheme="minorHAnsi" w:hAnsiTheme="minorHAnsi" w:cstheme="minorHAnsi"/>
          <w:b/>
          <w:bCs/>
          <w:sz w:val="22"/>
          <w:szCs w:val="22"/>
        </w:rPr>
        <w:t>Clause 2</w:t>
      </w:r>
      <w:r w:rsidR="00323987" w:rsidRPr="00F83CD8">
        <w:rPr>
          <w:rFonts w:asciiTheme="minorHAnsi" w:hAnsiTheme="minorHAnsi" w:cstheme="minorHAnsi"/>
          <w:b/>
          <w:bCs/>
          <w:sz w:val="22"/>
          <w:szCs w:val="22"/>
        </w:rPr>
        <w:tab/>
      </w:r>
      <w:r w:rsidRPr="00F83CD8">
        <w:rPr>
          <w:rFonts w:asciiTheme="minorHAnsi" w:hAnsiTheme="minorHAnsi" w:cstheme="minorHAnsi"/>
          <w:b/>
          <w:bCs/>
          <w:sz w:val="22"/>
          <w:szCs w:val="22"/>
        </w:rPr>
        <w:t>Commencement</w:t>
      </w:r>
      <w:r w:rsidRPr="00F83CD8">
        <w:rPr>
          <w:rFonts w:asciiTheme="minorHAnsi" w:hAnsiTheme="minorHAnsi" w:cstheme="minorHAnsi"/>
          <w:sz w:val="22"/>
          <w:szCs w:val="22"/>
        </w:rPr>
        <w:t xml:space="preserve"> </w:t>
      </w:r>
    </w:p>
    <w:p w14:paraId="7EE2FB7E" w14:textId="77777777" w:rsidR="0049462B" w:rsidRPr="00F83CD8" w:rsidRDefault="0049462B" w:rsidP="004D6598">
      <w:pPr>
        <w:rPr>
          <w:rFonts w:asciiTheme="minorHAnsi" w:hAnsiTheme="minorHAnsi" w:cstheme="minorHAnsi"/>
          <w:sz w:val="22"/>
          <w:szCs w:val="22"/>
        </w:rPr>
      </w:pPr>
    </w:p>
    <w:p w14:paraId="320EC83E" w14:textId="1F2D5CF5" w:rsidR="00704D3E" w:rsidRPr="00F83CD8" w:rsidRDefault="00323987" w:rsidP="004D6598">
      <w:pPr>
        <w:rPr>
          <w:rFonts w:asciiTheme="minorHAnsi" w:hAnsiTheme="minorHAnsi" w:cstheme="minorHAnsi"/>
          <w:sz w:val="22"/>
          <w:szCs w:val="22"/>
        </w:rPr>
      </w:pPr>
      <w:r w:rsidRPr="00F83CD8">
        <w:rPr>
          <w:rFonts w:asciiTheme="minorHAnsi" w:hAnsiTheme="minorHAnsi" w:cstheme="minorHAnsi"/>
          <w:sz w:val="22"/>
          <w:szCs w:val="22"/>
        </w:rPr>
        <w:t xml:space="preserve">Under </w:t>
      </w:r>
      <w:r w:rsidR="00704D3E" w:rsidRPr="00F83CD8">
        <w:rPr>
          <w:rFonts w:asciiTheme="minorHAnsi" w:hAnsiTheme="minorHAnsi" w:cstheme="minorHAnsi"/>
          <w:sz w:val="22"/>
          <w:szCs w:val="22"/>
        </w:rPr>
        <w:t>this provision, the Regulation commence</w:t>
      </w:r>
      <w:r w:rsidRPr="00F83CD8">
        <w:rPr>
          <w:rFonts w:asciiTheme="minorHAnsi" w:hAnsiTheme="minorHAnsi" w:cstheme="minorHAnsi"/>
          <w:sz w:val="22"/>
          <w:szCs w:val="22"/>
        </w:rPr>
        <w:t>s</w:t>
      </w:r>
      <w:r w:rsidR="00704D3E" w:rsidRPr="00F83CD8">
        <w:rPr>
          <w:rFonts w:asciiTheme="minorHAnsi" w:hAnsiTheme="minorHAnsi" w:cstheme="minorHAnsi"/>
          <w:sz w:val="22"/>
          <w:szCs w:val="22"/>
        </w:rPr>
        <w:t xml:space="preserve"> the day after notification</w:t>
      </w:r>
      <w:r w:rsidR="00DE4284">
        <w:rPr>
          <w:rFonts w:asciiTheme="minorHAnsi" w:hAnsiTheme="minorHAnsi" w:cstheme="minorHAnsi"/>
          <w:sz w:val="22"/>
          <w:szCs w:val="22"/>
        </w:rPr>
        <w:t>.</w:t>
      </w:r>
    </w:p>
    <w:p w14:paraId="5A9A382D" w14:textId="77777777" w:rsidR="00323987" w:rsidRPr="00F83CD8" w:rsidRDefault="00323987" w:rsidP="004D6598">
      <w:pPr>
        <w:rPr>
          <w:rFonts w:asciiTheme="minorHAnsi" w:hAnsiTheme="minorHAnsi" w:cstheme="minorHAnsi"/>
          <w:sz w:val="22"/>
          <w:szCs w:val="22"/>
        </w:rPr>
      </w:pPr>
    </w:p>
    <w:p w14:paraId="70F76D2D" w14:textId="26936687" w:rsidR="00323987" w:rsidRPr="00F83CD8" w:rsidRDefault="00323987" w:rsidP="004D6598">
      <w:pPr>
        <w:rPr>
          <w:rFonts w:asciiTheme="minorHAnsi" w:hAnsiTheme="minorHAnsi" w:cstheme="minorHAnsi"/>
          <w:b/>
          <w:bCs/>
          <w:sz w:val="22"/>
          <w:szCs w:val="22"/>
        </w:rPr>
      </w:pPr>
      <w:r w:rsidRPr="00F83CD8">
        <w:rPr>
          <w:rFonts w:asciiTheme="minorHAnsi" w:hAnsiTheme="minorHAnsi" w:cstheme="minorHAnsi"/>
          <w:b/>
          <w:bCs/>
          <w:sz w:val="22"/>
          <w:szCs w:val="22"/>
        </w:rPr>
        <w:t>Clause 3</w:t>
      </w:r>
      <w:r w:rsidRPr="00F83CD8">
        <w:rPr>
          <w:rFonts w:asciiTheme="minorHAnsi" w:hAnsiTheme="minorHAnsi" w:cstheme="minorHAnsi"/>
          <w:b/>
          <w:bCs/>
          <w:sz w:val="22"/>
          <w:szCs w:val="22"/>
        </w:rPr>
        <w:tab/>
        <w:t>Legislation amended</w:t>
      </w:r>
    </w:p>
    <w:p w14:paraId="2BAD01CF" w14:textId="77777777" w:rsidR="0049462B" w:rsidRPr="00F83CD8" w:rsidRDefault="0049462B" w:rsidP="004D6598">
      <w:pPr>
        <w:rPr>
          <w:rFonts w:asciiTheme="minorHAnsi" w:hAnsiTheme="minorHAnsi" w:cstheme="minorHAnsi"/>
          <w:sz w:val="22"/>
          <w:szCs w:val="22"/>
        </w:rPr>
      </w:pPr>
    </w:p>
    <w:p w14:paraId="058F29E5" w14:textId="33CA58D6" w:rsidR="00323987" w:rsidRPr="00F83CD8" w:rsidRDefault="00323987" w:rsidP="004D6598">
      <w:pPr>
        <w:rPr>
          <w:rFonts w:asciiTheme="minorHAnsi" w:hAnsiTheme="minorHAnsi" w:cstheme="minorHAnsi"/>
          <w:sz w:val="22"/>
          <w:szCs w:val="22"/>
        </w:rPr>
      </w:pPr>
      <w:r w:rsidRPr="00F83CD8">
        <w:rPr>
          <w:rFonts w:asciiTheme="minorHAnsi" w:hAnsiTheme="minorHAnsi" w:cstheme="minorHAnsi"/>
          <w:sz w:val="22"/>
          <w:szCs w:val="22"/>
        </w:rPr>
        <w:t xml:space="preserve">This clause advises that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 xml:space="preserve">Regulation amends the MPTG Regulation. Upon commencement,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 xml:space="preserve">Regulation will alter the MPTG Regulation in accordance with the provisions that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 xml:space="preserve">Regulation contains. Consequentially, from the date that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Regulation commences, a republication of the MPTG Regulation will be available. Th</w:t>
      </w:r>
      <w:r w:rsidR="00F40536">
        <w:rPr>
          <w:rFonts w:asciiTheme="minorHAnsi" w:hAnsiTheme="minorHAnsi" w:cstheme="minorHAnsi"/>
          <w:sz w:val="22"/>
          <w:szCs w:val="22"/>
        </w:rPr>
        <w:t xml:space="preserve">e </w:t>
      </w:r>
      <w:r w:rsidRPr="00F83CD8">
        <w:rPr>
          <w:rFonts w:asciiTheme="minorHAnsi" w:hAnsiTheme="minorHAnsi" w:cstheme="minorHAnsi"/>
          <w:sz w:val="22"/>
          <w:szCs w:val="22"/>
        </w:rPr>
        <w:t xml:space="preserve">new republication will feature the amendments made by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Regulation.</w:t>
      </w:r>
    </w:p>
    <w:p w14:paraId="3034C657" w14:textId="00BA3634" w:rsidR="00D94313" w:rsidRDefault="00D94313">
      <w:pPr>
        <w:rPr>
          <w:rFonts w:asciiTheme="minorHAnsi" w:hAnsiTheme="minorHAnsi" w:cstheme="minorHAnsi"/>
          <w:b/>
          <w:bCs/>
          <w:sz w:val="22"/>
          <w:szCs w:val="22"/>
        </w:rPr>
      </w:pPr>
    </w:p>
    <w:p w14:paraId="0A40A8F1" w14:textId="193272F6" w:rsidR="001701C5" w:rsidRDefault="006B483F" w:rsidP="001701C5">
      <w:pPr>
        <w:rPr>
          <w:rFonts w:asciiTheme="minorHAnsi" w:hAnsiTheme="minorHAnsi" w:cstheme="minorHAnsi"/>
          <w:sz w:val="22"/>
          <w:szCs w:val="22"/>
        </w:rPr>
      </w:pPr>
      <w:r w:rsidRPr="00F83CD8">
        <w:rPr>
          <w:rFonts w:asciiTheme="minorHAnsi" w:hAnsiTheme="minorHAnsi" w:cstheme="minorHAnsi"/>
          <w:b/>
          <w:bCs/>
          <w:sz w:val="22"/>
          <w:szCs w:val="22"/>
        </w:rPr>
        <w:t>Clause 4</w:t>
      </w:r>
      <w:r w:rsidRPr="00F83CD8">
        <w:rPr>
          <w:rFonts w:asciiTheme="minorHAnsi" w:hAnsiTheme="minorHAnsi" w:cstheme="minorHAnsi"/>
          <w:b/>
          <w:bCs/>
          <w:sz w:val="22"/>
          <w:szCs w:val="22"/>
        </w:rPr>
        <w:tab/>
      </w:r>
      <w:r w:rsidR="002F0EAB">
        <w:rPr>
          <w:rFonts w:asciiTheme="minorHAnsi" w:hAnsiTheme="minorHAnsi" w:cstheme="minorHAnsi"/>
          <w:b/>
          <w:bCs/>
          <w:sz w:val="22"/>
          <w:szCs w:val="22"/>
        </w:rPr>
        <w:t>New section 556A</w:t>
      </w:r>
      <w:r w:rsidR="00D94313">
        <w:rPr>
          <w:rFonts w:asciiTheme="minorHAnsi" w:hAnsiTheme="minorHAnsi" w:cstheme="minorHAnsi"/>
          <w:b/>
          <w:bCs/>
          <w:sz w:val="22"/>
          <w:szCs w:val="22"/>
        </w:rPr>
        <w:br/>
      </w:r>
      <w:r w:rsidR="001701C5">
        <w:rPr>
          <w:rFonts w:asciiTheme="minorHAnsi" w:hAnsiTheme="minorHAnsi" w:cstheme="minorHAnsi"/>
          <w:sz w:val="22"/>
          <w:szCs w:val="22"/>
        </w:rPr>
        <w:t xml:space="preserve">This clause inserts new section 556A to the MPTG Regulation that enables controlled medicines to which standing approvals do not apply. Under new section 556A(1) the CHO may declare a controlled medicine to which approvals under sections 555 and 556 do not apply. Under new section 556A(2) the declaration is a notifiable instrument. </w:t>
      </w:r>
    </w:p>
    <w:p w14:paraId="78309A64" w14:textId="77777777" w:rsidR="003C22DB" w:rsidRDefault="003C22DB" w:rsidP="006B483F">
      <w:pPr>
        <w:rPr>
          <w:rFonts w:asciiTheme="minorHAnsi" w:hAnsiTheme="minorHAnsi" w:cstheme="minorHAnsi"/>
          <w:sz w:val="22"/>
          <w:szCs w:val="22"/>
        </w:rPr>
      </w:pPr>
    </w:p>
    <w:bookmarkEnd w:id="1"/>
    <w:p w14:paraId="7C3A699A" w14:textId="29E8E952" w:rsidR="008610D6" w:rsidRPr="00F83CD8" w:rsidRDefault="008610D6" w:rsidP="004D6598">
      <w:pPr>
        <w:rPr>
          <w:rFonts w:asciiTheme="minorHAnsi" w:hAnsiTheme="minorHAnsi" w:cstheme="minorHAnsi"/>
          <w:sz w:val="22"/>
          <w:szCs w:val="22"/>
        </w:rPr>
      </w:pPr>
    </w:p>
    <w:sectPr w:rsidR="008610D6" w:rsidRPr="00F83CD8" w:rsidSect="007346AC">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69A9" w14:textId="77777777" w:rsidR="001814B9" w:rsidRDefault="001814B9" w:rsidP="00C17FAB">
      <w:r>
        <w:separator/>
      </w:r>
    </w:p>
  </w:endnote>
  <w:endnote w:type="continuationSeparator" w:id="0">
    <w:p w14:paraId="2BBCB89F" w14:textId="77777777" w:rsidR="001814B9" w:rsidRDefault="001814B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E59C" w14:textId="77777777" w:rsidR="001B21B6" w:rsidRDefault="001B2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40589"/>
      <w:docPartObj>
        <w:docPartGallery w:val="Page Numbers (Bottom of Page)"/>
        <w:docPartUnique/>
      </w:docPartObj>
    </w:sdtPr>
    <w:sdtEndPr>
      <w:rPr>
        <w:noProof/>
      </w:rPr>
    </w:sdtEndPr>
    <w:sdtContent>
      <w:p w14:paraId="3194170B" w14:textId="7E1C7CFC" w:rsidR="001B2FB7" w:rsidRDefault="001B2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6471B" w14:textId="6A19EAF1" w:rsidR="0026735D" w:rsidRPr="001B21B6" w:rsidRDefault="001B21B6" w:rsidP="001B21B6">
    <w:pPr>
      <w:jc w:val="center"/>
      <w:rPr>
        <w:rFonts w:ascii="Arial" w:hAnsi="Arial" w:cs="Arial"/>
        <w:sz w:val="14"/>
        <w:szCs w:val="10"/>
      </w:rPr>
    </w:pPr>
    <w:r w:rsidRPr="001B21B6">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920D" w14:textId="77777777" w:rsidR="001B21B6" w:rsidRDefault="001B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D58B" w14:textId="77777777" w:rsidR="001814B9" w:rsidRDefault="001814B9" w:rsidP="00C17FAB">
      <w:r>
        <w:separator/>
      </w:r>
    </w:p>
  </w:footnote>
  <w:footnote w:type="continuationSeparator" w:id="0">
    <w:p w14:paraId="46711B71" w14:textId="77777777" w:rsidR="001814B9" w:rsidRDefault="001814B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8B04" w14:textId="77777777" w:rsidR="001B21B6" w:rsidRDefault="001B2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2663" w14:textId="77777777" w:rsidR="001B21B6" w:rsidRDefault="001B2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E27C" w14:textId="77777777" w:rsidR="001B21B6" w:rsidRDefault="001B2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A90B6E"/>
    <w:multiLevelType w:val="hybridMultilevel"/>
    <w:tmpl w:val="7B50342A"/>
    <w:lvl w:ilvl="0" w:tplc="0C090005">
      <w:start w:val="1"/>
      <w:numFmt w:val="bullet"/>
      <w:lvlText w:val=""/>
      <w:lvlJc w:val="left"/>
      <w:pPr>
        <w:ind w:left="2227" w:hanging="360"/>
      </w:pPr>
      <w:rPr>
        <w:rFonts w:ascii="Wingdings" w:hAnsi="Wingdings" w:hint="default"/>
      </w:rPr>
    </w:lvl>
    <w:lvl w:ilvl="1" w:tplc="0C090003" w:tentative="1">
      <w:start w:val="1"/>
      <w:numFmt w:val="bullet"/>
      <w:lvlText w:val="o"/>
      <w:lvlJc w:val="left"/>
      <w:pPr>
        <w:ind w:left="2947" w:hanging="360"/>
      </w:pPr>
      <w:rPr>
        <w:rFonts w:ascii="Courier New" w:hAnsi="Courier New" w:cs="Courier New" w:hint="default"/>
      </w:rPr>
    </w:lvl>
    <w:lvl w:ilvl="2" w:tplc="0C090005" w:tentative="1">
      <w:start w:val="1"/>
      <w:numFmt w:val="bullet"/>
      <w:lvlText w:val=""/>
      <w:lvlJc w:val="left"/>
      <w:pPr>
        <w:ind w:left="3667" w:hanging="360"/>
      </w:pPr>
      <w:rPr>
        <w:rFonts w:ascii="Wingdings" w:hAnsi="Wingdings" w:hint="default"/>
      </w:rPr>
    </w:lvl>
    <w:lvl w:ilvl="3" w:tplc="0C090001" w:tentative="1">
      <w:start w:val="1"/>
      <w:numFmt w:val="bullet"/>
      <w:lvlText w:val=""/>
      <w:lvlJc w:val="left"/>
      <w:pPr>
        <w:ind w:left="4387" w:hanging="360"/>
      </w:pPr>
      <w:rPr>
        <w:rFonts w:ascii="Symbol" w:hAnsi="Symbol" w:hint="default"/>
      </w:rPr>
    </w:lvl>
    <w:lvl w:ilvl="4" w:tplc="0C090003" w:tentative="1">
      <w:start w:val="1"/>
      <w:numFmt w:val="bullet"/>
      <w:lvlText w:val="o"/>
      <w:lvlJc w:val="left"/>
      <w:pPr>
        <w:ind w:left="5107" w:hanging="360"/>
      </w:pPr>
      <w:rPr>
        <w:rFonts w:ascii="Courier New" w:hAnsi="Courier New" w:cs="Courier New" w:hint="default"/>
      </w:rPr>
    </w:lvl>
    <w:lvl w:ilvl="5" w:tplc="0C090005" w:tentative="1">
      <w:start w:val="1"/>
      <w:numFmt w:val="bullet"/>
      <w:lvlText w:val=""/>
      <w:lvlJc w:val="left"/>
      <w:pPr>
        <w:ind w:left="5827" w:hanging="360"/>
      </w:pPr>
      <w:rPr>
        <w:rFonts w:ascii="Wingdings" w:hAnsi="Wingdings" w:hint="default"/>
      </w:rPr>
    </w:lvl>
    <w:lvl w:ilvl="6" w:tplc="0C090001" w:tentative="1">
      <w:start w:val="1"/>
      <w:numFmt w:val="bullet"/>
      <w:lvlText w:val=""/>
      <w:lvlJc w:val="left"/>
      <w:pPr>
        <w:ind w:left="6547" w:hanging="360"/>
      </w:pPr>
      <w:rPr>
        <w:rFonts w:ascii="Symbol" w:hAnsi="Symbol" w:hint="default"/>
      </w:rPr>
    </w:lvl>
    <w:lvl w:ilvl="7" w:tplc="0C090003" w:tentative="1">
      <w:start w:val="1"/>
      <w:numFmt w:val="bullet"/>
      <w:lvlText w:val="o"/>
      <w:lvlJc w:val="left"/>
      <w:pPr>
        <w:ind w:left="7267" w:hanging="360"/>
      </w:pPr>
      <w:rPr>
        <w:rFonts w:ascii="Courier New" w:hAnsi="Courier New" w:cs="Courier New" w:hint="default"/>
      </w:rPr>
    </w:lvl>
    <w:lvl w:ilvl="8" w:tplc="0C090005" w:tentative="1">
      <w:start w:val="1"/>
      <w:numFmt w:val="bullet"/>
      <w:lvlText w:val=""/>
      <w:lvlJc w:val="left"/>
      <w:pPr>
        <w:ind w:left="7987"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0B6D83"/>
    <w:multiLevelType w:val="hybridMultilevel"/>
    <w:tmpl w:val="443C002E"/>
    <w:lvl w:ilvl="0" w:tplc="95C2E0C6">
      <w:numFmt w:val="bullet"/>
      <w:lvlText w:val="-"/>
      <w:lvlJc w:val="left"/>
      <w:pPr>
        <w:ind w:left="2160" w:hanging="360"/>
      </w:pPr>
      <w:rPr>
        <w:rFonts w:ascii="Calibri" w:eastAsia="Calibr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6B06EC4"/>
    <w:multiLevelType w:val="hybridMultilevel"/>
    <w:tmpl w:val="35347A22"/>
    <w:lvl w:ilvl="0" w:tplc="0C090003">
      <w:start w:val="1"/>
      <w:numFmt w:val="bullet"/>
      <w:lvlText w:val="o"/>
      <w:lvlJc w:val="left"/>
      <w:pPr>
        <w:ind w:left="938" w:hanging="360"/>
      </w:pPr>
      <w:rPr>
        <w:rFonts w:ascii="Courier New" w:hAnsi="Courier New" w:cs="Courier New" w:hint="default"/>
      </w:rPr>
    </w:lvl>
    <w:lvl w:ilvl="1" w:tplc="0C090003">
      <w:start w:val="1"/>
      <w:numFmt w:val="bullet"/>
      <w:lvlText w:val="o"/>
      <w:lvlJc w:val="left"/>
      <w:pPr>
        <w:ind w:left="1658" w:hanging="360"/>
      </w:pPr>
      <w:rPr>
        <w:rFonts w:ascii="Courier New" w:hAnsi="Courier New" w:cs="Courier New" w:hint="default"/>
      </w:rPr>
    </w:lvl>
    <w:lvl w:ilvl="2" w:tplc="0C09001B">
      <w:start w:val="1"/>
      <w:numFmt w:val="lowerRoman"/>
      <w:lvlText w:val="%3."/>
      <w:lvlJc w:val="right"/>
      <w:pPr>
        <w:ind w:left="2378" w:hanging="180"/>
      </w:pPr>
    </w:lvl>
    <w:lvl w:ilvl="3" w:tplc="0C09000F">
      <w:start w:val="1"/>
      <w:numFmt w:val="decimal"/>
      <w:lvlText w:val="%4."/>
      <w:lvlJc w:val="left"/>
      <w:pPr>
        <w:ind w:left="3098" w:hanging="360"/>
      </w:pPr>
    </w:lvl>
    <w:lvl w:ilvl="4" w:tplc="0C090019">
      <w:start w:val="1"/>
      <w:numFmt w:val="lowerLetter"/>
      <w:lvlText w:val="%5."/>
      <w:lvlJc w:val="left"/>
      <w:pPr>
        <w:ind w:left="3818" w:hanging="360"/>
      </w:pPr>
    </w:lvl>
    <w:lvl w:ilvl="5" w:tplc="0C09001B">
      <w:start w:val="1"/>
      <w:numFmt w:val="lowerRoman"/>
      <w:lvlText w:val="%6."/>
      <w:lvlJc w:val="right"/>
      <w:pPr>
        <w:ind w:left="4538" w:hanging="180"/>
      </w:pPr>
    </w:lvl>
    <w:lvl w:ilvl="6" w:tplc="0C09000F">
      <w:start w:val="1"/>
      <w:numFmt w:val="decimal"/>
      <w:lvlText w:val="%7."/>
      <w:lvlJc w:val="left"/>
      <w:pPr>
        <w:ind w:left="5258" w:hanging="360"/>
      </w:pPr>
    </w:lvl>
    <w:lvl w:ilvl="7" w:tplc="0C090019">
      <w:start w:val="1"/>
      <w:numFmt w:val="lowerLetter"/>
      <w:lvlText w:val="%8."/>
      <w:lvlJc w:val="left"/>
      <w:pPr>
        <w:ind w:left="5978" w:hanging="360"/>
      </w:pPr>
    </w:lvl>
    <w:lvl w:ilvl="8" w:tplc="0C09001B">
      <w:start w:val="1"/>
      <w:numFmt w:val="lowerRoman"/>
      <w:lvlText w:val="%9."/>
      <w:lvlJc w:val="right"/>
      <w:pPr>
        <w:ind w:left="6698" w:hanging="180"/>
      </w:pPr>
    </w:lvl>
  </w:abstractNum>
  <w:abstractNum w:abstractNumId="7" w15:restartNumberingAfterBreak="0">
    <w:nsid w:val="2DBA7477"/>
    <w:multiLevelType w:val="hybridMultilevel"/>
    <w:tmpl w:val="B060C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35872B8"/>
    <w:multiLevelType w:val="hybridMultilevel"/>
    <w:tmpl w:val="2AB0FA18"/>
    <w:lvl w:ilvl="0" w:tplc="6DBAF65E">
      <w:start w:val="1"/>
      <w:numFmt w:val="decimal"/>
      <w:pStyle w:val="CS-Paragraphnumbering"/>
      <w:lvlText w:val="%1."/>
      <w:lvlJc w:val="left"/>
      <w:pPr>
        <w:ind w:left="720" w:hanging="360"/>
      </w:pPr>
      <w:rPr>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6DF417B"/>
    <w:multiLevelType w:val="multilevel"/>
    <w:tmpl w:val="97D40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A411C59"/>
    <w:multiLevelType w:val="hybridMultilevel"/>
    <w:tmpl w:val="54387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A3296"/>
    <w:multiLevelType w:val="hybridMultilevel"/>
    <w:tmpl w:val="0C6E263E"/>
    <w:lvl w:ilvl="0" w:tplc="83FC006C">
      <w:start w:val="1"/>
      <w:numFmt w:val="decimal"/>
      <w:lvlText w:val="%1."/>
      <w:lvlJc w:val="left"/>
      <w:pPr>
        <w:ind w:left="720" w:hanging="360"/>
      </w:pPr>
      <w:rPr>
        <w:rFonts w:ascii="Calibri" w:eastAsia="Calibri" w:hAnsi="Calibr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092713"/>
    <w:multiLevelType w:val="hybridMultilevel"/>
    <w:tmpl w:val="FFC6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62"/>
    <w:multiLevelType w:val="hybridMultilevel"/>
    <w:tmpl w:val="635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44025"/>
    <w:multiLevelType w:val="hybridMultilevel"/>
    <w:tmpl w:val="2B6C30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2887FF3"/>
    <w:multiLevelType w:val="hybridMultilevel"/>
    <w:tmpl w:val="C90EB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95D7F59"/>
    <w:multiLevelType w:val="hybridMultilevel"/>
    <w:tmpl w:val="3138BC68"/>
    <w:lvl w:ilvl="0" w:tplc="54DE54CA">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2C6246"/>
    <w:multiLevelType w:val="hybridMultilevel"/>
    <w:tmpl w:val="E426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A52828"/>
    <w:multiLevelType w:val="hybridMultilevel"/>
    <w:tmpl w:val="6472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96D27"/>
    <w:multiLevelType w:val="hybridMultilevel"/>
    <w:tmpl w:val="7BB6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834B3"/>
    <w:multiLevelType w:val="hybridMultilevel"/>
    <w:tmpl w:val="446AFEEC"/>
    <w:lvl w:ilvl="0" w:tplc="F8C098E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6046F48"/>
    <w:multiLevelType w:val="hybridMultilevel"/>
    <w:tmpl w:val="869A3B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F931D99"/>
    <w:multiLevelType w:val="multilevel"/>
    <w:tmpl w:val="535C6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B7596"/>
    <w:multiLevelType w:val="hybridMultilevel"/>
    <w:tmpl w:val="F0B01E1E"/>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95C2E0C6">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88021656">
    <w:abstractNumId w:val="3"/>
  </w:num>
  <w:num w:numId="2" w16cid:durableId="1667785602">
    <w:abstractNumId w:val="0"/>
  </w:num>
  <w:num w:numId="3" w16cid:durableId="1448230299">
    <w:abstractNumId w:val="4"/>
  </w:num>
  <w:num w:numId="4" w16cid:durableId="931743601">
    <w:abstractNumId w:val="12"/>
  </w:num>
  <w:num w:numId="5" w16cid:durableId="9644218">
    <w:abstractNumId w:val="25"/>
  </w:num>
  <w:num w:numId="6" w16cid:durableId="682786714">
    <w:abstractNumId w:val="2"/>
  </w:num>
  <w:num w:numId="7" w16cid:durableId="1590968580">
    <w:abstractNumId w:val="9"/>
  </w:num>
  <w:num w:numId="8" w16cid:durableId="570578086">
    <w:abstractNumId w:val="10"/>
  </w:num>
  <w:num w:numId="9" w16cid:durableId="559709829">
    <w:abstractNumId w:val="28"/>
  </w:num>
  <w:num w:numId="10" w16cid:durableId="706758225">
    <w:abstractNumId w:val="15"/>
  </w:num>
  <w:num w:numId="11" w16cid:durableId="1937902447">
    <w:abstractNumId w:val="21"/>
  </w:num>
  <w:num w:numId="12" w16cid:durableId="68620305">
    <w:abstractNumId w:val="22"/>
  </w:num>
  <w:num w:numId="13" w16cid:durableId="133734625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703076">
    <w:abstractNumId w:val="26"/>
  </w:num>
  <w:num w:numId="15" w16cid:durableId="933167748">
    <w:abstractNumId w:val="8"/>
  </w:num>
  <w:num w:numId="16" w16cid:durableId="424769131">
    <w:abstractNumId w:val="11"/>
  </w:num>
  <w:num w:numId="17" w16cid:durableId="15206637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965696">
    <w:abstractNumId w:val="6"/>
  </w:num>
  <w:num w:numId="19" w16cid:durableId="1512376336">
    <w:abstractNumId w:val="17"/>
  </w:num>
  <w:num w:numId="20" w16cid:durableId="58523990">
    <w:abstractNumId w:val="16"/>
  </w:num>
  <w:num w:numId="21" w16cid:durableId="484784276">
    <w:abstractNumId w:val="7"/>
  </w:num>
  <w:num w:numId="22" w16cid:durableId="398094626">
    <w:abstractNumId w:val="18"/>
  </w:num>
  <w:num w:numId="23" w16cid:durableId="2054385976">
    <w:abstractNumId w:val="20"/>
  </w:num>
  <w:num w:numId="24" w16cid:durableId="1005208132">
    <w:abstractNumId w:val="14"/>
    <w:lvlOverride w:ilvl="0">
      <w:startOverride w:val="1"/>
    </w:lvlOverride>
    <w:lvlOverride w:ilvl="1"/>
    <w:lvlOverride w:ilvl="2"/>
    <w:lvlOverride w:ilvl="3"/>
    <w:lvlOverride w:ilvl="4"/>
    <w:lvlOverride w:ilvl="5"/>
    <w:lvlOverride w:ilvl="6"/>
    <w:lvlOverride w:ilvl="7"/>
    <w:lvlOverride w:ilvl="8"/>
  </w:num>
  <w:num w:numId="25" w16cid:durableId="1030112434">
    <w:abstractNumId w:val="19"/>
  </w:num>
  <w:num w:numId="26" w16cid:durableId="331686275">
    <w:abstractNumId w:val="24"/>
  </w:num>
  <w:num w:numId="27" w16cid:durableId="1947811057">
    <w:abstractNumId w:val="13"/>
  </w:num>
  <w:num w:numId="28" w16cid:durableId="945968056">
    <w:abstractNumId w:val="23"/>
  </w:num>
  <w:num w:numId="29" w16cid:durableId="1928610089">
    <w:abstractNumId w:val="1"/>
  </w:num>
  <w:num w:numId="30" w16cid:durableId="1593976431">
    <w:abstractNumId w:val="5"/>
  </w:num>
  <w:num w:numId="31" w16cid:durableId="12989512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AA2"/>
    <w:rsid w:val="000262DC"/>
    <w:rsid w:val="000564DA"/>
    <w:rsid w:val="00060B04"/>
    <w:rsid w:val="00061734"/>
    <w:rsid w:val="000679B1"/>
    <w:rsid w:val="00075D10"/>
    <w:rsid w:val="000779D1"/>
    <w:rsid w:val="00082E5C"/>
    <w:rsid w:val="00083A63"/>
    <w:rsid w:val="00083FEF"/>
    <w:rsid w:val="00090F07"/>
    <w:rsid w:val="00093674"/>
    <w:rsid w:val="000958CC"/>
    <w:rsid w:val="000A14DF"/>
    <w:rsid w:val="000A44EA"/>
    <w:rsid w:val="000A47AB"/>
    <w:rsid w:val="000B3055"/>
    <w:rsid w:val="000B35AD"/>
    <w:rsid w:val="000B4338"/>
    <w:rsid w:val="000C0B77"/>
    <w:rsid w:val="000C1759"/>
    <w:rsid w:val="000C5222"/>
    <w:rsid w:val="000D0457"/>
    <w:rsid w:val="000E336F"/>
    <w:rsid w:val="000E494C"/>
    <w:rsid w:val="000F03ED"/>
    <w:rsid w:val="000F6296"/>
    <w:rsid w:val="00100F71"/>
    <w:rsid w:val="00110402"/>
    <w:rsid w:val="001154FA"/>
    <w:rsid w:val="001157E8"/>
    <w:rsid w:val="00120291"/>
    <w:rsid w:val="00123ACD"/>
    <w:rsid w:val="00142197"/>
    <w:rsid w:val="0014649C"/>
    <w:rsid w:val="00147127"/>
    <w:rsid w:val="00164BC4"/>
    <w:rsid w:val="001701C5"/>
    <w:rsid w:val="001814B9"/>
    <w:rsid w:val="00183752"/>
    <w:rsid w:val="0019425C"/>
    <w:rsid w:val="00196873"/>
    <w:rsid w:val="001A0FF6"/>
    <w:rsid w:val="001A4A7D"/>
    <w:rsid w:val="001B1505"/>
    <w:rsid w:val="001B21B6"/>
    <w:rsid w:val="001B2FB7"/>
    <w:rsid w:val="001B47C4"/>
    <w:rsid w:val="001B4DFD"/>
    <w:rsid w:val="001B5919"/>
    <w:rsid w:val="001B603E"/>
    <w:rsid w:val="001C1100"/>
    <w:rsid w:val="001C169F"/>
    <w:rsid w:val="001C595E"/>
    <w:rsid w:val="001D28F1"/>
    <w:rsid w:val="001D526F"/>
    <w:rsid w:val="001E7F16"/>
    <w:rsid w:val="001F1185"/>
    <w:rsid w:val="0020027A"/>
    <w:rsid w:val="00200670"/>
    <w:rsid w:val="00200DCD"/>
    <w:rsid w:val="002012FF"/>
    <w:rsid w:val="002105EC"/>
    <w:rsid w:val="002155F2"/>
    <w:rsid w:val="0021678D"/>
    <w:rsid w:val="00221244"/>
    <w:rsid w:val="00224E14"/>
    <w:rsid w:val="002276C2"/>
    <w:rsid w:val="00234C09"/>
    <w:rsid w:val="00246CB8"/>
    <w:rsid w:val="002518C0"/>
    <w:rsid w:val="002547BC"/>
    <w:rsid w:val="00262114"/>
    <w:rsid w:val="00262187"/>
    <w:rsid w:val="0026355A"/>
    <w:rsid w:val="00264E84"/>
    <w:rsid w:val="00265FE9"/>
    <w:rsid w:val="00266DCD"/>
    <w:rsid w:val="0026735D"/>
    <w:rsid w:val="0027180A"/>
    <w:rsid w:val="00285363"/>
    <w:rsid w:val="00286C2A"/>
    <w:rsid w:val="00290F31"/>
    <w:rsid w:val="002951E8"/>
    <w:rsid w:val="002A1990"/>
    <w:rsid w:val="002B3149"/>
    <w:rsid w:val="002B3E3F"/>
    <w:rsid w:val="002B5258"/>
    <w:rsid w:val="002B5432"/>
    <w:rsid w:val="002B5DF0"/>
    <w:rsid w:val="002B790A"/>
    <w:rsid w:val="002C09F3"/>
    <w:rsid w:val="002C2D35"/>
    <w:rsid w:val="002C4A4A"/>
    <w:rsid w:val="002D09B6"/>
    <w:rsid w:val="002D7C60"/>
    <w:rsid w:val="002F0EAB"/>
    <w:rsid w:val="002F5EC0"/>
    <w:rsid w:val="002F6907"/>
    <w:rsid w:val="00302628"/>
    <w:rsid w:val="00303521"/>
    <w:rsid w:val="003112CD"/>
    <w:rsid w:val="00323987"/>
    <w:rsid w:val="00327663"/>
    <w:rsid w:val="00332119"/>
    <w:rsid w:val="003332DF"/>
    <w:rsid w:val="00343AB3"/>
    <w:rsid w:val="00343C81"/>
    <w:rsid w:val="00347AA2"/>
    <w:rsid w:val="00363BD7"/>
    <w:rsid w:val="00363BDB"/>
    <w:rsid w:val="0037016E"/>
    <w:rsid w:val="003707E0"/>
    <w:rsid w:val="003718B4"/>
    <w:rsid w:val="003727A4"/>
    <w:rsid w:val="00376A4D"/>
    <w:rsid w:val="003775E1"/>
    <w:rsid w:val="00384B3D"/>
    <w:rsid w:val="00384C35"/>
    <w:rsid w:val="003932C8"/>
    <w:rsid w:val="0039658C"/>
    <w:rsid w:val="003A2497"/>
    <w:rsid w:val="003A4F8F"/>
    <w:rsid w:val="003C00F6"/>
    <w:rsid w:val="003C22DB"/>
    <w:rsid w:val="003C534F"/>
    <w:rsid w:val="003D6743"/>
    <w:rsid w:val="003E14D4"/>
    <w:rsid w:val="003E580C"/>
    <w:rsid w:val="003F0193"/>
    <w:rsid w:val="003F1EAE"/>
    <w:rsid w:val="003F5CD7"/>
    <w:rsid w:val="003F752F"/>
    <w:rsid w:val="003F7C62"/>
    <w:rsid w:val="00400FBB"/>
    <w:rsid w:val="00403AC8"/>
    <w:rsid w:val="00404929"/>
    <w:rsid w:val="004106C0"/>
    <w:rsid w:val="00416248"/>
    <w:rsid w:val="00424A95"/>
    <w:rsid w:val="00426C58"/>
    <w:rsid w:val="00427BDC"/>
    <w:rsid w:val="004433C8"/>
    <w:rsid w:val="00443C71"/>
    <w:rsid w:val="004447FB"/>
    <w:rsid w:val="004479AF"/>
    <w:rsid w:val="00457A2D"/>
    <w:rsid w:val="0046102F"/>
    <w:rsid w:val="004728DC"/>
    <w:rsid w:val="00485233"/>
    <w:rsid w:val="00485B19"/>
    <w:rsid w:val="004871A5"/>
    <w:rsid w:val="00487D9D"/>
    <w:rsid w:val="00492495"/>
    <w:rsid w:val="0049462B"/>
    <w:rsid w:val="004946DA"/>
    <w:rsid w:val="004951AB"/>
    <w:rsid w:val="004958BF"/>
    <w:rsid w:val="004A57F1"/>
    <w:rsid w:val="004A5CE1"/>
    <w:rsid w:val="004A7F2B"/>
    <w:rsid w:val="004B0C62"/>
    <w:rsid w:val="004B4D68"/>
    <w:rsid w:val="004B5039"/>
    <w:rsid w:val="004C1696"/>
    <w:rsid w:val="004C21E7"/>
    <w:rsid w:val="004C4396"/>
    <w:rsid w:val="004C66EF"/>
    <w:rsid w:val="004C7626"/>
    <w:rsid w:val="004D4761"/>
    <w:rsid w:val="004D4DCB"/>
    <w:rsid w:val="004D6598"/>
    <w:rsid w:val="004E5AF2"/>
    <w:rsid w:val="004F3EF3"/>
    <w:rsid w:val="00500053"/>
    <w:rsid w:val="005004EA"/>
    <w:rsid w:val="005007C4"/>
    <w:rsid w:val="00501AD6"/>
    <w:rsid w:val="00507ADC"/>
    <w:rsid w:val="00511581"/>
    <w:rsid w:val="0051555F"/>
    <w:rsid w:val="00533282"/>
    <w:rsid w:val="005469F4"/>
    <w:rsid w:val="0055359C"/>
    <w:rsid w:val="005604AE"/>
    <w:rsid w:val="005606B2"/>
    <w:rsid w:val="00570D6E"/>
    <w:rsid w:val="00581DC6"/>
    <w:rsid w:val="00585906"/>
    <w:rsid w:val="00594134"/>
    <w:rsid w:val="005A0D09"/>
    <w:rsid w:val="005A5216"/>
    <w:rsid w:val="005B1E3A"/>
    <w:rsid w:val="005B4E28"/>
    <w:rsid w:val="005B6829"/>
    <w:rsid w:val="005C0EE8"/>
    <w:rsid w:val="005C488E"/>
    <w:rsid w:val="005C6C6C"/>
    <w:rsid w:val="005C7485"/>
    <w:rsid w:val="005D2A5D"/>
    <w:rsid w:val="005F0145"/>
    <w:rsid w:val="005F5E7E"/>
    <w:rsid w:val="00602EEF"/>
    <w:rsid w:val="00605F1B"/>
    <w:rsid w:val="006121F4"/>
    <w:rsid w:val="0062615A"/>
    <w:rsid w:val="00627210"/>
    <w:rsid w:val="00630599"/>
    <w:rsid w:val="006452E3"/>
    <w:rsid w:val="006464B3"/>
    <w:rsid w:val="006466BB"/>
    <w:rsid w:val="006471CA"/>
    <w:rsid w:val="006473E7"/>
    <w:rsid w:val="00650264"/>
    <w:rsid w:val="00651C5F"/>
    <w:rsid w:val="006602B1"/>
    <w:rsid w:val="00663654"/>
    <w:rsid w:val="00666461"/>
    <w:rsid w:val="006868D3"/>
    <w:rsid w:val="00686B33"/>
    <w:rsid w:val="00691B4E"/>
    <w:rsid w:val="0069240D"/>
    <w:rsid w:val="0069315B"/>
    <w:rsid w:val="00697714"/>
    <w:rsid w:val="00697A76"/>
    <w:rsid w:val="006A03C5"/>
    <w:rsid w:val="006A6EAC"/>
    <w:rsid w:val="006B0A8D"/>
    <w:rsid w:val="006B483F"/>
    <w:rsid w:val="006C67E6"/>
    <w:rsid w:val="006C6C3B"/>
    <w:rsid w:val="006D5F92"/>
    <w:rsid w:val="006E0A14"/>
    <w:rsid w:val="006E3C8F"/>
    <w:rsid w:val="006E47FD"/>
    <w:rsid w:val="006F075E"/>
    <w:rsid w:val="00704D3E"/>
    <w:rsid w:val="00715095"/>
    <w:rsid w:val="007346AC"/>
    <w:rsid w:val="00734E3B"/>
    <w:rsid w:val="00735BA8"/>
    <w:rsid w:val="00743346"/>
    <w:rsid w:val="00743EFE"/>
    <w:rsid w:val="007525E1"/>
    <w:rsid w:val="00757350"/>
    <w:rsid w:val="00757624"/>
    <w:rsid w:val="00757E87"/>
    <w:rsid w:val="00780050"/>
    <w:rsid w:val="00780CC0"/>
    <w:rsid w:val="007812D7"/>
    <w:rsid w:val="00783A85"/>
    <w:rsid w:val="00784295"/>
    <w:rsid w:val="00784487"/>
    <w:rsid w:val="007A39DD"/>
    <w:rsid w:val="007A61EF"/>
    <w:rsid w:val="007B5EDF"/>
    <w:rsid w:val="007C768A"/>
    <w:rsid w:val="007D0507"/>
    <w:rsid w:val="007D1592"/>
    <w:rsid w:val="007E0756"/>
    <w:rsid w:val="007E166B"/>
    <w:rsid w:val="007E470E"/>
    <w:rsid w:val="007F3404"/>
    <w:rsid w:val="007F7517"/>
    <w:rsid w:val="00811ACA"/>
    <w:rsid w:val="00820FA7"/>
    <w:rsid w:val="00822722"/>
    <w:rsid w:val="00831592"/>
    <w:rsid w:val="00834A5C"/>
    <w:rsid w:val="00843298"/>
    <w:rsid w:val="008435D7"/>
    <w:rsid w:val="008458A4"/>
    <w:rsid w:val="0084609B"/>
    <w:rsid w:val="0085141A"/>
    <w:rsid w:val="00860F72"/>
    <w:rsid w:val="008610D6"/>
    <w:rsid w:val="00861DB4"/>
    <w:rsid w:val="00865033"/>
    <w:rsid w:val="00866784"/>
    <w:rsid w:val="008669E6"/>
    <w:rsid w:val="0087335E"/>
    <w:rsid w:val="00884CFB"/>
    <w:rsid w:val="00890100"/>
    <w:rsid w:val="0089133E"/>
    <w:rsid w:val="00892B53"/>
    <w:rsid w:val="0089645F"/>
    <w:rsid w:val="008A1D34"/>
    <w:rsid w:val="008A6E41"/>
    <w:rsid w:val="008B67ED"/>
    <w:rsid w:val="008D6354"/>
    <w:rsid w:val="008D7719"/>
    <w:rsid w:val="008E0D9C"/>
    <w:rsid w:val="008E18BC"/>
    <w:rsid w:val="008E5867"/>
    <w:rsid w:val="008E60EE"/>
    <w:rsid w:val="008E711B"/>
    <w:rsid w:val="008F3D38"/>
    <w:rsid w:val="008F7E72"/>
    <w:rsid w:val="009058F7"/>
    <w:rsid w:val="009059A9"/>
    <w:rsid w:val="00907044"/>
    <w:rsid w:val="009145C2"/>
    <w:rsid w:val="00915BF1"/>
    <w:rsid w:val="00922F1E"/>
    <w:rsid w:val="0092410C"/>
    <w:rsid w:val="009279AF"/>
    <w:rsid w:val="00927BA2"/>
    <w:rsid w:val="009303FE"/>
    <w:rsid w:val="00942A8D"/>
    <w:rsid w:val="009451C4"/>
    <w:rsid w:val="009455EF"/>
    <w:rsid w:val="00945998"/>
    <w:rsid w:val="009508A5"/>
    <w:rsid w:val="0095299C"/>
    <w:rsid w:val="00952A71"/>
    <w:rsid w:val="00964544"/>
    <w:rsid w:val="00965933"/>
    <w:rsid w:val="00976F6E"/>
    <w:rsid w:val="009A4572"/>
    <w:rsid w:val="009B2E66"/>
    <w:rsid w:val="009C458E"/>
    <w:rsid w:val="009D4AF9"/>
    <w:rsid w:val="009D698C"/>
    <w:rsid w:val="009E44A7"/>
    <w:rsid w:val="009E4C2F"/>
    <w:rsid w:val="009E570D"/>
    <w:rsid w:val="009F13C3"/>
    <w:rsid w:val="009F3BBC"/>
    <w:rsid w:val="009F44DB"/>
    <w:rsid w:val="009F4F90"/>
    <w:rsid w:val="00A150F7"/>
    <w:rsid w:val="00A163C3"/>
    <w:rsid w:val="00A16488"/>
    <w:rsid w:val="00A23B21"/>
    <w:rsid w:val="00A25EC3"/>
    <w:rsid w:val="00A270A1"/>
    <w:rsid w:val="00A34BBC"/>
    <w:rsid w:val="00A42DA8"/>
    <w:rsid w:val="00A448BF"/>
    <w:rsid w:val="00A4585F"/>
    <w:rsid w:val="00A459EF"/>
    <w:rsid w:val="00A46AC6"/>
    <w:rsid w:val="00A9409A"/>
    <w:rsid w:val="00A94D24"/>
    <w:rsid w:val="00AA5430"/>
    <w:rsid w:val="00AA7124"/>
    <w:rsid w:val="00AB0F0A"/>
    <w:rsid w:val="00AB2C42"/>
    <w:rsid w:val="00AB397B"/>
    <w:rsid w:val="00AC5CAA"/>
    <w:rsid w:val="00AD621F"/>
    <w:rsid w:val="00AF5BA0"/>
    <w:rsid w:val="00AF7E49"/>
    <w:rsid w:val="00B06FF5"/>
    <w:rsid w:val="00B070DF"/>
    <w:rsid w:val="00B071A6"/>
    <w:rsid w:val="00B078FF"/>
    <w:rsid w:val="00B15BFC"/>
    <w:rsid w:val="00B234AF"/>
    <w:rsid w:val="00B25F97"/>
    <w:rsid w:val="00B320B5"/>
    <w:rsid w:val="00B411FA"/>
    <w:rsid w:val="00B44870"/>
    <w:rsid w:val="00B45F3F"/>
    <w:rsid w:val="00B51755"/>
    <w:rsid w:val="00B52B7B"/>
    <w:rsid w:val="00B6426D"/>
    <w:rsid w:val="00B70518"/>
    <w:rsid w:val="00B711DC"/>
    <w:rsid w:val="00B71AB6"/>
    <w:rsid w:val="00B81BBF"/>
    <w:rsid w:val="00B82E38"/>
    <w:rsid w:val="00B8346E"/>
    <w:rsid w:val="00B87006"/>
    <w:rsid w:val="00B91CC4"/>
    <w:rsid w:val="00B92913"/>
    <w:rsid w:val="00B94547"/>
    <w:rsid w:val="00B95460"/>
    <w:rsid w:val="00B96EE0"/>
    <w:rsid w:val="00BA2B18"/>
    <w:rsid w:val="00BA5012"/>
    <w:rsid w:val="00BA7388"/>
    <w:rsid w:val="00BB7AA9"/>
    <w:rsid w:val="00BE7ED8"/>
    <w:rsid w:val="00BF0955"/>
    <w:rsid w:val="00BF1F04"/>
    <w:rsid w:val="00C04092"/>
    <w:rsid w:val="00C1163C"/>
    <w:rsid w:val="00C131DA"/>
    <w:rsid w:val="00C17727"/>
    <w:rsid w:val="00C17B44"/>
    <w:rsid w:val="00C17FAB"/>
    <w:rsid w:val="00C2053D"/>
    <w:rsid w:val="00C306C6"/>
    <w:rsid w:val="00C34D24"/>
    <w:rsid w:val="00C45502"/>
    <w:rsid w:val="00C45CB0"/>
    <w:rsid w:val="00C632A2"/>
    <w:rsid w:val="00C73906"/>
    <w:rsid w:val="00C82BC7"/>
    <w:rsid w:val="00CA0B58"/>
    <w:rsid w:val="00CA2895"/>
    <w:rsid w:val="00CB16C8"/>
    <w:rsid w:val="00CB47BF"/>
    <w:rsid w:val="00CC3910"/>
    <w:rsid w:val="00CC5689"/>
    <w:rsid w:val="00CD275D"/>
    <w:rsid w:val="00CE0F5F"/>
    <w:rsid w:val="00CE3D01"/>
    <w:rsid w:val="00CE599C"/>
    <w:rsid w:val="00CF5C61"/>
    <w:rsid w:val="00D0746C"/>
    <w:rsid w:val="00D10289"/>
    <w:rsid w:val="00D16BC5"/>
    <w:rsid w:val="00D170E8"/>
    <w:rsid w:val="00D22B09"/>
    <w:rsid w:val="00D368FA"/>
    <w:rsid w:val="00D44FD6"/>
    <w:rsid w:val="00D5732D"/>
    <w:rsid w:val="00D57A45"/>
    <w:rsid w:val="00D623A5"/>
    <w:rsid w:val="00D67CFB"/>
    <w:rsid w:val="00D70028"/>
    <w:rsid w:val="00D75182"/>
    <w:rsid w:val="00D767FB"/>
    <w:rsid w:val="00D820E5"/>
    <w:rsid w:val="00D86908"/>
    <w:rsid w:val="00D93BD7"/>
    <w:rsid w:val="00D94313"/>
    <w:rsid w:val="00D95254"/>
    <w:rsid w:val="00D96732"/>
    <w:rsid w:val="00D97471"/>
    <w:rsid w:val="00DA0C0D"/>
    <w:rsid w:val="00DA1BAE"/>
    <w:rsid w:val="00DA3B00"/>
    <w:rsid w:val="00DB1696"/>
    <w:rsid w:val="00DB2DA6"/>
    <w:rsid w:val="00DB47FE"/>
    <w:rsid w:val="00DB5929"/>
    <w:rsid w:val="00DB7890"/>
    <w:rsid w:val="00DC17F8"/>
    <w:rsid w:val="00DC18AF"/>
    <w:rsid w:val="00DC40FF"/>
    <w:rsid w:val="00DC5EE6"/>
    <w:rsid w:val="00DE1395"/>
    <w:rsid w:val="00DE4284"/>
    <w:rsid w:val="00DE5485"/>
    <w:rsid w:val="00DF6935"/>
    <w:rsid w:val="00E04E26"/>
    <w:rsid w:val="00E05871"/>
    <w:rsid w:val="00E11ECE"/>
    <w:rsid w:val="00E13EF2"/>
    <w:rsid w:val="00E15C0D"/>
    <w:rsid w:val="00E16901"/>
    <w:rsid w:val="00E210C9"/>
    <w:rsid w:val="00E21D1F"/>
    <w:rsid w:val="00E24C8C"/>
    <w:rsid w:val="00E26143"/>
    <w:rsid w:val="00E30385"/>
    <w:rsid w:val="00E3093A"/>
    <w:rsid w:val="00E450A1"/>
    <w:rsid w:val="00E45DC2"/>
    <w:rsid w:val="00E50599"/>
    <w:rsid w:val="00E50BDC"/>
    <w:rsid w:val="00E536BF"/>
    <w:rsid w:val="00E60151"/>
    <w:rsid w:val="00E6024E"/>
    <w:rsid w:val="00E60A7E"/>
    <w:rsid w:val="00E61CCE"/>
    <w:rsid w:val="00E66A95"/>
    <w:rsid w:val="00E82894"/>
    <w:rsid w:val="00E93909"/>
    <w:rsid w:val="00EB7B74"/>
    <w:rsid w:val="00EC1187"/>
    <w:rsid w:val="00EC136F"/>
    <w:rsid w:val="00EC37A3"/>
    <w:rsid w:val="00EC46C4"/>
    <w:rsid w:val="00EC5C96"/>
    <w:rsid w:val="00EC66EE"/>
    <w:rsid w:val="00ED0022"/>
    <w:rsid w:val="00ED167D"/>
    <w:rsid w:val="00EE0F90"/>
    <w:rsid w:val="00EE2834"/>
    <w:rsid w:val="00EE4EAF"/>
    <w:rsid w:val="00F0149F"/>
    <w:rsid w:val="00F048CF"/>
    <w:rsid w:val="00F07361"/>
    <w:rsid w:val="00F200B1"/>
    <w:rsid w:val="00F20F16"/>
    <w:rsid w:val="00F23BCA"/>
    <w:rsid w:val="00F3429F"/>
    <w:rsid w:val="00F40536"/>
    <w:rsid w:val="00F441BA"/>
    <w:rsid w:val="00F53C05"/>
    <w:rsid w:val="00F53E23"/>
    <w:rsid w:val="00F54F34"/>
    <w:rsid w:val="00F55D77"/>
    <w:rsid w:val="00F74C8D"/>
    <w:rsid w:val="00F75447"/>
    <w:rsid w:val="00F81D1A"/>
    <w:rsid w:val="00F83CD8"/>
    <w:rsid w:val="00F848BA"/>
    <w:rsid w:val="00F90025"/>
    <w:rsid w:val="00FA0CC2"/>
    <w:rsid w:val="00FB1FA4"/>
    <w:rsid w:val="00FB6D3E"/>
    <w:rsid w:val="00FC616A"/>
    <w:rsid w:val="00FD3A52"/>
    <w:rsid w:val="00FD48D4"/>
    <w:rsid w:val="00FD75CE"/>
    <w:rsid w:val="00FE72DF"/>
    <w:rsid w:val="00FF5B8D"/>
    <w:rsid w:val="00FF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0E35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03AC8"/>
    <w:pPr>
      <w:widowControl w:val="0"/>
      <w:ind w:left="720"/>
      <w:contextualSpacing/>
    </w:pPr>
    <w:rPr>
      <w:iCs/>
      <w:szCs w:val="24"/>
      <w:lang w:val="en-US"/>
    </w:rPr>
  </w:style>
  <w:style w:type="character" w:styleId="CommentReference">
    <w:name w:val="annotation reference"/>
    <w:basedOn w:val="DefaultParagraphFont"/>
    <w:uiPriority w:val="99"/>
    <w:semiHidden/>
    <w:unhideWhenUsed/>
    <w:rsid w:val="00E450A1"/>
    <w:rPr>
      <w:sz w:val="16"/>
      <w:szCs w:val="16"/>
    </w:rPr>
  </w:style>
  <w:style w:type="paragraph" w:styleId="CommentText">
    <w:name w:val="annotation text"/>
    <w:basedOn w:val="Normal"/>
    <w:link w:val="CommentTextChar"/>
    <w:uiPriority w:val="99"/>
    <w:unhideWhenUsed/>
    <w:rsid w:val="00E450A1"/>
    <w:rPr>
      <w:sz w:val="20"/>
    </w:rPr>
  </w:style>
  <w:style w:type="character" w:customStyle="1" w:styleId="CommentTextChar">
    <w:name w:val="Comment Text Char"/>
    <w:basedOn w:val="DefaultParagraphFont"/>
    <w:link w:val="CommentText"/>
    <w:uiPriority w:val="99"/>
    <w:rsid w:val="00E450A1"/>
    <w:rPr>
      <w:lang w:eastAsia="en-US"/>
    </w:rPr>
  </w:style>
  <w:style w:type="paragraph" w:styleId="CommentSubject">
    <w:name w:val="annotation subject"/>
    <w:basedOn w:val="CommentText"/>
    <w:next w:val="CommentText"/>
    <w:link w:val="CommentSubjectChar"/>
    <w:uiPriority w:val="99"/>
    <w:semiHidden/>
    <w:unhideWhenUsed/>
    <w:rsid w:val="00E450A1"/>
    <w:rPr>
      <w:b/>
      <w:bCs/>
    </w:rPr>
  </w:style>
  <w:style w:type="character" w:customStyle="1" w:styleId="CommentSubjectChar">
    <w:name w:val="Comment Subject Char"/>
    <w:basedOn w:val="CommentTextChar"/>
    <w:link w:val="CommentSubject"/>
    <w:uiPriority w:val="99"/>
    <w:semiHidden/>
    <w:rsid w:val="00E450A1"/>
    <w:rPr>
      <w:b/>
      <w:bCs/>
      <w:lang w:eastAsia="en-US"/>
    </w:rPr>
  </w:style>
  <w:style w:type="paragraph" w:styleId="NormalWeb">
    <w:name w:val="Normal (Web)"/>
    <w:basedOn w:val="Normal"/>
    <w:uiPriority w:val="99"/>
    <w:unhideWhenUsed/>
    <w:rsid w:val="005C0EE8"/>
    <w:rPr>
      <w:szCs w:val="24"/>
    </w:rPr>
  </w:style>
  <w:style w:type="paragraph" w:customStyle="1" w:styleId="CS-Paragraphnumbering">
    <w:name w:val="CS - Paragraph numbering"/>
    <w:basedOn w:val="Normal"/>
    <w:rsid w:val="00C1163C"/>
    <w:pPr>
      <w:numPr>
        <w:numId w:val="15"/>
      </w:numPr>
      <w:tabs>
        <w:tab w:val="num" w:pos="360"/>
      </w:tabs>
      <w:spacing w:after="120" w:line="276" w:lineRule="auto"/>
      <w:ind w:left="360" w:right="-45"/>
    </w:pPr>
    <w:rPr>
      <w:rFonts w:ascii="Calibri" w:eastAsia="Calibri" w:hAnsi="Calibri"/>
      <w:szCs w:val="24"/>
    </w:rPr>
  </w:style>
  <w:style w:type="character" w:styleId="UnresolvedMention">
    <w:name w:val="Unresolved Mention"/>
    <w:basedOn w:val="DefaultParagraphFont"/>
    <w:uiPriority w:val="99"/>
    <w:semiHidden/>
    <w:unhideWhenUsed/>
    <w:rsid w:val="00C1163C"/>
    <w:rPr>
      <w:color w:val="605E5C"/>
      <w:shd w:val="clear" w:color="auto" w:fill="E1DFDD"/>
    </w:rPr>
  </w:style>
  <w:style w:type="paragraph" w:styleId="Revision">
    <w:name w:val="Revision"/>
    <w:hidden/>
    <w:uiPriority w:val="99"/>
    <w:semiHidden/>
    <w:rsid w:val="00585906"/>
    <w:rPr>
      <w:sz w:val="24"/>
      <w:lang w:eastAsia="en-US"/>
    </w:rPr>
  </w:style>
  <w:style w:type="character" w:customStyle="1" w:styleId="FooterChar">
    <w:name w:val="Footer Char"/>
    <w:basedOn w:val="DefaultParagraphFont"/>
    <w:link w:val="Footer"/>
    <w:uiPriority w:val="99"/>
    <w:rsid w:val="001B2FB7"/>
    <w:rPr>
      <w:rFonts w:ascii="Arial" w:hAnsi="Arial"/>
      <w:sz w:val="18"/>
      <w:lang w:eastAsia="en-US"/>
    </w:rPr>
  </w:style>
  <w:style w:type="paragraph" w:customStyle="1" w:styleId="Default">
    <w:name w:val="Default"/>
    <w:rsid w:val="005F5E7E"/>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2951E8"/>
    <w:rPr>
      <w:b/>
      <w:bCs/>
    </w:rPr>
  </w:style>
  <w:style w:type="character" w:customStyle="1" w:styleId="ui-provider">
    <w:name w:val="ui-provider"/>
    <w:basedOn w:val="DefaultParagraphFont"/>
    <w:rsid w:val="005C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130">
      <w:bodyDiv w:val="1"/>
      <w:marLeft w:val="0"/>
      <w:marRight w:val="0"/>
      <w:marTop w:val="0"/>
      <w:marBottom w:val="0"/>
      <w:divBdr>
        <w:top w:val="none" w:sz="0" w:space="0" w:color="auto"/>
        <w:left w:val="none" w:sz="0" w:space="0" w:color="auto"/>
        <w:bottom w:val="none" w:sz="0" w:space="0" w:color="auto"/>
        <w:right w:val="none" w:sz="0" w:space="0" w:color="auto"/>
      </w:divBdr>
    </w:div>
    <w:div w:id="159656711">
      <w:bodyDiv w:val="1"/>
      <w:marLeft w:val="0"/>
      <w:marRight w:val="0"/>
      <w:marTop w:val="0"/>
      <w:marBottom w:val="0"/>
      <w:divBdr>
        <w:top w:val="none" w:sz="0" w:space="0" w:color="auto"/>
        <w:left w:val="none" w:sz="0" w:space="0" w:color="auto"/>
        <w:bottom w:val="none" w:sz="0" w:space="0" w:color="auto"/>
        <w:right w:val="none" w:sz="0" w:space="0" w:color="auto"/>
      </w:divBdr>
    </w:div>
    <w:div w:id="338846698">
      <w:bodyDiv w:val="1"/>
      <w:marLeft w:val="0"/>
      <w:marRight w:val="0"/>
      <w:marTop w:val="0"/>
      <w:marBottom w:val="0"/>
      <w:divBdr>
        <w:top w:val="none" w:sz="0" w:space="0" w:color="auto"/>
        <w:left w:val="none" w:sz="0" w:space="0" w:color="auto"/>
        <w:bottom w:val="none" w:sz="0" w:space="0" w:color="auto"/>
        <w:right w:val="none" w:sz="0" w:space="0" w:color="auto"/>
      </w:divBdr>
    </w:div>
    <w:div w:id="484277098">
      <w:bodyDiv w:val="1"/>
      <w:marLeft w:val="0"/>
      <w:marRight w:val="0"/>
      <w:marTop w:val="0"/>
      <w:marBottom w:val="0"/>
      <w:divBdr>
        <w:top w:val="none" w:sz="0" w:space="0" w:color="auto"/>
        <w:left w:val="none" w:sz="0" w:space="0" w:color="auto"/>
        <w:bottom w:val="none" w:sz="0" w:space="0" w:color="auto"/>
        <w:right w:val="none" w:sz="0" w:space="0" w:color="auto"/>
      </w:divBdr>
      <w:divsChild>
        <w:div w:id="1656372219">
          <w:marLeft w:val="0"/>
          <w:marRight w:val="0"/>
          <w:marTop w:val="0"/>
          <w:marBottom w:val="0"/>
          <w:divBdr>
            <w:top w:val="none" w:sz="0" w:space="0" w:color="auto"/>
            <w:left w:val="none" w:sz="0" w:space="0" w:color="auto"/>
            <w:bottom w:val="none" w:sz="0" w:space="0" w:color="auto"/>
            <w:right w:val="none" w:sz="0" w:space="0" w:color="auto"/>
          </w:divBdr>
        </w:div>
      </w:divsChild>
    </w:div>
    <w:div w:id="1479541918">
      <w:bodyDiv w:val="1"/>
      <w:marLeft w:val="0"/>
      <w:marRight w:val="0"/>
      <w:marTop w:val="0"/>
      <w:marBottom w:val="0"/>
      <w:divBdr>
        <w:top w:val="none" w:sz="0" w:space="0" w:color="auto"/>
        <w:left w:val="none" w:sz="0" w:space="0" w:color="auto"/>
        <w:bottom w:val="none" w:sz="0" w:space="0" w:color="auto"/>
        <w:right w:val="none" w:sz="0" w:space="0" w:color="auto"/>
      </w:divBdr>
    </w:div>
    <w:div w:id="1480919219">
      <w:bodyDiv w:val="1"/>
      <w:marLeft w:val="0"/>
      <w:marRight w:val="0"/>
      <w:marTop w:val="0"/>
      <w:marBottom w:val="0"/>
      <w:divBdr>
        <w:top w:val="none" w:sz="0" w:space="0" w:color="auto"/>
        <w:left w:val="none" w:sz="0" w:space="0" w:color="auto"/>
        <w:bottom w:val="none" w:sz="0" w:space="0" w:color="auto"/>
        <w:right w:val="none" w:sz="0" w:space="0" w:color="auto"/>
      </w:divBdr>
    </w:div>
    <w:div w:id="1525827232">
      <w:bodyDiv w:val="1"/>
      <w:marLeft w:val="0"/>
      <w:marRight w:val="0"/>
      <w:marTop w:val="0"/>
      <w:marBottom w:val="0"/>
      <w:divBdr>
        <w:top w:val="none" w:sz="0" w:space="0" w:color="auto"/>
        <w:left w:val="none" w:sz="0" w:space="0" w:color="auto"/>
        <w:bottom w:val="none" w:sz="0" w:space="0" w:color="auto"/>
        <w:right w:val="none" w:sz="0" w:space="0" w:color="auto"/>
      </w:divBdr>
    </w:div>
    <w:div w:id="1657343166">
      <w:bodyDiv w:val="1"/>
      <w:marLeft w:val="0"/>
      <w:marRight w:val="0"/>
      <w:marTop w:val="0"/>
      <w:marBottom w:val="0"/>
      <w:divBdr>
        <w:top w:val="none" w:sz="0" w:space="0" w:color="auto"/>
        <w:left w:val="none" w:sz="0" w:space="0" w:color="auto"/>
        <w:bottom w:val="none" w:sz="0" w:space="0" w:color="auto"/>
        <w:right w:val="none" w:sz="0" w:space="0" w:color="auto"/>
      </w:divBdr>
    </w:div>
    <w:div w:id="1781794962">
      <w:bodyDiv w:val="1"/>
      <w:marLeft w:val="0"/>
      <w:marRight w:val="0"/>
      <w:marTop w:val="0"/>
      <w:marBottom w:val="0"/>
      <w:divBdr>
        <w:top w:val="none" w:sz="0" w:space="0" w:color="auto"/>
        <w:left w:val="none" w:sz="0" w:space="0" w:color="auto"/>
        <w:bottom w:val="none" w:sz="0" w:space="0" w:color="auto"/>
        <w:right w:val="none" w:sz="0" w:space="0" w:color="auto"/>
      </w:divBdr>
    </w:div>
    <w:div w:id="1876235292">
      <w:bodyDiv w:val="1"/>
      <w:marLeft w:val="0"/>
      <w:marRight w:val="0"/>
      <w:marTop w:val="0"/>
      <w:marBottom w:val="0"/>
      <w:divBdr>
        <w:top w:val="none" w:sz="0" w:space="0" w:color="auto"/>
        <w:left w:val="none" w:sz="0" w:space="0" w:color="auto"/>
        <w:bottom w:val="none" w:sz="0" w:space="0" w:color="auto"/>
        <w:right w:val="none" w:sz="0" w:space="0" w:color="auto"/>
      </w:divBdr>
    </w:div>
    <w:div w:id="1977835163">
      <w:bodyDiv w:val="1"/>
      <w:marLeft w:val="0"/>
      <w:marRight w:val="0"/>
      <w:marTop w:val="0"/>
      <w:marBottom w:val="0"/>
      <w:divBdr>
        <w:top w:val="none" w:sz="0" w:space="0" w:color="auto"/>
        <w:left w:val="none" w:sz="0" w:space="0" w:color="auto"/>
        <w:bottom w:val="none" w:sz="0" w:space="0" w:color="auto"/>
        <w:right w:val="none" w:sz="0" w:space="0" w:color="auto"/>
      </w:divBdr>
    </w:div>
    <w:div w:id="2011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8" ma:contentTypeDescription="Create a new document." ma:contentTypeScope="" ma:versionID="1288fba0a1355eefa4b37efa2b3cd186">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6d832a9ec4a825aa47180048653499bd"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17a43b-3461-4e2b-86d3-a9cedf8f08cd}"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A91F8-A615-48D4-8FB7-F12447157146}">
  <ds:schemaRefs>
    <ds:schemaRef ds:uri="http://schemas.openxmlformats.org/officeDocument/2006/bibliography"/>
  </ds:schemaRefs>
</ds:datastoreItem>
</file>

<file path=customXml/itemProps2.xml><?xml version="1.0" encoding="utf-8"?>
<ds:datastoreItem xmlns:ds="http://schemas.openxmlformats.org/officeDocument/2006/customXml" ds:itemID="{60F760A8-7B21-4F09-AC2B-75CE7B5E0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20326-6F13-43EA-991C-8B568C295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7985</Characters>
  <Application>Microsoft Office Word</Application>
  <DocSecurity>0</DocSecurity>
  <Lines>159</Lines>
  <Paragraphs>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2023-08-07T01:46:00Z</dcterms:created>
  <dcterms:modified xsi:type="dcterms:W3CDTF">2023-08-07T01:46:00Z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A42471415</vt:lpwstr>
  </property>
  <property fmtid="{D5CDD505-2E9C-101B-9397-08002B2CF9AE}" pid="4" name="Objective-Title">
    <vt:lpwstr>Brief - Executive approval of MPTG Amendment Regulation (MDMA-psilocybin) - Attachment B - Explanatory Statement</vt:lpwstr>
  </property>
  <property fmtid="{D5CDD505-2E9C-101B-9397-08002B2CF9AE}" pid="5" name="Objective-Comment">
    <vt:lpwstr/>
  </property>
  <property fmtid="{D5CDD505-2E9C-101B-9397-08002B2CF9AE}" pid="6" name="Objective-CreationStamp">
    <vt:filetime>2023-06-22T01:32:27Z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2023-07-04T22:23:13Z</vt:filetime>
  </property>
  <property fmtid="{D5CDD505-2E9C-101B-9397-08002B2CF9AE}" pid="10" name="Objective-ModificationStamp">
    <vt:filetime>2023-07-04T22:23:13Z</vt:filetime>
  </property>
  <property fmtid="{D5CDD505-2E9C-101B-9397-08002B2CF9AE}" pid="11" name="Objective-Owner">
    <vt:lpwstr>Adam Duffy</vt:lpwstr>
  </property>
  <property fmtid="{D5CDD505-2E9C-101B-9397-08002B2CF9AE}" pid="12" name="Objective-Path">
    <vt:lpwstr>Whole of ACT Government:ACTHD - ACT Health:GROUP: Office of the Director General (ODG):OFFICE: Office of the Director General (ODG):UNIT: Ministerial and Government Services Ministerial Responses:02. Active (ACTHD):Population Health Division (Health):REFER TO GBC23/403 - MIN2023/00326 - Initiated Brief - Executive approval of MPTG Amendment Regulation (MDMA/psilocybin) - Minister for Health (Health):</vt:lpwstr>
  </property>
  <property fmtid="{D5CDD505-2E9C-101B-9397-08002B2CF9AE}" pid="13" name="Objective-Parent">
    <vt:lpwstr>REFER TO GBC23/403 - MIN2023/00326 - Initiated Brief - Executive approval of MPTG Amendment Regulation (MDMA/psilocybin) - Minister for Health (Health)</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GP edits</vt:lpwstr>
  </property>
  <property fmtid="{D5CDD505-2E9C-101B-9397-08002B2CF9AE}" pid="18" name="Objective-FileNumber">
    <vt:lpwstr>qA1199419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filetime>2022-06-22T20:29:50Z</vt:filetime>
  </property>
  <property fmtid="{D5CDD505-2E9C-101B-9397-08002B2CF9AE}" pid="31" name="Objective-Covers Period To">
    <vt:filetime>2022-07-06T06:29:50Z</vt:filetime>
  </property>
  <property fmtid="{D5CDD505-2E9C-101B-9397-08002B2CF9AE}" pid="32" name="CHECKEDOUTFROMJMS">
    <vt:lpwstr/>
  </property>
  <property fmtid="{D5CDD505-2E9C-101B-9397-08002B2CF9AE}" pid="33" name="DMSID">
    <vt:lpwstr>10850320</vt:lpwstr>
  </property>
  <property fmtid="{D5CDD505-2E9C-101B-9397-08002B2CF9AE}" pid="34" name="JMSREQUIREDCHECKIN">
    <vt:lpwstr/>
  </property>
  <property fmtid="{D5CDD505-2E9C-101B-9397-08002B2CF9AE}" pid="35" name="Objective-OM Author">
    <vt:lpwstr/>
  </property>
  <property fmtid="{D5CDD505-2E9C-101B-9397-08002B2CF9AE}" pid="36" name="Objective-OM Author Organisation">
    <vt:lpwstr/>
  </property>
  <property fmtid="{D5CDD505-2E9C-101B-9397-08002B2CF9AE}" pid="37" name="Objective-OM Author Type">
    <vt:lpwstr/>
  </property>
  <property fmtid="{D5CDD505-2E9C-101B-9397-08002B2CF9AE}" pid="38" name="Objective-OM Date Received">
    <vt:lpwstr/>
  </property>
  <property fmtid="{D5CDD505-2E9C-101B-9397-08002B2CF9AE}" pid="39" name="Objective-OM Date of Document">
    <vt:lpwstr/>
  </property>
  <property fmtid="{D5CDD505-2E9C-101B-9397-08002B2CF9AE}" pid="40" name="Objective-OM External Reference">
    <vt:lpwstr/>
  </property>
  <property fmtid="{D5CDD505-2E9C-101B-9397-08002B2CF9AE}" pid="41" name="Objective-OM Reference">
    <vt:lpwstr/>
  </property>
  <property fmtid="{D5CDD505-2E9C-101B-9397-08002B2CF9AE}" pid="42" name="Objective-OM Topic">
    <vt:lpwstr/>
  </property>
  <property fmtid="{D5CDD505-2E9C-101B-9397-08002B2CF9AE}" pid="43" name="Objective-Suburb">
    <vt:lpwstr/>
  </property>
  <property fmtid="{D5CDD505-2E9C-101B-9397-08002B2CF9AE}" pid="44" name="lcf76f155ced4ddcb4097134ff3c332f">
    <vt:lpwstr/>
  </property>
  <property fmtid="{D5CDD505-2E9C-101B-9397-08002B2CF9AE}" pid="45" name="TaxCatchAll">
    <vt:lpwstr/>
  </property>
  <property fmtid="{D5CDD505-2E9C-101B-9397-08002B2CF9AE}" pid="46" name="Sign-off status">
    <vt:lpwstr/>
  </property>
</Properties>
</file>