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F43A" w14:textId="77777777" w:rsidR="00EE4F20" w:rsidRDefault="00EE4F20" w:rsidP="00EE4F20">
      <w:pPr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Australian Capital Territory  </w:t>
      </w:r>
    </w:p>
    <w:p w14:paraId="61660B77" w14:textId="77777777" w:rsidR="00EE4F20" w:rsidRDefault="00EE4F20" w:rsidP="00EE4F20">
      <w:pPr>
        <w:pStyle w:val="Billname"/>
        <w:tabs>
          <w:tab w:val="left" w:pos="720"/>
        </w:tabs>
        <w:spacing w:before="0"/>
        <w:ind w:right="-96"/>
        <w:rPr>
          <w:rFonts w:cs="Arial"/>
          <w:bCs/>
          <w:szCs w:val="40"/>
        </w:rPr>
      </w:pPr>
    </w:p>
    <w:p w14:paraId="22D2CF7D" w14:textId="09CFE6B5" w:rsidR="00EE4F20" w:rsidRDefault="00EE4F20" w:rsidP="00EE4F20">
      <w:pPr>
        <w:pStyle w:val="Billname"/>
        <w:tabs>
          <w:tab w:val="left" w:pos="720"/>
        </w:tabs>
        <w:spacing w:before="0"/>
        <w:ind w:right="-96"/>
        <w:rPr>
          <w:rFonts w:cs="Arial"/>
          <w:bCs/>
          <w:szCs w:val="40"/>
        </w:rPr>
      </w:pPr>
      <w:r>
        <w:rPr>
          <w:rFonts w:cs="Arial"/>
          <w:bCs/>
          <w:szCs w:val="40"/>
        </w:rPr>
        <w:t xml:space="preserve">ACT </w:t>
      </w:r>
      <w:r w:rsidRPr="00233958">
        <w:rPr>
          <w:rFonts w:cs="Arial"/>
          <w:bCs/>
          <w:szCs w:val="40"/>
        </w:rPr>
        <w:t>Teacher Quality Institute Board Appointment 20</w:t>
      </w:r>
      <w:r w:rsidR="00411935" w:rsidRPr="00233958">
        <w:rPr>
          <w:rFonts w:cs="Arial"/>
          <w:bCs/>
          <w:szCs w:val="40"/>
        </w:rPr>
        <w:t>2</w:t>
      </w:r>
      <w:r w:rsidR="004830CB" w:rsidRPr="00233958">
        <w:rPr>
          <w:rFonts w:cs="Arial"/>
          <w:bCs/>
          <w:szCs w:val="40"/>
        </w:rPr>
        <w:t>3</w:t>
      </w:r>
      <w:r w:rsidRPr="00233958">
        <w:rPr>
          <w:rFonts w:cs="Arial"/>
          <w:bCs/>
          <w:szCs w:val="40"/>
        </w:rPr>
        <w:t xml:space="preserve"> (No </w:t>
      </w:r>
      <w:r w:rsidR="00973229">
        <w:rPr>
          <w:rFonts w:cs="Arial"/>
          <w:bCs/>
          <w:szCs w:val="40"/>
        </w:rPr>
        <w:t>2</w:t>
      </w:r>
      <w:r w:rsidRPr="00233958">
        <w:rPr>
          <w:rFonts w:cs="Arial"/>
          <w:bCs/>
          <w:szCs w:val="40"/>
        </w:rPr>
        <w:t>)</w:t>
      </w:r>
    </w:p>
    <w:p w14:paraId="0C6EC089" w14:textId="77777777" w:rsidR="00EE4F20" w:rsidRDefault="00EE4F20" w:rsidP="00EE4F20">
      <w:pPr>
        <w:pStyle w:val="Heading1"/>
        <w:pageBreakBefore w:val="0"/>
        <w:pBdr>
          <w:bottom w:val="none" w:sz="0" w:space="0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rPr>
          <w:rFonts w:cs="Arial"/>
          <w:bCs/>
          <w:kern w:val="0"/>
          <w:sz w:val="24"/>
          <w:szCs w:val="24"/>
          <w:lang w:val="en-US"/>
        </w:rPr>
      </w:pPr>
      <w:bookmarkStart w:id="0" w:name="_Hlk143164182"/>
    </w:p>
    <w:p w14:paraId="0FDCFE3F" w14:textId="5A46F87B" w:rsidR="00EE4F20" w:rsidRDefault="00EE4F20" w:rsidP="00EE4F20">
      <w:pPr>
        <w:pStyle w:val="Heading1"/>
        <w:pageBreakBefore w:val="0"/>
        <w:pBdr>
          <w:bottom w:val="none" w:sz="0" w:space="0" w:color="auto"/>
        </w:pBdr>
        <w:tabs>
          <w:tab w:val="left" w:pos="720"/>
        </w:tabs>
        <w:autoSpaceDE w:val="0"/>
        <w:autoSpaceDN w:val="0"/>
        <w:adjustRightInd w:val="0"/>
        <w:spacing w:before="0" w:after="0"/>
        <w:rPr>
          <w:rFonts w:cs="Arial"/>
          <w:bCs/>
          <w:kern w:val="0"/>
          <w:sz w:val="24"/>
          <w:szCs w:val="24"/>
          <w:lang w:val="en-US"/>
        </w:rPr>
      </w:pPr>
      <w:r w:rsidRPr="00233958">
        <w:rPr>
          <w:rFonts w:cs="Arial"/>
          <w:bCs/>
          <w:kern w:val="0"/>
          <w:sz w:val="24"/>
          <w:szCs w:val="24"/>
          <w:lang w:val="en-US"/>
        </w:rPr>
        <w:t>Disallowable instrument DI20</w:t>
      </w:r>
      <w:r w:rsidR="00A85837" w:rsidRPr="00233958">
        <w:rPr>
          <w:rFonts w:cs="Arial"/>
          <w:bCs/>
          <w:kern w:val="0"/>
          <w:sz w:val="24"/>
          <w:szCs w:val="24"/>
          <w:lang w:val="en-US"/>
        </w:rPr>
        <w:t>2</w:t>
      </w:r>
      <w:r w:rsidR="004830CB" w:rsidRPr="00233958">
        <w:rPr>
          <w:rFonts w:cs="Arial"/>
          <w:bCs/>
          <w:kern w:val="0"/>
          <w:sz w:val="24"/>
          <w:szCs w:val="24"/>
          <w:lang w:val="en-US"/>
        </w:rPr>
        <w:t>3</w:t>
      </w:r>
      <w:r w:rsidR="00D6191F">
        <w:rPr>
          <w:rFonts w:cs="Arial"/>
          <w:bCs/>
          <w:kern w:val="0"/>
          <w:sz w:val="24"/>
          <w:szCs w:val="24"/>
          <w:lang w:val="en-US"/>
        </w:rPr>
        <w:t>-</w:t>
      </w:r>
      <w:r w:rsidR="00AB4339">
        <w:rPr>
          <w:rFonts w:cs="Arial"/>
          <w:bCs/>
          <w:kern w:val="0"/>
          <w:sz w:val="24"/>
          <w:szCs w:val="24"/>
          <w:lang w:val="en-US"/>
        </w:rPr>
        <w:t>218</w:t>
      </w:r>
    </w:p>
    <w:p w14:paraId="2C126C63" w14:textId="77777777" w:rsidR="00EE4F20" w:rsidRDefault="00EE4F20" w:rsidP="00EE4F20">
      <w:pPr>
        <w:pStyle w:val="madeunder"/>
        <w:spacing w:before="240"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made under the  </w:t>
      </w:r>
    </w:p>
    <w:p w14:paraId="59D4DFF7" w14:textId="77777777" w:rsidR="00EE4F20" w:rsidRDefault="00EE4F20" w:rsidP="00EE4F20">
      <w:pPr>
        <w:pStyle w:val="CoverActName"/>
        <w:jc w:val="left"/>
        <w:rPr>
          <w:rFonts w:cs="Arial"/>
          <w:b w:val="0"/>
          <w:iCs/>
        </w:rPr>
      </w:pPr>
      <w:r>
        <w:rPr>
          <w:rFonts w:cs="Arial"/>
          <w:b w:val="0"/>
          <w:i/>
          <w:iCs/>
        </w:rPr>
        <w:t xml:space="preserve">ACT Teacher Quality Institute Act 2010, </w:t>
      </w:r>
      <w:r>
        <w:rPr>
          <w:rFonts w:cs="Arial"/>
          <w:b w:val="0"/>
          <w:iCs/>
        </w:rPr>
        <w:t xml:space="preserve">Division 3.2, sections 14 and 15 and </w:t>
      </w:r>
      <w:r>
        <w:rPr>
          <w:rFonts w:cs="Arial"/>
          <w:b w:val="0"/>
          <w:i/>
          <w:iCs/>
        </w:rPr>
        <w:t xml:space="preserve">Financial Management Act 1996 </w:t>
      </w:r>
      <w:r>
        <w:rPr>
          <w:rFonts w:cs="Arial"/>
          <w:b w:val="0"/>
          <w:iCs/>
        </w:rPr>
        <w:t>section 78.</w:t>
      </w:r>
    </w:p>
    <w:p w14:paraId="56A0E3F1" w14:textId="77777777" w:rsidR="00EE4F20" w:rsidRDefault="00EE4F20" w:rsidP="00EE4F20">
      <w:pPr>
        <w:spacing w:before="120"/>
        <w:ind w:right="-96"/>
        <w:rPr>
          <w:rFonts w:ascii="Arial" w:hAnsi="Arial" w:cs="Arial"/>
        </w:rPr>
      </w:pPr>
    </w:p>
    <w:p w14:paraId="693F4696" w14:textId="59DA6963" w:rsidR="00EE4F20" w:rsidRDefault="00EE4F20" w:rsidP="004830CB">
      <w:pPr>
        <w:pStyle w:val="Heading6"/>
        <w:keepLines w:val="0"/>
        <w:spacing w:before="0"/>
        <w:ind w:right="-96"/>
        <w:rPr>
          <w:rFonts w:ascii="Arial" w:eastAsia="Times New Roman" w:hAnsi="Arial" w:cs="Arial"/>
          <w:b/>
          <w:bCs/>
          <w:i w:val="0"/>
          <w:iCs w:val="0"/>
          <w:color w:val="auto"/>
          <w:sz w:val="28"/>
        </w:rPr>
      </w:pPr>
      <w:r>
        <w:rPr>
          <w:rFonts w:ascii="Arial" w:eastAsia="Times New Roman" w:hAnsi="Arial" w:cs="Arial"/>
          <w:b/>
          <w:bCs/>
          <w:i w:val="0"/>
          <w:iCs w:val="0"/>
          <w:color w:val="auto"/>
          <w:sz w:val="28"/>
        </w:rPr>
        <w:t>Explanatory Statement</w:t>
      </w:r>
    </w:p>
    <w:p w14:paraId="2B09E9B6" w14:textId="75560822" w:rsidR="002B3CB8" w:rsidRPr="002B3CB8" w:rsidRDefault="00165DA5" w:rsidP="002B3CB8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E15F3" wp14:editId="08A4865A">
                <wp:simplePos x="0" y="0"/>
                <wp:positionH relativeFrom="column">
                  <wp:posOffset>-57150</wp:posOffset>
                </wp:positionH>
                <wp:positionV relativeFrom="paragraph">
                  <wp:posOffset>130810</wp:posOffset>
                </wp:positionV>
                <wp:extent cx="6057900" cy="476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476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70BD7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0.3pt" to="472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" strokecolor="black [3213]" strokeweight="1.25pt"/>
            </w:pict>
          </mc:Fallback>
        </mc:AlternateContent>
      </w:r>
    </w:p>
    <w:p w14:paraId="00F9AABE" w14:textId="0B6D25F6" w:rsidR="00EE4F20" w:rsidRDefault="00EE4F20" w:rsidP="00EE4F20">
      <w:pPr>
        <w:ind w:right="-96"/>
        <w:rPr>
          <w:rFonts w:ascii="Arial" w:hAnsi="Arial" w:cs="Arial"/>
        </w:rPr>
      </w:pPr>
    </w:p>
    <w:p w14:paraId="7940C4F2" w14:textId="77777777" w:rsidR="00165DA5" w:rsidRPr="00165DA5" w:rsidRDefault="00165DA5" w:rsidP="00EE4F20">
      <w:pPr>
        <w:ind w:right="-96"/>
        <w:rPr>
          <w:rFonts w:ascii="Arial" w:hAnsi="Arial" w:cs="Arial"/>
          <w:b/>
          <w:bCs/>
          <w:sz w:val="22"/>
          <w:szCs w:val="22"/>
        </w:rPr>
      </w:pPr>
      <w:r w:rsidRPr="00165DA5">
        <w:rPr>
          <w:rFonts w:ascii="Arial" w:hAnsi="Arial" w:cs="Arial"/>
          <w:b/>
          <w:bCs/>
          <w:sz w:val="22"/>
          <w:szCs w:val="22"/>
        </w:rPr>
        <w:t>Overview</w:t>
      </w:r>
    </w:p>
    <w:bookmarkEnd w:id="0"/>
    <w:p w14:paraId="0517FDDD" w14:textId="4385A611" w:rsidR="00EE4F20" w:rsidRPr="00165DA5" w:rsidRDefault="00EE4F20" w:rsidP="00EE4F20">
      <w:pPr>
        <w:ind w:right="-96"/>
        <w:rPr>
          <w:rFonts w:ascii="Arial" w:hAnsi="Arial" w:cs="Arial"/>
          <w:sz w:val="22"/>
          <w:szCs w:val="22"/>
        </w:rPr>
      </w:pPr>
      <w:r w:rsidRPr="00165DA5">
        <w:rPr>
          <w:rFonts w:ascii="Arial" w:hAnsi="Arial" w:cs="Arial"/>
          <w:sz w:val="22"/>
          <w:szCs w:val="22"/>
        </w:rPr>
        <w:t>Section 1</w:t>
      </w:r>
      <w:r w:rsidR="002B3CB8" w:rsidRPr="00165DA5">
        <w:rPr>
          <w:rFonts w:ascii="Arial" w:hAnsi="Arial" w:cs="Arial"/>
          <w:sz w:val="22"/>
          <w:szCs w:val="22"/>
        </w:rPr>
        <w:t>4</w:t>
      </w:r>
      <w:r w:rsidRPr="00165DA5">
        <w:rPr>
          <w:rFonts w:ascii="Arial" w:hAnsi="Arial" w:cs="Arial"/>
          <w:sz w:val="22"/>
          <w:szCs w:val="22"/>
        </w:rPr>
        <w:t xml:space="preserve"> of the </w:t>
      </w:r>
      <w:r w:rsidR="002B3CB8" w:rsidRPr="00165DA5">
        <w:rPr>
          <w:rFonts w:ascii="Arial" w:hAnsi="Arial" w:cs="Arial"/>
          <w:i/>
          <w:iCs/>
          <w:sz w:val="22"/>
          <w:szCs w:val="22"/>
        </w:rPr>
        <w:t xml:space="preserve">Teacher Quality Institute </w:t>
      </w:r>
      <w:r w:rsidRPr="00165DA5">
        <w:rPr>
          <w:rFonts w:ascii="Arial" w:hAnsi="Arial" w:cs="Arial"/>
          <w:i/>
          <w:iCs/>
          <w:sz w:val="22"/>
          <w:szCs w:val="22"/>
        </w:rPr>
        <w:t>Act</w:t>
      </w:r>
      <w:r w:rsidR="002B3CB8" w:rsidRPr="00165DA5">
        <w:rPr>
          <w:rFonts w:ascii="Arial" w:hAnsi="Arial" w:cs="Arial"/>
          <w:i/>
          <w:iCs/>
          <w:sz w:val="22"/>
          <w:szCs w:val="22"/>
        </w:rPr>
        <w:t xml:space="preserve"> 2010</w:t>
      </w:r>
      <w:r w:rsidRPr="00165DA5">
        <w:rPr>
          <w:rFonts w:ascii="Arial" w:hAnsi="Arial" w:cs="Arial"/>
          <w:sz w:val="22"/>
          <w:szCs w:val="22"/>
        </w:rPr>
        <w:t xml:space="preserve"> </w:t>
      </w:r>
      <w:r w:rsidR="002B3CB8" w:rsidRPr="00165DA5">
        <w:rPr>
          <w:rFonts w:ascii="Arial" w:hAnsi="Arial" w:cs="Arial"/>
          <w:sz w:val="22"/>
          <w:szCs w:val="22"/>
        </w:rPr>
        <w:t>establishes the Teacher Quality Institute Board. Members of the board, including the chair, are appointed by the Minister for Education and Youth Affairs under section 15 of the Act. T</w:t>
      </w:r>
      <w:r w:rsidR="003E56F7" w:rsidRPr="00165DA5">
        <w:rPr>
          <w:rFonts w:ascii="Arial" w:hAnsi="Arial" w:cs="Arial"/>
          <w:sz w:val="22"/>
          <w:szCs w:val="22"/>
        </w:rPr>
        <w:t>he Minister is required to appoint 12 members as specified in S15(2) (a-l). S15 (1) allows the Minister to appoint up to 14 members.</w:t>
      </w:r>
    </w:p>
    <w:p w14:paraId="79847AB7" w14:textId="6A64AE0C" w:rsidR="002B3CB8" w:rsidRPr="00165DA5" w:rsidRDefault="002B3CB8" w:rsidP="00EE4F20">
      <w:pPr>
        <w:ind w:right="-96"/>
        <w:rPr>
          <w:rFonts w:ascii="Arial" w:hAnsi="Arial" w:cs="Arial"/>
          <w:sz w:val="22"/>
          <w:szCs w:val="22"/>
        </w:rPr>
      </w:pPr>
    </w:p>
    <w:p w14:paraId="3375F992" w14:textId="6F917282" w:rsidR="002B3CB8" w:rsidRPr="00165DA5" w:rsidRDefault="002B3CB8" w:rsidP="00EE4F20">
      <w:pPr>
        <w:ind w:right="-96"/>
        <w:rPr>
          <w:rFonts w:ascii="Arial" w:hAnsi="Arial" w:cs="Arial"/>
          <w:sz w:val="22"/>
          <w:szCs w:val="22"/>
        </w:rPr>
      </w:pPr>
      <w:r w:rsidRPr="00165DA5">
        <w:rPr>
          <w:rFonts w:ascii="Arial" w:hAnsi="Arial" w:cs="Arial"/>
          <w:sz w:val="22"/>
          <w:szCs w:val="22"/>
        </w:rPr>
        <w:t>The TQI Board must include the following members: chair, the chief executive officer, member nominate</w:t>
      </w:r>
      <w:r w:rsidR="00165DA5" w:rsidRPr="00165DA5">
        <w:rPr>
          <w:rFonts w:ascii="Arial" w:hAnsi="Arial" w:cs="Arial"/>
          <w:sz w:val="22"/>
          <w:szCs w:val="22"/>
        </w:rPr>
        <w:t>d</w:t>
      </w:r>
      <w:r w:rsidRPr="00165DA5">
        <w:rPr>
          <w:rFonts w:ascii="Arial" w:hAnsi="Arial" w:cs="Arial"/>
          <w:sz w:val="22"/>
          <w:szCs w:val="22"/>
        </w:rPr>
        <w:t xml:space="preserve"> by the Director-General; member nominated by the Association of Independent Schools of the ACT; member nominated by Catholic Education</w:t>
      </w:r>
      <w:r w:rsidR="00165DA5" w:rsidRPr="00165DA5">
        <w:rPr>
          <w:rFonts w:ascii="Arial" w:hAnsi="Arial" w:cs="Arial"/>
          <w:sz w:val="22"/>
          <w:szCs w:val="22"/>
        </w:rPr>
        <w:t>;</w:t>
      </w:r>
      <w:r w:rsidRPr="00165DA5">
        <w:rPr>
          <w:rFonts w:ascii="Arial" w:hAnsi="Arial" w:cs="Arial"/>
          <w:sz w:val="22"/>
          <w:szCs w:val="22"/>
        </w:rPr>
        <w:t xml:space="preserve"> Archdiocese of Canberra and Goulburn</w:t>
      </w:r>
      <w:r w:rsidR="00165DA5" w:rsidRPr="00165DA5">
        <w:rPr>
          <w:rFonts w:ascii="Arial" w:hAnsi="Arial" w:cs="Arial"/>
          <w:sz w:val="22"/>
          <w:szCs w:val="22"/>
        </w:rPr>
        <w:t>;</w:t>
      </w:r>
      <w:r w:rsidRPr="00165DA5">
        <w:rPr>
          <w:rFonts w:ascii="Arial" w:hAnsi="Arial" w:cs="Arial"/>
          <w:sz w:val="22"/>
          <w:szCs w:val="22"/>
        </w:rPr>
        <w:t xml:space="preserve"> member nominated by the Australian Education Union; member nominated by the NSW/ACT Independent Education Union</w:t>
      </w:r>
      <w:r w:rsidR="00165DA5" w:rsidRPr="00165DA5">
        <w:rPr>
          <w:rFonts w:ascii="Arial" w:hAnsi="Arial" w:cs="Arial"/>
          <w:sz w:val="22"/>
          <w:szCs w:val="22"/>
        </w:rPr>
        <w:t>;</w:t>
      </w:r>
      <w:r w:rsidRPr="00165DA5">
        <w:rPr>
          <w:rFonts w:ascii="Arial" w:hAnsi="Arial" w:cs="Arial"/>
          <w:sz w:val="22"/>
          <w:szCs w:val="22"/>
        </w:rPr>
        <w:t xml:space="preserve"> member nominated by the University of Canberra</w:t>
      </w:r>
      <w:r w:rsidR="00165DA5" w:rsidRPr="00165DA5">
        <w:rPr>
          <w:rFonts w:ascii="Arial" w:hAnsi="Arial" w:cs="Arial"/>
          <w:sz w:val="22"/>
          <w:szCs w:val="22"/>
        </w:rPr>
        <w:t>;</w:t>
      </w:r>
      <w:r w:rsidRPr="00165DA5">
        <w:rPr>
          <w:rFonts w:ascii="Arial" w:hAnsi="Arial" w:cs="Arial"/>
          <w:sz w:val="22"/>
          <w:szCs w:val="22"/>
        </w:rPr>
        <w:t xml:space="preserve"> member nominated by the Australian Catholic University, ACT Campus; member to represent teachers and principals of government schools</w:t>
      </w:r>
      <w:r w:rsidR="00165DA5" w:rsidRPr="00165DA5">
        <w:rPr>
          <w:rFonts w:ascii="Arial" w:hAnsi="Arial" w:cs="Arial"/>
          <w:sz w:val="22"/>
          <w:szCs w:val="22"/>
        </w:rPr>
        <w:t>;</w:t>
      </w:r>
      <w:r w:rsidRPr="00165DA5">
        <w:rPr>
          <w:rFonts w:ascii="Arial" w:hAnsi="Arial" w:cs="Arial"/>
          <w:sz w:val="22"/>
          <w:szCs w:val="22"/>
        </w:rPr>
        <w:t xml:space="preserve"> member to represent teachers and principals of non-government schools</w:t>
      </w:r>
      <w:r w:rsidR="00165DA5" w:rsidRPr="00165DA5">
        <w:rPr>
          <w:rFonts w:ascii="Arial" w:hAnsi="Arial" w:cs="Arial"/>
          <w:sz w:val="22"/>
          <w:szCs w:val="22"/>
        </w:rPr>
        <w:t>;</w:t>
      </w:r>
      <w:r w:rsidRPr="00165DA5">
        <w:rPr>
          <w:rFonts w:ascii="Arial" w:hAnsi="Arial" w:cs="Arial"/>
          <w:sz w:val="22"/>
          <w:szCs w:val="22"/>
        </w:rPr>
        <w:t xml:space="preserve"> </w:t>
      </w:r>
      <w:r w:rsidR="003A2E72" w:rsidRPr="00165DA5">
        <w:rPr>
          <w:rFonts w:ascii="Arial" w:hAnsi="Arial" w:cs="Arial"/>
          <w:sz w:val="22"/>
          <w:szCs w:val="22"/>
        </w:rPr>
        <w:t xml:space="preserve">and </w:t>
      </w:r>
      <w:r w:rsidRPr="00165DA5">
        <w:rPr>
          <w:rFonts w:ascii="Arial" w:hAnsi="Arial" w:cs="Arial"/>
          <w:sz w:val="22"/>
          <w:szCs w:val="22"/>
        </w:rPr>
        <w:t xml:space="preserve">member to represent the community. </w:t>
      </w:r>
    </w:p>
    <w:p w14:paraId="5657B805" w14:textId="7E3B7FAA" w:rsidR="0012520A" w:rsidRPr="00165DA5" w:rsidRDefault="0012520A" w:rsidP="00EE4F20">
      <w:pPr>
        <w:ind w:right="-96"/>
        <w:rPr>
          <w:rFonts w:ascii="Arial" w:hAnsi="Arial" w:cs="Arial"/>
          <w:sz w:val="22"/>
          <w:szCs w:val="22"/>
        </w:rPr>
      </w:pPr>
    </w:p>
    <w:p w14:paraId="4B9D9385" w14:textId="7A204472" w:rsidR="0012520A" w:rsidRPr="00165DA5" w:rsidRDefault="007A1839" w:rsidP="00EE4F20">
      <w:pPr>
        <w:ind w:right="-96"/>
        <w:rPr>
          <w:rFonts w:ascii="Arial" w:hAnsi="Arial" w:cs="Arial"/>
          <w:sz w:val="22"/>
          <w:szCs w:val="22"/>
        </w:rPr>
      </w:pPr>
      <w:r w:rsidRPr="00165DA5">
        <w:rPr>
          <w:rFonts w:ascii="Arial" w:hAnsi="Arial" w:cs="Arial"/>
          <w:sz w:val="22"/>
          <w:szCs w:val="22"/>
        </w:rPr>
        <w:t>T</w:t>
      </w:r>
      <w:r w:rsidR="00A72445" w:rsidRPr="00165DA5">
        <w:rPr>
          <w:rFonts w:ascii="Arial" w:hAnsi="Arial" w:cs="Arial"/>
          <w:sz w:val="22"/>
          <w:szCs w:val="22"/>
        </w:rPr>
        <w:t>he</w:t>
      </w:r>
      <w:r w:rsidR="0012520A" w:rsidRPr="00165DA5">
        <w:rPr>
          <w:rFonts w:ascii="Arial" w:hAnsi="Arial" w:cs="Arial"/>
          <w:sz w:val="22"/>
          <w:szCs w:val="22"/>
        </w:rPr>
        <w:t xml:space="preserve"> determination is a disallowable instrument for the purpose of division 19.3.3 of the </w:t>
      </w:r>
      <w:r w:rsidR="0012520A" w:rsidRPr="00165DA5">
        <w:rPr>
          <w:rFonts w:ascii="Arial" w:hAnsi="Arial" w:cs="Arial"/>
          <w:i/>
          <w:iCs/>
          <w:sz w:val="22"/>
          <w:szCs w:val="22"/>
        </w:rPr>
        <w:t>Legislation Act 2001</w:t>
      </w:r>
      <w:r w:rsidR="0012520A" w:rsidRPr="00165DA5">
        <w:rPr>
          <w:rFonts w:ascii="Arial" w:hAnsi="Arial" w:cs="Arial"/>
          <w:sz w:val="22"/>
          <w:szCs w:val="22"/>
        </w:rPr>
        <w:t>.</w:t>
      </w:r>
    </w:p>
    <w:p w14:paraId="269E9569" w14:textId="77777777" w:rsidR="00515AF9" w:rsidRPr="00165DA5" w:rsidRDefault="00515AF9" w:rsidP="00EE4F20">
      <w:pPr>
        <w:ind w:right="-96"/>
        <w:rPr>
          <w:rFonts w:ascii="Arial" w:hAnsi="Arial" w:cs="Arial"/>
          <w:sz w:val="22"/>
          <w:szCs w:val="22"/>
        </w:rPr>
      </w:pPr>
    </w:p>
    <w:p w14:paraId="07D189E5" w14:textId="114E6445" w:rsidR="003A2E72" w:rsidRPr="00165DA5" w:rsidRDefault="003A2E72" w:rsidP="00973229">
      <w:pPr>
        <w:contextualSpacing/>
        <w:rPr>
          <w:rFonts w:ascii="Arial" w:hAnsi="Arial" w:cs="Arial"/>
          <w:b/>
          <w:bCs/>
          <w:sz w:val="22"/>
          <w:szCs w:val="22"/>
        </w:rPr>
      </w:pPr>
      <w:r w:rsidRPr="00165DA5">
        <w:rPr>
          <w:rFonts w:ascii="Arial" w:hAnsi="Arial" w:cs="Arial"/>
          <w:b/>
          <w:bCs/>
          <w:sz w:val="22"/>
          <w:szCs w:val="22"/>
        </w:rPr>
        <w:t>Appointment</w:t>
      </w:r>
    </w:p>
    <w:p w14:paraId="0CA238F6" w14:textId="379D95B1" w:rsidR="00165DA5" w:rsidRPr="003A2E72" w:rsidRDefault="00165DA5" w:rsidP="00165DA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165DA5">
        <w:rPr>
          <w:rFonts w:ascii="Arial" w:hAnsi="Arial" w:cs="Arial"/>
          <w:sz w:val="22"/>
          <w:szCs w:val="22"/>
        </w:rPr>
        <w:t xml:space="preserve">The first term of the Chair (Section 15(2)(a) expires in August 2023. This instrument reappoints Ms Natalie Howson, </w:t>
      </w:r>
      <w:r w:rsidRPr="003A2E72">
        <w:rPr>
          <w:rFonts w:ascii="Arial" w:eastAsiaTheme="minorHAnsi" w:hAnsi="Arial" w:cs="Arial"/>
          <w:color w:val="000000"/>
          <w:sz w:val="22"/>
          <w:szCs w:val="22"/>
        </w:rPr>
        <w:t xml:space="preserve">as </w:t>
      </w:r>
      <w:r w:rsidRPr="00165DA5">
        <w:rPr>
          <w:rFonts w:ascii="Arial" w:eastAsiaTheme="minorHAnsi" w:hAnsi="Arial" w:cs="Arial"/>
          <w:color w:val="000000"/>
          <w:sz w:val="22"/>
          <w:szCs w:val="22"/>
        </w:rPr>
        <w:t>chair</w:t>
      </w:r>
      <w:r w:rsidRPr="003A2E72">
        <w:rPr>
          <w:rFonts w:ascii="Arial" w:eastAsiaTheme="minorHAnsi" w:hAnsi="Arial" w:cs="Arial"/>
          <w:color w:val="000000"/>
          <w:sz w:val="22"/>
          <w:szCs w:val="22"/>
        </w:rPr>
        <w:t xml:space="preserve"> of the </w:t>
      </w:r>
      <w:r w:rsidRPr="00165DA5">
        <w:rPr>
          <w:rFonts w:ascii="Arial" w:eastAsiaTheme="minorHAnsi" w:hAnsi="Arial" w:cs="Arial"/>
          <w:color w:val="000000"/>
          <w:sz w:val="22"/>
          <w:szCs w:val="22"/>
        </w:rPr>
        <w:t>Teacher Quality Institute Board</w:t>
      </w:r>
      <w:r w:rsidRPr="003A2E72">
        <w:rPr>
          <w:rFonts w:ascii="Arial" w:eastAsiaTheme="minorHAnsi" w:hAnsi="Arial" w:cs="Arial"/>
          <w:color w:val="000000"/>
          <w:sz w:val="22"/>
          <w:szCs w:val="22"/>
        </w:rPr>
        <w:t xml:space="preserve"> for a period of three years (member chosen by the Minister, as per section </w:t>
      </w:r>
      <w:r w:rsidRPr="00165DA5">
        <w:rPr>
          <w:rFonts w:ascii="Arial" w:eastAsiaTheme="minorHAnsi" w:hAnsi="Arial" w:cs="Arial"/>
          <w:color w:val="000000"/>
          <w:sz w:val="22"/>
          <w:szCs w:val="22"/>
        </w:rPr>
        <w:t xml:space="preserve">15 </w:t>
      </w:r>
      <w:r w:rsidRPr="003A2E72">
        <w:rPr>
          <w:rFonts w:ascii="Arial" w:eastAsiaTheme="minorHAnsi" w:hAnsi="Arial" w:cs="Arial"/>
          <w:color w:val="000000"/>
          <w:sz w:val="22"/>
          <w:szCs w:val="22"/>
        </w:rPr>
        <w:t>(</w:t>
      </w:r>
      <w:r w:rsidRPr="00165DA5">
        <w:rPr>
          <w:rFonts w:ascii="Arial" w:eastAsiaTheme="minorHAnsi" w:hAnsi="Arial" w:cs="Arial"/>
          <w:color w:val="000000"/>
          <w:sz w:val="22"/>
          <w:szCs w:val="22"/>
        </w:rPr>
        <w:t>2</w:t>
      </w:r>
      <w:r w:rsidRPr="003A2E72">
        <w:rPr>
          <w:rFonts w:ascii="Arial" w:eastAsiaTheme="minorHAnsi" w:hAnsi="Arial" w:cs="Arial"/>
          <w:color w:val="000000"/>
          <w:sz w:val="22"/>
          <w:szCs w:val="22"/>
        </w:rPr>
        <w:t>)(</w:t>
      </w:r>
      <w:r w:rsidRPr="00165DA5">
        <w:rPr>
          <w:rFonts w:ascii="Arial" w:eastAsiaTheme="minorHAnsi" w:hAnsi="Arial" w:cs="Arial"/>
          <w:color w:val="000000"/>
          <w:sz w:val="22"/>
          <w:szCs w:val="22"/>
        </w:rPr>
        <w:t>a</w:t>
      </w:r>
      <w:r w:rsidRPr="003A2E72">
        <w:rPr>
          <w:rFonts w:ascii="Arial" w:eastAsiaTheme="minorHAnsi" w:hAnsi="Arial" w:cs="Arial"/>
          <w:color w:val="000000"/>
          <w:sz w:val="22"/>
          <w:szCs w:val="22"/>
        </w:rPr>
        <w:t xml:space="preserve">) of the Act). </w:t>
      </w:r>
    </w:p>
    <w:p w14:paraId="531D9A10" w14:textId="466FFB80" w:rsidR="003A2E72" w:rsidRPr="00165DA5" w:rsidRDefault="003A2E72" w:rsidP="00165DA5">
      <w:pPr>
        <w:rPr>
          <w:rFonts w:ascii="Arial" w:eastAsiaTheme="minorHAnsi" w:hAnsi="Arial" w:cs="Arial"/>
          <w:color w:val="000000"/>
          <w:sz w:val="22"/>
          <w:szCs w:val="22"/>
        </w:rPr>
      </w:pPr>
    </w:p>
    <w:p w14:paraId="07751AB8" w14:textId="31AC2BA9" w:rsidR="003A2E72" w:rsidRPr="00165DA5" w:rsidRDefault="003A2E72" w:rsidP="003A2E7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3A2E72">
        <w:rPr>
          <w:rFonts w:ascii="Arial" w:eastAsiaTheme="minorHAnsi" w:hAnsi="Arial" w:cs="Arial"/>
          <w:color w:val="000000"/>
          <w:sz w:val="22"/>
          <w:szCs w:val="22"/>
        </w:rPr>
        <w:t xml:space="preserve">The appointee is not an ACT Public Servant and this instrument makes an appointment to which the </w:t>
      </w:r>
      <w:r w:rsidRPr="003A2E72">
        <w:rPr>
          <w:rFonts w:ascii="Arial" w:eastAsiaTheme="minorHAnsi" w:hAnsi="Arial" w:cs="Arial"/>
          <w:i/>
          <w:iCs/>
          <w:color w:val="000000"/>
          <w:sz w:val="22"/>
          <w:szCs w:val="22"/>
        </w:rPr>
        <w:t>Legislation Act 2001</w:t>
      </w:r>
      <w:r w:rsidRPr="003A2E72">
        <w:rPr>
          <w:rFonts w:ascii="Arial" w:eastAsiaTheme="minorHAnsi" w:hAnsi="Arial" w:cs="Arial"/>
          <w:color w:val="000000"/>
          <w:sz w:val="22"/>
          <w:szCs w:val="22"/>
        </w:rPr>
        <w:t xml:space="preserve">, Division 19.3.3 applies. Accordingly, under s 229 of the Legislation Act, the appointment instrument is a disallowable instrument. </w:t>
      </w:r>
    </w:p>
    <w:p w14:paraId="3513AFB0" w14:textId="77777777" w:rsidR="003A2E72" w:rsidRPr="003A2E72" w:rsidRDefault="003A2E72" w:rsidP="003A2E7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14:paraId="6F323E38" w14:textId="3359A69F" w:rsidR="00C53564" w:rsidRPr="00165DA5" w:rsidRDefault="003A2E72" w:rsidP="003A2E72">
      <w:pPr>
        <w:contextualSpacing/>
        <w:rPr>
          <w:rFonts w:ascii="Arial" w:hAnsi="Arial" w:cs="Arial"/>
          <w:b/>
          <w:bCs/>
          <w:sz w:val="22"/>
          <w:szCs w:val="22"/>
        </w:rPr>
      </w:pPr>
      <w:r w:rsidRPr="00165DA5">
        <w:rPr>
          <w:rFonts w:ascii="Arial" w:eastAsiaTheme="minorHAnsi" w:hAnsi="Arial" w:cs="Arial"/>
          <w:color w:val="000000"/>
          <w:sz w:val="22"/>
          <w:szCs w:val="22"/>
        </w:rPr>
        <w:t xml:space="preserve">The Standing Committee on Education and Community Inclusion was consulted in accordance with section 228 of the </w:t>
      </w:r>
      <w:r w:rsidRPr="00165DA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Legislation Act 2001 </w:t>
      </w:r>
      <w:r w:rsidRPr="00165DA5">
        <w:rPr>
          <w:rFonts w:ascii="Arial" w:eastAsiaTheme="minorHAnsi" w:hAnsi="Arial" w:cs="Arial"/>
          <w:color w:val="000000"/>
          <w:sz w:val="22"/>
          <w:szCs w:val="22"/>
        </w:rPr>
        <w:t>(Consultation with appropriate Assembly committee) and has no objections to the appointment.</w:t>
      </w:r>
    </w:p>
    <w:p w14:paraId="72EE7B7B" w14:textId="77777777" w:rsidR="00973229" w:rsidRPr="00B43981" w:rsidRDefault="00973229" w:rsidP="00973229">
      <w:pPr>
        <w:pStyle w:val="Body-TQI"/>
        <w:spacing w:before="120"/>
        <w:rPr>
          <w:rFonts w:cs="Arial"/>
          <w:sz w:val="24"/>
          <w:szCs w:val="24"/>
        </w:rPr>
      </w:pPr>
    </w:p>
    <w:sectPr w:rsidR="00973229" w:rsidRPr="00B43981" w:rsidSect="004830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3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4099" w14:textId="77777777" w:rsidR="00993D76" w:rsidRDefault="00993D76" w:rsidP="00993D76">
      <w:r>
        <w:separator/>
      </w:r>
    </w:p>
  </w:endnote>
  <w:endnote w:type="continuationSeparator" w:id="0">
    <w:p w14:paraId="60E1FDAB" w14:textId="77777777" w:rsidR="00993D76" w:rsidRDefault="00993D76" w:rsidP="0099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219C9" w14:textId="77777777" w:rsidR="00993D76" w:rsidRDefault="00993D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68AC" w14:textId="1E77DB8C" w:rsidR="00993D76" w:rsidRPr="00993D76" w:rsidRDefault="00993D76" w:rsidP="00993D76">
    <w:pPr>
      <w:pStyle w:val="Footer"/>
      <w:jc w:val="center"/>
      <w:rPr>
        <w:rFonts w:ascii="Arial" w:hAnsi="Arial" w:cs="Arial"/>
        <w:sz w:val="14"/>
      </w:rPr>
    </w:pPr>
    <w:r w:rsidRPr="00993D76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1113" w14:textId="77777777" w:rsidR="00993D76" w:rsidRDefault="00993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BBFF7" w14:textId="77777777" w:rsidR="00993D76" w:rsidRDefault="00993D76" w:rsidP="00993D76">
      <w:r>
        <w:separator/>
      </w:r>
    </w:p>
  </w:footnote>
  <w:footnote w:type="continuationSeparator" w:id="0">
    <w:p w14:paraId="0BCEB469" w14:textId="77777777" w:rsidR="00993D76" w:rsidRDefault="00993D76" w:rsidP="00993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BA18" w14:textId="77777777" w:rsidR="00993D76" w:rsidRDefault="00993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1402" w14:textId="77777777" w:rsidR="00993D76" w:rsidRDefault="00993D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6A75F" w14:textId="77777777" w:rsidR="00993D76" w:rsidRDefault="00993D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F5E3D"/>
    <w:multiLevelType w:val="hybridMultilevel"/>
    <w:tmpl w:val="4A087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F622E"/>
    <w:multiLevelType w:val="hybridMultilevel"/>
    <w:tmpl w:val="888C0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C6EAA"/>
    <w:multiLevelType w:val="hybridMultilevel"/>
    <w:tmpl w:val="7A1AC79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A61726"/>
    <w:multiLevelType w:val="hybridMultilevel"/>
    <w:tmpl w:val="9CE8E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B62BC"/>
    <w:multiLevelType w:val="hybridMultilevel"/>
    <w:tmpl w:val="2C2CDC08"/>
    <w:lvl w:ilvl="0" w:tplc="D8F267AA">
      <w:start w:val="1"/>
      <w:numFmt w:val="bullet"/>
      <w:pStyle w:val="ListParagraph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pStyle w:val="ListParagraph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3247A"/>
    <w:multiLevelType w:val="hybridMultilevel"/>
    <w:tmpl w:val="10DC0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8088C"/>
    <w:multiLevelType w:val="hybridMultilevel"/>
    <w:tmpl w:val="0C6E1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E07C2"/>
    <w:multiLevelType w:val="hybridMultilevel"/>
    <w:tmpl w:val="90929828"/>
    <w:lvl w:ilvl="0" w:tplc="0C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 w16cid:durableId="1195389629">
    <w:abstractNumId w:val="4"/>
  </w:num>
  <w:num w:numId="2" w16cid:durableId="1929149633">
    <w:abstractNumId w:val="6"/>
  </w:num>
  <w:num w:numId="3" w16cid:durableId="99028721">
    <w:abstractNumId w:val="5"/>
  </w:num>
  <w:num w:numId="4" w16cid:durableId="2023510242">
    <w:abstractNumId w:val="3"/>
  </w:num>
  <w:num w:numId="5" w16cid:durableId="40178987">
    <w:abstractNumId w:val="0"/>
  </w:num>
  <w:num w:numId="6" w16cid:durableId="272515119">
    <w:abstractNumId w:val="7"/>
  </w:num>
  <w:num w:numId="7" w16cid:durableId="158271743">
    <w:abstractNumId w:val="1"/>
  </w:num>
  <w:num w:numId="8" w16cid:durableId="1361392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20"/>
    <w:rsid w:val="000002B5"/>
    <w:rsid w:val="000C1876"/>
    <w:rsid w:val="000E0838"/>
    <w:rsid w:val="0010160F"/>
    <w:rsid w:val="0012520A"/>
    <w:rsid w:val="00165DA5"/>
    <w:rsid w:val="001D1E74"/>
    <w:rsid w:val="00233958"/>
    <w:rsid w:val="00250DB4"/>
    <w:rsid w:val="002B3CB8"/>
    <w:rsid w:val="002D4A2A"/>
    <w:rsid w:val="002F4789"/>
    <w:rsid w:val="00333426"/>
    <w:rsid w:val="003662D9"/>
    <w:rsid w:val="00387271"/>
    <w:rsid w:val="003A2E72"/>
    <w:rsid w:val="003E56F7"/>
    <w:rsid w:val="00411935"/>
    <w:rsid w:val="004336B3"/>
    <w:rsid w:val="00457006"/>
    <w:rsid w:val="004830CB"/>
    <w:rsid w:val="004D0EA0"/>
    <w:rsid w:val="00515AF9"/>
    <w:rsid w:val="00531684"/>
    <w:rsid w:val="00543090"/>
    <w:rsid w:val="005D6609"/>
    <w:rsid w:val="006B7414"/>
    <w:rsid w:val="00786A29"/>
    <w:rsid w:val="007A1839"/>
    <w:rsid w:val="008B7F3F"/>
    <w:rsid w:val="00973229"/>
    <w:rsid w:val="00993D76"/>
    <w:rsid w:val="00A72445"/>
    <w:rsid w:val="00A82016"/>
    <w:rsid w:val="00A8255A"/>
    <w:rsid w:val="00A85837"/>
    <w:rsid w:val="00AB4339"/>
    <w:rsid w:val="00B43981"/>
    <w:rsid w:val="00BD4511"/>
    <w:rsid w:val="00BE060A"/>
    <w:rsid w:val="00C23B21"/>
    <w:rsid w:val="00C53564"/>
    <w:rsid w:val="00D6191F"/>
    <w:rsid w:val="00EE4F20"/>
    <w:rsid w:val="00F6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E1C0A4"/>
  <w15:chartTrackingRefBased/>
  <w15:docId w15:val="{7DFFF9E4-ABA0-42C7-B2B0-377A1753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F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E4F20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0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EE4F2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01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4F20"/>
    <w:rPr>
      <w:rFonts w:ascii="Arial" w:eastAsia="Times New Roman" w:hAnsi="Arial" w:cs="Times New Roman"/>
      <w:b/>
      <w:kern w:val="28"/>
      <w:sz w:val="36"/>
      <w:szCs w:val="20"/>
    </w:rPr>
  </w:style>
  <w:style w:type="character" w:customStyle="1" w:styleId="Heading6Char">
    <w:name w:val="Heading 6 Char"/>
    <w:basedOn w:val="DefaultParagraphFont"/>
    <w:link w:val="Heading6"/>
    <w:rsid w:val="00EE4F2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customStyle="1" w:styleId="Billname">
    <w:name w:val="Billname"/>
    <w:basedOn w:val="Normal"/>
    <w:rsid w:val="00EE4F20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madeunder">
    <w:name w:val="made under"/>
    <w:basedOn w:val="Normal"/>
    <w:rsid w:val="00EE4F20"/>
    <w:pPr>
      <w:spacing w:before="180" w:after="60"/>
      <w:jc w:val="both"/>
    </w:pPr>
  </w:style>
  <w:style w:type="paragraph" w:customStyle="1" w:styleId="CoverActName">
    <w:name w:val="CoverActName"/>
    <w:basedOn w:val="Normal"/>
    <w:rsid w:val="00EE4F20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N-line3">
    <w:name w:val="N-line3"/>
    <w:basedOn w:val="Normal"/>
    <w:next w:val="Normal"/>
    <w:rsid w:val="00EE4F20"/>
    <w:pPr>
      <w:pBdr>
        <w:bottom w:val="single" w:sz="12" w:space="1" w:color="auto"/>
      </w:pBdr>
      <w:jc w:val="both"/>
    </w:pPr>
  </w:style>
  <w:style w:type="paragraph" w:styleId="ListParagraph">
    <w:name w:val="List Paragraph"/>
    <w:basedOn w:val="Normal"/>
    <w:uiPriority w:val="34"/>
    <w:qFormat/>
    <w:rsid w:val="00515AF9"/>
    <w:pPr>
      <w:numPr>
        <w:numId w:val="1"/>
      </w:numPr>
      <w:tabs>
        <w:tab w:val="left" w:pos="425"/>
      </w:tabs>
      <w:spacing w:before="120" w:line="276" w:lineRule="auto"/>
    </w:pPr>
    <w:rPr>
      <w:rFonts w:asciiTheme="minorHAnsi" w:eastAsiaTheme="minorEastAsia" w:hAnsiTheme="minorHAnsi" w:cstheme="minorBidi"/>
      <w:szCs w:val="24"/>
    </w:rPr>
  </w:style>
  <w:style w:type="paragraph" w:customStyle="1" w:styleId="ListParagraph2">
    <w:name w:val="List Paragraph 2"/>
    <w:basedOn w:val="ListParagraph"/>
    <w:qFormat/>
    <w:rsid w:val="00515AF9"/>
    <w:pPr>
      <w:numPr>
        <w:ilvl w:val="1"/>
      </w:numPr>
      <w:tabs>
        <w:tab w:val="left" w:pos="851"/>
      </w:tabs>
      <w:ind w:left="850" w:hanging="425"/>
    </w:pPr>
  </w:style>
  <w:style w:type="paragraph" w:customStyle="1" w:styleId="Default">
    <w:name w:val="Default"/>
    <w:rsid w:val="006B74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rsid w:val="00C23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uiPriority w:val="9"/>
    <w:semiHidden/>
    <w:rsid w:val="00A820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0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830CB"/>
    <w:pPr>
      <w:widowControl w:val="0"/>
      <w:autoSpaceDE w:val="0"/>
      <w:autoSpaceDN w:val="0"/>
      <w:spacing w:before="42"/>
    </w:pPr>
    <w:rPr>
      <w:rFonts w:ascii="Arial" w:eastAsia="Arial" w:hAnsi="Arial" w:cs="Arial"/>
      <w:sz w:val="22"/>
      <w:szCs w:val="22"/>
      <w:lang w:val="en-US"/>
    </w:rPr>
  </w:style>
  <w:style w:type="paragraph" w:customStyle="1" w:styleId="Body-TQI">
    <w:name w:val="Body - TQI"/>
    <w:basedOn w:val="Normal"/>
    <w:qFormat/>
    <w:rsid w:val="00973229"/>
    <w:pPr>
      <w:widowControl w:val="0"/>
      <w:tabs>
        <w:tab w:val="left" w:pos="284"/>
      </w:tabs>
      <w:autoSpaceDE w:val="0"/>
      <w:autoSpaceDN w:val="0"/>
      <w:adjustRightInd w:val="0"/>
      <w:snapToGrid w:val="0"/>
      <w:spacing w:before="100" w:line="264" w:lineRule="auto"/>
      <w:textAlignment w:val="center"/>
    </w:pPr>
    <w:rPr>
      <w:rFonts w:ascii="Arial" w:eastAsiaTheme="minorHAnsi" w:hAnsi="Arial" w:cs="Calibri"/>
      <w:color w:val="000000" w:themeColor="text1"/>
      <w:sz w:val="18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93D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D7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93D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D7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1874</Characters>
  <Application>Microsoft Office Word</Application>
  <DocSecurity>0</DocSecurity>
  <Lines>43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Ashley</dc:creator>
  <cp:keywords/>
  <dc:description/>
  <cp:lastModifiedBy>PCODCS</cp:lastModifiedBy>
  <cp:revision>4</cp:revision>
  <dcterms:created xsi:type="dcterms:W3CDTF">2023-08-27T23:21:00Z</dcterms:created>
  <dcterms:modified xsi:type="dcterms:W3CDTF">2023-08-27T23:21:00Z</dcterms:modified>
</cp:coreProperties>
</file>