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D48F" w14:textId="77777777" w:rsidR="00352E6F" w:rsidRPr="00936D24" w:rsidRDefault="00352E6F" w:rsidP="00352E6F">
      <w:pPr>
        <w:spacing w:after="0"/>
        <w:rPr>
          <w:rFonts w:cs="Calibri"/>
          <w:b/>
          <w:bCs/>
          <w:sz w:val="24"/>
          <w:szCs w:val="24"/>
        </w:rPr>
      </w:pPr>
    </w:p>
    <w:p w14:paraId="075F4EB7" w14:textId="77777777" w:rsidR="00352E6F" w:rsidRPr="00936D24" w:rsidRDefault="00352E6F" w:rsidP="00352E6F">
      <w:pPr>
        <w:spacing w:after="0"/>
        <w:rPr>
          <w:rFonts w:cs="Calibri"/>
          <w:b/>
          <w:bCs/>
          <w:sz w:val="24"/>
          <w:szCs w:val="24"/>
        </w:rPr>
      </w:pPr>
    </w:p>
    <w:p w14:paraId="6E5B7102" w14:textId="77777777" w:rsidR="00352E6F" w:rsidRPr="00936D24" w:rsidRDefault="00352E6F" w:rsidP="00352E6F">
      <w:pPr>
        <w:spacing w:after="0"/>
        <w:jc w:val="center"/>
        <w:rPr>
          <w:rFonts w:cs="Calibri"/>
          <w:b/>
          <w:bCs/>
          <w:sz w:val="24"/>
          <w:szCs w:val="24"/>
        </w:rPr>
      </w:pPr>
      <w:r w:rsidRPr="00936D24">
        <w:rPr>
          <w:rFonts w:cs="Calibri"/>
          <w:b/>
          <w:bCs/>
          <w:sz w:val="24"/>
          <w:szCs w:val="24"/>
        </w:rPr>
        <w:t>2023</w:t>
      </w:r>
    </w:p>
    <w:p w14:paraId="450B5236" w14:textId="77777777" w:rsidR="00352E6F" w:rsidRPr="00936D24" w:rsidRDefault="00352E6F" w:rsidP="00352E6F">
      <w:pPr>
        <w:spacing w:after="0"/>
        <w:jc w:val="center"/>
        <w:rPr>
          <w:rFonts w:cs="Calibri"/>
          <w:b/>
          <w:sz w:val="24"/>
          <w:szCs w:val="24"/>
        </w:rPr>
      </w:pPr>
    </w:p>
    <w:p w14:paraId="5E5DBE74" w14:textId="77777777" w:rsidR="00352E6F" w:rsidRPr="00936D24" w:rsidRDefault="00352E6F" w:rsidP="00352E6F">
      <w:pPr>
        <w:spacing w:after="0"/>
        <w:jc w:val="center"/>
        <w:rPr>
          <w:rFonts w:cs="Calibri"/>
          <w:b/>
          <w:sz w:val="24"/>
          <w:szCs w:val="24"/>
        </w:rPr>
      </w:pPr>
    </w:p>
    <w:p w14:paraId="4D604401" w14:textId="77777777" w:rsidR="00352E6F" w:rsidRPr="00936D24" w:rsidRDefault="00352E6F" w:rsidP="00352E6F">
      <w:pPr>
        <w:spacing w:after="0"/>
        <w:jc w:val="center"/>
        <w:rPr>
          <w:rFonts w:cs="Calibri"/>
          <w:b/>
          <w:sz w:val="24"/>
          <w:szCs w:val="24"/>
        </w:rPr>
      </w:pPr>
    </w:p>
    <w:p w14:paraId="011DA85E" w14:textId="77777777" w:rsidR="00352E6F" w:rsidRPr="00936D24" w:rsidRDefault="00352E6F" w:rsidP="00352E6F">
      <w:pPr>
        <w:spacing w:after="0"/>
        <w:jc w:val="center"/>
        <w:rPr>
          <w:rFonts w:cs="Calibri"/>
          <w:b/>
          <w:sz w:val="24"/>
          <w:szCs w:val="24"/>
        </w:rPr>
      </w:pPr>
    </w:p>
    <w:p w14:paraId="69D0D4FE" w14:textId="77777777" w:rsidR="00352E6F" w:rsidRPr="00936D24" w:rsidRDefault="00352E6F" w:rsidP="00352E6F">
      <w:pPr>
        <w:spacing w:after="0"/>
        <w:jc w:val="center"/>
        <w:rPr>
          <w:rFonts w:cs="Calibri"/>
          <w:b/>
          <w:bCs/>
          <w:sz w:val="24"/>
          <w:szCs w:val="24"/>
        </w:rPr>
      </w:pPr>
    </w:p>
    <w:p w14:paraId="0B8812FB" w14:textId="77777777" w:rsidR="00352E6F" w:rsidRPr="00936D24" w:rsidRDefault="00352E6F" w:rsidP="00352E6F">
      <w:pPr>
        <w:spacing w:after="0"/>
        <w:jc w:val="center"/>
        <w:rPr>
          <w:rFonts w:cs="Calibri"/>
          <w:b/>
          <w:bCs/>
          <w:sz w:val="24"/>
          <w:szCs w:val="24"/>
        </w:rPr>
      </w:pPr>
    </w:p>
    <w:p w14:paraId="7E4CEC0A" w14:textId="77777777" w:rsidR="00352E6F" w:rsidRPr="00936D24" w:rsidRDefault="00352E6F" w:rsidP="00352E6F">
      <w:pPr>
        <w:spacing w:after="0"/>
        <w:jc w:val="center"/>
        <w:rPr>
          <w:rFonts w:cs="Calibri"/>
          <w:b/>
          <w:bCs/>
          <w:sz w:val="24"/>
          <w:szCs w:val="24"/>
        </w:rPr>
      </w:pPr>
      <w:r w:rsidRPr="00936D24">
        <w:rPr>
          <w:rFonts w:cs="Calibri"/>
          <w:b/>
          <w:bCs/>
          <w:sz w:val="24"/>
          <w:szCs w:val="24"/>
        </w:rPr>
        <w:t>THE LEGISLATIVE ASSEMBLY FOR THE</w:t>
      </w:r>
    </w:p>
    <w:p w14:paraId="68083910" w14:textId="77777777" w:rsidR="00352E6F" w:rsidRPr="00936D24" w:rsidRDefault="00352E6F" w:rsidP="00352E6F">
      <w:pPr>
        <w:spacing w:after="0"/>
        <w:jc w:val="center"/>
        <w:rPr>
          <w:rFonts w:cs="Calibri"/>
          <w:b/>
          <w:sz w:val="24"/>
          <w:szCs w:val="24"/>
        </w:rPr>
      </w:pPr>
      <w:r w:rsidRPr="00936D24">
        <w:rPr>
          <w:rFonts w:cs="Calibri"/>
          <w:b/>
          <w:bCs/>
          <w:sz w:val="24"/>
          <w:szCs w:val="24"/>
        </w:rPr>
        <w:t>AUSTRALIAN CAPITAL TERRITORY</w:t>
      </w:r>
    </w:p>
    <w:p w14:paraId="1E81F75A" w14:textId="77777777" w:rsidR="00352E6F" w:rsidRPr="00936D24" w:rsidRDefault="00352E6F" w:rsidP="00352E6F">
      <w:pPr>
        <w:spacing w:after="0"/>
        <w:jc w:val="center"/>
        <w:rPr>
          <w:rFonts w:cs="Calibri"/>
          <w:b/>
          <w:sz w:val="24"/>
          <w:szCs w:val="24"/>
        </w:rPr>
      </w:pPr>
    </w:p>
    <w:p w14:paraId="7AFAF7AE" w14:textId="77777777" w:rsidR="00352E6F" w:rsidRPr="00936D24" w:rsidRDefault="00352E6F" w:rsidP="00352E6F">
      <w:pPr>
        <w:spacing w:after="0"/>
        <w:jc w:val="center"/>
        <w:rPr>
          <w:rFonts w:cs="Calibri"/>
          <w:b/>
          <w:sz w:val="24"/>
          <w:szCs w:val="24"/>
        </w:rPr>
      </w:pPr>
    </w:p>
    <w:p w14:paraId="08FCD310" w14:textId="77777777" w:rsidR="00352E6F" w:rsidRPr="00936D24" w:rsidRDefault="00352E6F" w:rsidP="00352E6F">
      <w:pPr>
        <w:spacing w:after="0"/>
        <w:jc w:val="center"/>
        <w:rPr>
          <w:rFonts w:cs="Calibri"/>
          <w:b/>
          <w:sz w:val="24"/>
          <w:szCs w:val="24"/>
        </w:rPr>
      </w:pPr>
    </w:p>
    <w:p w14:paraId="6639C23C" w14:textId="77777777" w:rsidR="00352E6F" w:rsidRPr="00936D24" w:rsidRDefault="00352E6F" w:rsidP="00352E6F">
      <w:pPr>
        <w:spacing w:after="0"/>
        <w:jc w:val="center"/>
        <w:rPr>
          <w:rFonts w:cs="Calibri"/>
          <w:b/>
          <w:sz w:val="24"/>
          <w:szCs w:val="24"/>
        </w:rPr>
      </w:pPr>
    </w:p>
    <w:p w14:paraId="50DD6531" w14:textId="77777777" w:rsidR="00352E6F" w:rsidRPr="00936D24" w:rsidRDefault="00352E6F" w:rsidP="00352E6F">
      <w:pPr>
        <w:spacing w:after="0"/>
        <w:jc w:val="center"/>
        <w:rPr>
          <w:rFonts w:cs="Calibri"/>
          <w:b/>
          <w:sz w:val="24"/>
          <w:szCs w:val="24"/>
        </w:rPr>
      </w:pPr>
    </w:p>
    <w:p w14:paraId="587FEA22" w14:textId="77777777" w:rsidR="00352E6F" w:rsidRPr="00936D24" w:rsidRDefault="00352E6F" w:rsidP="00352E6F">
      <w:pPr>
        <w:spacing w:after="0"/>
        <w:jc w:val="center"/>
        <w:rPr>
          <w:rFonts w:cs="Calibri"/>
          <w:b/>
          <w:sz w:val="24"/>
          <w:szCs w:val="24"/>
        </w:rPr>
      </w:pPr>
    </w:p>
    <w:p w14:paraId="3E45F251" w14:textId="77777777" w:rsidR="00352E6F" w:rsidRPr="00936D24" w:rsidRDefault="00352E6F" w:rsidP="00352E6F">
      <w:pPr>
        <w:spacing w:after="0"/>
        <w:jc w:val="center"/>
        <w:rPr>
          <w:rFonts w:cs="Calibri"/>
          <w:b/>
          <w:sz w:val="24"/>
          <w:szCs w:val="24"/>
        </w:rPr>
      </w:pPr>
    </w:p>
    <w:p w14:paraId="1C6DF0B5" w14:textId="77777777" w:rsidR="00352E6F" w:rsidRPr="00936D24" w:rsidRDefault="00352E6F" w:rsidP="00352E6F">
      <w:pPr>
        <w:spacing w:after="0"/>
        <w:jc w:val="center"/>
        <w:rPr>
          <w:rFonts w:cs="Calibri"/>
          <w:b/>
          <w:sz w:val="24"/>
          <w:szCs w:val="24"/>
        </w:rPr>
      </w:pPr>
    </w:p>
    <w:p w14:paraId="40B81D15" w14:textId="77777777" w:rsidR="00352E6F" w:rsidRPr="00936D24" w:rsidRDefault="00352E6F" w:rsidP="00352E6F">
      <w:pPr>
        <w:spacing w:after="0"/>
        <w:jc w:val="center"/>
        <w:rPr>
          <w:rFonts w:cs="Calibri"/>
          <w:b/>
          <w:sz w:val="24"/>
          <w:szCs w:val="24"/>
        </w:rPr>
      </w:pPr>
    </w:p>
    <w:p w14:paraId="7240737C" w14:textId="77777777" w:rsidR="00352E6F" w:rsidRPr="00936D24" w:rsidRDefault="00352E6F" w:rsidP="00352E6F">
      <w:pPr>
        <w:spacing w:after="0"/>
        <w:jc w:val="center"/>
        <w:rPr>
          <w:rFonts w:cs="Calibri"/>
          <w:b/>
          <w:sz w:val="24"/>
          <w:szCs w:val="24"/>
        </w:rPr>
      </w:pPr>
    </w:p>
    <w:p w14:paraId="2D9B597A" w14:textId="77777777" w:rsidR="00352E6F" w:rsidRPr="00936D24" w:rsidRDefault="00352E6F" w:rsidP="00352E6F">
      <w:pPr>
        <w:spacing w:after="0"/>
        <w:jc w:val="center"/>
        <w:rPr>
          <w:rFonts w:cs="Calibri"/>
          <w:b/>
          <w:bCs/>
          <w:sz w:val="24"/>
          <w:szCs w:val="24"/>
        </w:rPr>
      </w:pPr>
      <w:r w:rsidRPr="00936D24">
        <w:rPr>
          <w:rFonts w:cs="Calibri"/>
          <w:b/>
          <w:bCs/>
          <w:sz w:val="24"/>
          <w:szCs w:val="24"/>
        </w:rPr>
        <w:t xml:space="preserve"> CHILDREN AND YOUNG PEOPLE AMENDMENT BILL 2023</w:t>
      </w:r>
    </w:p>
    <w:p w14:paraId="3BC479DB" w14:textId="77777777" w:rsidR="00352E6F" w:rsidRPr="00936D24" w:rsidRDefault="00352E6F" w:rsidP="00352E6F">
      <w:pPr>
        <w:spacing w:after="0"/>
        <w:jc w:val="center"/>
        <w:rPr>
          <w:rFonts w:cs="Calibri"/>
          <w:b/>
          <w:bCs/>
          <w:sz w:val="24"/>
          <w:szCs w:val="24"/>
        </w:rPr>
      </w:pPr>
    </w:p>
    <w:p w14:paraId="7B83ACE8" w14:textId="77777777" w:rsidR="00352E6F" w:rsidRPr="00936D24" w:rsidRDefault="00352E6F" w:rsidP="00352E6F">
      <w:pPr>
        <w:spacing w:after="0"/>
        <w:jc w:val="center"/>
        <w:rPr>
          <w:rFonts w:cs="Calibri"/>
          <w:b/>
          <w:sz w:val="24"/>
          <w:szCs w:val="24"/>
        </w:rPr>
      </w:pPr>
    </w:p>
    <w:p w14:paraId="058D4522" w14:textId="77777777" w:rsidR="00352E6F" w:rsidRPr="00936D24" w:rsidRDefault="00352E6F" w:rsidP="00352E6F">
      <w:pPr>
        <w:spacing w:after="0"/>
        <w:jc w:val="center"/>
        <w:rPr>
          <w:rFonts w:cs="Calibri"/>
          <w:b/>
          <w:bCs/>
          <w:sz w:val="24"/>
          <w:szCs w:val="24"/>
        </w:rPr>
      </w:pPr>
    </w:p>
    <w:p w14:paraId="17A1DEC7" w14:textId="77777777" w:rsidR="00352E6F" w:rsidRPr="00936D24" w:rsidRDefault="00352E6F" w:rsidP="00352E6F">
      <w:pPr>
        <w:spacing w:after="0"/>
        <w:jc w:val="center"/>
        <w:rPr>
          <w:rFonts w:cs="Calibri"/>
          <w:b/>
          <w:bCs/>
          <w:sz w:val="24"/>
          <w:szCs w:val="24"/>
        </w:rPr>
      </w:pPr>
      <w:r w:rsidRPr="00936D24">
        <w:rPr>
          <w:rFonts w:cs="Calibri"/>
          <w:b/>
          <w:bCs/>
          <w:sz w:val="24"/>
          <w:szCs w:val="24"/>
        </w:rPr>
        <w:t xml:space="preserve">EXPLANATORY STATEMENT </w:t>
      </w:r>
    </w:p>
    <w:p w14:paraId="37EC3F53" w14:textId="77777777" w:rsidR="00352E6F" w:rsidRPr="00936D24" w:rsidRDefault="00352E6F" w:rsidP="00352E6F">
      <w:pPr>
        <w:spacing w:after="0"/>
        <w:jc w:val="center"/>
        <w:rPr>
          <w:rFonts w:cs="Calibri"/>
          <w:b/>
          <w:bCs/>
          <w:sz w:val="24"/>
          <w:szCs w:val="24"/>
        </w:rPr>
      </w:pPr>
      <w:r w:rsidRPr="00936D24">
        <w:rPr>
          <w:rFonts w:cs="Calibri"/>
          <w:b/>
          <w:bCs/>
          <w:sz w:val="24"/>
          <w:szCs w:val="24"/>
        </w:rPr>
        <w:t>and</w:t>
      </w:r>
    </w:p>
    <w:p w14:paraId="7D46347B" w14:textId="77777777" w:rsidR="00352E6F" w:rsidRPr="00936D24" w:rsidRDefault="00352E6F" w:rsidP="00352E6F">
      <w:pPr>
        <w:spacing w:after="0"/>
        <w:jc w:val="center"/>
        <w:rPr>
          <w:rFonts w:cs="Calibri"/>
          <w:b/>
          <w:bCs/>
          <w:sz w:val="24"/>
          <w:szCs w:val="24"/>
        </w:rPr>
      </w:pPr>
      <w:r w:rsidRPr="00936D24">
        <w:rPr>
          <w:rFonts w:cs="Calibri"/>
          <w:b/>
          <w:bCs/>
          <w:sz w:val="24"/>
          <w:szCs w:val="24"/>
        </w:rPr>
        <w:t xml:space="preserve"> HUMAN RIGHTS COMPATIBILITY STATEMENT</w:t>
      </w:r>
    </w:p>
    <w:p w14:paraId="09585104" w14:textId="77777777" w:rsidR="00352E6F" w:rsidRPr="00936D24" w:rsidRDefault="00352E6F" w:rsidP="00352E6F">
      <w:pPr>
        <w:spacing w:after="0"/>
        <w:jc w:val="center"/>
        <w:rPr>
          <w:rFonts w:cs="Calibri"/>
          <w:b/>
          <w:sz w:val="24"/>
          <w:szCs w:val="24"/>
        </w:rPr>
      </w:pPr>
      <w:r w:rsidRPr="00936D24">
        <w:rPr>
          <w:rFonts w:cs="Calibri"/>
          <w:b/>
          <w:bCs/>
          <w:sz w:val="24"/>
          <w:szCs w:val="24"/>
        </w:rPr>
        <w:t>(</w:t>
      </w:r>
      <w:r w:rsidRPr="00936D24">
        <w:rPr>
          <w:rFonts w:cs="Calibri"/>
          <w:b/>
          <w:bCs/>
          <w:i/>
          <w:iCs/>
          <w:sz w:val="24"/>
          <w:szCs w:val="24"/>
        </w:rPr>
        <w:t>Human Rights Act 2004</w:t>
      </w:r>
      <w:r w:rsidRPr="00936D24">
        <w:rPr>
          <w:rFonts w:cs="Calibri"/>
          <w:b/>
          <w:bCs/>
          <w:sz w:val="24"/>
          <w:szCs w:val="24"/>
        </w:rPr>
        <w:t>, s 37)</w:t>
      </w:r>
    </w:p>
    <w:p w14:paraId="1C28C386" w14:textId="77777777" w:rsidR="00352E6F" w:rsidRDefault="00352E6F" w:rsidP="00352E6F">
      <w:pPr>
        <w:spacing w:after="0"/>
        <w:jc w:val="center"/>
        <w:rPr>
          <w:rFonts w:ascii="Arial" w:hAnsi="Arial" w:cs="Arial"/>
          <w:b/>
          <w:sz w:val="24"/>
          <w:szCs w:val="24"/>
        </w:rPr>
      </w:pPr>
    </w:p>
    <w:p w14:paraId="62E1A094" w14:textId="77777777" w:rsidR="00352E6F" w:rsidRDefault="00352E6F" w:rsidP="00352E6F">
      <w:pPr>
        <w:spacing w:after="0"/>
        <w:jc w:val="center"/>
        <w:rPr>
          <w:rFonts w:ascii="Arial" w:hAnsi="Arial" w:cs="Arial"/>
          <w:b/>
          <w:sz w:val="24"/>
          <w:szCs w:val="24"/>
        </w:rPr>
      </w:pPr>
    </w:p>
    <w:p w14:paraId="04DA30C0" w14:textId="77777777" w:rsidR="00352E6F" w:rsidRDefault="00352E6F" w:rsidP="00352E6F">
      <w:pPr>
        <w:spacing w:after="0"/>
        <w:jc w:val="center"/>
        <w:rPr>
          <w:rFonts w:ascii="Arial" w:hAnsi="Arial" w:cs="Arial"/>
          <w:b/>
          <w:sz w:val="24"/>
          <w:szCs w:val="24"/>
        </w:rPr>
      </w:pPr>
    </w:p>
    <w:p w14:paraId="418CE734" w14:textId="77777777" w:rsidR="00352E6F" w:rsidRDefault="00352E6F" w:rsidP="00352E6F">
      <w:pPr>
        <w:spacing w:after="0"/>
        <w:jc w:val="center"/>
        <w:rPr>
          <w:rFonts w:ascii="Arial" w:hAnsi="Arial" w:cs="Arial"/>
          <w:b/>
          <w:sz w:val="24"/>
          <w:szCs w:val="24"/>
        </w:rPr>
      </w:pPr>
    </w:p>
    <w:p w14:paraId="558E8B3C" w14:textId="36798221" w:rsidR="00352E6F" w:rsidRDefault="00352E6F" w:rsidP="00352E6F">
      <w:pPr>
        <w:keepNext/>
        <w:widowControl w:val="0"/>
        <w:spacing w:after="0"/>
        <w:jc w:val="center"/>
        <w:outlineLvl w:val="7"/>
        <w:rPr>
          <w:rFonts w:ascii="Arial" w:hAnsi="Arial" w:cs="Arial"/>
          <w:b/>
          <w:bCs/>
          <w:sz w:val="24"/>
          <w:szCs w:val="24"/>
        </w:rPr>
      </w:pPr>
    </w:p>
    <w:p w14:paraId="6E81EC20" w14:textId="094C740D" w:rsidR="00BA2CFA" w:rsidRDefault="00BA2CFA" w:rsidP="00352E6F">
      <w:pPr>
        <w:keepNext/>
        <w:widowControl w:val="0"/>
        <w:spacing w:after="0"/>
        <w:jc w:val="center"/>
        <w:outlineLvl w:val="7"/>
        <w:rPr>
          <w:rFonts w:ascii="Arial" w:hAnsi="Arial" w:cs="Arial"/>
          <w:b/>
          <w:bCs/>
          <w:sz w:val="24"/>
          <w:szCs w:val="24"/>
        </w:rPr>
      </w:pPr>
    </w:p>
    <w:p w14:paraId="3A19371A" w14:textId="7463B590" w:rsidR="00BA2CFA" w:rsidRDefault="00BA2CFA" w:rsidP="00352E6F">
      <w:pPr>
        <w:keepNext/>
        <w:widowControl w:val="0"/>
        <w:spacing w:after="0"/>
        <w:jc w:val="center"/>
        <w:outlineLvl w:val="7"/>
        <w:rPr>
          <w:rFonts w:ascii="Arial" w:hAnsi="Arial" w:cs="Arial"/>
          <w:b/>
          <w:bCs/>
          <w:sz w:val="24"/>
          <w:szCs w:val="24"/>
        </w:rPr>
      </w:pPr>
    </w:p>
    <w:p w14:paraId="30393C57" w14:textId="77777777" w:rsidR="00BA2CFA" w:rsidRDefault="00BA2CFA" w:rsidP="00352E6F">
      <w:pPr>
        <w:keepNext/>
        <w:widowControl w:val="0"/>
        <w:spacing w:after="0"/>
        <w:jc w:val="center"/>
        <w:outlineLvl w:val="7"/>
        <w:rPr>
          <w:rFonts w:ascii="Arial" w:hAnsi="Arial" w:cs="Arial"/>
          <w:b/>
          <w:bCs/>
          <w:sz w:val="24"/>
          <w:szCs w:val="24"/>
        </w:rPr>
      </w:pPr>
    </w:p>
    <w:p w14:paraId="5880525D" w14:textId="77777777" w:rsidR="00352E6F" w:rsidRDefault="00352E6F" w:rsidP="00352E6F">
      <w:pPr>
        <w:keepNext/>
        <w:widowControl w:val="0"/>
        <w:spacing w:after="0"/>
        <w:jc w:val="center"/>
        <w:outlineLvl w:val="7"/>
        <w:rPr>
          <w:rFonts w:ascii="Arial" w:hAnsi="Arial" w:cs="Arial"/>
          <w:b/>
          <w:bCs/>
          <w:sz w:val="24"/>
          <w:szCs w:val="24"/>
        </w:rPr>
      </w:pPr>
    </w:p>
    <w:p w14:paraId="0AC4438F" w14:textId="77777777" w:rsidR="00936D24" w:rsidRDefault="00936D24" w:rsidP="00936D24">
      <w:pPr>
        <w:keepNext/>
        <w:widowControl w:val="0"/>
        <w:spacing w:after="0"/>
        <w:jc w:val="center"/>
        <w:outlineLvl w:val="7"/>
        <w:rPr>
          <w:rFonts w:ascii="Arial" w:hAnsi="Arial" w:cs="Arial"/>
          <w:b/>
          <w:bCs/>
          <w:sz w:val="24"/>
          <w:szCs w:val="24"/>
        </w:rPr>
      </w:pPr>
    </w:p>
    <w:p w14:paraId="24B9693A" w14:textId="7E52AEE1" w:rsidR="00352E6F" w:rsidRDefault="00936D24" w:rsidP="00936D24">
      <w:pPr>
        <w:spacing w:line="250" w:lineRule="exact"/>
        <w:jc w:val="right"/>
        <w:rPr>
          <w:rFonts w:ascii="Arial" w:hAnsi="Arial" w:cs="Arial"/>
          <w:b/>
          <w:bCs/>
          <w:sz w:val="24"/>
          <w:szCs w:val="24"/>
          <w:u w:val="single"/>
        </w:rPr>
        <w:sectPr w:rsidR="00352E6F">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440" w:left="1440" w:header="709" w:footer="675" w:gutter="0"/>
          <w:pgNumType w:start="1"/>
          <w:cols w:space="720"/>
        </w:sectPr>
      </w:pPr>
      <w:r w:rsidRPr="006B4C9D">
        <w:rPr>
          <w:rFonts w:eastAsia="Calibri"/>
          <w:b/>
          <w:bCs/>
          <w:sz w:val="24"/>
          <w:szCs w:val="24"/>
          <w:lang w:eastAsia="en-AU"/>
        </w:rPr>
        <w:t xml:space="preserve">Presented by </w:t>
      </w:r>
      <w:r w:rsidRPr="006B4C9D">
        <w:rPr>
          <w:rFonts w:eastAsia="Calibri"/>
          <w:sz w:val="21"/>
          <w:szCs w:val="21"/>
          <w:lang w:eastAsia="en-AU"/>
        </w:rPr>
        <w:br/>
      </w:r>
      <w:r>
        <w:rPr>
          <w:rFonts w:eastAsia="Calibri"/>
          <w:b/>
          <w:bCs/>
          <w:sz w:val="24"/>
          <w:szCs w:val="24"/>
          <w:lang w:eastAsia="en-AU"/>
        </w:rPr>
        <w:t xml:space="preserve">Rachel Stephen-Smith </w:t>
      </w:r>
      <w:r w:rsidRPr="006B4C9D">
        <w:rPr>
          <w:rFonts w:eastAsia="Calibri"/>
          <w:b/>
          <w:bCs/>
          <w:sz w:val="24"/>
          <w:szCs w:val="24"/>
          <w:lang w:eastAsia="en-AU"/>
        </w:rPr>
        <w:t xml:space="preserve">MLA </w:t>
      </w:r>
      <w:r w:rsidRPr="006B4C9D">
        <w:rPr>
          <w:rFonts w:eastAsia="Calibri"/>
          <w:sz w:val="21"/>
          <w:szCs w:val="21"/>
          <w:lang w:eastAsia="en-AU"/>
        </w:rPr>
        <w:br/>
      </w:r>
      <w:r w:rsidRPr="006B4C9D">
        <w:rPr>
          <w:rFonts w:eastAsia="Calibri"/>
          <w:b/>
          <w:bCs/>
          <w:sz w:val="24"/>
          <w:szCs w:val="24"/>
          <w:lang w:eastAsia="en-AU"/>
        </w:rPr>
        <w:t>Minister for</w:t>
      </w:r>
      <w:r>
        <w:rPr>
          <w:rFonts w:eastAsia="Calibri"/>
          <w:b/>
          <w:bCs/>
          <w:sz w:val="24"/>
          <w:szCs w:val="24"/>
          <w:lang w:eastAsia="en-AU"/>
        </w:rPr>
        <w:t xml:space="preserve"> </w:t>
      </w:r>
      <w:r w:rsidRPr="006B4C9D">
        <w:rPr>
          <w:rFonts w:eastAsia="Calibri"/>
          <w:b/>
          <w:bCs/>
          <w:sz w:val="24"/>
          <w:szCs w:val="24"/>
          <w:lang w:eastAsia="en-AU"/>
        </w:rPr>
        <w:t xml:space="preserve">Families and Community Services </w:t>
      </w:r>
      <w:r w:rsidRPr="006B4C9D">
        <w:rPr>
          <w:rFonts w:eastAsia="Calibri"/>
          <w:sz w:val="21"/>
          <w:szCs w:val="21"/>
          <w:lang w:eastAsia="en-AU"/>
        </w:rPr>
        <w:br/>
      </w:r>
      <w:r>
        <w:rPr>
          <w:rFonts w:eastAsia="Calibri"/>
          <w:b/>
          <w:bCs/>
          <w:sz w:val="24"/>
          <w:szCs w:val="24"/>
          <w:lang w:eastAsia="en-AU"/>
        </w:rPr>
        <w:t>August</w:t>
      </w:r>
      <w:r w:rsidRPr="006B4C9D">
        <w:rPr>
          <w:rFonts w:eastAsia="Calibri"/>
          <w:b/>
          <w:bCs/>
          <w:sz w:val="24"/>
          <w:szCs w:val="24"/>
          <w:lang w:eastAsia="en-AU"/>
        </w:rPr>
        <w:t xml:space="preserve"> 202</w:t>
      </w:r>
      <w:r>
        <w:rPr>
          <w:rFonts w:eastAsia="Calibri"/>
          <w:b/>
          <w:bCs/>
          <w:sz w:val="24"/>
          <w:szCs w:val="24"/>
          <w:lang w:eastAsia="en-AU"/>
        </w:rPr>
        <w:t>3</w:t>
      </w:r>
    </w:p>
    <w:p w14:paraId="183E9E5D" w14:textId="77777777" w:rsidR="0058238F" w:rsidRDefault="0058238F" w:rsidP="00BA2CFA">
      <w:pPr>
        <w:pStyle w:val="Heading1"/>
        <w:jc w:val="center"/>
        <w:rPr>
          <w:rFonts w:ascii="Calibri" w:hAnsi="Calibri" w:cs="Calibri"/>
          <w:caps/>
          <w:sz w:val="24"/>
          <w:szCs w:val="24"/>
        </w:rPr>
      </w:pPr>
    </w:p>
    <w:p w14:paraId="33E1DE13" w14:textId="77777777" w:rsidR="0058238F" w:rsidRDefault="0058238F" w:rsidP="00BA2CFA">
      <w:pPr>
        <w:pStyle w:val="Heading1"/>
        <w:jc w:val="center"/>
        <w:rPr>
          <w:rFonts w:ascii="Calibri" w:hAnsi="Calibri" w:cs="Calibri"/>
          <w:caps/>
          <w:sz w:val="24"/>
          <w:szCs w:val="24"/>
        </w:rPr>
      </w:pPr>
    </w:p>
    <w:p w14:paraId="0576D96E" w14:textId="77777777" w:rsidR="0058238F" w:rsidRDefault="0058238F" w:rsidP="00BA2CFA">
      <w:pPr>
        <w:pStyle w:val="Heading1"/>
        <w:jc w:val="center"/>
        <w:rPr>
          <w:rFonts w:ascii="Calibri" w:hAnsi="Calibri" w:cs="Calibri"/>
          <w:caps/>
          <w:sz w:val="24"/>
          <w:szCs w:val="24"/>
        </w:rPr>
      </w:pPr>
    </w:p>
    <w:p w14:paraId="788BD3D1" w14:textId="77777777" w:rsidR="0058238F" w:rsidRDefault="0058238F" w:rsidP="00BA2CFA">
      <w:pPr>
        <w:pStyle w:val="Heading1"/>
        <w:jc w:val="center"/>
        <w:rPr>
          <w:rFonts w:ascii="Calibri" w:hAnsi="Calibri" w:cs="Calibri"/>
          <w:caps/>
          <w:sz w:val="24"/>
          <w:szCs w:val="24"/>
        </w:rPr>
      </w:pPr>
    </w:p>
    <w:p w14:paraId="75D977EC" w14:textId="77777777" w:rsidR="0058238F" w:rsidRDefault="0058238F" w:rsidP="00BA2CFA">
      <w:pPr>
        <w:pStyle w:val="Heading1"/>
        <w:jc w:val="center"/>
        <w:rPr>
          <w:rFonts w:ascii="Calibri" w:hAnsi="Calibri" w:cs="Calibri"/>
          <w:caps/>
          <w:sz w:val="24"/>
          <w:szCs w:val="24"/>
        </w:rPr>
      </w:pPr>
    </w:p>
    <w:p w14:paraId="5D18962C" w14:textId="77777777" w:rsidR="0058238F" w:rsidRDefault="0058238F" w:rsidP="00BA2CFA">
      <w:pPr>
        <w:pStyle w:val="Heading1"/>
        <w:jc w:val="center"/>
        <w:rPr>
          <w:rFonts w:ascii="Calibri" w:hAnsi="Calibri" w:cs="Calibri"/>
          <w:caps/>
          <w:sz w:val="24"/>
          <w:szCs w:val="24"/>
        </w:rPr>
      </w:pPr>
    </w:p>
    <w:p w14:paraId="75E99F91" w14:textId="77777777" w:rsidR="0058238F" w:rsidRDefault="0058238F" w:rsidP="00BA2CFA">
      <w:pPr>
        <w:pStyle w:val="Heading1"/>
        <w:jc w:val="center"/>
        <w:rPr>
          <w:rFonts w:ascii="Calibri" w:hAnsi="Calibri" w:cs="Calibri"/>
          <w:caps/>
          <w:sz w:val="24"/>
          <w:szCs w:val="24"/>
        </w:rPr>
      </w:pPr>
    </w:p>
    <w:p w14:paraId="1D75EEEC" w14:textId="77777777" w:rsidR="0058238F" w:rsidRDefault="0058238F" w:rsidP="00BA2CFA">
      <w:pPr>
        <w:pStyle w:val="Heading1"/>
        <w:jc w:val="center"/>
        <w:rPr>
          <w:rFonts w:ascii="Calibri" w:hAnsi="Calibri" w:cs="Calibri"/>
          <w:caps/>
          <w:sz w:val="24"/>
          <w:szCs w:val="24"/>
        </w:rPr>
      </w:pPr>
    </w:p>
    <w:p w14:paraId="748B4888" w14:textId="77777777" w:rsidR="0058238F" w:rsidRDefault="0058238F" w:rsidP="00BA2CFA">
      <w:pPr>
        <w:pStyle w:val="Heading1"/>
        <w:jc w:val="center"/>
        <w:rPr>
          <w:rFonts w:ascii="Calibri" w:hAnsi="Calibri" w:cs="Calibri"/>
          <w:caps/>
          <w:sz w:val="24"/>
          <w:szCs w:val="24"/>
        </w:rPr>
      </w:pPr>
    </w:p>
    <w:p w14:paraId="1DAF22C5" w14:textId="77777777" w:rsidR="0058238F" w:rsidRDefault="0058238F" w:rsidP="00BA2CFA">
      <w:pPr>
        <w:pStyle w:val="Heading1"/>
        <w:jc w:val="center"/>
        <w:rPr>
          <w:rFonts w:ascii="Calibri" w:hAnsi="Calibri" w:cs="Calibri"/>
          <w:caps/>
          <w:sz w:val="24"/>
          <w:szCs w:val="24"/>
        </w:rPr>
      </w:pPr>
    </w:p>
    <w:p w14:paraId="77A2CA53" w14:textId="77777777" w:rsidR="0058238F" w:rsidRDefault="0058238F" w:rsidP="00BA2CFA">
      <w:pPr>
        <w:pStyle w:val="Heading1"/>
        <w:jc w:val="center"/>
        <w:rPr>
          <w:rFonts w:ascii="Calibri" w:hAnsi="Calibri" w:cs="Calibri"/>
          <w:caps/>
          <w:sz w:val="24"/>
          <w:szCs w:val="24"/>
        </w:rPr>
      </w:pPr>
    </w:p>
    <w:p w14:paraId="0A36297D" w14:textId="77777777" w:rsidR="0058238F" w:rsidRDefault="0058238F" w:rsidP="00BA2CFA">
      <w:pPr>
        <w:pStyle w:val="Heading1"/>
        <w:jc w:val="center"/>
        <w:rPr>
          <w:rFonts w:ascii="Calibri" w:hAnsi="Calibri" w:cs="Calibri"/>
          <w:caps/>
          <w:sz w:val="24"/>
          <w:szCs w:val="24"/>
        </w:rPr>
      </w:pPr>
    </w:p>
    <w:p w14:paraId="3588765B" w14:textId="77777777" w:rsidR="0058238F" w:rsidRDefault="0058238F" w:rsidP="00BA2CFA">
      <w:pPr>
        <w:pStyle w:val="Heading1"/>
        <w:jc w:val="center"/>
        <w:rPr>
          <w:rFonts w:ascii="Calibri" w:hAnsi="Calibri" w:cs="Calibri"/>
          <w:caps/>
          <w:sz w:val="24"/>
          <w:szCs w:val="24"/>
        </w:rPr>
      </w:pPr>
    </w:p>
    <w:p w14:paraId="331A1F7F" w14:textId="77777777" w:rsidR="0058238F" w:rsidRDefault="0058238F" w:rsidP="00BA2CFA">
      <w:pPr>
        <w:pStyle w:val="Heading1"/>
        <w:jc w:val="center"/>
        <w:rPr>
          <w:rFonts w:ascii="Calibri" w:hAnsi="Calibri" w:cs="Calibri"/>
          <w:caps/>
          <w:sz w:val="24"/>
          <w:szCs w:val="24"/>
        </w:rPr>
      </w:pPr>
    </w:p>
    <w:p w14:paraId="37E35B67" w14:textId="77777777" w:rsidR="0058238F" w:rsidRDefault="0058238F" w:rsidP="00BA2CFA">
      <w:pPr>
        <w:pStyle w:val="Heading1"/>
        <w:jc w:val="center"/>
        <w:rPr>
          <w:rFonts w:ascii="Calibri" w:hAnsi="Calibri" w:cs="Calibri"/>
          <w:caps/>
          <w:sz w:val="24"/>
          <w:szCs w:val="24"/>
        </w:rPr>
      </w:pPr>
    </w:p>
    <w:p w14:paraId="45F36406" w14:textId="77777777" w:rsidR="0058238F" w:rsidRDefault="0058238F" w:rsidP="00BA2CFA">
      <w:pPr>
        <w:pStyle w:val="Heading1"/>
        <w:jc w:val="center"/>
        <w:rPr>
          <w:rFonts w:ascii="Calibri" w:hAnsi="Calibri" w:cs="Calibri"/>
          <w:caps/>
          <w:sz w:val="24"/>
          <w:szCs w:val="24"/>
        </w:rPr>
      </w:pPr>
    </w:p>
    <w:p w14:paraId="300451D0" w14:textId="77777777" w:rsidR="0058238F" w:rsidRDefault="0058238F" w:rsidP="00BA2CFA">
      <w:pPr>
        <w:pStyle w:val="Heading1"/>
        <w:jc w:val="center"/>
        <w:rPr>
          <w:rFonts w:ascii="Calibri" w:hAnsi="Calibri" w:cs="Calibri"/>
          <w:caps/>
          <w:sz w:val="24"/>
          <w:szCs w:val="24"/>
        </w:rPr>
      </w:pPr>
    </w:p>
    <w:p w14:paraId="523CEB4B" w14:textId="77777777" w:rsidR="0058238F" w:rsidRDefault="0058238F" w:rsidP="00BA2CFA">
      <w:pPr>
        <w:pStyle w:val="Heading1"/>
        <w:jc w:val="center"/>
        <w:rPr>
          <w:rFonts w:ascii="Calibri" w:hAnsi="Calibri" w:cs="Calibri"/>
          <w:caps/>
          <w:sz w:val="24"/>
          <w:szCs w:val="24"/>
        </w:rPr>
      </w:pPr>
    </w:p>
    <w:p w14:paraId="6509ED1F" w14:textId="77777777" w:rsidR="0058238F" w:rsidRDefault="0058238F" w:rsidP="00BA2CFA">
      <w:pPr>
        <w:pStyle w:val="Heading1"/>
        <w:jc w:val="center"/>
        <w:rPr>
          <w:rFonts w:ascii="Calibri" w:hAnsi="Calibri" w:cs="Calibri"/>
          <w:caps/>
          <w:sz w:val="24"/>
          <w:szCs w:val="24"/>
        </w:rPr>
      </w:pPr>
    </w:p>
    <w:p w14:paraId="07DB6EA9" w14:textId="77777777" w:rsidR="0058238F" w:rsidRDefault="0058238F" w:rsidP="00BA2CFA">
      <w:pPr>
        <w:pStyle w:val="Heading1"/>
        <w:jc w:val="center"/>
        <w:rPr>
          <w:rFonts w:ascii="Calibri" w:hAnsi="Calibri" w:cs="Calibri"/>
          <w:caps/>
          <w:sz w:val="24"/>
          <w:szCs w:val="24"/>
        </w:rPr>
      </w:pPr>
    </w:p>
    <w:p w14:paraId="5A872700" w14:textId="77777777" w:rsidR="0058238F" w:rsidRDefault="0058238F" w:rsidP="00BA2CFA">
      <w:pPr>
        <w:pStyle w:val="Heading1"/>
        <w:jc w:val="center"/>
        <w:rPr>
          <w:rFonts w:ascii="Calibri" w:hAnsi="Calibri" w:cs="Calibri"/>
          <w:caps/>
          <w:sz w:val="24"/>
          <w:szCs w:val="24"/>
        </w:rPr>
      </w:pPr>
    </w:p>
    <w:p w14:paraId="4F5D7697" w14:textId="77777777" w:rsidR="0058238F" w:rsidRDefault="0058238F" w:rsidP="00BA2CFA">
      <w:pPr>
        <w:pStyle w:val="Heading1"/>
        <w:jc w:val="center"/>
        <w:rPr>
          <w:rFonts w:ascii="Calibri" w:hAnsi="Calibri" w:cs="Calibri"/>
          <w:caps/>
          <w:sz w:val="24"/>
          <w:szCs w:val="24"/>
        </w:rPr>
      </w:pPr>
    </w:p>
    <w:p w14:paraId="182D393E" w14:textId="77777777" w:rsidR="0058238F" w:rsidRDefault="0058238F" w:rsidP="00BA2CFA">
      <w:pPr>
        <w:pStyle w:val="Heading1"/>
        <w:jc w:val="center"/>
        <w:rPr>
          <w:rFonts w:ascii="Calibri" w:hAnsi="Calibri" w:cs="Calibri"/>
          <w:caps/>
          <w:sz w:val="24"/>
          <w:szCs w:val="24"/>
        </w:rPr>
      </w:pPr>
    </w:p>
    <w:p w14:paraId="1A4984B4" w14:textId="77777777" w:rsidR="0058238F" w:rsidRDefault="0058238F" w:rsidP="00BA2CFA">
      <w:pPr>
        <w:pStyle w:val="Heading1"/>
        <w:jc w:val="center"/>
        <w:rPr>
          <w:rFonts w:ascii="Calibri" w:hAnsi="Calibri" w:cs="Calibri"/>
          <w:caps/>
          <w:sz w:val="24"/>
          <w:szCs w:val="24"/>
        </w:rPr>
      </w:pPr>
    </w:p>
    <w:p w14:paraId="5AF9F3F6" w14:textId="77777777" w:rsidR="0058238F" w:rsidRDefault="0058238F" w:rsidP="00BA2CFA">
      <w:pPr>
        <w:pStyle w:val="Heading1"/>
        <w:jc w:val="center"/>
        <w:rPr>
          <w:rFonts w:ascii="Calibri" w:hAnsi="Calibri" w:cs="Calibri"/>
          <w:caps/>
          <w:sz w:val="24"/>
          <w:szCs w:val="24"/>
        </w:rPr>
      </w:pPr>
    </w:p>
    <w:p w14:paraId="5FC68F45" w14:textId="77777777" w:rsidR="0058238F" w:rsidRDefault="0058238F" w:rsidP="00BA2CFA">
      <w:pPr>
        <w:pStyle w:val="Heading1"/>
        <w:jc w:val="center"/>
        <w:rPr>
          <w:rFonts w:ascii="Calibri" w:hAnsi="Calibri" w:cs="Calibri"/>
          <w:caps/>
          <w:sz w:val="24"/>
          <w:szCs w:val="24"/>
        </w:rPr>
      </w:pPr>
    </w:p>
    <w:p w14:paraId="6074EA47" w14:textId="77777777" w:rsidR="0058238F" w:rsidRDefault="0058238F" w:rsidP="00BA2CFA">
      <w:pPr>
        <w:pStyle w:val="Heading1"/>
        <w:jc w:val="center"/>
        <w:rPr>
          <w:rFonts w:ascii="Calibri" w:hAnsi="Calibri" w:cs="Calibri"/>
          <w:caps/>
          <w:sz w:val="24"/>
          <w:szCs w:val="24"/>
        </w:rPr>
      </w:pPr>
    </w:p>
    <w:p w14:paraId="59382A76" w14:textId="77777777" w:rsidR="0058238F" w:rsidRDefault="0058238F" w:rsidP="00BA2CFA">
      <w:pPr>
        <w:pStyle w:val="Heading1"/>
        <w:jc w:val="center"/>
        <w:rPr>
          <w:rFonts w:ascii="Calibri" w:hAnsi="Calibri" w:cs="Calibri"/>
          <w:caps/>
          <w:sz w:val="24"/>
          <w:szCs w:val="24"/>
        </w:rPr>
      </w:pPr>
    </w:p>
    <w:p w14:paraId="144F51E3" w14:textId="77777777" w:rsidR="0058238F" w:rsidRDefault="0058238F" w:rsidP="00BA2CFA">
      <w:pPr>
        <w:pStyle w:val="Heading1"/>
        <w:jc w:val="center"/>
        <w:rPr>
          <w:rFonts w:ascii="Calibri" w:hAnsi="Calibri" w:cs="Calibri"/>
          <w:caps/>
          <w:sz w:val="24"/>
          <w:szCs w:val="24"/>
        </w:rPr>
      </w:pPr>
    </w:p>
    <w:p w14:paraId="6B87D68F" w14:textId="77777777" w:rsidR="0058238F" w:rsidRDefault="0058238F" w:rsidP="00BA2CFA">
      <w:pPr>
        <w:pStyle w:val="Heading1"/>
        <w:jc w:val="center"/>
        <w:rPr>
          <w:rFonts w:ascii="Calibri" w:hAnsi="Calibri" w:cs="Calibri"/>
          <w:caps/>
          <w:sz w:val="24"/>
          <w:szCs w:val="24"/>
        </w:rPr>
      </w:pPr>
    </w:p>
    <w:p w14:paraId="25359A4E" w14:textId="77777777" w:rsidR="0058238F" w:rsidRDefault="0058238F" w:rsidP="00BA2CFA">
      <w:pPr>
        <w:pStyle w:val="Heading1"/>
        <w:jc w:val="center"/>
        <w:rPr>
          <w:rFonts w:ascii="Calibri" w:hAnsi="Calibri" w:cs="Calibri"/>
          <w:caps/>
          <w:sz w:val="24"/>
          <w:szCs w:val="24"/>
        </w:rPr>
      </w:pPr>
    </w:p>
    <w:p w14:paraId="61D9FBC0" w14:textId="77777777" w:rsidR="0058238F" w:rsidRDefault="0058238F" w:rsidP="00BA2CFA">
      <w:pPr>
        <w:pStyle w:val="Heading1"/>
        <w:jc w:val="center"/>
        <w:rPr>
          <w:rFonts w:ascii="Calibri" w:hAnsi="Calibri" w:cs="Calibri"/>
          <w:caps/>
          <w:sz w:val="24"/>
          <w:szCs w:val="24"/>
        </w:rPr>
      </w:pPr>
    </w:p>
    <w:p w14:paraId="2C391EC5" w14:textId="77777777" w:rsidR="0055302D" w:rsidRDefault="0055302D" w:rsidP="001A4842">
      <w:pPr>
        <w:pStyle w:val="Heading2"/>
        <w:spacing w:before="100" w:beforeAutospacing="1" w:after="100" w:afterAutospacing="1" w:line="276" w:lineRule="auto"/>
        <w:rPr>
          <w:rFonts w:asciiTheme="minorHAnsi" w:hAnsiTheme="minorHAnsi" w:cstheme="minorHAnsi"/>
          <w:sz w:val="28"/>
          <w:szCs w:val="28"/>
        </w:rPr>
      </w:pPr>
    </w:p>
    <w:p w14:paraId="3BD8A7F8" w14:textId="57F34F61" w:rsidR="00963C00" w:rsidRPr="00541398" w:rsidRDefault="00963C00" w:rsidP="001A4842">
      <w:pPr>
        <w:pStyle w:val="Heading2"/>
        <w:spacing w:before="100" w:beforeAutospacing="1" w:after="100" w:afterAutospacing="1" w:line="276" w:lineRule="auto"/>
        <w:rPr>
          <w:rFonts w:asciiTheme="minorHAnsi" w:hAnsiTheme="minorHAnsi" w:cstheme="minorHAnsi"/>
          <w:sz w:val="28"/>
          <w:szCs w:val="28"/>
        </w:rPr>
      </w:pPr>
      <w:r w:rsidRPr="00541398">
        <w:rPr>
          <w:rFonts w:asciiTheme="minorHAnsi" w:hAnsiTheme="minorHAnsi" w:cstheme="minorHAnsi"/>
          <w:sz w:val="28"/>
          <w:szCs w:val="28"/>
        </w:rPr>
        <w:lastRenderedPageBreak/>
        <w:t>CHILDREN AND YOUNG PEOPLE AMENDMENT BILL 2023</w:t>
      </w:r>
    </w:p>
    <w:p w14:paraId="7855AFB6" w14:textId="0E21FF56" w:rsidR="00963C00" w:rsidRPr="001A4842" w:rsidRDefault="003768A9" w:rsidP="001A4842">
      <w:pPr>
        <w:pStyle w:val="Heading2"/>
        <w:spacing w:before="100" w:beforeAutospacing="1" w:after="100" w:afterAutospacing="1" w:line="276" w:lineRule="auto"/>
        <w:rPr>
          <w:rFonts w:ascii="Calibri" w:eastAsia="Times New Roman" w:hAnsi="Calibri" w:cs="Calibri"/>
          <w:b w:val="0"/>
          <w:szCs w:val="24"/>
        </w:rPr>
      </w:pPr>
      <w:r>
        <w:rPr>
          <w:rFonts w:ascii="Calibri" w:eastAsia="Times New Roman" w:hAnsi="Calibri" w:cs="Calibri"/>
          <w:b w:val="0"/>
          <w:szCs w:val="24"/>
        </w:rPr>
        <w:t xml:space="preserve">The Children and Young People Amendment Bill 2023 is a significant Bill. </w:t>
      </w:r>
      <w:r w:rsidR="00963C00" w:rsidRPr="00963C00">
        <w:rPr>
          <w:rFonts w:ascii="Calibri" w:eastAsia="Times New Roman" w:hAnsi="Calibri" w:cs="Calibri"/>
          <w:b w:val="0"/>
          <w:szCs w:val="24"/>
        </w:rPr>
        <w:t xml:space="preserve">Significant </w:t>
      </w:r>
      <w:r w:rsidR="00587BD4">
        <w:rPr>
          <w:rFonts w:ascii="Calibri" w:eastAsia="Times New Roman" w:hAnsi="Calibri" w:cs="Calibri"/>
          <w:b w:val="0"/>
          <w:szCs w:val="24"/>
        </w:rPr>
        <w:t>b</w:t>
      </w:r>
      <w:r w:rsidR="00963C00" w:rsidRPr="00963C00">
        <w:rPr>
          <w:rFonts w:ascii="Calibri" w:eastAsia="Times New Roman" w:hAnsi="Calibri" w:cs="Calibri"/>
          <w:b w:val="0"/>
          <w:szCs w:val="24"/>
        </w:rPr>
        <w:t>ills are</w:t>
      </w:r>
      <w:r w:rsidR="00587BD4">
        <w:rPr>
          <w:rFonts w:ascii="Calibri" w:eastAsia="Times New Roman" w:hAnsi="Calibri" w:cs="Calibri"/>
          <w:b w:val="0"/>
          <w:szCs w:val="24"/>
        </w:rPr>
        <w:t xml:space="preserve"> b</w:t>
      </w:r>
      <w:r w:rsidR="00963C00" w:rsidRPr="00963C00">
        <w:rPr>
          <w:rFonts w:ascii="Calibri" w:eastAsia="Times New Roman" w:hAnsi="Calibri" w:cs="Calibri"/>
          <w:b w:val="0"/>
          <w:szCs w:val="24"/>
        </w:rPr>
        <w:t>ills that have been assessed as likely to have significant engagement of human rights and require more detailed reasoning in relation to compatibility with the Human Rights Act 2004</w:t>
      </w:r>
      <w:r>
        <w:rPr>
          <w:rFonts w:ascii="Calibri" w:eastAsia="Times New Roman" w:hAnsi="Calibri" w:cs="Calibri"/>
          <w:b w:val="0"/>
          <w:szCs w:val="24"/>
        </w:rPr>
        <w:t>.</w:t>
      </w:r>
    </w:p>
    <w:p w14:paraId="6D38F507" w14:textId="02CFADBE" w:rsidR="00352E6F" w:rsidRPr="006C68DE" w:rsidRDefault="00352E6F" w:rsidP="004F520A">
      <w:pPr>
        <w:pStyle w:val="Heading2"/>
        <w:spacing w:before="240" w:after="0" w:line="276" w:lineRule="auto"/>
        <w:rPr>
          <w:rFonts w:ascii="Calibri" w:hAnsi="Calibri" w:cs="Calibri"/>
          <w:sz w:val="28"/>
          <w:szCs w:val="28"/>
        </w:rPr>
      </w:pPr>
      <w:r w:rsidRPr="006C68DE">
        <w:rPr>
          <w:rFonts w:ascii="Calibri" w:hAnsi="Calibri" w:cs="Calibri"/>
          <w:sz w:val="28"/>
          <w:szCs w:val="28"/>
        </w:rPr>
        <w:t>OVERVIEW OF THE BILL</w:t>
      </w:r>
    </w:p>
    <w:p w14:paraId="5C3FAC35" w14:textId="24B02119" w:rsidR="00963C00" w:rsidRPr="00963C00" w:rsidRDefault="002A7FD4" w:rsidP="004F520A">
      <w:pPr>
        <w:spacing w:before="240" w:after="0"/>
        <w:rPr>
          <w:rFonts w:cs="Calibri"/>
          <w:sz w:val="24"/>
          <w:szCs w:val="24"/>
        </w:rPr>
      </w:pPr>
      <w:r w:rsidRPr="00963C00">
        <w:rPr>
          <w:rFonts w:cs="Calibri"/>
          <w:sz w:val="24"/>
          <w:szCs w:val="24"/>
        </w:rPr>
        <w:t>The object of th</w:t>
      </w:r>
      <w:r w:rsidR="003768A9">
        <w:rPr>
          <w:rFonts w:cs="Calibri"/>
          <w:sz w:val="24"/>
          <w:szCs w:val="24"/>
        </w:rPr>
        <w:t xml:space="preserve">e </w:t>
      </w:r>
      <w:r w:rsidR="003768A9" w:rsidRPr="003768A9">
        <w:rPr>
          <w:rFonts w:cs="Calibri"/>
          <w:sz w:val="24"/>
          <w:szCs w:val="24"/>
        </w:rPr>
        <w:t xml:space="preserve">Children and Young People Amendment Bill 2023 (the </w:t>
      </w:r>
      <w:r w:rsidRPr="00963C00">
        <w:rPr>
          <w:rFonts w:cs="Calibri"/>
          <w:sz w:val="24"/>
          <w:szCs w:val="24"/>
        </w:rPr>
        <w:t>Bill</w:t>
      </w:r>
      <w:r w:rsidR="003768A9">
        <w:rPr>
          <w:rFonts w:cs="Calibri"/>
          <w:sz w:val="24"/>
          <w:szCs w:val="24"/>
        </w:rPr>
        <w:t>)</w:t>
      </w:r>
      <w:r w:rsidRPr="00963C00">
        <w:rPr>
          <w:rFonts w:cs="Calibri"/>
          <w:sz w:val="24"/>
          <w:szCs w:val="24"/>
        </w:rPr>
        <w:t xml:space="preserve"> is to provide for the </w:t>
      </w:r>
      <w:r w:rsidR="001A4842">
        <w:rPr>
          <w:rFonts w:cs="Calibri"/>
          <w:sz w:val="24"/>
          <w:szCs w:val="24"/>
        </w:rPr>
        <w:t xml:space="preserve">safety, welfare and wellbeing </w:t>
      </w:r>
      <w:r w:rsidRPr="00963C00">
        <w:rPr>
          <w:rFonts w:cs="Calibri"/>
          <w:sz w:val="24"/>
          <w:szCs w:val="24"/>
        </w:rPr>
        <w:t>of</w:t>
      </w:r>
      <w:r w:rsidR="00587BD4">
        <w:rPr>
          <w:rFonts w:cs="Calibri"/>
          <w:sz w:val="24"/>
          <w:szCs w:val="24"/>
        </w:rPr>
        <w:t>,</w:t>
      </w:r>
      <w:r w:rsidRPr="00963C00">
        <w:rPr>
          <w:rFonts w:cs="Calibri"/>
          <w:sz w:val="24"/>
          <w:szCs w:val="24"/>
        </w:rPr>
        <w:t xml:space="preserve"> and the provision of services to</w:t>
      </w:r>
      <w:r w:rsidR="00587BD4">
        <w:rPr>
          <w:rFonts w:cs="Calibri"/>
          <w:sz w:val="24"/>
          <w:szCs w:val="24"/>
        </w:rPr>
        <w:t>,</w:t>
      </w:r>
      <w:r w:rsidRPr="00963C00">
        <w:rPr>
          <w:rFonts w:cs="Calibri"/>
          <w:sz w:val="24"/>
          <w:szCs w:val="24"/>
        </w:rPr>
        <w:t xml:space="preserve"> children and young persons and establish principles and key responsibilities governing child protection intervention.</w:t>
      </w:r>
    </w:p>
    <w:p w14:paraId="7F5A05F6" w14:textId="589F2070" w:rsidR="00963C00" w:rsidRDefault="005C708E" w:rsidP="004F520A">
      <w:pPr>
        <w:tabs>
          <w:tab w:val="left" w:pos="425"/>
        </w:tabs>
        <w:spacing w:before="240" w:after="0"/>
        <w:rPr>
          <w:rFonts w:cs="Calibri"/>
          <w:sz w:val="24"/>
          <w:szCs w:val="24"/>
        </w:rPr>
      </w:pPr>
      <w:r w:rsidRPr="006C68DE">
        <w:rPr>
          <w:rFonts w:cs="Calibri"/>
          <w:sz w:val="24"/>
          <w:szCs w:val="24"/>
        </w:rPr>
        <w:t xml:space="preserve">The </w:t>
      </w:r>
      <w:r w:rsidR="000035FA">
        <w:rPr>
          <w:rFonts w:cs="Calibri"/>
          <w:sz w:val="24"/>
          <w:szCs w:val="24"/>
        </w:rPr>
        <w:t xml:space="preserve">Australian Capital Territory’s </w:t>
      </w:r>
      <w:r w:rsidRPr="00541398">
        <w:rPr>
          <w:rFonts w:cs="Calibri"/>
          <w:i/>
          <w:iCs/>
          <w:sz w:val="24"/>
          <w:szCs w:val="24"/>
        </w:rPr>
        <w:t>Children and Young People Act 2008</w:t>
      </w:r>
      <w:r w:rsidRPr="006C68DE">
        <w:rPr>
          <w:rFonts w:cs="Calibri"/>
          <w:sz w:val="24"/>
          <w:szCs w:val="24"/>
        </w:rPr>
        <w:t xml:space="preserve"> </w:t>
      </w:r>
      <w:r w:rsidR="004C376D">
        <w:rPr>
          <w:rFonts w:cs="Calibri"/>
          <w:sz w:val="24"/>
          <w:szCs w:val="24"/>
        </w:rPr>
        <w:t>(</w:t>
      </w:r>
      <w:r w:rsidR="000035FA">
        <w:rPr>
          <w:rFonts w:cs="Calibri"/>
          <w:sz w:val="24"/>
          <w:szCs w:val="24"/>
        </w:rPr>
        <w:t>CYP Act</w:t>
      </w:r>
      <w:r w:rsidR="004C376D">
        <w:rPr>
          <w:rFonts w:cs="Calibri"/>
          <w:sz w:val="24"/>
          <w:szCs w:val="24"/>
        </w:rPr>
        <w:t xml:space="preserve">) </w:t>
      </w:r>
      <w:r w:rsidRPr="006C68DE">
        <w:rPr>
          <w:rFonts w:cs="Calibri"/>
          <w:sz w:val="24"/>
          <w:szCs w:val="24"/>
        </w:rPr>
        <w:t>is a landmark legislation that has played a critical role in shaping the care, protection and rights of children and young people in the ACT</w:t>
      </w:r>
      <w:r w:rsidR="00541398">
        <w:rPr>
          <w:rFonts w:cs="Calibri"/>
          <w:sz w:val="24"/>
          <w:szCs w:val="24"/>
        </w:rPr>
        <w:t xml:space="preserve">. </w:t>
      </w:r>
      <w:r w:rsidRPr="006C68DE">
        <w:rPr>
          <w:rFonts w:cs="Calibri"/>
          <w:sz w:val="24"/>
          <w:szCs w:val="24"/>
        </w:rPr>
        <w:t xml:space="preserve">The </w:t>
      </w:r>
      <w:r w:rsidR="004C376D">
        <w:rPr>
          <w:rFonts w:cs="Calibri"/>
          <w:sz w:val="24"/>
          <w:szCs w:val="24"/>
        </w:rPr>
        <w:t>CYP Act</w:t>
      </w:r>
      <w:r w:rsidRPr="006C68DE">
        <w:rPr>
          <w:rFonts w:cs="Calibri"/>
          <w:sz w:val="24"/>
          <w:szCs w:val="24"/>
        </w:rPr>
        <w:t xml:space="preserve"> stands as one of the </w:t>
      </w:r>
      <w:r w:rsidR="006B4AC5">
        <w:rPr>
          <w:rFonts w:cs="Calibri"/>
          <w:sz w:val="24"/>
          <w:szCs w:val="24"/>
        </w:rPr>
        <w:t>T</w:t>
      </w:r>
      <w:r w:rsidR="004C376D">
        <w:rPr>
          <w:rFonts w:cs="Calibri"/>
          <w:sz w:val="24"/>
          <w:szCs w:val="24"/>
        </w:rPr>
        <w:t>erritory’s</w:t>
      </w:r>
      <w:r w:rsidRPr="006C68DE">
        <w:rPr>
          <w:rFonts w:cs="Calibri"/>
          <w:sz w:val="24"/>
          <w:szCs w:val="24"/>
        </w:rPr>
        <w:t xml:space="preserve"> most extensive and intricate pieces of legislation. Since its </w:t>
      </w:r>
      <w:r w:rsidR="006B4AC5">
        <w:rPr>
          <w:rFonts w:cs="Calibri"/>
          <w:sz w:val="24"/>
          <w:szCs w:val="24"/>
        </w:rPr>
        <w:t>commencement</w:t>
      </w:r>
      <w:r w:rsidRPr="006C68DE">
        <w:rPr>
          <w:rFonts w:cs="Calibri"/>
          <w:sz w:val="24"/>
          <w:szCs w:val="24"/>
        </w:rPr>
        <w:t xml:space="preserve"> in 2008, the CYP Act has been subject to regular amendments, leading to a progressive increase in complexity. Recent inquiries, reviews</w:t>
      </w:r>
      <w:r w:rsidR="003768A9">
        <w:rPr>
          <w:rFonts w:cs="Calibri"/>
          <w:sz w:val="24"/>
          <w:szCs w:val="24"/>
        </w:rPr>
        <w:t xml:space="preserve"> </w:t>
      </w:r>
      <w:r w:rsidRPr="006C68DE">
        <w:rPr>
          <w:rFonts w:cs="Calibri"/>
          <w:sz w:val="24"/>
          <w:szCs w:val="24"/>
        </w:rPr>
        <w:t>and research, combined with feedback from system users</w:t>
      </w:r>
      <w:r w:rsidR="006B4AC5">
        <w:rPr>
          <w:rFonts w:cs="Calibri"/>
          <w:sz w:val="24"/>
          <w:szCs w:val="24"/>
        </w:rPr>
        <w:t xml:space="preserve"> and developments in other jurisdictions</w:t>
      </w:r>
      <w:r w:rsidRPr="006C68DE">
        <w:rPr>
          <w:rFonts w:cs="Calibri"/>
          <w:sz w:val="24"/>
          <w:szCs w:val="24"/>
        </w:rPr>
        <w:t xml:space="preserve">, have </w:t>
      </w:r>
      <w:r w:rsidR="006B4AC5">
        <w:rPr>
          <w:rFonts w:cs="Calibri"/>
          <w:sz w:val="24"/>
          <w:szCs w:val="24"/>
        </w:rPr>
        <w:t>identified the need for substantial reform of</w:t>
      </w:r>
      <w:r w:rsidRPr="006C68DE">
        <w:rPr>
          <w:rFonts w:cs="Calibri"/>
          <w:sz w:val="24"/>
          <w:szCs w:val="24"/>
        </w:rPr>
        <w:t xml:space="preserve"> the CYP Act</w:t>
      </w:r>
      <w:r w:rsidR="006B4AC5">
        <w:rPr>
          <w:rFonts w:cs="Calibri"/>
          <w:sz w:val="24"/>
          <w:szCs w:val="24"/>
        </w:rPr>
        <w:t xml:space="preserve"> and the way it operates in practice</w:t>
      </w:r>
      <w:r w:rsidR="003768A9">
        <w:rPr>
          <w:rFonts w:cs="Calibri"/>
          <w:sz w:val="24"/>
          <w:szCs w:val="24"/>
        </w:rPr>
        <w:t>.</w:t>
      </w:r>
    </w:p>
    <w:p w14:paraId="1325F041" w14:textId="342B4F4E" w:rsidR="006B4AC5" w:rsidRPr="006C68DE" w:rsidRDefault="006B4AC5" w:rsidP="004F520A">
      <w:pPr>
        <w:tabs>
          <w:tab w:val="left" w:pos="425"/>
        </w:tabs>
        <w:spacing w:before="240" w:after="0"/>
        <w:rPr>
          <w:rFonts w:cs="Calibri"/>
          <w:sz w:val="24"/>
          <w:szCs w:val="24"/>
        </w:rPr>
      </w:pPr>
      <w:r>
        <w:rPr>
          <w:rFonts w:cs="Calibri"/>
          <w:sz w:val="24"/>
          <w:szCs w:val="24"/>
        </w:rPr>
        <w:t>These reforms are intended to be delivered in two tranches, with this Bill delivering early changes to some fundamental parameters and definitions that will support changes in practice while further detailed work is completed.</w:t>
      </w:r>
    </w:p>
    <w:p w14:paraId="227D5CB2" w14:textId="1657FFC6" w:rsidR="00530F1D" w:rsidRPr="006C68DE" w:rsidRDefault="00530F1D" w:rsidP="004F520A">
      <w:pPr>
        <w:tabs>
          <w:tab w:val="left" w:pos="425"/>
        </w:tabs>
        <w:spacing w:before="240" w:after="0"/>
        <w:rPr>
          <w:rFonts w:cs="Calibri"/>
          <w:sz w:val="24"/>
          <w:szCs w:val="24"/>
        </w:rPr>
      </w:pPr>
      <w:r w:rsidRPr="006C68DE">
        <w:rPr>
          <w:rFonts w:cs="Calibri"/>
          <w:sz w:val="24"/>
          <w:szCs w:val="24"/>
        </w:rPr>
        <w:t>Key</w:t>
      </w:r>
      <w:r w:rsidR="0058238F">
        <w:rPr>
          <w:rFonts w:cs="Calibri"/>
          <w:sz w:val="24"/>
          <w:szCs w:val="24"/>
        </w:rPr>
        <w:t xml:space="preserve"> policy</w:t>
      </w:r>
      <w:r w:rsidRPr="006C68DE">
        <w:rPr>
          <w:rFonts w:cs="Calibri"/>
          <w:sz w:val="24"/>
          <w:szCs w:val="24"/>
        </w:rPr>
        <w:t xml:space="preserve"> objectives of</w:t>
      </w:r>
      <w:r w:rsidR="00541398">
        <w:rPr>
          <w:rFonts w:cs="Calibri"/>
          <w:sz w:val="24"/>
          <w:szCs w:val="24"/>
        </w:rPr>
        <w:t xml:space="preserve"> the</w:t>
      </w:r>
      <w:r w:rsidRPr="006C68DE">
        <w:rPr>
          <w:rFonts w:cs="Calibri"/>
          <w:sz w:val="24"/>
          <w:szCs w:val="24"/>
        </w:rPr>
        <w:t xml:space="preserve"> </w:t>
      </w:r>
      <w:r w:rsidR="00541398">
        <w:rPr>
          <w:rFonts w:cs="Calibri"/>
          <w:sz w:val="24"/>
          <w:szCs w:val="24"/>
        </w:rPr>
        <w:t xml:space="preserve">legislative </w:t>
      </w:r>
      <w:r w:rsidRPr="006C68DE">
        <w:rPr>
          <w:rFonts w:cs="Calibri"/>
          <w:sz w:val="24"/>
          <w:szCs w:val="24"/>
        </w:rPr>
        <w:t xml:space="preserve">reform </w:t>
      </w:r>
      <w:r w:rsidR="004F520A">
        <w:rPr>
          <w:rFonts w:cs="Calibri"/>
          <w:sz w:val="24"/>
          <w:szCs w:val="24"/>
        </w:rPr>
        <w:t>include:</w:t>
      </w:r>
    </w:p>
    <w:p w14:paraId="3E59EB9C" w14:textId="77777777" w:rsidR="00530F1D" w:rsidRPr="006C68DE" w:rsidRDefault="00530F1D" w:rsidP="004F520A">
      <w:pPr>
        <w:pStyle w:val="ListParagraph"/>
        <w:numPr>
          <w:ilvl w:val="1"/>
          <w:numId w:val="9"/>
        </w:numPr>
        <w:tabs>
          <w:tab w:val="left" w:pos="425"/>
        </w:tabs>
        <w:spacing w:before="120" w:line="276" w:lineRule="auto"/>
        <w:ind w:left="1077" w:hanging="357"/>
        <w:rPr>
          <w:sz w:val="24"/>
          <w:szCs w:val="24"/>
        </w:rPr>
      </w:pPr>
      <w:r w:rsidRPr="006C68DE">
        <w:rPr>
          <w:sz w:val="24"/>
          <w:szCs w:val="24"/>
        </w:rPr>
        <w:t>Shift the focus to early support and intervention for children, young people and their families, aiming to facilitate positive life outcomes and ensure long-term wellbeing within our community.</w:t>
      </w:r>
    </w:p>
    <w:p w14:paraId="1AB09C70" w14:textId="77777777" w:rsidR="00530F1D" w:rsidRPr="006C68DE" w:rsidRDefault="00530F1D" w:rsidP="004F520A">
      <w:pPr>
        <w:pStyle w:val="ListParagraph"/>
        <w:numPr>
          <w:ilvl w:val="1"/>
          <w:numId w:val="9"/>
        </w:numPr>
        <w:tabs>
          <w:tab w:val="left" w:pos="425"/>
        </w:tabs>
        <w:spacing w:before="120" w:line="276" w:lineRule="auto"/>
        <w:ind w:left="1077" w:hanging="357"/>
        <w:rPr>
          <w:sz w:val="24"/>
          <w:szCs w:val="24"/>
        </w:rPr>
      </w:pPr>
      <w:r w:rsidRPr="006C68DE">
        <w:rPr>
          <w:sz w:val="24"/>
          <w:szCs w:val="24"/>
        </w:rPr>
        <w:t>Establish effective diversion pathways from the statutory child protection system to earlier support services, providing a more proactive approach to addressing issues before they escalate.</w:t>
      </w:r>
    </w:p>
    <w:p w14:paraId="046E2339" w14:textId="078286F6" w:rsidR="00530F1D" w:rsidRPr="006C68DE" w:rsidRDefault="00530F1D" w:rsidP="004F520A">
      <w:pPr>
        <w:pStyle w:val="ListParagraph"/>
        <w:numPr>
          <w:ilvl w:val="1"/>
          <w:numId w:val="9"/>
        </w:numPr>
        <w:tabs>
          <w:tab w:val="left" w:pos="425"/>
        </w:tabs>
        <w:spacing w:before="120" w:line="276" w:lineRule="auto"/>
        <w:ind w:left="1077" w:hanging="357"/>
        <w:rPr>
          <w:sz w:val="24"/>
          <w:szCs w:val="24"/>
        </w:rPr>
      </w:pPr>
      <w:r w:rsidRPr="006C68DE">
        <w:rPr>
          <w:sz w:val="24"/>
          <w:szCs w:val="24"/>
        </w:rPr>
        <w:t xml:space="preserve">Implement targeted measures to redress the over-representation of Aboriginal and Torres Strait Islander Children and Young People in the statutory child protection </w:t>
      </w:r>
      <w:r w:rsidR="00A212D6">
        <w:rPr>
          <w:sz w:val="24"/>
          <w:szCs w:val="24"/>
        </w:rPr>
        <w:t xml:space="preserve">and the </w:t>
      </w:r>
      <w:r w:rsidR="00A212D6" w:rsidRPr="00A212D6">
        <w:rPr>
          <w:sz w:val="24"/>
          <w:szCs w:val="24"/>
        </w:rPr>
        <w:t>out-of-home care system</w:t>
      </w:r>
      <w:r w:rsidR="00A212D6">
        <w:rPr>
          <w:sz w:val="24"/>
          <w:szCs w:val="24"/>
        </w:rPr>
        <w:t>.</w:t>
      </w:r>
    </w:p>
    <w:p w14:paraId="1049ED78" w14:textId="77777777" w:rsidR="00530F1D" w:rsidRPr="006C68DE" w:rsidRDefault="00530F1D" w:rsidP="004F520A">
      <w:pPr>
        <w:pStyle w:val="ListParagraph"/>
        <w:numPr>
          <w:ilvl w:val="1"/>
          <w:numId w:val="9"/>
        </w:numPr>
        <w:tabs>
          <w:tab w:val="left" w:pos="425"/>
        </w:tabs>
        <w:spacing w:before="120" w:line="276" w:lineRule="auto"/>
        <w:ind w:left="1077" w:hanging="357"/>
        <w:rPr>
          <w:sz w:val="24"/>
          <w:szCs w:val="24"/>
        </w:rPr>
      </w:pPr>
      <w:r w:rsidRPr="006C68DE">
        <w:rPr>
          <w:sz w:val="24"/>
          <w:szCs w:val="24"/>
        </w:rPr>
        <w:t>Enhance data gathering and information sharing mechanisms to enable a comprehensive understanding of issues, trends and challenges within the child protection system, leading to more informed decision-making.</w:t>
      </w:r>
    </w:p>
    <w:p w14:paraId="03B566BE" w14:textId="71048FEC" w:rsidR="00530F1D" w:rsidRPr="001A4842" w:rsidRDefault="00530F1D" w:rsidP="004F520A">
      <w:pPr>
        <w:pStyle w:val="ListParagraph"/>
        <w:numPr>
          <w:ilvl w:val="1"/>
          <w:numId w:val="9"/>
        </w:numPr>
        <w:tabs>
          <w:tab w:val="left" w:pos="425"/>
        </w:tabs>
        <w:spacing w:before="120" w:line="276" w:lineRule="auto"/>
        <w:ind w:left="1077" w:hanging="357"/>
        <w:rPr>
          <w:sz w:val="24"/>
          <w:szCs w:val="24"/>
        </w:rPr>
      </w:pPr>
      <w:r w:rsidRPr="006C68DE">
        <w:rPr>
          <w:sz w:val="24"/>
          <w:szCs w:val="24"/>
        </w:rPr>
        <w:lastRenderedPageBreak/>
        <w:t xml:space="preserve">Establish a responsive approach to </w:t>
      </w:r>
      <w:r w:rsidR="006B4AC5">
        <w:rPr>
          <w:sz w:val="24"/>
          <w:szCs w:val="24"/>
        </w:rPr>
        <w:t>reflect</w:t>
      </w:r>
      <w:r w:rsidR="006B4AC5" w:rsidRPr="006C68DE">
        <w:rPr>
          <w:sz w:val="24"/>
          <w:szCs w:val="24"/>
        </w:rPr>
        <w:t xml:space="preserve"> </w:t>
      </w:r>
      <w:r w:rsidR="006B4AC5">
        <w:rPr>
          <w:sz w:val="24"/>
          <w:szCs w:val="24"/>
        </w:rPr>
        <w:t xml:space="preserve">the </w:t>
      </w:r>
      <w:r w:rsidRPr="006C68DE">
        <w:rPr>
          <w:sz w:val="24"/>
          <w:szCs w:val="24"/>
        </w:rPr>
        <w:t>ACT Government</w:t>
      </w:r>
      <w:r w:rsidR="006B4AC5">
        <w:rPr>
          <w:sz w:val="24"/>
          <w:szCs w:val="24"/>
        </w:rPr>
        <w:t>’</w:t>
      </w:r>
      <w:r w:rsidRPr="006C68DE">
        <w:rPr>
          <w:sz w:val="24"/>
          <w:szCs w:val="24"/>
        </w:rPr>
        <w:t>s comm</w:t>
      </w:r>
      <w:r w:rsidR="006B4AC5">
        <w:rPr>
          <w:sz w:val="24"/>
          <w:szCs w:val="24"/>
        </w:rPr>
        <w:t>itm</w:t>
      </w:r>
      <w:r w:rsidRPr="006C68DE">
        <w:rPr>
          <w:sz w:val="24"/>
          <w:szCs w:val="24"/>
        </w:rPr>
        <w:t>ent</w:t>
      </w:r>
      <w:r w:rsidR="006B4AC5">
        <w:rPr>
          <w:sz w:val="24"/>
          <w:szCs w:val="24"/>
        </w:rPr>
        <w:t xml:space="preserve"> </w:t>
      </w:r>
      <w:r w:rsidRPr="006C68DE">
        <w:rPr>
          <w:sz w:val="24"/>
          <w:szCs w:val="24"/>
        </w:rPr>
        <w:t xml:space="preserve">to </w:t>
      </w:r>
      <w:r w:rsidR="006B4AC5">
        <w:rPr>
          <w:sz w:val="24"/>
          <w:szCs w:val="24"/>
        </w:rPr>
        <w:t xml:space="preserve">previous </w:t>
      </w:r>
      <w:r w:rsidRPr="006C68DE">
        <w:rPr>
          <w:sz w:val="24"/>
          <w:szCs w:val="24"/>
        </w:rPr>
        <w:t>recommendations and adapt policies to align with modern policy settings and emerging needs.</w:t>
      </w:r>
    </w:p>
    <w:p w14:paraId="1ED658B4" w14:textId="7A384C65" w:rsidR="004F520A" w:rsidRPr="004F520A" w:rsidRDefault="004F520A" w:rsidP="004F520A">
      <w:pPr>
        <w:spacing w:before="240"/>
        <w:rPr>
          <w:sz w:val="24"/>
          <w:szCs w:val="24"/>
        </w:rPr>
      </w:pPr>
      <w:r w:rsidRPr="004F520A">
        <w:rPr>
          <w:sz w:val="24"/>
          <w:szCs w:val="24"/>
        </w:rPr>
        <w:t>The Bill will clarify what the government and other professionals must and can do</w:t>
      </w:r>
      <w:r>
        <w:rPr>
          <w:sz w:val="24"/>
          <w:szCs w:val="24"/>
        </w:rPr>
        <w:t>,</w:t>
      </w:r>
      <w:r w:rsidRPr="004F520A">
        <w:rPr>
          <w:sz w:val="24"/>
          <w:szCs w:val="24"/>
        </w:rPr>
        <w:t xml:space="preserve"> to keep children safe and families together. It will ensure that people who are making decisions about child safety and family wellbeing are fully supported to make decisions that are fair and lead to good outcomes.</w:t>
      </w:r>
    </w:p>
    <w:p w14:paraId="50D7CBA6" w14:textId="42B4D858" w:rsidR="00963C00" w:rsidRDefault="002A7FD4" w:rsidP="001A4842">
      <w:pPr>
        <w:spacing w:before="100" w:beforeAutospacing="1" w:after="100" w:afterAutospacing="1"/>
        <w:rPr>
          <w:rFonts w:cs="Calibri"/>
          <w:sz w:val="24"/>
          <w:szCs w:val="24"/>
        </w:rPr>
      </w:pPr>
      <w:r w:rsidRPr="006C68DE">
        <w:rPr>
          <w:rFonts w:cs="Calibri"/>
          <w:sz w:val="24"/>
          <w:szCs w:val="24"/>
        </w:rPr>
        <w:t>The amendments</w:t>
      </w:r>
      <w:r w:rsidR="0058238F">
        <w:rPr>
          <w:rFonts w:cs="Calibri"/>
          <w:sz w:val="24"/>
          <w:szCs w:val="24"/>
        </w:rPr>
        <w:t xml:space="preserve"> proposed in the Bill</w:t>
      </w:r>
      <w:r w:rsidRPr="006C68DE">
        <w:rPr>
          <w:rFonts w:cs="Calibri"/>
          <w:sz w:val="24"/>
          <w:szCs w:val="24"/>
        </w:rPr>
        <w:t xml:space="preserve"> form part of a comprehensive series of </w:t>
      </w:r>
      <w:r w:rsidR="001F1F56">
        <w:rPr>
          <w:rFonts w:cs="Calibri"/>
          <w:sz w:val="24"/>
          <w:szCs w:val="24"/>
        </w:rPr>
        <w:t xml:space="preserve">strategic </w:t>
      </w:r>
      <w:r w:rsidR="006B4AC5">
        <w:rPr>
          <w:rFonts w:cs="Calibri"/>
          <w:sz w:val="24"/>
          <w:szCs w:val="24"/>
        </w:rPr>
        <w:t xml:space="preserve">actions </w:t>
      </w:r>
      <w:r w:rsidRPr="006C68DE">
        <w:rPr>
          <w:rFonts w:cs="Calibri"/>
          <w:sz w:val="24"/>
          <w:szCs w:val="24"/>
        </w:rPr>
        <w:t xml:space="preserve">aimed at safeguarding and enhancing the welfare of children </w:t>
      </w:r>
      <w:r w:rsidR="00541398">
        <w:rPr>
          <w:rFonts w:cs="Calibri"/>
          <w:sz w:val="24"/>
          <w:szCs w:val="24"/>
        </w:rPr>
        <w:t xml:space="preserve">and young people </w:t>
      </w:r>
      <w:r w:rsidRPr="006C68DE">
        <w:rPr>
          <w:rFonts w:cs="Calibri"/>
          <w:sz w:val="24"/>
          <w:szCs w:val="24"/>
        </w:rPr>
        <w:t>in the ACT. Alongside policy reform, practice change, professional development</w:t>
      </w:r>
      <w:r w:rsidR="00541398">
        <w:rPr>
          <w:rFonts w:cs="Calibri"/>
          <w:sz w:val="24"/>
          <w:szCs w:val="24"/>
        </w:rPr>
        <w:t xml:space="preserve"> </w:t>
      </w:r>
      <w:r w:rsidRPr="006C68DE">
        <w:rPr>
          <w:rFonts w:cs="Calibri"/>
          <w:sz w:val="24"/>
          <w:szCs w:val="24"/>
        </w:rPr>
        <w:t xml:space="preserve">and business improvements, these measures collectively seek to reform the child protection system, enhancing </w:t>
      </w:r>
      <w:r w:rsidR="006B4AC5">
        <w:rPr>
          <w:rFonts w:cs="Calibri"/>
          <w:sz w:val="24"/>
          <w:szCs w:val="24"/>
        </w:rPr>
        <w:t>the ACT community’s</w:t>
      </w:r>
      <w:r w:rsidR="006B4AC5" w:rsidRPr="006C68DE">
        <w:rPr>
          <w:rFonts w:cs="Calibri"/>
          <w:sz w:val="24"/>
          <w:szCs w:val="24"/>
        </w:rPr>
        <w:t xml:space="preserve"> </w:t>
      </w:r>
      <w:r w:rsidRPr="006C68DE">
        <w:rPr>
          <w:rFonts w:cs="Calibri"/>
          <w:sz w:val="24"/>
          <w:szCs w:val="24"/>
        </w:rPr>
        <w:t>ability to protect children, preserve families, make better decisions and improve</w:t>
      </w:r>
      <w:r w:rsidR="001F1F56">
        <w:rPr>
          <w:rFonts w:cs="Calibri"/>
          <w:sz w:val="24"/>
          <w:szCs w:val="24"/>
        </w:rPr>
        <w:t xml:space="preserve"> the quality-of-life outcomes</w:t>
      </w:r>
      <w:r w:rsidRPr="006C68DE">
        <w:rPr>
          <w:rFonts w:cs="Calibri"/>
          <w:sz w:val="24"/>
          <w:szCs w:val="24"/>
        </w:rPr>
        <w:t xml:space="preserve"> </w:t>
      </w:r>
      <w:r w:rsidR="001F1F56">
        <w:rPr>
          <w:rFonts w:cs="Calibri"/>
          <w:sz w:val="24"/>
          <w:szCs w:val="24"/>
        </w:rPr>
        <w:t xml:space="preserve">of vulnerable </w:t>
      </w:r>
      <w:r w:rsidRPr="006C68DE">
        <w:rPr>
          <w:rFonts w:cs="Calibri"/>
          <w:sz w:val="24"/>
          <w:szCs w:val="24"/>
        </w:rPr>
        <w:t>children</w:t>
      </w:r>
      <w:r w:rsidR="001F1F56">
        <w:rPr>
          <w:rFonts w:cs="Calibri"/>
          <w:sz w:val="24"/>
          <w:szCs w:val="24"/>
        </w:rPr>
        <w:t xml:space="preserve"> and young people</w:t>
      </w:r>
      <w:r w:rsidRPr="006C68DE">
        <w:rPr>
          <w:rFonts w:cs="Calibri"/>
          <w:sz w:val="24"/>
          <w:szCs w:val="24"/>
        </w:rPr>
        <w:t xml:space="preserve"> in the ACT. This approach will support and enable shifts in policy direction as established in the </w:t>
      </w:r>
      <w:r w:rsidRPr="00541398">
        <w:rPr>
          <w:rFonts w:cs="Calibri"/>
          <w:i/>
          <w:iCs/>
          <w:sz w:val="24"/>
          <w:szCs w:val="24"/>
        </w:rPr>
        <w:t>Next Steps for Our Kids Strategy 2022-2030</w:t>
      </w:r>
      <w:r w:rsidRPr="006C68DE">
        <w:rPr>
          <w:rFonts w:cs="Calibri"/>
          <w:sz w:val="24"/>
          <w:szCs w:val="24"/>
        </w:rPr>
        <w:t xml:space="preserve"> – the ACT’s strategy for strengthening families and keeping children and young people safe.</w:t>
      </w:r>
    </w:p>
    <w:p w14:paraId="432D65B7" w14:textId="37E44424" w:rsidR="00963C00" w:rsidRDefault="0058238F" w:rsidP="001A4842">
      <w:pPr>
        <w:spacing w:before="100" w:beforeAutospacing="1" w:after="100" w:afterAutospacing="1"/>
        <w:rPr>
          <w:rFonts w:cs="Calibri"/>
          <w:sz w:val="24"/>
          <w:szCs w:val="24"/>
        </w:rPr>
      </w:pPr>
      <w:r w:rsidRPr="00D86237">
        <w:rPr>
          <w:rFonts w:cs="Calibri"/>
          <w:sz w:val="24"/>
          <w:szCs w:val="24"/>
        </w:rPr>
        <w:t>The amendments proposed in the Bill represent critical and foundational step</w:t>
      </w:r>
      <w:r w:rsidR="003768A9">
        <w:rPr>
          <w:rFonts w:cs="Calibri"/>
          <w:sz w:val="24"/>
          <w:szCs w:val="24"/>
        </w:rPr>
        <w:t>s</w:t>
      </w:r>
      <w:r w:rsidRPr="00D86237">
        <w:rPr>
          <w:rFonts w:cs="Calibri"/>
          <w:sz w:val="24"/>
          <w:szCs w:val="24"/>
        </w:rPr>
        <w:t xml:space="preserve"> toward implementing essential </w:t>
      </w:r>
      <w:r w:rsidR="00DE69A9" w:rsidRPr="00D86237">
        <w:rPr>
          <w:rFonts w:cs="Calibri"/>
          <w:sz w:val="24"/>
          <w:szCs w:val="24"/>
        </w:rPr>
        <w:t xml:space="preserve">whole-of-system </w:t>
      </w:r>
      <w:r w:rsidRPr="00D86237">
        <w:rPr>
          <w:rFonts w:cs="Calibri"/>
          <w:sz w:val="24"/>
          <w:szCs w:val="24"/>
        </w:rPr>
        <w:t>reform</w:t>
      </w:r>
      <w:r w:rsidR="00D34195">
        <w:rPr>
          <w:rFonts w:cs="Calibri"/>
          <w:sz w:val="24"/>
          <w:szCs w:val="24"/>
        </w:rPr>
        <w:t xml:space="preserve">s </w:t>
      </w:r>
      <w:r w:rsidRPr="00D86237">
        <w:rPr>
          <w:rFonts w:cs="Calibri"/>
          <w:sz w:val="24"/>
          <w:szCs w:val="24"/>
        </w:rPr>
        <w:t xml:space="preserve">in </w:t>
      </w:r>
      <w:r w:rsidR="00D34195">
        <w:rPr>
          <w:rFonts w:cs="Calibri"/>
          <w:sz w:val="24"/>
          <w:szCs w:val="24"/>
        </w:rPr>
        <w:t xml:space="preserve">the </w:t>
      </w:r>
      <w:r w:rsidRPr="00D86237">
        <w:rPr>
          <w:rFonts w:cs="Calibri"/>
          <w:sz w:val="24"/>
          <w:szCs w:val="24"/>
        </w:rPr>
        <w:t>child protection</w:t>
      </w:r>
      <w:r w:rsidR="00D34195">
        <w:rPr>
          <w:rFonts w:cs="Calibri"/>
          <w:sz w:val="24"/>
          <w:szCs w:val="24"/>
        </w:rPr>
        <w:t xml:space="preserve"> sector</w:t>
      </w:r>
      <w:r w:rsidRPr="00D86237">
        <w:rPr>
          <w:rFonts w:cs="Calibri"/>
          <w:sz w:val="24"/>
          <w:szCs w:val="24"/>
        </w:rPr>
        <w:t xml:space="preserve">. </w:t>
      </w:r>
      <w:r w:rsidR="004D0851">
        <w:rPr>
          <w:rFonts w:cs="Calibri"/>
          <w:sz w:val="24"/>
          <w:szCs w:val="24"/>
        </w:rPr>
        <w:t>The Bill</w:t>
      </w:r>
      <w:r w:rsidR="004D0851" w:rsidRPr="00D86237">
        <w:rPr>
          <w:rFonts w:cs="Calibri"/>
          <w:sz w:val="24"/>
          <w:szCs w:val="24"/>
        </w:rPr>
        <w:t xml:space="preserve"> </w:t>
      </w:r>
      <w:r w:rsidRPr="00D86237">
        <w:rPr>
          <w:rFonts w:cs="Calibri"/>
          <w:sz w:val="24"/>
          <w:szCs w:val="24"/>
        </w:rPr>
        <w:t xml:space="preserve">aims to streamline existing child protection </w:t>
      </w:r>
      <w:r w:rsidR="00D34195">
        <w:rPr>
          <w:rFonts w:cs="Calibri"/>
          <w:sz w:val="24"/>
          <w:szCs w:val="24"/>
        </w:rPr>
        <w:t xml:space="preserve">processes and </w:t>
      </w:r>
      <w:r w:rsidRPr="00D86237">
        <w:rPr>
          <w:rFonts w:cs="Calibri"/>
          <w:sz w:val="24"/>
          <w:szCs w:val="24"/>
        </w:rPr>
        <w:t xml:space="preserve">practices and, importantly, take actions to address the over-representation of Aboriginal and Torres Strait Islander </w:t>
      </w:r>
      <w:r w:rsidR="004D0851">
        <w:rPr>
          <w:rFonts w:cs="Calibri"/>
          <w:sz w:val="24"/>
          <w:szCs w:val="24"/>
        </w:rPr>
        <w:t>children, young people and families</w:t>
      </w:r>
      <w:r w:rsidR="004D0851" w:rsidRPr="00D86237">
        <w:rPr>
          <w:rFonts w:cs="Calibri"/>
          <w:sz w:val="24"/>
          <w:szCs w:val="24"/>
        </w:rPr>
        <w:t xml:space="preserve"> </w:t>
      </w:r>
      <w:r w:rsidRPr="00D86237">
        <w:rPr>
          <w:rFonts w:cs="Calibri"/>
          <w:sz w:val="24"/>
          <w:szCs w:val="24"/>
        </w:rPr>
        <w:t>in the statutory child protection system.</w:t>
      </w:r>
    </w:p>
    <w:p w14:paraId="3E9F7558" w14:textId="512EF7E6" w:rsidR="00963C00" w:rsidRPr="00D86237" w:rsidRDefault="0058238F" w:rsidP="001A4842">
      <w:pPr>
        <w:spacing w:before="100" w:beforeAutospacing="1" w:after="100" w:afterAutospacing="1"/>
        <w:rPr>
          <w:rFonts w:cs="Calibri"/>
          <w:sz w:val="24"/>
          <w:szCs w:val="24"/>
        </w:rPr>
      </w:pPr>
      <w:r w:rsidRPr="00D86237">
        <w:rPr>
          <w:rFonts w:cs="Calibri"/>
          <w:sz w:val="24"/>
          <w:szCs w:val="24"/>
        </w:rPr>
        <w:t>The Bill will achieve these objectives by:</w:t>
      </w:r>
    </w:p>
    <w:p w14:paraId="3E9CF680" w14:textId="1539C5BC" w:rsidR="0058238F" w:rsidRPr="00D86237" w:rsidRDefault="0058238F" w:rsidP="004F520A">
      <w:pPr>
        <w:pStyle w:val="ListParagraph"/>
        <w:numPr>
          <w:ilvl w:val="1"/>
          <w:numId w:val="9"/>
        </w:numPr>
        <w:tabs>
          <w:tab w:val="left" w:pos="425"/>
        </w:tabs>
        <w:spacing w:before="120" w:line="276" w:lineRule="auto"/>
        <w:ind w:left="1077" w:hanging="357"/>
        <w:rPr>
          <w:sz w:val="24"/>
          <w:szCs w:val="24"/>
        </w:rPr>
      </w:pPr>
      <w:r w:rsidRPr="00D86237">
        <w:rPr>
          <w:sz w:val="24"/>
          <w:szCs w:val="24"/>
        </w:rPr>
        <w:t xml:space="preserve">adjusting the focus of the legislation and functions of the </w:t>
      </w:r>
      <w:r w:rsidR="00B65668">
        <w:rPr>
          <w:sz w:val="24"/>
          <w:szCs w:val="24"/>
        </w:rPr>
        <w:t>d</w:t>
      </w:r>
      <w:r w:rsidRPr="00D86237">
        <w:rPr>
          <w:sz w:val="24"/>
          <w:szCs w:val="24"/>
        </w:rPr>
        <w:t>irector-</w:t>
      </w:r>
      <w:r w:rsidR="00B65668">
        <w:rPr>
          <w:sz w:val="24"/>
          <w:szCs w:val="24"/>
        </w:rPr>
        <w:t>g</w:t>
      </w:r>
      <w:r w:rsidRPr="00D86237">
        <w:rPr>
          <w:sz w:val="24"/>
          <w:szCs w:val="24"/>
        </w:rPr>
        <w:t>eneral to align with a family support-oriented service system</w:t>
      </w:r>
      <w:r w:rsidR="004D0851">
        <w:rPr>
          <w:sz w:val="24"/>
          <w:szCs w:val="24"/>
        </w:rPr>
        <w:t>;</w:t>
      </w:r>
    </w:p>
    <w:p w14:paraId="26A972DB" w14:textId="49D2A7DA" w:rsidR="0058238F" w:rsidRPr="00D86237" w:rsidRDefault="0058238F" w:rsidP="004F520A">
      <w:pPr>
        <w:pStyle w:val="ListParagraph"/>
        <w:numPr>
          <w:ilvl w:val="1"/>
          <w:numId w:val="9"/>
        </w:numPr>
        <w:tabs>
          <w:tab w:val="left" w:pos="425"/>
        </w:tabs>
        <w:spacing w:before="120" w:line="276" w:lineRule="auto"/>
        <w:ind w:left="1077" w:hanging="357"/>
        <w:rPr>
          <w:sz w:val="24"/>
          <w:szCs w:val="24"/>
        </w:rPr>
      </w:pPr>
      <w:r w:rsidRPr="00D86237">
        <w:rPr>
          <w:sz w:val="24"/>
          <w:szCs w:val="24"/>
        </w:rPr>
        <w:t>recognising the importance of self-determination for Aboriginal and Torres Strait Islander peoples as Australia's first peoples</w:t>
      </w:r>
      <w:r w:rsidR="004D0851">
        <w:rPr>
          <w:sz w:val="24"/>
          <w:szCs w:val="24"/>
        </w:rPr>
        <w:t>;</w:t>
      </w:r>
    </w:p>
    <w:p w14:paraId="4DA7F3AE" w14:textId="59656F7C" w:rsidR="0058238F" w:rsidRPr="00D86237" w:rsidRDefault="0058238F" w:rsidP="004F520A">
      <w:pPr>
        <w:pStyle w:val="ListParagraph"/>
        <w:numPr>
          <w:ilvl w:val="1"/>
          <w:numId w:val="9"/>
        </w:numPr>
        <w:tabs>
          <w:tab w:val="left" w:pos="425"/>
        </w:tabs>
        <w:spacing w:before="120" w:line="276" w:lineRule="auto"/>
        <w:ind w:left="1077" w:hanging="357"/>
        <w:rPr>
          <w:sz w:val="24"/>
          <w:szCs w:val="24"/>
        </w:rPr>
      </w:pPr>
      <w:r w:rsidRPr="00D86237">
        <w:rPr>
          <w:sz w:val="24"/>
          <w:szCs w:val="24"/>
        </w:rPr>
        <w:t>inserting the five elements of the Aboriginal and Torres Strait Islander Child Placement Principle – prevention, partnership, placement, participation and connection – and including them as 'best interests' considerations for decisions about children and young people</w:t>
      </w:r>
      <w:r w:rsidR="004D0851">
        <w:rPr>
          <w:sz w:val="24"/>
          <w:szCs w:val="24"/>
        </w:rPr>
        <w:t>;</w:t>
      </w:r>
    </w:p>
    <w:p w14:paraId="2C071856" w14:textId="79B56B52" w:rsidR="001F087F" w:rsidRDefault="0058238F" w:rsidP="004F520A">
      <w:pPr>
        <w:pStyle w:val="ListParagraph"/>
        <w:numPr>
          <w:ilvl w:val="1"/>
          <w:numId w:val="9"/>
        </w:numPr>
        <w:tabs>
          <w:tab w:val="left" w:pos="425"/>
        </w:tabs>
        <w:spacing w:before="120" w:line="276" w:lineRule="auto"/>
        <w:ind w:left="1077" w:hanging="357"/>
        <w:rPr>
          <w:sz w:val="24"/>
          <w:szCs w:val="24"/>
        </w:rPr>
      </w:pPr>
      <w:r w:rsidRPr="006C68DE">
        <w:rPr>
          <w:sz w:val="24"/>
          <w:szCs w:val="24"/>
        </w:rPr>
        <w:t xml:space="preserve">reorganising concepts of abuse and neglect toward an overarching concept of 'significant </w:t>
      </w:r>
      <w:r w:rsidR="00526BC6" w:rsidRPr="006C68DE">
        <w:rPr>
          <w:sz w:val="24"/>
          <w:szCs w:val="24"/>
        </w:rPr>
        <w:t>harm</w:t>
      </w:r>
      <w:r w:rsidR="00D34195">
        <w:rPr>
          <w:sz w:val="24"/>
          <w:szCs w:val="24"/>
        </w:rPr>
        <w:t>’</w:t>
      </w:r>
      <w:r w:rsidR="00526BC6">
        <w:rPr>
          <w:sz w:val="24"/>
          <w:szCs w:val="24"/>
        </w:rPr>
        <w:t>,</w:t>
      </w:r>
      <w:r w:rsidR="00526BC6" w:rsidRPr="00526BC6">
        <w:rPr>
          <w:sz w:val="24"/>
          <w:szCs w:val="24"/>
        </w:rPr>
        <w:t xml:space="preserve"> including </w:t>
      </w:r>
      <w:r w:rsidR="00526BC6">
        <w:rPr>
          <w:sz w:val="24"/>
          <w:szCs w:val="24"/>
        </w:rPr>
        <w:t>strengthening the concepts of sexual abuse and domestic violence</w:t>
      </w:r>
      <w:r w:rsidR="00D34195">
        <w:rPr>
          <w:sz w:val="24"/>
          <w:szCs w:val="24"/>
        </w:rPr>
        <w:t>, revising the term neglect</w:t>
      </w:r>
      <w:r w:rsidR="004D0851">
        <w:rPr>
          <w:sz w:val="24"/>
          <w:szCs w:val="24"/>
        </w:rPr>
        <w:t>,</w:t>
      </w:r>
      <w:r w:rsidR="00D34195">
        <w:rPr>
          <w:sz w:val="24"/>
          <w:szCs w:val="24"/>
        </w:rPr>
        <w:t xml:space="preserve"> </w:t>
      </w:r>
      <w:r w:rsidR="00526BC6">
        <w:rPr>
          <w:sz w:val="24"/>
          <w:szCs w:val="24"/>
        </w:rPr>
        <w:t xml:space="preserve">and </w:t>
      </w:r>
      <w:r w:rsidR="00526BC6" w:rsidRPr="00526BC6">
        <w:rPr>
          <w:sz w:val="24"/>
          <w:szCs w:val="24"/>
        </w:rPr>
        <w:t>explicitly enabling consideration of cumulative harm</w:t>
      </w:r>
      <w:r w:rsidR="004D0851">
        <w:rPr>
          <w:sz w:val="24"/>
          <w:szCs w:val="24"/>
        </w:rPr>
        <w:t>;</w:t>
      </w:r>
    </w:p>
    <w:p w14:paraId="7CD59795" w14:textId="0172397C" w:rsidR="00DE69A9" w:rsidRDefault="00DE69A9" w:rsidP="004F520A">
      <w:pPr>
        <w:pStyle w:val="ListParagraph"/>
        <w:numPr>
          <w:ilvl w:val="1"/>
          <w:numId w:val="9"/>
        </w:numPr>
        <w:tabs>
          <w:tab w:val="left" w:pos="425"/>
        </w:tabs>
        <w:spacing w:before="120" w:line="276" w:lineRule="auto"/>
        <w:ind w:left="1077" w:hanging="357"/>
        <w:rPr>
          <w:sz w:val="24"/>
          <w:szCs w:val="24"/>
        </w:rPr>
      </w:pPr>
      <w:r w:rsidRPr="006C68DE">
        <w:rPr>
          <w:sz w:val="24"/>
          <w:szCs w:val="24"/>
        </w:rPr>
        <w:t>providing</w:t>
      </w:r>
      <w:r w:rsidR="0058238F" w:rsidRPr="006C68DE">
        <w:rPr>
          <w:sz w:val="24"/>
          <w:szCs w:val="24"/>
        </w:rPr>
        <w:t xml:space="preserve"> guidance on factors to consider in making a decision about ‘best interests’, clarifying that in determining the best interests of a child or young </w:t>
      </w:r>
      <w:r w:rsidR="0058238F" w:rsidRPr="006C68DE">
        <w:rPr>
          <w:sz w:val="24"/>
          <w:szCs w:val="24"/>
        </w:rPr>
        <w:lastRenderedPageBreak/>
        <w:t xml:space="preserve">person, the decision-maker must always consider the child’s risk of </w:t>
      </w:r>
      <w:r w:rsidR="0058238F" w:rsidRPr="00DE69A9">
        <w:rPr>
          <w:sz w:val="24"/>
          <w:szCs w:val="24"/>
        </w:rPr>
        <w:t xml:space="preserve">significant harm, in addition to the relevant other </w:t>
      </w:r>
      <w:r w:rsidR="001F087F">
        <w:rPr>
          <w:sz w:val="24"/>
          <w:szCs w:val="24"/>
        </w:rPr>
        <w:t xml:space="preserve">best interest </w:t>
      </w:r>
      <w:r w:rsidR="0058238F" w:rsidRPr="00DE69A9">
        <w:rPr>
          <w:sz w:val="24"/>
          <w:szCs w:val="24"/>
        </w:rPr>
        <w:t>factors where relevant</w:t>
      </w:r>
      <w:r w:rsidR="004D0851">
        <w:rPr>
          <w:sz w:val="24"/>
          <w:szCs w:val="24"/>
        </w:rPr>
        <w:t>; and</w:t>
      </w:r>
    </w:p>
    <w:p w14:paraId="3A9B4921" w14:textId="2070D039" w:rsidR="00D25292" w:rsidRDefault="0058238F" w:rsidP="004F520A">
      <w:pPr>
        <w:pStyle w:val="ListParagraph"/>
        <w:numPr>
          <w:ilvl w:val="1"/>
          <w:numId w:val="9"/>
        </w:numPr>
        <w:tabs>
          <w:tab w:val="left" w:pos="425"/>
        </w:tabs>
        <w:spacing w:before="120" w:line="276" w:lineRule="auto"/>
        <w:ind w:left="1077" w:hanging="357"/>
        <w:rPr>
          <w:sz w:val="24"/>
          <w:szCs w:val="24"/>
        </w:rPr>
      </w:pPr>
      <w:r w:rsidRPr="006C68DE">
        <w:rPr>
          <w:sz w:val="24"/>
          <w:szCs w:val="24"/>
        </w:rPr>
        <w:t>implementing amendments to Chapter 19A (Children and Young People Death Review Committee)</w:t>
      </w:r>
      <w:r w:rsidR="004D0851">
        <w:rPr>
          <w:sz w:val="24"/>
          <w:szCs w:val="24"/>
        </w:rPr>
        <w:t xml:space="preserve"> that reflect agreed recommendations from the Committee</w:t>
      </w:r>
      <w:r w:rsidRPr="006C68DE">
        <w:rPr>
          <w:sz w:val="24"/>
          <w:szCs w:val="24"/>
        </w:rPr>
        <w:t>.</w:t>
      </w:r>
    </w:p>
    <w:p w14:paraId="7C83BF8C" w14:textId="22F0EF14" w:rsidR="00284C6B" w:rsidRPr="00284C6B" w:rsidRDefault="00284C6B" w:rsidP="00284C6B">
      <w:pPr>
        <w:tabs>
          <w:tab w:val="left" w:pos="425"/>
        </w:tabs>
        <w:spacing w:before="100" w:beforeAutospacing="1" w:after="100" w:afterAutospacing="1"/>
        <w:rPr>
          <w:sz w:val="24"/>
          <w:szCs w:val="24"/>
        </w:rPr>
      </w:pPr>
      <w:r w:rsidRPr="00284C6B">
        <w:rPr>
          <w:sz w:val="24"/>
          <w:szCs w:val="24"/>
        </w:rPr>
        <w:t>Th</w:t>
      </w:r>
      <w:r>
        <w:rPr>
          <w:sz w:val="24"/>
          <w:szCs w:val="24"/>
        </w:rPr>
        <w:t>e</w:t>
      </w:r>
      <w:r w:rsidRPr="00284C6B">
        <w:rPr>
          <w:sz w:val="24"/>
          <w:szCs w:val="24"/>
        </w:rPr>
        <w:t xml:space="preserve"> proactive approach will not only bring immediate improvements but also lay the </w:t>
      </w:r>
      <w:r>
        <w:rPr>
          <w:sz w:val="24"/>
          <w:szCs w:val="24"/>
        </w:rPr>
        <w:t xml:space="preserve">legislative </w:t>
      </w:r>
      <w:r w:rsidRPr="00284C6B">
        <w:rPr>
          <w:sz w:val="24"/>
          <w:szCs w:val="24"/>
        </w:rPr>
        <w:t>foundation for a system that embraces a more family-focused orientation in the long term. Building a strong legislative foundation now will ensure that our services remain relevant and responsive to the needs of our families now and into the future.</w:t>
      </w:r>
    </w:p>
    <w:p w14:paraId="55663C32" w14:textId="01951FC0" w:rsidR="00450873" w:rsidRPr="00450873" w:rsidRDefault="002A7FD4" w:rsidP="00A10F58">
      <w:pPr>
        <w:pStyle w:val="Heading2"/>
        <w:spacing w:before="240" w:after="0" w:line="276" w:lineRule="auto"/>
        <w:rPr>
          <w:rFonts w:ascii="Calibri" w:hAnsi="Calibri" w:cs="Calibri"/>
          <w:sz w:val="28"/>
          <w:szCs w:val="28"/>
        </w:rPr>
      </w:pPr>
      <w:r w:rsidRPr="006C68DE">
        <w:rPr>
          <w:rFonts w:ascii="Calibri" w:hAnsi="Calibri" w:cs="Calibri"/>
          <w:sz w:val="28"/>
          <w:szCs w:val="28"/>
        </w:rPr>
        <w:t>OUTLINE OF PROVISIONS</w:t>
      </w:r>
    </w:p>
    <w:p w14:paraId="3706C24A" w14:textId="57A586F1" w:rsidR="00384AC4" w:rsidRDefault="00424FF4" w:rsidP="00A10F58">
      <w:pPr>
        <w:spacing w:before="240" w:after="0"/>
        <w:rPr>
          <w:b/>
          <w:bCs/>
          <w:sz w:val="28"/>
          <w:szCs w:val="28"/>
        </w:rPr>
      </w:pPr>
      <w:r w:rsidRPr="006C68DE">
        <w:rPr>
          <w:b/>
          <w:bCs/>
          <w:sz w:val="28"/>
          <w:szCs w:val="28"/>
        </w:rPr>
        <w:t xml:space="preserve">Chapter 1 </w:t>
      </w:r>
      <w:r w:rsidR="00642135">
        <w:rPr>
          <w:b/>
          <w:bCs/>
          <w:sz w:val="28"/>
          <w:szCs w:val="28"/>
        </w:rPr>
        <w:t xml:space="preserve">Preliminary </w:t>
      </w:r>
    </w:p>
    <w:p w14:paraId="504042A8" w14:textId="3A215A9A" w:rsidR="00E16249" w:rsidRPr="00642135" w:rsidRDefault="0058238F" w:rsidP="00A10F58">
      <w:pPr>
        <w:spacing w:before="240" w:after="0"/>
        <w:rPr>
          <w:rFonts w:eastAsia="Calibri" w:cs="Calibri"/>
          <w:b/>
          <w:bCs/>
          <w:sz w:val="24"/>
          <w:szCs w:val="24"/>
        </w:rPr>
      </w:pPr>
      <w:r w:rsidRPr="006C68DE">
        <w:rPr>
          <w:rFonts w:eastAsia="Calibri" w:cs="Calibri"/>
          <w:b/>
          <w:bCs/>
          <w:sz w:val="24"/>
          <w:szCs w:val="24"/>
        </w:rPr>
        <w:t>Section 7: Main objects of Act</w:t>
      </w:r>
    </w:p>
    <w:p w14:paraId="68F8B46A" w14:textId="17B1A8AB" w:rsidR="00B64DC7" w:rsidRDefault="0058238F" w:rsidP="00A10F58">
      <w:pPr>
        <w:spacing w:before="240" w:after="0"/>
        <w:rPr>
          <w:sz w:val="24"/>
          <w:szCs w:val="24"/>
        </w:rPr>
      </w:pPr>
      <w:r w:rsidRPr="006C68DE">
        <w:rPr>
          <w:sz w:val="24"/>
          <w:szCs w:val="24"/>
        </w:rPr>
        <w:t xml:space="preserve">Part 1.2 of </w:t>
      </w:r>
      <w:r w:rsidR="00D92C0F">
        <w:rPr>
          <w:sz w:val="24"/>
          <w:szCs w:val="24"/>
        </w:rPr>
        <w:t>c</w:t>
      </w:r>
      <w:r w:rsidRPr="006C68DE">
        <w:rPr>
          <w:sz w:val="24"/>
          <w:szCs w:val="24"/>
        </w:rPr>
        <w:t xml:space="preserve">hapter 1, </w:t>
      </w:r>
      <w:r w:rsidR="00D92C0F">
        <w:rPr>
          <w:sz w:val="24"/>
          <w:szCs w:val="24"/>
        </w:rPr>
        <w:t>s</w:t>
      </w:r>
      <w:r w:rsidRPr="006C68DE">
        <w:rPr>
          <w:sz w:val="24"/>
          <w:szCs w:val="24"/>
        </w:rPr>
        <w:t xml:space="preserve">ection 7 </w:t>
      </w:r>
      <w:r w:rsidR="001412C9">
        <w:rPr>
          <w:sz w:val="24"/>
          <w:szCs w:val="24"/>
        </w:rPr>
        <w:t xml:space="preserve">provides </w:t>
      </w:r>
      <w:r w:rsidRPr="006C68DE">
        <w:rPr>
          <w:sz w:val="24"/>
          <w:szCs w:val="24"/>
        </w:rPr>
        <w:t xml:space="preserve">the key objects of the </w:t>
      </w:r>
      <w:r w:rsidR="004C376D">
        <w:rPr>
          <w:sz w:val="24"/>
          <w:szCs w:val="24"/>
        </w:rPr>
        <w:t>Bill</w:t>
      </w:r>
      <w:r w:rsidR="000B4191">
        <w:rPr>
          <w:sz w:val="24"/>
          <w:szCs w:val="24"/>
        </w:rPr>
        <w:t>,</w:t>
      </w:r>
      <w:r w:rsidRPr="006C68DE">
        <w:rPr>
          <w:sz w:val="24"/>
          <w:szCs w:val="24"/>
        </w:rPr>
        <w:t xml:space="preserve"> which are to </w:t>
      </w:r>
      <w:r w:rsidR="00424FF4" w:rsidRPr="006C68DE">
        <w:rPr>
          <w:sz w:val="24"/>
          <w:szCs w:val="24"/>
        </w:rPr>
        <w:t xml:space="preserve">provide </w:t>
      </w:r>
      <w:r w:rsidRPr="006C68DE">
        <w:rPr>
          <w:sz w:val="24"/>
          <w:szCs w:val="24"/>
        </w:rPr>
        <w:t xml:space="preserve">for the </w:t>
      </w:r>
      <w:r w:rsidR="00424FF4" w:rsidRPr="000B4191">
        <w:rPr>
          <w:i/>
          <w:iCs/>
          <w:sz w:val="24"/>
          <w:szCs w:val="24"/>
        </w:rPr>
        <w:t>safety, welfare and wellbeing</w:t>
      </w:r>
      <w:r w:rsidR="00424FF4" w:rsidRPr="006C68DE">
        <w:rPr>
          <w:sz w:val="24"/>
          <w:szCs w:val="24"/>
        </w:rPr>
        <w:t xml:space="preserve"> </w:t>
      </w:r>
      <w:r w:rsidRPr="006C68DE">
        <w:rPr>
          <w:sz w:val="24"/>
          <w:szCs w:val="24"/>
        </w:rPr>
        <w:t>of, and the provision of services to, children and young persons</w:t>
      </w:r>
      <w:r w:rsidR="000B4191">
        <w:rPr>
          <w:sz w:val="24"/>
          <w:szCs w:val="24"/>
        </w:rPr>
        <w:t>,</w:t>
      </w:r>
      <w:r w:rsidRPr="006C68DE">
        <w:rPr>
          <w:sz w:val="24"/>
          <w:szCs w:val="24"/>
        </w:rPr>
        <w:t xml:space="preserve"> and the principles that are to be applied in the administration of the Act.</w:t>
      </w:r>
    </w:p>
    <w:p w14:paraId="7A33D2CA" w14:textId="67EFB8C6" w:rsidR="00BB50D1" w:rsidRDefault="00B64DC7" w:rsidP="00A10F58">
      <w:pPr>
        <w:spacing w:before="240" w:after="0"/>
        <w:rPr>
          <w:rFonts w:eastAsia="Calibri" w:cs="Calibri"/>
          <w:sz w:val="24"/>
          <w:szCs w:val="24"/>
        </w:rPr>
      </w:pPr>
      <w:r w:rsidRPr="00B64DC7">
        <w:rPr>
          <w:rFonts w:eastAsia="Calibri" w:cs="Calibri"/>
          <w:sz w:val="24"/>
          <w:szCs w:val="24"/>
        </w:rPr>
        <w:t>The objects of the Act set the tone and priorities for the Act</w:t>
      </w:r>
      <w:r>
        <w:rPr>
          <w:rFonts w:eastAsia="Calibri" w:cs="Calibri"/>
          <w:sz w:val="24"/>
          <w:szCs w:val="24"/>
        </w:rPr>
        <w:t xml:space="preserve"> </w:t>
      </w:r>
      <w:r w:rsidR="0058238F" w:rsidRPr="00F75303">
        <w:rPr>
          <w:rFonts w:eastAsia="Calibri" w:cs="Calibri"/>
          <w:sz w:val="24"/>
          <w:szCs w:val="24"/>
        </w:rPr>
        <w:t xml:space="preserve">to ensure children and young people receive the care and protection necessary to protect them from </w:t>
      </w:r>
      <w:r w:rsidR="0058238F" w:rsidRPr="006C68DE">
        <w:rPr>
          <w:rFonts w:eastAsia="Calibri" w:cs="Calibri"/>
          <w:i/>
          <w:iCs/>
          <w:sz w:val="24"/>
          <w:szCs w:val="24"/>
        </w:rPr>
        <w:t>significant harm.</w:t>
      </w:r>
      <w:r w:rsidR="00BB50D1">
        <w:rPr>
          <w:rFonts w:eastAsia="Calibri" w:cs="Calibri"/>
          <w:sz w:val="24"/>
          <w:szCs w:val="24"/>
        </w:rPr>
        <w:t xml:space="preserve"> </w:t>
      </w:r>
      <w:r w:rsidR="0058238F" w:rsidRPr="00F75303">
        <w:rPr>
          <w:rFonts w:eastAsia="Calibri" w:cs="Calibri"/>
          <w:sz w:val="24"/>
          <w:szCs w:val="24"/>
        </w:rPr>
        <w:t xml:space="preserve">These changes intend to </w:t>
      </w:r>
      <w:r w:rsidR="00BB50D1" w:rsidRPr="00BB50D1">
        <w:rPr>
          <w:rFonts w:eastAsia="Calibri" w:cs="Calibri"/>
          <w:sz w:val="24"/>
          <w:szCs w:val="24"/>
        </w:rPr>
        <w:t xml:space="preserve">reorientate and rebalance the CYP Act from a singular child protection focus to a clear focus </w:t>
      </w:r>
      <w:r w:rsidR="000B4191" w:rsidRPr="00BB50D1">
        <w:rPr>
          <w:rFonts w:eastAsia="Calibri" w:cs="Calibri"/>
          <w:sz w:val="24"/>
          <w:szCs w:val="24"/>
        </w:rPr>
        <w:t>on</w:t>
      </w:r>
      <w:r w:rsidR="00BB50D1" w:rsidRPr="00BB50D1">
        <w:rPr>
          <w:rFonts w:eastAsia="Calibri" w:cs="Calibri"/>
          <w:sz w:val="24"/>
          <w:szCs w:val="24"/>
        </w:rPr>
        <w:t xml:space="preserve"> supporting families in relation to the safety, welfare and wellbeing of children and young people</w:t>
      </w:r>
      <w:r w:rsidR="001412C9">
        <w:rPr>
          <w:rFonts w:eastAsia="Calibri" w:cs="Calibri"/>
          <w:sz w:val="24"/>
          <w:szCs w:val="24"/>
        </w:rPr>
        <w:t xml:space="preserve"> </w:t>
      </w:r>
      <w:r w:rsidR="004D0851">
        <w:rPr>
          <w:rFonts w:eastAsia="Calibri" w:cs="Calibri"/>
          <w:sz w:val="24"/>
          <w:szCs w:val="24"/>
        </w:rPr>
        <w:t>alongside</w:t>
      </w:r>
      <w:r w:rsidR="004D0851" w:rsidRPr="00BB50D1">
        <w:rPr>
          <w:rFonts w:eastAsia="Calibri" w:cs="Calibri"/>
          <w:sz w:val="24"/>
          <w:szCs w:val="24"/>
        </w:rPr>
        <w:t xml:space="preserve"> </w:t>
      </w:r>
      <w:r w:rsidR="00BB50D1" w:rsidRPr="00BB50D1">
        <w:rPr>
          <w:rFonts w:eastAsia="Calibri" w:cs="Calibri"/>
          <w:sz w:val="24"/>
          <w:szCs w:val="24"/>
        </w:rPr>
        <w:t>the protection of children and young people from harm.</w:t>
      </w:r>
    </w:p>
    <w:p w14:paraId="2E970360" w14:textId="0445B33A" w:rsidR="00A7235C" w:rsidRDefault="00E16249" w:rsidP="00A10F58">
      <w:pPr>
        <w:spacing w:before="240" w:after="0"/>
        <w:rPr>
          <w:rFonts w:eastAsia="Calibri" w:cs="Calibri"/>
          <w:sz w:val="24"/>
          <w:szCs w:val="24"/>
        </w:rPr>
      </w:pPr>
      <w:r w:rsidRPr="00F75303">
        <w:rPr>
          <w:rFonts w:eastAsia="Calibri" w:cs="Calibri"/>
          <w:sz w:val="24"/>
          <w:szCs w:val="24"/>
        </w:rPr>
        <w:t>The broader purpose aims to</w:t>
      </w:r>
      <w:r w:rsidRPr="006C68DE">
        <w:rPr>
          <w:rFonts w:eastAsia="Calibri" w:cs="Calibri"/>
          <w:sz w:val="24"/>
          <w:szCs w:val="24"/>
        </w:rPr>
        <w:t xml:space="preserve"> </w:t>
      </w:r>
      <w:r w:rsidRPr="00F75303">
        <w:rPr>
          <w:rFonts w:eastAsia="Calibri" w:cs="Calibri"/>
          <w:sz w:val="24"/>
          <w:szCs w:val="24"/>
        </w:rPr>
        <w:t xml:space="preserve">reflect the contemporary role of the child protection system, </w:t>
      </w:r>
      <w:r w:rsidR="001412C9">
        <w:rPr>
          <w:rFonts w:eastAsia="Calibri" w:cs="Calibri"/>
          <w:sz w:val="24"/>
          <w:szCs w:val="24"/>
        </w:rPr>
        <w:t xml:space="preserve">aligned </w:t>
      </w:r>
      <w:r w:rsidRPr="00F75303">
        <w:rPr>
          <w:rFonts w:eastAsia="Calibri" w:cs="Calibri"/>
          <w:sz w:val="24"/>
          <w:szCs w:val="24"/>
        </w:rPr>
        <w:t>with the director-general's</w:t>
      </w:r>
      <w:r w:rsidRPr="00E16249">
        <w:rPr>
          <w:rFonts w:eastAsia="Calibri" w:cs="Calibri"/>
          <w:sz w:val="24"/>
          <w:szCs w:val="24"/>
        </w:rPr>
        <w:t xml:space="preserve"> current functions.</w:t>
      </w:r>
      <w:r>
        <w:rPr>
          <w:rFonts w:eastAsia="Calibri" w:cs="Calibri"/>
          <w:sz w:val="24"/>
          <w:szCs w:val="24"/>
        </w:rPr>
        <w:t xml:space="preserve"> </w:t>
      </w:r>
      <w:r w:rsidR="00450873">
        <w:rPr>
          <w:rFonts w:eastAsia="Calibri" w:cs="Calibri"/>
          <w:sz w:val="24"/>
          <w:szCs w:val="24"/>
        </w:rPr>
        <w:t xml:space="preserve"> </w:t>
      </w:r>
    </w:p>
    <w:p w14:paraId="7359B0CB" w14:textId="45552E2D" w:rsidR="00450873" w:rsidRPr="00DE69A9" w:rsidRDefault="00424FF4" w:rsidP="00A10F58">
      <w:pPr>
        <w:spacing w:before="240" w:after="0"/>
        <w:rPr>
          <w:rFonts w:eastAsia="Calibri" w:cs="Calibri"/>
          <w:sz w:val="24"/>
          <w:szCs w:val="24"/>
        </w:rPr>
      </w:pPr>
      <w:r w:rsidRPr="006C68DE">
        <w:rPr>
          <w:rFonts w:eastAsia="Calibri" w:cs="Calibri"/>
          <w:sz w:val="24"/>
          <w:szCs w:val="24"/>
        </w:rPr>
        <w:t xml:space="preserve">This expanded purpose does not seek to increase the scope of the </w:t>
      </w:r>
      <w:r w:rsidR="00D34195">
        <w:rPr>
          <w:rFonts w:eastAsia="Calibri" w:cs="Calibri"/>
          <w:sz w:val="24"/>
          <w:szCs w:val="24"/>
        </w:rPr>
        <w:t xml:space="preserve">CYP </w:t>
      </w:r>
      <w:r w:rsidRPr="006C68DE">
        <w:rPr>
          <w:rFonts w:eastAsia="Calibri" w:cs="Calibri"/>
          <w:sz w:val="24"/>
          <w:szCs w:val="24"/>
        </w:rPr>
        <w:t>Act, alter the criteria for statutory intervention, or mandate the director-general to offer support to a wider range of families beyond those already covered by the Act.</w:t>
      </w:r>
    </w:p>
    <w:p w14:paraId="277A72EE" w14:textId="0587BEFC" w:rsidR="00E16249" w:rsidRPr="00DE69A9" w:rsidRDefault="00E16249" w:rsidP="00A10F58">
      <w:pPr>
        <w:spacing w:before="240" w:after="0"/>
        <w:rPr>
          <w:b/>
          <w:bCs/>
          <w:sz w:val="28"/>
          <w:szCs w:val="28"/>
        </w:rPr>
      </w:pPr>
      <w:r w:rsidRPr="00DE69A9">
        <w:rPr>
          <w:b/>
          <w:bCs/>
          <w:sz w:val="28"/>
          <w:szCs w:val="28"/>
        </w:rPr>
        <w:t>Chapter 2 Administration</w:t>
      </w:r>
    </w:p>
    <w:p w14:paraId="69EE7D91" w14:textId="6A3808B2" w:rsidR="00E16249" w:rsidRPr="00DE69A9" w:rsidRDefault="00E16249" w:rsidP="00A10F58">
      <w:pPr>
        <w:spacing w:before="240" w:after="0"/>
        <w:rPr>
          <w:rFonts w:eastAsia="Calibri" w:cs="Calibri"/>
          <w:b/>
          <w:bCs/>
          <w:sz w:val="24"/>
          <w:szCs w:val="24"/>
        </w:rPr>
      </w:pPr>
      <w:r w:rsidRPr="00DE69A9">
        <w:rPr>
          <w:rFonts w:eastAsia="Calibri" w:cs="Calibri"/>
          <w:b/>
          <w:bCs/>
          <w:sz w:val="24"/>
          <w:szCs w:val="24"/>
        </w:rPr>
        <w:t>Section 22: Director-general’s functions</w:t>
      </w:r>
    </w:p>
    <w:p w14:paraId="749D219E" w14:textId="4C0FBF02" w:rsidR="004D1D1E" w:rsidRDefault="00E16249" w:rsidP="00A10F58">
      <w:pPr>
        <w:spacing w:before="240" w:after="0"/>
        <w:rPr>
          <w:rFonts w:eastAsia="Calibri" w:cs="Calibri"/>
          <w:sz w:val="24"/>
          <w:szCs w:val="24"/>
        </w:rPr>
      </w:pPr>
      <w:r w:rsidRPr="006C68DE">
        <w:rPr>
          <w:sz w:val="24"/>
          <w:szCs w:val="24"/>
        </w:rPr>
        <w:t xml:space="preserve">Part 2.1 of </w:t>
      </w:r>
      <w:r w:rsidR="00D92C0F">
        <w:rPr>
          <w:sz w:val="24"/>
          <w:szCs w:val="24"/>
        </w:rPr>
        <w:t>c</w:t>
      </w:r>
      <w:r w:rsidRPr="006C68DE">
        <w:rPr>
          <w:sz w:val="24"/>
          <w:szCs w:val="24"/>
        </w:rPr>
        <w:t xml:space="preserve">hapter 2, </w:t>
      </w:r>
      <w:r w:rsidR="00D92C0F">
        <w:rPr>
          <w:sz w:val="24"/>
          <w:szCs w:val="24"/>
        </w:rPr>
        <w:t>s</w:t>
      </w:r>
      <w:r w:rsidRPr="006C68DE">
        <w:rPr>
          <w:sz w:val="24"/>
          <w:szCs w:val="24"/>
        </w:rPr>
        <w:t xml:space="preserve">ection </w:t>
      </w:r>
      <w:r w:rsidR="004D1D1E" w:rsidRPr="006C68DE">
        <w:rPr>
          <w:sz w:val="24"/>
          <w:szCs w:val="24"/>
        </w:rPr>
        <w:t>22</w:t>
      </w:r>
      <w:r w:rsidR="004D1D1E" w:rsidRPr="006C68DE">
        <w:rPr>
          <w:rFonts w:eastAsia="Calibri" w:cs="Calibri"/>
          <w:sz w:val="24"/>
          <w:szCs w:val="24"/>
        </w:rPr>
        <w:t xml:space="preserve"> sets out the general roles of the </w:t>
      </w:r>
      <w:r w:rsidR="00D25292">
        <w:rPr>
          <w:rFonts w:eastAsia="Calibri" w:cs="Calibri"/>
          <w:sz w:val="24"/>
          <w:szCs w:val="24"/>
        </w:rPr>
        <w:t>d</w:t>
      </w:r>
      <w:r w:rsidR="004D1D1E" w:rsidRPr="006C68DE">
        <w:rPr>
          <w:rFonts w:eastAsia="Calibri" w:cs="Calibri"/>
          <w:sz w:val="24"/>
          <w:szCs w:val="24"/>
        </w:rPr>
        <w:t>irector-</w:t>
      </w:r>
      <w:r w:rsidR="00D25292">
        <w:rPr>
          <w:rFonts w:eastAsia="Calibri" w:cs="Calibri"/>
          <w:sz w:val="24"/>
          <w:szCs w:val="24"/>
        </w:rPr>
        <w:t>g</w:t>
      </w:r>
      <w:r w:rsidR="004D1D1E" w:rsidRPr="006C68DE">
        <w:rPr>
          <w:rFonts w:eastAsia="Calibri" w:cs="Calibri"/>
          <w:sz w:val="24"/>
          <w:szCs w:val="24"/>
        </w:rPr>
        <w:t>eneral of</w:t>
      </w:r>
      <w:r w:rsidR="00F75303" w:rsidRPr="00F75303">
        <w:rPr>
          <w:rFonts w:eastAsia="Calibri" w:cs="Calibri"/>
          <w:sz w:val="24"/>
          <w:szCs w:val="24"/>
        </w:rPr>
        <w:t xml:space="preserve"> the ACT Community Services Directorate, </w:t>
      </w:r>
      <w:r w:rsidR="004D1D1E" w:rsidRPr="006C68DE">
        <w:rPr>
          <w:rFonts w:eastAsia="Calibri" w:cs="Calibri"/>
          <w:sz w:val="24"/>
          <w:szCs w:val="24"/>
        </w:rPr>
        <w:t xml:space="preserve">in relation to </w:t>
      </w:r>
      <w:r w:rsidR="004D1D1E" w:rsidRPr="0002613C">
        <w:rPr>
          <w:rFonts w:eastAsia="Calibri" w:cs="Calibri"/>
          <w:i/>
          <w:iCs/>
          <w:sz w:val="24"/>
          <w:szCs w:val="24"/>
        </w:rPr>
        <w:t>safety, welfare and wellbeing</w:t>
      </w:r>
      <w:r w:rsidR="004D1D1E" w:rsidRPr="00F75303">
        <w:rPr>
          <w:rFonts w:eastAsia="Calibri" w:cs="Calibri"/>
          <w:sz w:val="24"/>
          <w:szCs w:val="24"/>
        </w:rPr>
        <w:t xml:space="preserve"> </w:t>
      </w:r>
      <w:r w:rsidR="001412C9">
        <w:rPr>
          <w:rFonts w:eastAsia="Calibri" w:cs="Calibri"/>
          <w:sz w:val="24"/>
          <w:szCs w:val="24"/>
        </w:rPr>
        <w:t xml:space="preserve">of </w:t>
      </w:r>
      <w:r w:rsidR="004D1D1E" w:rsidRPr="006C68DE">
        <w:rPr>
          <w:rFonts w:eastAsia="Calibri" w:cs="Calibri"/>
          <w:sz w:val="24"/>
          <w:szCs w:val="24"/>
        </w:rPr>
        <w:t>children and young persons and seeks to ensure the coordinated provision of services generally to children and young persons.</w:t>
      </w:r>
    </w:p>
    <w:p w14:paraId="22207A14" w14:textId="607D9A1D" w:rsidR="007D0370" w:rsidRDefault="00E16249" w:rsidP="00A10F58">
      <w:pPr>
        <w:spacing w:before="240" w:after="0"/>
        <w:rPr>
          <w:rFonts w:eastAsia="Calibri" w:cs="Calibri"/>
          <w:sz w:val="24"/>
          <w:szCs w:val="24"/>
        </w:rPr>
      </w:pPr>
      <w:r w:rsidRPr="00D86237">
        <w:rPr>
          <w:rFonts w:eastAsia="Calibri" w:cs="Calibri"/>
          <w:sz w:val="24"/>
          <w:szCs w:val="24"/>
        </w:rPr>
        <w:lastRenderedPageBreak/>
        <w:t xml:space="preserve">The Bill broadens the functions of the </w:t>
      </w:r>
      <w:r w:rsidR="00B65668">
        <w:rPr>
          <w:rFonts w:eastAsia="Calibri" w:cs="Calibri"/>
          <w:sz w:val="24"/>
          <w:szCs w:val="24"/>
        </w:rPr>
        <w:t>d</w:t>
      </w:r>
      <w:r w:rsidRPr="00D86237">
        <w:rPr>
          <w:rFonts w:eastAsia="Calibri" w:cs="Calibri"/>
          <w:sz w:val="24"/>
          <w:szCs w:val="24"/>
        </w:rPr>
        <w:t>irector-</w:t>
      </w:r>
      <w:r w:rsidR="00B65668">
        <w:rPr>
          <w:rFonts w:eastAsia="Calibri" w:cs="Calibri"/>
          <w:sz w:val="24"/>
          <w:szCs w:val="24"/>
        </w:rPr>
        <w:t>g</w:t>
      </w:r>
      <w:r w:rsidRPr="00D86237">
        <w:rPr>
          <w:rFonts w:eastAsia="Calibri" w:cs="Calibri"/>
          <w:sz w:val="24"/>
          <w:szCs w:val="24"/>
        </w:rPr>
        <w:t xml:space="preserve">eneral to include providing or assisting in providing support and services to families to reduce the </w:t>
      </w:r>
      <w:r w:rsidRPr="0002613C">
        <w:rPr>
          <w:rFonts w:eastAsia="Calibri" w:cs="Calibri"/>
          <w:i/>
          <w:iCs/>
          <w:sz w:val="24"/>
          <w:szCs w:val="24"/>
        </w:rPr>
        <w:t>risk of significant harm</w:t>
      </w:r>
      <w:r w:rsidRPr="00D86237">
        <w:rPr>
          <w:rFonts w:eastAsia="Calibri" w:cs="Calibri"/>
          <w:sz w:val="24"/>
          <w:szCs w:val="24"/>
        </w:rPr>
        <w:t xml:space="preserve"> to children and young people and to protect children and young people if a </w:t>
      </w:r>
      <w:r w:rsidRPr="0002613C">
        <w:rPr>
          <w:rFonts w:eastAsia="Calibri" w:cs="Calibri"/>
          <w:i/>
          <w:iCs/>
          <w:sz w:val="24"/>
          <w:szCs w:val="24"/>
        </w:rPr>
        <w:t>risk of significant harm has been identified.</w:t>
      </w:r>
      <w:r w:rsidRPr="00D86237">
        <w:rPr>
          <w:rFonts w:eastAsia="Calibri" w:cs="Calibri"/>
          <w:sz w:val="24"/>
          <w:szCs w:val="24"/>
        </w:rPr>
        <w:t xml:space="preserve"> This section also inserts a provision on providing, or assisting in providing, information to mandated reporters and people who report to the </w:t>
      </w:r>
      <w:r w:rsidR="00B65668">
        <w:rPr>
          <w:rFonts w:eastAsia="Calibri" w:cs="Calibri"/>
          <w:sz w:val="24"/>
          <w:szCs w:val="24"/>
        </w:rPr>
        <w:t>d</w:t>
      </w:r>
      <w:r w:rsidRPr="00D86237">
        <w:rPr>
          <w:rFonts w:eastAsia="Calibri" w:cs="Calibri"/>
          <w:sz w:val="24"/>
          <w:szCs w:val="24"/>
        </w:rPr>
        <w:t>irector-</w:t>
      </w:r>
      <w:r w:rsidR="00B65668">
        <w:rPr>
          <w:rFonts w:eastAsia="Calibri" w:cs="Calibri"/>
          <w:sz w:val="24"/>
          <w:szCs w:val="24"/>
        </w:rPr>
        <w:t>g</w:t>
      </w:r>
      <w:r w:rsidRPr="00D86237">
        <w:rPr>
          <w:rFonts w:eastAsia="Calibri" w:cs="Calibri"/>
          <w:sz w:val="24"/>
          <w:szCs w:val="24"/>
        </w:rPr>
        <w:t xml:space="preserve">eneral to help them perform their legal obligation and encourage them to continue their involvement in matters arising from their report. These changes intend to better reflect the intent of the legislation and the functions of the </w:t>
      </w:r>
      <w:r w:rsidR="00B65668">
        <w:rPr>
          <w:rFonts w:eastAsia="Calibri" w:cs="Calibri"/>
          <w:sz w:val="24"/>
          <w:szCs w:val="24"/>
        </w:rPr>
        <w:t>d</w:t>
      </w:r>
      <w:r w:rsidRPr="00D86237">
        <w:rPr>
          <w:rFonts w:eastAsia="Calibri" w:cs="Calibri"/>
          <w:sz w:val="24"/>
          <w:szCs w:val="24"/>
        </w:rPr>
        <w:t>irector-</w:t>
      </w:r>
      <w:r w:rsidR="00B65668">
        <w:rPr>
          <w:rFonts w:eastAsia="Calibri" w:cs="Calibri"/>
          <w:sz w:val="24"/>
          <w:szCs w:val="24"/>
        </w:rPr>
        <w:t>g</w:t>
      </w:r>
      <w:r w:rsidRPr="00D86237">
        <w:rPr>
          <w:rFonts w:eastAsia="Calibri" w:cs="Calibri"/>
          <w:sz w:val="24"/>
          <w:szCs w:val="24"/>
        </w:rPr>
        <w:t xml:space="preserve">eneral and better align with the reform </w:t>
      </w:r>
      <w:r w:rsidR="00D34195">
        <w:rPr>
          <w:rFonts w:eastAsia="Calibri" w:cs="Calibri"/>
          <w:sz w:val="24"/>
          <w:szCs w:val="24"/>
        </w:rPr>
        <w:t>agenda</w:t>
      </w:r>
      <w:r w:rsidRPr="00D86237">
        <w:rPr>
          <w:rFonts w:eastAsia="Calibri" w:cs="Calibri"/>
          <w:sz w:val="24"/>
          <w:szCs w:val="24"/>
        </w:rPr>
        <w:t xml:space="preserve"> for the child protection and family support system.</w:t>
      </w:r>
    </w:p>
    <w:p w14:paraId="53AD6DC6" w14:textId="77777777" w:rsidR="007D0370" w:rsidRPr="007D0370" w:rsidRDefault="00642135" w:rsidP="00A10F58">
      <w:pPr>
        <w:spacing w:before="240" w:after="0"/>
        <w:rPr>
          <w:b/>
          <w:bCs/>
          <w:sz w:val="28"/>
          <w:szCs w:val="28"/>
        </w:rPr>
      </w:pPr>
      <w:r w:rsidRPr="00D86237">
        <w:rPr>
          <w:b/>
          <w:bCs/>
          <w:sz w:val="28"/>
          <w:szCs w:val="28"/>
        </w:rPr>
        <w:t>Chap</w:t>
      </w:r>
      <w:r w:rsidRPr="00642135">
        <w:rPr>
          <w:b/>
          <w:bCs/>
          <w:sz w:val="28"/>
          <w:szCs w:val="28"/>
        </w:rPr>
        <w:t xml:space="preserve">ter 1 Preliminary </w:t>
      </w:r>
    </w:p>
    <w:p w14:paraId="51A529F8" w14:textId="55D2A63F" w:rsidR="00642135" w:rsidRPr="00450873" w:rsidRDefault="00642135" w:rsidP="00A10F58">
      <w:pPr>
        <w:spacing w:before="240" w:after="0"/>
        <w:rPr>
          <w:b/>
          <w:bCs/>
          <w:sz w:val="24"/>
          <w:szCs w:val="24"/>
        </w:rPr>
      </w:pPr>
      <w:r w:rsidRPr="00450873">
        <w:rPr>
          <w:b/>
          <w:bCs/>
          <w:sz w:val="24"/>
          <w:szCs w:val="24"/>
        </w:rPr>
        <w:t>Section 10: Aboriginal and Torres Strait Islander children and young people  </w:t>
      </w:r>
    </w:p>
    <w:p w14:paraId="17C8C70A" w14:textId="2BCB8A05" w:rsidR="00611ACE" w:rsidRDefault="000F621F" w:rsidP="00A10F58">
      <w:pPr>
        <w:spacing w:before="240" w:after="0"/>
        <w:rPr>
          <w:rFonts w:eastAsia="Calibri" w:cs="Calibri"/>
          <w:sz w:val="24"/>
          <w:szCs w:val="24"/>
        </w:rPr>
      </w:pPr>
      <w:r w:rsidRPr="000F621F">
        <w:rPr>
          <w:sz w:val="24"/>
          <w:szCs w:val="24"/>
        </w:rPr>
        <w:t xml:space="preserve">The Bill gives effect to the commitment to embed the Aboriginal and Torres Strait Islander Child Placement Principle (ATSICPP) into the CYP Act as part of the comprehensive system change needed to reverse over-representation. </w:t>
      </w:r>
      <w:r w:rsidR="00642135" w:rsidRPr="006C68DE">
        <w:rPr>
          <w:sz w:val="24"/>
          <w:szCs w:val="24"/>
        </w:rPr>
        <w:t xml:space="preserve">Part 1.2 of </w:t>
      </w:r>
      <w:r w:rsidR="00D92C0F">
        <w:rPr>
          <w:sz w:val="24"/>
          <w:szCs w:val="24"/>
        </w:rPr>
        <w:t>c</w:t>
      </w:r>
      <w:r w:rsidR="00642135" w:rsidRPr="006C68DE">
        <w:rPr>
          <w:sz w:val="24"/>
          <w:szCs w:val="24"/>
        </w:rPr>
        <w:t xml:space="preserve">hapter 1, </w:t>
      </w:r>
      <w:r w:rsidR="00D92C0F">
        <w:rPr>
          <w:sz w:val="24"/>
          <w:szCs w:val="24"/>
        </w:rPr>
        <w:t>s</w:t>
      </w:r>
      <w:r w:rsidR="00642135" w:rsidRPr="006C68DE">
        <w:rPr>
          <w:sz w:val="24"/>
          <w:szCs w:val="24"/>
        </w:rPr>
        <w:t>ection 10</w:t>
      </w:r>
      <w:r w:rsidR="00642135" w:rsidRPr="00D83CB1">
        <w:rPr>
          <w:rFonts w:eastAsia="Calibri" w:cs="Calibri"/>
          <w:sz w:val="24"/>
          <w:szCs w:val="24"/>
        </w:rPr>
        <w:t xml:space="preserve"> specifies that, when decisions are being made about Aboriginal or Torres Strait Islander children and young people, the</w:t>
      </w:r>
      <w:r w:rsidR="00F45038">
        <w:rPr>
          <w:rFonts w:eastAsia="Calibri" w:cs="Calibri"/>
          <w:sz w:val="24"/>
          <w:szCs w:val="24"/>
        </w:rPr>
        <w:t xml:space="preserve"> </w:t>
      </w:r>
      <w:r w:rsidR="00F45038" w:rsidRPr="00F45038">
        <w:rPr>
          <w:rFonts w:eastAsia="Calibri" w:cs="Calibri"/>
          <w:sz w:val="24"/>
          <w:szCs w:val="24"/>
        </w:rPr>
        <w:t>f</w:t>
      </w:r>
      <w:r w:rsidR="00F45038">
        <w:rPr>
          <w:rFonts w:eastAsia="Calibri" w:cs="Calibri"/>
          <w:sz w:val="24"/>
          <w:szCs w:val="24"/>
        </w:rPr>
        <w:t>ive</w:t>
      </w:r>
      <w:r w:rsidR="00F45038" w:rsidRPr="00F45038">
        <w:rPr>
          <w:rFonts w:eastAsia="Calibri" w:cs="Calibri"/>
          <w:sz w:val="24"/>
          <w:szCs w:val="24"/>
        </w:rPr>
        <w:t xml:space="preserve"> interrelated elements of the </w:t>
      </w:r>
      <w:r w:rsidR="00F45038" w:rsidRPr="00D83CB1">
        <w:rPr>
          <w:rFonts w:eastAsia="Calibri" w:cs="Calibri"/>
          <w:sz w:val="24"/>
          <w:szCs w:val="24"/>
        </w:rPr>
        <w:t xml:space="preserve">Aboriginal and Torres Strait Islander Child Placement </w:t>
      </w:r>
      <w:r w:rsidR="00F45038" w:rsidRPr="00F45038">
        <w:rPr>
          <w:rFonts w:eastAsia="Calibri" w:cs="Calibri"/>
          <w:sz w:val="24"/>
          <w:szCs w:val="24"/>
        </w:rPr>
        <w:t>Principle: prevention, partnership, placement, participation and connection</w:t>
      </w:r>
      <w:r w:rsidR="00F45038">
        <w:rPr>
          <w:rFonts w:eastAsia="Calibri" w:cs="Calibri"/>
          <w:sz w:val="24"/>
          <w:szCs w:val="24"/>
        </w:rPr>
        <w:t xml:space="preserve"> </w:t>
      </w:r>
      <w:r w:rsidR="00642135" w:rsidRPr="00D83CB1">
        <w:rPr>
          <w:rFonts w:eastAsia="Calibri" w:cs="Calibri"/>
          <w:sz w:val="24"/>
          <w:szCs w:val="24"/>
        </w:rPr>
        <w:t xml:space="preserve">must be applied. </w:t>
      </w:r>
      <w:r w:rsidR="00AB6D47" w:rsidRPr="00AB6D47">
        <w:rPr>
          <w:rFonts w:eastAsia="Calibri" w:cs="Calibri"/>
          <w:sz w:val="24"/>
          <w:szCs w:val="24"/>
        </w:rPr>
        <w:t>The Bill recognises culture and connection as a source of strength and protection for Aboriginal and Torres Strait Islander children and young people</w:t>
      </w:r>
      <w:r w:rsidR="00F45038">
        <w:rPr>
          <w:rFonts w:eastAsia="Calibri" w:cs="Calibri"/>
          <w:sz w:val="24"/>
          <w:szCs w:val="24"/>
        </w:rPr>
        <w:t xml:space="preserve"> a</w:t>
      </w:r>
      <w:r w:rsidR="001C551D">
        <w:rPr>
          <w:rFonts w:eastAsia="Calibri" w:cs="Calibri"/>
          <w:sz w:val="24"/>
          <w:szCs w:val="24"/>
        </w:rPr>
        <w:t>n</w:t>
      </w:r>
      <w:r w:rsidR="00F45038">
        <w:rPr>
          <w:rFonts w:eastAsia="Calibri" w:cs="Calibri"/>
          <w:sz w:val="24"/>
          <w:szCs w:val="24"/>
        </w:rPr>
        <w:t xml:space="preserve">d </w:t>
      </w:r>
      <w:r w:rsidR="00AB6D47" w:rsidRPr="00AB6D47">
        <w:rPr>
          <w:rFonts w:eastAsia="Calibri" w:cs="Calibri"/>
          <w:sz w:val="24"/>
          <w:szCs w:val="24"/>
        </w:rPr>
        <w:t>recognises the continuity of family and community relationships as integral to children's safety, welfare and wellbeing.</w:t>
      </w:r>
    </w:p>
    <w:p w14:paraId="6FBD1447" w14:textId="2B7EDFBC" w:rsidR="00E45C7F" w:rsidRPr="003A40EC" w:rsidRDefault="000D0C3A" w:rsidP="00A10F58">
      <w:pPr>
        <w:spacing w:before="240" w:after="0"/>
        <w:rPr>
          <w:rFonts w:cs="Calibri"/>
          <w:color w:val="000000" w:themeColor="text1"/>
          <w:sz w:val="24"/>
          <w:szCs w:val="24"/>
        </w:rPr>
      </w:pPr>
      <w:r w:rsidRPr="000D0C3A">
        <w:rPr>
          <w:rFonts w:eastAsia="Calibri" w:cs="Calibri"/>
          <w:sz w:val="24"/>
          <w:szCs w:val="24"/>
        </w:rPr>
        <w:t xml:space="preserve">The </w:t>
      </w:r>
      <w:r w:rsidR="00450873">
        <w:rPr>
          <w:rFonts w:eastAsia="Calibri" w:cs="Calibri"/>
          <w:sz w:val="24"/>
          <w:szCs w:val="24"/>
        </w:rPr>
        <w:t>p</w:t>
      </w:r>
      <w:r w:rsidRPr="000D0C3A">
        <w:rPr>
          <w:rFonts w:eastAsia="Calibri" w:cs="Calibri"/>
          <w:sz w:val="24"/>
          <w:szCs w:val="24"/>
        </w:rPr>
        <w:t xml:space="preserve">urpose of the </w:t>
      </w:r>
      <w:r w:rsidR="00F45038">
        <w:rPr>
          <w:rFonts w:eastAsia="Calibri" w:cs="Calibri"/>
          <w:sz w:val="24"/>
          <w:szCs w:val="24"/>
        </w:rPr>
        <w:t>ATSICPP</w:t>
      </w:r>
      <w:r w:rsidR="00F45038" w:rsidRPr="000D0C3A">
        <w:rPr>
          <w:rFonts w:eastAsia="Calibri" w:cs="Calibri"/>
          <w:sz w:val="24"/>
          <w:szCs w:val="24"/>
        </w:rPr>
        <w:t xml:space="preserve"> </w:t>
      </w:r>
      <w:r w:rsidRPr="000D0C3A">
        <w:rPr>
          <w:rFonts w:eastAsia="Calibri" w:cs="Calibri"/>
          <w:sz w:val="24"/>
          <w:szCs w:val="24"/>
        </w:rPr>
        <w:t xml:space="preserve">is to enhance and preserve </w:t>
      </w:r>
      <w:r w:rsidR="00E45C7F" w:rsidRPr="00E45C7F">
        <w:rPr>
          <w:rFonts w:eastAsia="Calibri" w:cs="Calibri"/>
          <w:sz w:val="24"/>
          <w:szCs w:val="24"/>
        </w:rPr>
        <w:t>Aboriginal and Torres Strait Islander children's connection to family and community, and sense of identity and culture</w:t>
      </w:r>
      <w:r w:rsidR="00F45038">
        <w:rPr>
          <w:rStyle w:val="FootnoteReference"/>
          <w:rFonts w:eastAsia="Calibri"/>
          <w:sz w:val="24"/>
          <w:szCs w:val="24"/>
        </w:rPr>
        <w:footnoteReference w:id="2"/>
      </w:r>
      <w:r w:rsidR="00E45C7F" w:rsidRPr="00E45C7F">
        <w:rPr>
          <w:rFonts w:eastAsia="Calibri" w:cs="Calibri"/>
          <w:sz w:val="24"/>
          <w:szCs w:val="24"/>
        </w:rPr>
        <w:t>.</w:t>
      </w:r>
      <w:r w:rsidR="00E45C7F">
        <w:rPr>
          <w:rFonts w:eastAsia="Calibri" w:cs="Calibri"/>
          <w:sz w:val="24"/>
          <w:szCs w:val="24"/>
        </w:rPr>
        <w:t xml:space="preserve"> </w:t>
      </w:r>
      <w:r w:rsidR="00E45C7F" w:rsidRPr="00E45C7F">
        <w:rPr>
          <w:rFonts w:eastAsia="Calibri" w:cs="Calibri"/>
          <w:sz w:val="24"/>
          <w:szCs w:val="24"/>
        </w:rPr>
        <w:t>The aim is to ensure that whe</w:t>
      </w:r>
      <w:r w:rsidR="001412C9">
        <w:rPr>
          <w:rFonts w:eastAsia="Calibri" w:cs="Calibri"/>
          <w:sz w:val="24"/>
          <w:szCs w:val="24"/>
        </w:rPr>
        <w:t xml:space="preserve">never </w:t>
      </w:r>
      <w:r w:rsidR="00E45C7F" w:rsidRPr="00E45C7F">
        <w:rPr>
          <w:rFonts w:eastAsia="Calibri" w:cs="Calibri"/>
          <w:sz w:val="24"/>
          <w:szCs w:val="24"/>
        </w:rPr>
        <w:t xml:space="preserve">possible and when safe to do so, Aboriginal and Torres Strait Islander children and young people are placed within their biological family, extended </w:t>
      </w:r>
      <w:r w:rsidR="00E45C7F" w:rsidRPr="003A40EC">
        <w:rPr>
          <w:rFonts w:cs="Calibri"/>
          <w:color w:val="000000" w:themeColor="text1"/>
          <w:sz w:val="24"/>
          <w:szCs w:val="24"/>
        </w:rPr>
        <w:t xml:space="preserve">family, local Aboriginal community or wider Aboriginal community </w:t>
      </w:r>
      <w:r w:rsidR="001412C9" w:rsidRPr="003A40EC">
        <w:rPr>
          <w:rFonts w:cs="Calibri"/>
          <w:color w:val="000000" w:themeColor="text1"/>
          <w:sz w:val="24"/>
          <w:szCs w:val="24"/>
        </w:rPr>
        <w:t>in accordance with the child placement hierarchy.</w:t>
      </w:r>
    </w:p>
    <w:p w14:paraId="52D7EB79" w14:textId="3D59FF52" w:rsidR="00611ACE" w:rsidRPr="003A40EC" w:rsidRDefault="00611ACE" w:rsidP="00A10F58">
      <w:pPr>
        <w:spacing w:before="240" w:after="0"/>
        <w:rPr>
          <w:rFonts w:cs="Calibri"/>
          <w:color w:val="000000" w:themeColor="text1"/>
          <w:sz w:val="24"/>
          <w:szCs w:val="24"/>
        </w:rPr>
      </w:pPr>
      <w:r w:rsidRPr="003A40EC">
        <w:rPr>
          <w:rFonts w:cs="Calibri"/>
          <w:color w:val="000000" w:themeColor="text1"/>
          <w:sz w:val="24"/>
          <w:szCs w:val="24"/>
        </w:rPr>
        <w:t>These principles recognise the child’s right to be raised in their own culture, acknowledge</w:t>
      </w:r>
      <w:r w:rsidR="001412C9" w:rsidRPr="003A40EC">
        <w:rPr>
          <w:rFonts w:cs="Calibri"/>
          <w:color w:val="000000" w:themeColor="text1"/>
          <w:sz w:val="24"/>
          <w:szCs w:val="24"/>
        </w:rPr>
        <w:t>s</w:t>
      </w:r>
      <w:r w:rsidRPr="003A40EC">
        <w:rPr>
          <w:rFonts w:cs="Calibri"/>
          <w:color w:val="000000" w:themeColor="text1"/>
          <w:sz w:val="24"/>
          <w:szCs w:val="24"/>
        </w:rPr>
        <w:t xml:space="preserve"> that the participation of family and Aboriginal and Torres Strait Islander community representatives is required in all child protection decision-making, and </w:t>
      </w:r>
      <w:r w:rsidR="00AB6D47" w:rsidRPr="003A40EC">
        <w:rPr>
          <w:rFonts w:cs="Calibri"/>
          <w:color w:val="000000" w:themeColor="text1"/>
          <w:sz w:val="24"/>
          <w:szCs w:val="24"/>
        </w:rPr>
        <w:t>affirms</w:t>
      </w:r>
      <w:r w:rsidRPr="003A40EC">
        <w:rPr>
          <w:rFonts w:cs="Calibri"/>
          <w:color w:val="000000" w:themeColor="text1"/>
          <w:sz w:val="24"/>
          <w:szCs w:val="24"/>
        </w:rPr>
        <w:t xml:space="preserve"> the importance and value of family, extended family, kinship networks, culture and community in raising Aboriginal </w:t>
      </w:r>
      <w:r w:rsidR="00AB6D47" w:rsidRPr="003A40EC">
        <w:rPr>
          <w:rFonts w:cs="Calibri"/>
          <w:color w:val="000000" w:themeColor="text1"/>
          <w:sz w:val="24"/>
          <w:szCs w:val="24"/>
        </w:rPr>
        <w:t xml:space="preserve">and Torres Strait Islander </w:t>
      </w:r>
      <w:r w:rsidRPr="003A40EC">
        <w:rPr>
          <w:rFonts w:cs="Calibri"/>
          <w:color w:val="000000" w:themeColor="text1"/>
          <w:sz w:val="24"/>
          <w:szCs w:val="24"/>
        </w:rPr>
        <w:t>children</w:t>
      </w:r>
      <w:r w:rsidR="001C551D" w:rsidRPr="003A40EC">
        <w:rPr>
          <w:rFonts w:cs="Calibri"/>
          <w:color w:val="000000" w:themeColor="text1"/>
          <w:sz w:val="24"/>
          <w:szCs w:val="24"/>
        </w:rPr>
        <w:t>.</w:t>
      </w:r>
    </w:p>
    <w:p w14:paraId="1520ED36" w14:textId="611088CE" w:rsidR="0085322A" w:rsidRPr="003A40EC" w:rsidRDefault="00AB7B57" w:rsidP="00A10F58">
      <w:pPr>
        <w:spacing w:before="240" w:after="0"/>
        <w:rPr>
          <w:rFonts w:cs="Calibri"/>
          <w:color w:val="000000" w:themeColor="text1"/>
          <w:sz w:val="24"/>
          <w:szCs w:val="24"/>
        </w:rPr>
      </w:pPr>
      <w:r w:rsidRPr="003A40EC">
        <w:rPr>
          <w:rFonts w:cs="Calibri"/>
          <w:color w:val="000000" w:themeColor="text1"/>
          <w:sz w:val="24"/>
          <w:szCs w:val="24"/>
        </w:rPr>
        <w:t xml:space="preserve">Embedding the child placement principle in legislation is </w:t>
      </w:r>
      <w:r w:rsidR="005F4651" w:rsidRPr="003A40EC">
        <w:rPr>
          <w:rFonts w:cs="Calibri"/>
          <w:color w:val="000000" w:themeColor="text1"/>
          <w:sz w:val="24"/>
          <w:szCs w:val="24"/>
        </w:rPr>
        <w:t>an</w:t>
      </w:r>
      <w:r w:rsidRPr="003A40EC">
        <w:rPr>
          <w:rFonts w:cs="Calibri"/>
          <w:color w:val="000000" w:themeColor="text1"/>
          <w:sz w:val="24"/>
          <w:szCs w:val="24"/>
        </w:rPr>
        <w:t xml:space="preserve"> ACT Government priority, </w:t>
      </w:r>
      <w:r w:rsidR="00611ACE" w:rsidRPr="003A40EC">
        <w:rPr>
          <w:rFonts w:cs="Calibri"/>
          <w:color w:val="000000" w:themeColor="text1"/>
          <w:sz w:val="24"/>
          <w:szCs w:val="24"/>
        </w:rPr>
        <w:t xml:space="preserve">aligned with strong </w:t>
      </w:r>
      <w:r w:rsidRPr="003A40EC">
        <w:rPr>
          <w:rFonts w:cs="Calibri"/>
          <w:color w:val="000000" w:themeColor="text1"/>
          <w:sz w:val="24"/>
          <w:szCs w:val="24"/>
        </w:rPr>
        <w:t xml:space="preserve">commitments to the </w:t>
      </w:r>
      <w:r w:rsidR="0085322A" w:rsidRPr="003A40EC">
        <w:rPr>
          <w:rFonts w:cs="Calibri"/>
          <w:color w:val="000000" w:themeColor="text1"/>
          <w:sz w:val="24"/>
          <w:szCs w:val="24"/>
        </w:rPr>
        <w:t xml:space="preserve">Our </w:t>
      </w:r>
      <w:proofErr w:type="spellStart"/>
      <w:r w:rsidR="0085322A" w:rsidRPr="003A40EC">
        <w:rPr>
          <w:rFonts w:cs="Calibri"/>
          <w:color w:val="000000" w:themeColor="text1"/>
          <w:sz w:val="24"/>
          <w:szCs w:val="24"/>
        </w:rPr>
        <w:t>Booris</w:t>
      </w:r>
      <w:proofErr w:type="spellEnd"/>
      <w:r w:rsidR="0085322A" w:rsidRPr="003A40EC">
        <w:rPr>
          <w:rFonts w:cs="Calibri"/>
          <w:color w:val="000000" w:themeColor="text1"/>
          <w:sz w:val="24"/>
          <w:szCs w:val="24"/>
        </w:rPr>
        <w:t>, Our Way Review</w:t>
      </w:r>
      <w:r w:rsidR="0085322A" w:rsidRPr="003A40EC">
        <w:rPr>
          <w:rStyle w:val="FootnoteReference"/>
        </w:rPr>
        <w:footnoteReference w:id="3"/>
      </w:r>
      <w:r w:rsidR="00D34195">
        <w:rPr>
          <w:rFonts w:cs="Calibri"/>
          <w:color w:val="000000" w:themeColor="text1"/>
          <w:sz w:val="24"/>
          <w:szCs w:val="24"/>
        </w:rPr>
        <w:t>,</w:t>
      </w:r>
      <w:r w:rsidR="0085322A" w:rsidRPr="003A40EC">
        <w:rPr>
          <w:rFonts w:cs="Calibri"/>
          <w:color w:val="000000" w:themeColor="text1"/>
          <w:sz w:val="24"/>
          <w:szCs w:val="24"/>
        </w:rPr>
        <w:t xml:space="preserve"> the National </w:t>
      </w:r>
      <w:r w:rsidR="0085322A" w:rsidRPr="003A40EC">
        <w:rPr>
          <w:rFonts w:cs="Calibri"/>
          <w:color w:val="000000" w:themeColor="text1"/>
          <w:sz w:val="24"/>
          <w:szCs w:val="24"/>
        </w:rPr>
        <w:lastRenderedPageBreak/>
        <w:t>Framework for Protecting Australia’s Children</w:t>
      </w:r>
      <w:r w:rsidR="0085322A" w:rsidRPr="003A40EC">
        <w:rPr>
          <w:rStyle w:val="FootnoteReference"/>
          <w:rFonts w:eastAsia="Calibri"/>
          <w:sz w:val="24"/>
          <w:szCs w:val="24"/>
        </w:rPr>
        <w:footnoteReference w:id="4"/>
      </w:r>
      <w:r w:rsidR="0085322A" w:rsidRPr="003A40EC">
        <w:rPr>
          <w:rStyle w:val="FootnoteReference"/>
          <w:rFonts w:eastAsia="Calibri"/>
        </w:rPr>
        <w:t xml:space="preserve"> </w:t>
      </w:r>
      <w:r w:rsidR="0085322A" w:rsidRPr="003A40EC">
        <w:rPr>
          <w:rFonts w:cs="Calibri"/>
          <w:color w:val="000000" w:themeColor="text1"/>
          <w:sz w:val="24"/>
          <w:szCs w:val="24"/>
        </w:rPr>
        <w:t>and the National Agreement on Closing the Gap</w:t>
      </w:r>
      <w:r w:rsidR="0085322A" w:rsidRPr="003A40EC">
        <w:rPr>
          <w:rStyle w:val="FootnoteReference"/>
          <w:rFonts w:eastAsia="Calibri"/>
          <w:sz w:val="24"/>
          <w:szCs w:val="24"/>
        </w:rPr>
        <w:footnoteReference w:id="5"/>
      </w:r>
      <w:r w:rsidR="001412C9" w:rsidRPr="003A40EC">
        <w:rPr>
          <w:rFonts w:cs="Calibri"/>
          <w:color w:val="000000" w:themeColor="text1"/>
          <w:sz w:val="24"/>
          <w:szCs w:val="24"/>
        </w:rPr>
        <w:t>.</w:t>
      </w:r>
      <w:r w:rsidR="0085322A" w:rsidRPr="003A40EC">
        <w:rPr>
          <w:rFonts w:cs="Calibri"/>
          <w:color w:val="000000" w:themeColor="text1"/>
          <w:sz w:val="24"/>
          <w:szCs w:val="24"/>
        </w:rPr>
        <w:t xml:space="preserve"> This commitment is also reflected in the Parliamentary </w:t>
      </w:r>
      <w:r w:rsidR="001412C9" w:rsidRPr="003A40EC">
        <w:rPr>
          <w:rFonts w:cs="Calibri"/>
          <w:color w:val="000000" w:themeColor="text1"/>
          <w:sz w:val="24"/>
          <w:szCs w:val="24"/>
        </w:rPr>
        <w:t>and G</w:t>
      </w:r>
      <w:r w:rsidR="0085322A" w:rsidRPr="003A40EC">
        <w:rPr>
          <w:rFonts w:cs="Calibri"/>
          <w:color w:val="000000" w:themeColor="text1"/>
          <w:sz w:val="24"/>
          <w:szCs w:val="24"/>
        </w:rPr>
        <w:t xml:space="preserve">overning </w:t>
      </w:r>
      <w:r w:rsidR="001412C9" w:rsidRPr="003A40EC">
        <w:rPr>
          <w:rFonts w:cs="Calibri"/>
          <w:color w:val="000000" w:themeColor="text1"/>
          <w:sz w:val="24"/>
          <w:szCs w:val="24"/>
        </w:rPr>
        <w:t>A</w:t>
      </w:r>
      <w:r w:rsidR="0085322A" w:rsidRPr="003A40EC">
        <w:rPr>
          <w:rFonts w:cs="Calibri"/>
          <w:color w:val="000000" w:themeColor="text1"/>
          <w:sz w:val="24"/>
          <w:szCs w:val="24"/>
        </w:rPr>
        <w:t>greement: 10th Legislative Assembly</w:t>
      </w:r>
      <w:r w:rsidR="001412C9" w:rsidRPr="003A40EC">
        <w:rPr>
          <w:rFonts w:cs="Calibri"/>
          <w:color w:val="000000" w:themeColor="text1"/>
          <w:sz w:val="24"/>
          <w:szCs w:val="24"/>
        </w:rPr>
        <w:t xml:space="preserve"> (2020</w:t>
      </w:r>
      <w:r w:rsidR="0085322A" w:rsidRPr="003A40EC">
        <w:rPr>
          <w:rFonts w:cs="Calibri"/>
          <w:color w:val="000000" w:themeColor="text1"/>
          <w:sz w:val="24"/>
          <w:szCs w:val="24"/>
        </w:rPr>
        <w:t>)</w:t>
      </w:r>
      <w:r w:rsidR="0085322A" w:rsidRPr="003A40EC">
        <w:rPr>
          <w:rStyle w:val="FootnoteReference"/>
        </w:rPr>
        <w:footnoteReference w:id="6"/>
      </w:r>
      <w:r w:rsidR="00F052CC">
        <w:rPr>
          <w:rFonts w:cs="Calibri"/>
          <w:color w:val="000000" w:themeColor="text1"/>
          <w:sz w:val="24"/>
          <w:szCs w:val="24"/>
        </w:rPr>
        <w:t>.</w:t>
      </w:r>
    </w:p>
    <w:p w14:paraId="07FF45CC" w14:textId="6AA96EFB" w:rsidR="00381CC7" w:rsidRPr="000165E8" w:rsidRDefault="00F45038" w:rsidP="00A10F58">
      <w:pPr>
        <w:spacing w:before="240" w:after="0"/>
        <w:rPr>
          <w:rFonts w:eastAsia="Calibri" w:cs="Calibri"/>
          <w:sz w:val="24"/>
          <w:szCs w:val="24"/>
        </w:rPr>
      </w:pPr>
      <w:r w:rsidRPr="003A40EC">
        <w:rPr>
          <w:rFonts w:cs="Calibri"/>
          <w:color w:val="000000" w:themeColor="text1"/>
          <w:sz w:val="24"/>
          <w:szCs w:val="24"/>
        </w:rPr>
        <w:t>While the incorporation of the ATSICPP in legislation is a critical step toward addressing the over-representation</w:t>
      </w:r>
      <w:r w:rsidRPr="00F45038">
        <w:rPr>
          <w:rFonts w:eastAsia="Calibri" w:cs="Calibri"/>
          <w:sz w:val="24"/>
          <w:szCs w:val="24"/>
        </w:rPr>
        <w:t xml:space="preserve"> of Aboriginal and Torres Strait Islander children in the child protection </w:t>
      </w:r>
      <w:r w:rsidR="001412C9">
        <w:rPr>
          <w:rFonts w:eastAsia="Calibri" w:cs="Calibri"/>
          <w:sz w:val="24"/>
          <w:szCs w:val="24"/>
        </w:rPr>
        <w:t xml:space="preserve">and out-of-home care </w:t>
      </w:r>
      <w:r w:rsidRPr="00F45038">
        <w:rPr>
          <w:rFonts w:eastAsia="Calibri" w:cs="Calibri"/>
          <w:sz w:val="24"/>
          <w:szCs w:val="24"/>
        </w:rPr>
        <w:t xml:space="preserve">system, achieving </w:t>
      </w:r>
      <w:r w:rsidR="001412C9">
        <w:rPr>
          <w:rFonts w:eastAsia="Calibri" w:cs="Calibri"/>
          <w:sz w:val="24"/>
          <w:szCs w:val="24"/>
        </w:rPr>
        <w:t>full</w:t>
      </w:r>
      <w:r w:rsidRPr="00F45038">
        <w:rPr>
          <w:rFonts w:eastAsia="Calibri" w:cs="Calibri"/>
          <w:sz w:val="24"/>
          <w:szCs w:val="24"/>
        </w:rPr>
        <w:t xml:space="preserve"> implementation will necessitate </w:t>
      </w:r>
      <w:r w:rsidRPr="00933CC9">
        <w:rPr>
          <w:rFonts w:eastAsia="Calibri" w:cs="Calibri"/>
          <w:sz w:val="24"/>
          <w:szCs w:val="24"/>
        </w:rPr>
        <w:t>improving links between legislation, policy and practice, providing earlier supports for families</w:t>
      </w:r>
      <w:r w:rsidR="00933CC9">
        <w:rPr>
          <w:rFonts w:eastAsia="Calibri" w:cs="Calibri"/>
          <w:sz w:val="24"/>
          <w:szCs w:val="24"/>
        </w:rPr>
        <w:t xml:space="preserve"> and</w:t>
      </w:r>
      <w:r w:rsidRPr="00933CC9">
        <w:rPr>
          <w:rFonts w:eastAsia="Calibri" w:cs="Calibri"/>
          <w:sz w:val="24"/>
          <w:szCs w:val="24"/>
        </w:rPr>
        <w:t xml:space="preserve"> recognising and enhancing leadership, participation and decision-making among Aboriginal and Torres Strait Islander peoples</w:t>
      </w:r>
      <w:r w:rsidRPr="00933CC9">
        <w:rPr>
          <w:rStyle w:val="FootnoteReference"/>
        </w:rPr>
        <w:footnoteReference w:id="7"/>
      </w:r>
      <w:r w:rsidRPr="00933CC9">
        <w:rPr>
          <w:rFonts w:eastAsia="Calibri" w:cs="Calibri"/>
          <w:sz w:val="24"/>
          <w:szCs w:val="24"/>
        </w:rPr>
        <w:t>.</w:t>
      </w:r>
    </w:p>
    <w:p w14:paraId="3B54FE1B" w14:textId="2CB9017A" w:rsidR="00EA365F" w:rsidRPr="00450873" w:rsidRDefault="00642135" w:rsidP="00A10F58">
      <w:pPr>
        <w:spacing w:before="240" w:after="0"/>
        <w:rPr>
          <w:b/>
          <w:bCs/>
          <w:sz w:val="24"/>
          <w:szCs w:val="24"/>
        </w:rPr>
      </w:pPr>
      <w:r w:rsidRPr="00450873">
        <w:rPr>
          <w:b/>
          <w:bCs/>
          <w:sz w:val="24"/>
          <w:szCs w:val="24"/>
        </w:rPr>
        <w:t>Section 10A</w:t>
      </w:r>
      <w:r w:rsidR="00DE3E0A" w:rsidRPr="00450873">
        <w:rPr>
          <w:b/>
          <w:bCs/>
          <w:sz w:val="24"/>
          <w:szCs w:val="24"/>
        </w:rPr>
        <w:t xml:space="preserve"> (a)(b)</w:t>
      </w:r>
      <w:r w:rsidRPr="00450873">
        <w:rPr>
          <w:b/>
          <w:bCs/>
          <w:sz w:val="24"/>
          <w:szCs w:val="24"/>
        </w:rPr>
        <w:t xml:space="preserve">: Aboriginal and Torres Strait Islander children and </w:t>
      </w:r>
      <w:r w:rsidR="00D83CB1" w:rsidRPr="00450873">
        <w:rPr>
          <w:b/>
          <w:bCs/>
          <w:sz w:val="24"/>
          <w:szCs w:val="24"/>
        </w:rPr>
        <w:t>young people</w:t>
      </w:r>
      <w:r w:rsidRPr="00450873">
        <w:rPr>
          <w:b/>
          <w:bCs/>
          <w:sz w:val="24"/>
          <w:szCs w:val="24"/>
        </w:rPr>
        <w:t xml:space="preserve">—other </w:t>
      </w:r>
      <w:r w:rsidR="00D83CB1" w:rsidRPr="00450873">
        <w:rPr>
          <w:b/>
          <w:bCs/>
          <w:sz w:val="24"/>
          <w:szCs w:val="24"/>
        </w:rPr>
        <w:t>P</w:t>
      </w:r>
      <w:r w:rsidRPr="00450873">
        <w:rPr>
          <w:b/>
          <w:bCs/>
          <w:sz w:val="24"/>
          <w:szCs w:val="24"/>
        </w:rPr>
        <w:t>rinciples</w:t>
      </w:r>
    </w:p>
    <w:p w14:paraId="1B731681" w14:textId="4E080139" w:rsidR="001A0A27" w:rsidRDefault="001A0A27" w:rsidP="00A10F58">
      <w:pPr>
        <w:spacing w:before="240" w:after="0"/>
        <w:rPr>
          <w:rFonts w:eastAsia="Calibri" w:cs="Calibri"/>
          <w:sz w:val="24"/>
          <w:szCs w:val="24"/>
        </w:rPr>
      </w:pPr>
      <w:r>
        <w:rPr>
          <w:sz w:val="24"/>
          <w:szCs w:val="24"/>
        </w:rPr>
        <w:t xml:space="preserve">The Bill </w:t>
      </w:r>
      <w:r w:rsidRPr="001A0A27">
        <w:rPr>
          <w:rFonts w:eastAsia="Calibri" w:cs="Calibri"/>
          <w:sz w:val="24"/>
          <w:szCs w:val="24"/>
        </w:rPr>
        <w:t xml:space="preserve">seeks to improve implementation of </w:t>
      </w:r>
      <w:r w:rsidRPr="003A40EC">
        <w:rPr>
          <w:rFonts w:cs="Calibri"/>
          <w:color w:val="000000" w:themeColor="text1"/>
          <w:sz w:val="24"/>
          <w:szCs w:val="24"/>
        </w:rPr>
        <w:t>ATSICPP</w:t>
      </w:r>
      <w:r w:rsidRPr="001A0A27">
        <w:rPr>
          <w:rFonts w:eastAsia="Calibri" w:cs="Calibri"/>
          <w:sz w:val="24"/>
          <w:szCs w:val="24"/>
        </w:rPr>
        <w:t xml:space="preserve">, including by inserting new section 10A into the </w:t>
      </w:r>
      <w:r>
        <w:rPr>
          <w:rFonts w:eastAsia="Calibri" w:cs="Calibri"/>
          <w:sz w:val="24"/>
          <w:szCs w:val="24"/>
        </w:rPr>
        <w:t xml:space="preserve">CYP </w:t>
      </w:r>
      <w:r w:rsidRPr="001A0A27">
        <w:rPr>
          <w:rFonts w:eastAsia="Calibri" w:cs="Calibri"/>
          <w:sz w:val="24"/>
          <w:szCs w:val="24"/>
        </w:rPr>
        <w:t xml:space="preserve">Act to more explicitly detail the elements of the principle that must be considered when making </w:t>
      </w:r>
      <w:r w:rsidR="00173596">
        <w:rPr>
          <w:rFonts w:eastAsia="Calibri" w:cs="Calibri"/>
          <w:sz w:val="24"/>
          <w:szCs w:val="24"/>
        </w:rPr>
        <w:t xml:space="preserve">best interest </w:t>
      </w:r>
      <w:r w:rsidRPr="001A0A27">
        <w:rPr>
          <w:rFonts w:eastAsia="Calibri" w:cs="Calibri"/>
          <w:sz w:val="24"/>
          <w:szCs w:val="24"/>
        </w:rPr>
        <w:t>decisions for First Nations children and young people.</w:t>
      </w:r>
    </w:p>
    <w:p w14:paraId="378F8187" w14:textId="2423CBD0" w:rsidR="00172A30" w:rsidRPr="003A40EC" w:rsidRDefault="00DE3E0A" w:rsidP="00A10F58">
      <w:pPr>
        <w:spacing w:before="240" w:after="0"/>
        <w:rPr>
          <w:rFonts w:cs="Calibri"/>
          <w:color w:val="000000" w:themeColor="text1"/>
          <w:sz w:val="24"/>
          <w:szCs w:val="24"/>
        </w:rPr>
      </w:pPr>
      <w:r w:rsidRPr="003A40EC">
        <w:rPr>
          <w:rFonts w:cs="Calibri"/>
          <w:color w:val="000000" w:themeColor="text1"/>
          <w:sz w:val="24"/>
          <w:szCs w:val="24"/>
        </w:rPr>
        <w:t>Section 10A</w:t>
      </w:r>
      <w:r w:rsidR="00C41901">
        <w:rPr>
          <w:rFonts w:cs="Calibri"/>
          <w:color w:val="000000" w:themeColor="text1"/>
          <w:sz w:val="24"/>
          <w:szCs w:val="24"/>
        </w:rPr>
        <w:t> </w:t>
      </w:r>
      <w:r w:rsidRPr="003A40EC">
        <w:rPr>
          <w:rFonts w:cs="Calibri"/>
          <w:color w:val="000000" w:themeColor="text1"/>
          <w:sz w:val="24"/>
          <w:szCs w:val="24"/>
        </w:rPr>
        <w:t>(</w:t>
      </w:r>
      <w:r w:rsidR="00590D94" w:rsidRPr="003A40EC">
        <w:rPr>
          <w:rFonts w:cs="Calibri"/>
          <w:color w:val="000000" w:themeColor="text1"/>
          <w:sz w:val="24"/>
          <w:szCs w:val="24"/>
        </w:rPr>
        <w:t>a</w:t>
      </w:r>
      <w:r w:rsidRPr="003A40EC">
        <w:rPr>
          <w:rFonts w:cs="Calibri"/>
          <w:color w:val="000000" w:themeColor="text1"/>
          <w:sz w:val="24"/>
          <w:szCs w:val="24"/>
        </w:rPr>
        <w:t xml:space="preserve">) recognises </w:t>
      </w:r>
      <w:r w:rsidR="00172A30" w:rsidRPr="003A40EC">
        <w:rPr>
          <w:rFonts w:cs="Calibri"/>
          <w:color w:val="000000" w:themeColor="text1"/>
          <w:sz w:val="24"/>
          <w:szCs w:val="24"/>
        </w:rPr>
        <w:t xml:space="preserve">Aboriginal and Torres Strait Islander people should participate in the care and protection of their children and young people with as much self-determination as is possible. This principle </w:t>
      </w:r>
      <w:r w:rsidR="00F86B70" w:rsidRPr="003A40EC">
        <w:rPr>
          <w:rFonts w:cs="Calibri"/>
          <w:color w:val="000000" w:themeColor="text1"/>
          <w:sz w:val="24"/>
          <w:szCs w:val="24"/>
        </w:rPr>
        <w:t>emphasise</w:t>
      </w:r>
      <w:r w:rsidR="00172A30" w:rsidRPr="003A40EC">
        <w:rPr>
          <w:rFonts w:cs="Calibri"/>
          <w:color w:val="000000" w:themeColor="text1"/>
          <w:sz w:val="24"/>
          <w:szCs w:val="24"/>
        </w:rPr>
        <w:t xml:space="preserve">s Aboriginal and Torres Strait Islander children, </w:t>
      </w:r>
      <w:r w:rsidR="006F5245">
        <w:rPr>
          <w:rFonts w:cs="Calibri"/>
          <w:color w:val="000000" w:themeColor="text1"/>
          <w:sz w:val="24"/>
          <w:szCs w:val="24"/>
        </w:rPr>
        <w:t xml:space="preserve">young persons, </w:t>
      </w:r>
      <w:r w:rsidR="00172A30" w:rsidRPr="003A40EC">
        <w:rPr>
          <w:rFonts w:cs="Calibri"/>
          <w:color w:val="000000" w:themeColor="text1"/>
          <w:sz w:val="24"/>
          <w:szCs w:val="24"/>
        </w:rPr>
        <w:t>parents and family members have the right to participate in all child protection decisions affecting them, including intervention, placement and care and judicial decisions</w:t>
      </w:r>
      <w:r w:rsidR="00DB192C" w:rsidRPr="003A40EC">
        <w:rPr>
          <w:rStyle w:val="FootnoteReference"/>
          <w:rFonts w:eastAsia="Calibri" w:cs="Calibri"/>
        </w:rPr>
        <w:footnoteReference w:id="8"/>
      </w:r>
      <w:r w:rsidR="00172A30" w:rsidRPr="003A40EC">
        <w:rPr>
          <w:rFonts w:cs="Calibri"/>
          <w:color w:val="000000" w:themeColor="text1"/>
          <w:sz w:val="24"/>
          <w:szCs w:val="24"/>
        </w:rPr>
        <w:t>.</w:t>
      </w:r>
    </w:p>
    <w:p w14:paraId="2B1FC5E5" w14:textId="36FCCC82" w:rsidR="00172A30" w:rsidRPr="00172A30" w:rsidRDefault="00DE3E0A" w:rsidP="00A10F58">
      <w:pPr>
        <w:spacing w:before="240" w:after="0"/>
        <w:rPr>
          <w:rFonts w:eastAsia="Calibri" w:cs="Calibri"/>
          <w:sz w:val="24"/>
          <w:szCs w:val="24"/>
        </w:rPr>
      </w:pPr>
      <w:r w:rsidRPr="003A40EC">
        <w:rPr>
          <w:rFonts w:cs="Calibri"/>
          <w:color w:val="000000" w:themeColor="text1"/>
          <w:sz w:val="24"/>
          <w:szCs w:val="24"/>
        </w:rPr>
        <w:t>Section 10A</w:t>
      </w:r>
      <w:r w:rsidR="00C41901">
        <w:rPr>
          <w:rFonts w:cs="Calibri"/>
          <w:color w:val="000000" w:themeColor="text1"/>
          <w:sz w:val="24"/>
          <w:szCs w:val="24"/>
        </w:rPr>
        <w:t> </w:t>
      </w:r>
      <w:r w:rsidRPr="003A40EC">
        <w:rPr>
          <w:rFonts w:cs="Calibri"/>
          <w:color w:val="000000" w:themeColor="text1"/>
          <w:sz w:val="24"/>
          <w:szCs w:val="24"/>
        </w:rPr>
        <w:t>(</w:t>
      </w:r>
      <w:r w:rsidR="00590D94" w:rsidRPr="003A40EC">
        <w:rPr>
          <w:rFonts w:cs="Calibri"/>
          <w:color w:val="000000" w:themeColor="text1"/>
          <w:sz w:val="24"/>
          <w:szCs w:val="24"/>
        </w:rPr>
        <w:t>b</w:t>
      </w:r>
      <w:r w:rsidRPr="003A40EC">
        <w:rPr>
          <w:rFonts w:cs="Calibri"/>
          <w:color w:val="000000" w:themeColor="text1"/>
          <w:sz w:val="24"/>
          <w:szCs w:val="24"/>
        </w:rPr>
        <w:t xml:space="preserve">) </w:t>
      </w:r>
      <w:r w:rsidR="00F86B70" w:rsidRPr="003A40EC">
        <w:rPr>
          <w:rFonts w:cs="Calibri"/>
          <w:color w:val="000000" w:themeColor="text1"/>
          <w:sz w:val="24"/>
          <w:szCs w:val="24"/>
        </w:rPr>
        <w:t>r</w:t>
      </w:r>
      <w:r w:rsidR="00147609" w:rsidRPr="003A40EC">
        <w:rPr>
          <w:rFonts w:cs="Calibri"/>
          <w:color w:val="000000" w:themeColor="text1"/>
          <w:sz w:val="24"/>
          <w:szCs w:val="24"/>
        </w:rPr>
        <w:t>ecognises the government’s</w:t>
      </w:r>
      <w:r w:rsidR="00147609" w:rsidRPr="00DB192C">
        <w:rPr>
          <w:rFonts w:eastAsia="Calibri" w:cs="Calibri"/>
          <w:sz w:val="24"/>
          <w:szCs w:val="24"/>
        </w:rPr>
        <w:t xml:space="preserve"> role to protect and promote an Aboriginal and Torres Strait Islander child’s cultural identity. </w:t>
      </w:r>
      <w:r w:rsidR="00F052CC">
        <w:rPr>
          <w:rFonts w:eastAsia="Calibri" w:cs="Calibri"/>
          <w:sz w:val="24"/>
          <w:szCs w:val="24"/>
        </w:rPr>
        <w:t>In the context of statutory services, t</w:t>
      </w:r>
      <w:r w:rsidR="00172A30" w:rsidRPr="00DB192C">
        <w:rPr>
          <w:rFonts w:eastAsia="Calibri" w:cs="Calibri"/>
          <w:sz w:val="24"/>
          <w:szCs w:val="24"/>
        </w:rPr>
        <w:t xml:space="preserve">his principle </w:t>
      </w:r>
      <w:r w:rsidR="00147609" w:rsidRPr="00DB192C">
        <w:rPr>
          <w:rFonts w:eastAsia="Calibri" w:cs="Calibri"/>
          <w:sz w:val="24"/>
          <w:szCs w:val="24"/>
        </w:rPr>
        <w:t xml:space="preserve">articulates the need to actively support children in out-of-home care to maintain or </w:t>
      </w:r>
      <w:r w:rsidR="00A7235C" w:rsidRPr="00DB192C">
        <w:rPr>
          <w:rFonts w:eastAsia="Calibri" w:cs="Calibri"/>
          <w:sz w:val="24"/>
          <w:szCs w:val="24"/>
        </w:rPr>
        <w:t>re-establish</w:t>
      </w:r>
      <w:r w:rsidR="00147609" w:rsidRPr="00DB192C">
        <w:rPr>
          <w:rFonts w:eastAsia="Calibri" w:cs="Calibri"/>
          <w:sz w:val="24"/>
          <w:szCs w:val="24"/>
        </w:rPr>
        <w:t xml:space="preserve"> their connections to family, community, culture and country and recognises this as in the child’s best interests.</w:t>
      </w:r>
    </w:p>
    <w:p w14:paraId="59F17DE3" w14:textId="77777777" w:rsidR="004F520A" w:rsidRDefault="004F520A">
      <w:pPr>
        <w:spacing w:after="160" w:line="259" w:lineRule="auto"/>
        <w:rPr>
          <w:rFonts w:eastAsia="Calibri" w:cs="Calibri"/>
          <w:b/>
          <w:bCs/>
          <w:sz w:val="28"/>
          <w:szCs w:val="28"/>
        </w:rPr>
      </w:pPr>
      <w:bookmarkStart w:id="0" w:name="_Hlk140855509"/>
      <w:r>
        <w:rPr>
          <w:rFonts w:eastAsia="Calibri" w:cs="Calibri"/>
          <w:b/>
          <w:bCs/>
          <w:sz w:val="28"/>
          <w:szCs w:val="28"/>
        </w:rPr>
        <w:br w:type="page"/>
      </w:r>
    </w:p>
    <w:p w14:paraId="5ED31E5D" w14:textId="5CD7B2C1" w:rsidR="00D83CB1" w:rsidRDefault="00D83CB1" w:rsidP="00A10F58">
      <w:pPr>
        <w:spacing w:before="240" w:after="0"/>
        <w:rPr>
          <w:rFonts w:eastAsia="Calibri" w:cs="Calibri"/>
          <w:b/>
          <w:bCs/>
          <w:sz w:val="24"/>
          <w:szCs w:val="24"/>
        </w:rPr>
      </w:pPr>
      <w:r w:rsidRPr="006C68DE">
        <w:rPr>
          <w:rFonts w:eastAsia="Calibri" w:cs="Calibri"/>
          <w:b/>
          <w:bCs/>
          <w:sz w:val="28"/>
          <w:szCs w:val="28"/>
        </w:rPr>
        <w:lastRenderedPageBreak/>
        <w:t>Chapter 10 Care and Protection—General</w:t>
      </w:r>
    </w:p>
    <w:p w14:paraId="75CF97AC" w14:textId="63479338" w:rsidR="00D83CB1" w:rsidRDefault="00D83CB1" w:rsidP="00A10F58">
      <w:pPr>
        <w:spacing w:before="240" w:after="0"/>
        <w:rPr>
          <w:rFonts w:eastAsia="Calibri" w:cs="Calibri"/>
          <w:b/>
          <w:sz w:val="24"/>
          <w:szCs w:val="24"/>
        </w:rPr>
      </w:pPr>
      <w:r w:rsidRPr="00D86237">
        <w:rPr>
          <w:rFonts w:eastAsia="Calibri" w:cs="Calibri"/>
          <w:b/>
          <w:sz w:val="24"/>
          <w:szCs w:val="24"/>
        </w:rPr>
        <w:t>Section 344: What is significant harm?</w:t>
      </w:r>
    </w:p>
    <w:p w14:paraId="431E0074" w14:textId="664E0AE3" w:rsidR="000F227C" w:rsidRDefault="000F227C" w:rsidP="00A10F58">
      <w:pPr>
        <w:spacing w:before="240" w:after="0"/>
        <w:rPr>
          <w:rFonts w:cs="Calibri"/>
          <w:color w:val="000000" w:themeColor="text1"/>
          <w:sz w:val="24"/>
          <w:szCs w:val="24"/>
        </w:rPr>
      </w:pPr>
      <w:r w:rsidRPr="000F227C">
        <w:rPr>
          <w:rFonts w:cs="Calibri"/>
          <w:color w:val="000000" w:themeColor="text1"/>
          <w:sz w:val="24"/>
          <w:szCs w:val="24"/>
        </w:rPr>
        <w:t>The existing definitions of abuse and neglect</w:t>
      </w:r>
      <w:r w:rsidR="00175BD8">
        <w:rPr>
          <w:rFonts w:cs="Calibri"/>
          <w:color w:val="000000" w:themeColor="text1"/>
          <w:sz w:val="24"/>
          <w:szCs w:val="24"/>
        </w:rPr>
        <w:t xml:space="preserve"> in the CYP Act</w:t>
      </w:r>
      <w:r w:rsidRPr="000F227C">
        <w:rPr>
          <w:rFonts w:cs="Calibri"/>
          <w:color w:val="000000" w:themeColor="text1"/>
          <w:sz w:val="24"/>
          <w:szCs w:val="24"/>
        </w:rPr>
        <w:t xml:space="preserve"> are divided into four subtypes: physical abuse, sexual abuse, emotional abuse and neglect. The current division creates an impression that there are strong lines of demarcation between the different abuse and neglect subtypes and that these subtypes occur in isolation.</w:t>
      </w:r>
    </w:p>
    <w:p w14:paraId="47EC1FF0" w14:textId="0E82DCB8" w:rsidR="000F227C" w:rsidRDefault="000F227C" w:rsidP="00A10F58">
      <w:pPr>
        <w:spacing w:before="240" w:after="0"/>
        <w:rPr>
          <w:rFonts w:cs="Calibri"/>
          <w:color w:val="000000" w:themeColor="text1"/>
          <w:sz w:val="24"/>
          <w:szCs w:val="24"/>
        </w:rPr>
      </w:pPr>
      <w:r w:rsidRPr="000F227C">
        <w:rPr>
          <w:rFonts w:cs="Calibri"/>
          <w:color w:val="000000" w:themeColor="text1"/>
          <w:sz w:val="24"/>
          <w:szCs w:val="24"/>
        </w:rPr>
        <w:t>Abuse and neglect are all concepts under harm and have a predominant focus on the actions and omissions of adults (either the infliction of harm or the failure to act or prevent harm). Under the current arrangement, complexity of abuse and neglect and the range of interactions and nuances between subtypes can be misinterpreted or overlooked.</w:t>
      </w:r>
      <w:bookmarkEnd w:id="0"/>
    </w:p>
    <w:p w14:paraId="3B1FB30B" w14:textId="18F79946" w:rsidR="000F227C" w:rsidRPr="00DB192C" w:rsidRDefault="00DB192C" w:rsidP="00A10F58">
      <w:pPr>
        <w:spacing w:before="240" w:after="0"/>
        <w:rPr>
          <w:rFonts w:cs="Calibri"/>
          <w:color w:val="000000" w:themeColor="text1"/>
          <w:sz w:val="24"/>
          <w:szCs w:val="24"/>
        </w:rPr>
      </w:pPr>
      <w:r w:rsidRPr="00DB192C">
        <w:rPr>
          <w:rFonts w:cs="Calibri"/>
          <w:color w:val="000000" w:themeColor="text1"/>
          <w:sz w:val="24"/>
          <w:szCs w:val="24"/>
        </w:rPr>
        <w:t xml:space="preserve">Across Australia, the focus of child protection systems has increasingly shifted away from </w:t>
      </w:r>
      <w:r w:rsidR="00C41901">
        <w:rPr>
          <w:rFonts w:cs="Calibri"/>
          <w:color w:val="000000" w:themeColor="text1"/>
          <w:sz w:val="24"/>
          <w:szCs w:val="24"/>
        </w:rPr>
        <w:t xml:space="preserve">focusing on </w:t>
      </w:r>
      <w:r w:rsidRPr="00DB192C">
        <w:rPr>
          <w:rFonts w:cs="Calibri"/>
          <w:color w:val="000000" w:themeColor="text1"/>
          <w:sz w:val="24"/>
          <w:szCs w:val="24"/>
        </w:rPr>
        <w:t xml:space="preserve">the actions of parents toward </w:t>
      </w:r>
      <w:r w:rsidR="00C41901">
        <w:rPr>
          <w:rFonts w:cs="Calibri"/>
          <w:color w:val="000000" w:themeColor="text1"/>
          <w:sz w:val="24"/>
          <w:szCs w:val="24"/>
        </w:rPr>
        <w:t xml:space="preserve">the </w:t>
      </w:r>
      <w:r w:rsidRPr="00DB192C">
        <w:rPr>
          <w:rFonts w:cs="Calibri"/>
          <w:color w:val="000000" w:themeColor="text1"/>
          <w:sz w:val="24"/>
          <w:szCs w:val="24"/>
        </w:rPr>
        <w:t>outcomes for the child.</w:t>
      </w:r>
      <w:r w:rsidRPr="00DB192C">
        <w:rPr>
          <w:rStyle w:val="FootnoteReference"/>
          <w:rFonts w:cs="Calibri"/>
          <w:color w:val="000000" w:themeColor="text1"/>
          <w:sz w:val="24"/>
          <w:szCs w:val="24"/>
        </w:rPr>
        <w:footnoteReference w:id="9"/>
      </w:r>
      <w:r w:rsidRPr="00DB192C">
        <w:rPr>
          <w:rFonts w:cs="Calibri"/>
          <w:color w:val="000000" w:themeColor="text1"/>
          <w:sz w:val="24"/>
          <w:szCs w:val="24"/>
        </w:rPr>
        <w:t xml:space="preserve"> The Standing Committee on Health, Ageing and Community Services (HACS) Interim Report on Child and Youth Protection Services (2020)</w:t>
      </w:r>
      <w:r w:rsidRPr="000F227C">
        <w:rPr>
          <w:rStyle w:val="FootnoteReference"/>
          <w:rFonts w:cs="Calibri"/>
        </w:rPr>
        <w:footnoteReference w:id="10"/>
      </w:r>
      <w:r w:rsidRPr="000F227C">
        <w:rPr>
          <w:rStyle w:val="FootnoteReference"/>
          <w:rFonts w:cs="Calibri"/>
        </w:rPr>
        <w:t xml:space="preserve"> </w:t>
      </w:r>
      <w:r w:rsidRPr="00DB192C">
        <w:rPr>
          <w:rFonts w:cs="Calibri"/>
          <w:color w:val="000000" w:themeColor="text1"/>
          <w:sz w:val="24"/>
          <w:szCs w:val="24"/>
        </w:rPr>
        <w:t xml:space="preserve">recommended the </w:t>
      </w:r>
      <w:r w:rsidRPr="00F86B70">
        <w:rPr>
          <w:rFonts w:cs="Calibri"/>
          <w:i/>
          <w:iCs/>
          <w:color w:val="000000" w:themeColor="text1"/>
          <w:sz w:val="24"/>
          <w:szCs w:val="24"/>
        </w:rPr>
        <w:t>Children and Young People Act 2008</w:t>
      </w:r>
      <w:r w:rsidRPr="00DB192C">
        <w:rPr>
          <w:rFonts w:cs="Calibri"/>
          <w:color w:val="000000" w:themeColor="text1"/>
          <w:sz w:val="24"/>
          <w:szCs w:val="24"/>
        </w:rPr>
        <w:t xml:space="preserve"> be amended to better address the identification of cumulative harm</w:t>
      </w:r>
      <w:r w:rsidR="00F86B70">
        <w:rPr>
          <w:rFonts w:cs="Calibri"/>
          <w:color w:val="000000" w:themeColor="text1"/>
          <w:sz w:val="24"/>
          <w:szCs w:val="24"/>
        </w:rPr>
        <w:t xml:space="preserve"> </w:t>
      </w:r>
      <w:r w:rsidRPr="00DB192C">
        <w:rPr>
          <w:rFonts w:cs="Calibri"/>
          <w:color w:val="000000" w:themeColor="text1"/>
          <w:sz w:val="24"/>
          <w:szCs w:val="24"/>
        </w:rPr>
        <w:t>and intervention for children and young people at risk of cumulative harm. It also recommended a statutory mechanism be developed to better determine the severity of various types of alleged neglect and abuse.</w:t>
      </w:r>
    </w:p>
    <w:p w14:paraId="0CF02D89" w14:textId="67FAEE4F" w:rsidR="00175BD8" w:rsidRDefault="00D83CB1" w:rsidP="00A10F58">
      <w:pPr>
        <w:spacing w:before="240" w:after="0"/>
        <w:rPr>
          <w:rFonts w:cs="Calibri"/>
          <w:color w:val="000000" w:themeColor="text1"/>
          <w:sz w:val="24"/>
          <w:szCs w:val="24"/>
        </w:rPr>
      </w:pPr>
      <w:r w:rsidRPr="00DB192C">
        <w:rPr>
          <w:rFonts w:eastAsia="Calibri" w:cs="Calibri"/>
          <w:sz w:val="24"/>
          <w:szCs w:val="24"/>
        </w:rPr>
        <w:t xml:space="preserve">Part 10.2 of </w:t>
      </w:r>
      <w:r w:rsidR="00D92C0F">
        <w:rPr>
          <w:rFonts w:eastAsia="Calibri" w:cs="Calibri"/>
          <w:sz w:val="24"/>
          <w:szCs w:val="24"/>
        </w:rPr>
        <w:t>c</w:t>
      </w:r>
      <w:r w:rsidRPr="00DB192C">
        <w:rPr>
          <w:rFonts w:eastAsia="Calibri" w:cs="Calibri"/>
          <w:sz w:val="24"/>
          <w:szCs w:val="24"/>
        </w:rPr>
        <w:t xml:space="preserve">hapter 10, </w:t>
      </w:r>
      <w:r w:rsidR="00D92C0F">
        <w:rPr>
          <w:rFonts w:eastAsia="Calibri" w:cs="Calibri"/>
          <w:sz w:val="24"/>
          <w:szCs w:val="24"/>
        </w:rPr>
        <w:t>s</w:t>
      </w:r>
      <w:r w:rsidRPr="00DB192C">
        <w:rPr>
          <w:rFonts w:eastAsia="Calibri" w:cs="Calibri"/>
          <w:sz w:val="24"/>
          <w:szCs w:val="24"/>
        </w:rPr>
        <w:t>ection 344</w:t>
      </w:r>
      <w:r w:rsidR="0058238F" w:rsidRPr="00DB192C">
        <w:rPr>
          <w:rFonts w:eastAsia="Calibri" w:cs="Calibri"/>
          <w:sz w:val="24"/>
          <w:szCs w:val="24"/>
        </w:rPr>
        <w:t xml:space="preserve"> reorganises concepts of abuse and neglect toward </w:t>
      </w:r>
      <w:r w:rsidR="00175BD8">
        <w:rPr>
          <w:rFonts w:eastAsia="Calibri" w:cs="Calibri"/>
          <w:sz w:val="24"/>
          <w:szCs w:val="24"/>
        </w:rPr>
        <w:t xml:space="preserve">an </w:t>
      </w:r>
      <w:r w:rsidR="0058238F" w:rsidRPr="00DB192C">
        <w:rPr>
          <w:rFonts w:eastAsia="Calibri" w:cs="Calibri"/>
          <w:sz w:val="24"/>
          <w:szCs w:val="24"/>
        </w:rPr>
        <w:t>overarching concept of significant harm</w:t>
      </w:r>
      <w:r w:rsidR="001716EE" w:rsidRPr="00DB192C">
        <w:rPr>
          <w:rFonts w:eastAsia="Calibri" w:cs="Calibri"/>
          <w:sz w:val="24"/>
          <w:szCs w:val="24"/>
        </w:rPr>
        <w:t xml:space="preserve">. The Bill defines significant harm as </w:t>
      </w:r>
      <w:r w:rsidR="001716EE" w:rsidRPr="00DB192C">
        <w:rPr>
          <w:rFonts w:eastAsia="Calibri" w:cs="Calibri"/>
          <w:i/>
          <w:iCs/>
          <w:sz w:val="24"/>
          <w:szCs w:val="24"/>
        </w:rPr>
        <w:t>‘any detrimental effect of a significant nature on the safety, welfare and wellbeing of the child or young person</w:t>
      </w:r>
      <w:r w:rsidR="00BE2FA5">
        <w:rPr>
          <w:rFonts w:eastAsia="Calibri" w:cs="Calibri"/>
          <w:i/>
          <w:iCs/>
          <w:sz w:val="24"/>
          <w:szCs w:val="24"/>
        </w:rPr>
        <w:t>.</w:t>
      </w:r>
      <w:r w:rsidR="001716EE" w:rsidRPr="00DB192C">
        <w:rPr>
          <w:rFonts w:eastAsia="Calibri" w:cs="Calibri"/>
          <w:i/>
          <w:iCs/>
          <w:sz w:val="24"/>
          <w:szCs w:val="24"/>
        </w:rPr>
        <w:t>’</w:t>
      </w:r>
      <w:r w:rsidR="001716EE" w:rsidRPr="00DB192C">
        <w:rPr>
          <w:rFonts w:eastAsia="Calibri" w:cs="Calibri"/>
          <w:sz w:val="24"/>
          <w:szCs w:val="24"/>
        </w:rPr>
        <w:t xml:space="preserve"> </w:t>
      </w:r>
      <w:r w:rsidR="00F86B70" w:rsidRPr="00F86B70">
        <w:rPr>
          <w:rFonts w:eastAsia="Calibri" w:cs="Calibri"/>
          <w:sz w:val="24"/>
          <w:szCs w:val="24"/>
        </w:rPr>
        <w:t>By restructuring the definitions of abuse and neglect under the concept of significant harm</w:t>
      </w:r>
      <w:r w:rsidR="00F86B70">
        <w:rPr>
          <w:rFonts w:eastAsia="Calibri" w:cs="Calibri"/>
          <w:sz w:val="24"/>
          <w:szCs w:val="24"/>
        </w:rPr>
        <w:t xml:space="preserve">, the Bill </w:t>
      </w:r>
      <w:r w:rsidR="001716EE" w:rsidRPr="00DB192C">
        <w:rPr>
          <w:rFonts w:eastAsia="Calibri" w:cs="Calibri"/>
          <w:sz w:val="24"/>
          <w:szCs w:val="24"/>
        </w:rPr>
        <w:t xml:space="preserve">intends to provide a broader, less prescriptive definition of when and how statutory child protection services can and should support families. It also allows for </w:t>
      </w:r>
      <w:r w:rsidR="001716EE" w:rsidRPr="003A40EC">
        <w:rPr>
          <w:rFonts w:cs="Calibri"/>
          <w:color w:val="000000" w:themeColor="text1"/>
          <w:sz w:val="24"/>
          <w:szCs w:val="24"/>
        </w:rPr>
        <w:t>greater flexibility to divert families earlier to non-statutory support services, where appropriate to do so.</w:t>
      </w:r>
    </w:p>
    <w:p w14:paraId="61540958" w14:textId="0F5170D8" w:rsidR="00175BD8" w:rsidRPr="00175BD8" w:rsidRDefault="00175BD8" w:rsidP="00A10F58">
      <w:pPr>
        <w:spacing w:before="240" w:after="0"/>
        <w:rPr>
          <w:rFonts w:cs="Calibri"/>
          <w:i/>
          <w:iCs/>
          <w:color w:val="000000" w:themeColor="text1"/>
          <w:sz w:val="24"/>
          <w:szCs w:val="24"/>
        </w:rPr>
      </w:pPr>
      <w:r>
        <w:rPr>
          <w:rFonts w:cs="Calibri"/>
          <w:i/>
          <w:iCs/>
          <w:color w:val="000000" w:themeColor="text1"/>
          <w:sz w:val="24"/>
          <w:szCs w:val="24"/>
        </w:rPr>
        <w:t>The b</w:t>
      </w:r>
      <w:r w:rsidRPr="00175BD8">
        <w:rPr>
          <w:rFonts w:cs="Calibri"/>
          <w:i/>
          <w:iCs/>
          <w:color w:val="000000" w:themeColor="text1"/>
          <w:sz w:val="24"/>
          <w:szCs w:val="24"/>
        </w:rPr>
        <w:t>alance of probabilit</w:t>
      </w:r>
      <w:r w:rsidR="00D560B4">
        <w:rPr>
          <w:rFonts w:cs="Calibri"/>
          <w:i/>
          <w:iCs/>
          <w:color w:val="000000" w:themeColor="text1"/>
          <w:sz w:val="24"/>
          <w:szCs w:val="24"/>
        </w:rPr>
        <w:t>ies</w:t>
      </w:r>
      <w:r w:rsidRPr="00175BD8">
        <w:rPr>
          <w:rFonts w:cs="Calibri"/>
          <w:i/>
          <w:iCs/>
          <w:color w:val="000000" w:themeColor="text1"/>
          <w:sz w:val="24"/>
          <w:szCs w:val="24"/>
        </w:rPr>
        <w:t xml:space="preserve"> test</w:t>
      </w:r>
    </w:p>
    <w:p w14:paraId="166FA79F" w14:textId="1E18F1C6" w:rsidR="00CC1266" w:rsidRPr="003A40EC" w:rsidRDefault="00817952" w:rsidP="00A10F58">
      <w:pPr>
        <w:spacing w:before="240" w:after="0"/>
        <w:rPr>
          <w:rFonts w:cs="Calibri"/>
          <w:color w:val="000000" w:themeColor="text1"/>
          <w:sz w:val="24"/>
          <w:szCs w:val="24"/>
        </w:rPr>
      </w:pPr>
      <w:r w:rsidRPr="003A40EC">
        <w:rPr>
          <w:rFonts w:cs="Calibri"/>
          <w:color w:val="000000" w:themeColor="text1"/>
          <w:sz w:val="24"/>
          <w:szCs w:val="24"/>
        </w:rPr>
        <w:t>Currently, at section 344</w:t>
      </w:r>
      <w:r w:rsidR="00CC1266" w:rsidRPr="003A40EC">
        <w:rPr>
          <w:rFonts w:cs="Calibri"/>
          <w:color w:val="000000" w:themeColor="text1"/>
          <w:sz w:val="24"/>
          <w:szCs w:val="24"/>
        </w:rPr>
        <w:t xml:space="preserve"> of CYP Act</w:t>
      </w:r>
      <w:r w:rsidRPr="003A40EC">
        <w:rPr>
          <w:rFonts w:cs="Calibri"/>
          <w:color w:val="000000" w:themeColor="text1"/>
          <w:sz w:val="24"/>
          <w:szCs w:val="24"/>
        </w:rPr>
        <w:t>, the term 'risk of abuse or neglect' is defined using the 'balance of probabilities' test to determine if there is a significant likelihood of a child or young person experiencing abuse or neglect. In civil court proceedings, the 'balance of probabilities' test is used to establish the likelihood of an event or fact, which differs from the higher standard of proof, 'beyond a reasonable doubt'</w:t>
      </w:r>
      <w:r w:rsidR="00175BD8">
        <w:rPr>
          <w:rFonts w:cs="Calibri"/>
          <w:color w:val="000000" w:themeColor="text1"/>
          <w:sz w:val="24"/>
          <w:szCs w:val="24"/>
        </w:rPr>
        <w:t>,</w:t>
      </w:r>
      <w:r w:rsidRPr="003A40EC">
        <w:rPr>
          <w:rFonts w:cs="Calibri"/>
          <w:color w:val="000000" w:themeColor="text1"/>
          <w:sz w:val="24"/>
          <w:szCs w:val="24"/>
        </w:rPr>
        <w:t xml:space="preserve"> applied in criminal court proceedings.</w:t>
      </w:r>
    </w:p>
    <w:p w14:paraId="410F221A" w14:textId="20953BE5" w:rsidR="00CC1266" w:rsidRPr="003A40EC" w:rsidRDefault="00CC1266" w:rsidP="00A10F58">
      <w:pPr>
        <w:spacing w:before="240" w:after="0"/>
        <w:rPr>
          <w:rFonts w:cs="Calibri"/>
          <w:color w:val="000000" w:themeColor="text1"/>
          <w:sz w:val="24"/>
          <w:szCs w:val="24"/>
        </w:rPr>
      </w:pPr>
      <w:r w:rsidRPr="003A40EC">
        <w:rPr>
          <w:rFonts w:cs="Calibri"/>
          <w:color w:val="000000" w:themeColor="text1"/>
          <w:sz w:val="24"/>
          <w:szCs w:val="24"/>
        </w:rPr>
        <w:lastRenderedPageBreak/>
        <w:t xml:space="preserve">The current definition of 'risk of abuse and neglect' has generated concerns as it introduces the legal concept of 'balance of probabilities' during the </w:t>
      </w:r>
      <w:r w:rsidR="00175BD8">
        <w:rPr>
          <w:rFonts w:cs="Calibri"/>
          <w:color w:val="000000" w:themeColor="text1"/>
          <w:sz w:val="24"/>
          <w:szCs w:val="24"/>
        </w:rPr>
        <w:t xml:space="preserve">early </w:t>
      </w:r>
      <w:r w:rsidRPr="003A40EC">
        <w:rPr>
          <w:rFonts w:cs="Calibri"/>
          <w:color w:val="000000" w:themeColor="text1"/>
          <w:sz w:val="24"/>
          <w:szCs w:val="24"/>
        </w:rPr>
        <w:t xml:space="preserve">intake assessment phase. The subjective nature and application of this concept can lead to confusion and interference when conducting early risk assessments and providing support to children and families. It is important to recognise that </w:t>
      </w:r>
      <w:r w:rsidR="00C41901">
        <w:rPr>
          <w:rFonts w:cs="Calibri"/>
          <w:color w:val="000000" w:themeColor="text1"/>
          <w:sz w:val="24"/>
          <w:szCs w:val="24"/>
        </w:rPr>
        <w:t>the</w:t>
      </w:r>
      <w:r w:rsidRPr="003A40EC">
        <w:rPr>
          <w:rFonts w:cs="Calibri"/>
          <w:color w:val="000000" w:themeColor="text1"/>
          <w:sz w:val="24"/>
          <w:szCs w:val="24"/>
        </w:rPr>
        <w:t xml:space="preserve"> possibility of </w:t>
      </w:r>
      <w:r w:rsidR="00C41901">
        <w:rPr>
          <w:rFonts w:cs="Calibri"/>
          <w:color w:val="000000" w:themeColor="text1"/>
          <w:sz w:val="24"/>
          <w:szCs w:val="24"/>
        </w:rPr>
        <w:t xml:space="preserve">significant </w:t>
      </w:r>
      <w:r w:rsidRPr="003A40EC">
        <w:rPr>
          <w:rFonts w:cs="Calibri"/>
          <w:color w:val="000000" w:themeColor="text1"/>
          <w:sz w:val="24"/>
          <w:szCs w:val="24"/>
        </w:rPr>
        <w:t>harm occurring</w:t>
      </w:r>
      <w:r w:rsidR="00D560B4">
        <w:rPr>
          <w:rFonts w:cs="Calibri"/>
          <w:color w:val="000000" w:themeColor="text1"/>
          <w:sz w:val="24"/>
          <w:szCs w:val="24"/>
        </w:rPr>
        <w:t xml:space="preserve"> (extending beyond the balance of probabilities test)</w:t>
      </w:r>
      <w:r w:rsidRPr="003A40EC">
        <w:rPr>
          <w:rFonts w:cs="Calibri"/>
          <w:color w:val="000000" w:themeColor="text1"/>
          <w:sz w:val="24"/>
          <w:szCs w:val="24"/>
        </w:rPr>
        <w:t xml:space="preserve"> may justify taking precautions or providing support to mitigate risks for children and young people</w:t>
      </w:r>
      <w:r w:rsidR="00D560B4">
        <w:rPr>
          <w:rFonts w:cs="Calibri"/>
          <w:color w:val="000000" w:themeColor="text1"/>
          <w:sz w:val="24"/>
          <w:szCs w:val="24"/>
        </w:rPr>
        <w:t>.</w:t>
      </w:r>
    </w:p>
    <w:p w14:paraId="6697CFE6" w14:textId="3D76304B" w:rsidR="00D560B4" w:rsidRDefault="00CC1266" w:rsidP="00A10F58">
      <w:pPr>
        <w:spacing w:before="240" w:after="0"/>
        <w:rPr>
          <w:rFonts w:cs="Calibri"/>
          <w:color w:val="000000" w:themeColor="text1"/>
          <w:sz w:val="24"/>
          <w:szCs w:val="24"/>
        </w:rPr>
      </w:pPr>
      <w:r w:rsidRPr="003A40EC">
        <w:rPr>
          <w:rFonts w:cs="Calibri"/>
          <w:color w:val="000000" w:themeColor="text1"/>
          <w:sz w:val="24"/>
          <w:szCs w:val="24"/>
        </w:rPr>
        <w:t xml:space="preserve">The Bill removes the balance of probabilities test as the standard of proof required when undertaking assessments and providing support to children and families. </w:t>
      </w:r>
      <w:r w:rsidR="00817952" w:rsidRPr="003A40EC">
        <w:rPr>
          <w:rFonts w:cs="Calibri"/>
          <w:color w:val="000000" w:themeColor="text1"/>
          <w:sz w:val="24"/>
          <w:szCs w:val="24"/>
        </w:rPr>
        <w:t>This is a significant move away from a system focused on the investigation of families to a high legal standard of proof at a very early stage</w:t>
      </w:r>
      <w:r w:rsidR="00D560B4">
        <w:rPr>
          <w:rFonts w:cs="Calibri"/>
          <w:color w:val="000000" w:themeColor="text1"/>
          <w:sz w:val="24"/>
          <w:szCs w:val="24"/>
        </w:rPr>
        <w:t xml:space="preserve"> of assessment </w:t>
      </w:r>
      <w:r w:rsidR="00817952" w:rsidRPr="003A40EC">
        <w:rPr>
          <w:rFonts w:cs="Calibri"/>
          <w:color w:val="000000" w:themeColor="text1"/>
          <w:sz w:val="24"/>
          <w:szCs w:val="24"/>
        </w:rPr>
        <w:t>toward a system that better assesses need</w:t>
      </w:r>
      <w:r w:rsidR="00D560B4">
        <w:rPr>
          <w:rFonts w:cs="Calibri"/>
          <w:color w:val="000000" w:themeColor="text1"/>
          <w:sz w:val="24"/>
          <w:szCs w:val="24"/>
        </w:rPr>
        <w:t xml:space="preserve"> </w:t>
      </w:r>
      <w:r w:rsidR="00817952" w:rsidRPr="003A40EC">
        <w:rPr>
          <w:rFonts w:cs="Calibri"/>
          <w:color w:val="000000" w:themeColor="text1"/>
          <w:sz w:val="24"/>
          <w:szCs w:val="24"/>
        </w:rPr>
        <w:t>and provides supports to at risk children and their families. The CYP Act will still require the civil standard of proof (known as the balance of probabilities) in Childrens Court proceedings at section 711 of the CYP Act.</w:t>
      </w:r>
    </w:p>
    <w:p w14:paraId="2144FF30" w14:textId="73BF4CE1" w:rsidR="00D560B4" w:rsidRPr="00D560B4" w:rsidRDefault="00D560B4" w:rsidP="00A10F58">
      <w:pPr>
        <w:spacing w:before="240" w:after="0"/>
        <w:rPr>
          <w:rFonts w:cs="Calibri"/>
          <w:i/>
          <w:iCs/>
          <w:color w:val="000000" w:themeColor="text1"/>
          <w:sz w:val="24"/>
          <w:szCs w:val="24"/>
        </w:rPr>
      </w:pPr>
      <w:r w:rsidRPr="00D560B4">
        <w:rPr>
          <w:rFonts w:cs="Calibri"/>
          <w:i/>
          <w:iCs/>
          <w:color w:val="000000" w:themeColor="text1"/>
          <w:sz w:val="24"/>
          <w:szCs w:val="24"/>
        </w:rPr>
        <w:t>Redefined concepts of child maltreatment</w:t>
      </w:r>
    </w:p>
    <w:p w14:paraId="40B18860" w14:textId="077F918A" w:rsidR="00D560B4" w:rsidRDefault="004C376D" w:rsidP="00A10F58">
      <w:pPr>
        <w:spacing w:before="240" w:after="0"/>
        <w:rPr>
          <w:rFonts w:cs="Calibri"/>
          <w:color w:val="000000" w:themeColor="text1"/>
          <w:sz w:val="24"/>
          <w:szCs w:val="24"/>
        </w:rPr>
      </w:pPr>
      <w:r w:rsidRPr="00D560B4">
        <w:rPr>
          <w:rFonts w:cs="Calibri"/>
          <w:color w:val="000000" w:themeColor="text1"/>
          <w:sz w:val="24"/>
          <w:szCs w:val="24"/>
        </w:rPr>
        <w:t>Under the framework of risk of significant harm, the Bill introduces several important provisions to enhance</w:t>
      </w:r>
      <w:r w:rsidR="00D560B4">
        <w:rPr>
          <w:rFonts w:cs="Calibri"/>
          <w:color w:val="000000" w:themeColor="text1"/>
          <w:sz w:val="24"/>
          <w:szCs w:val="24"/>
        </w:rPr>
        <w:t xml:space="preserve"> identification and response to child maltreatment</w:t>
      </w:r>
      <w:r w:rsidRPr="00D560B4">
        <w:rPr>
          <w:rFonts w:cs="Calibri"/>
          <w:color w:val="000000" w:themeColor="text1"/>
          <w:sz w:val="24"/>
          <w:szCs w:val="24"/>
        </w:rPr>
        <w:t>. Firstly, it seeks to</w:t>
      </w:r>
      <w:r w:rsidRPr="003A40EC">
        <w:rPr>
          <w:rFonts w:cs="Calibri"/>
          <w:color w:val="000000" w:themeColor="text1"/>
          <w:sz w:val="24"/>
          <w:szCs w:val="24"/>
        </w:rPr>
        <w:t xml:space="preserve"> incorporate a new provision that takes into account cumulative patterns</w:t>
      </w:r>
      <w:r w:rsidRPr="004C376D">
        <w:rPr>
          <w:rFonts w:eastAsia="Calibri" w:cs="Calibri"/>
          <w:sz w:val="24"/>
          <w:szCs w:val="24"/>
        </w:rPr>
        <w:t xml:space="preserve"> of harm experienced by a child or young person. This approach recognises that harm may arise from a </w:t>
      </w:r>
      <w:r w:rsidRPr="00880129">
        <w:rPr>
          <w:rFonts w:cs="Calibri"/>
          <w:color w:val="000000" w:themeColor="text1"/>
          <w:sz w:val="24"/>
          <w:szCs w:val="24"/>
        </w:rPr>
        <w:t xml:space="preserve">series of incidents over time, not just </w:t>
      </w:r>
      <w:r w:rsidRPr="003A40EC">
        <w:rPr>
          <w:rFonts w:cs="Calibri"/>
          <w:color w:val="000000" w:themeColor="text1"/>
          <w:sz w:val="24"/>
          <w:szCs w:val="24"/>
        </w:rPr>
        <w:t>isolated events.</w:t>
      </w:r>
    </w:p>
    <w:p w14:paraId="4BF7B37D" w14:textId="01047823" w:rsidR="004C376D" w:rsidRPr="003A40EC" w:rsidRDefault="004C376D" w:rsidP="00A10F58">
      <w:pPr>
        <w:spacing w:before="240" w:after="0"/>
        <w:rPr>
          <w:rFonts w:cs="Calibri"/>
          <w:color w:val="000000" w:themeColor="text1"/>
          <w:sz w:val="24"/>
          <w:szCs w:val="24"/>
        </w:rPr>
      </w:pPr>
      <w:r w:rsidRPr="003A40EC">
        <w:rPr>
          <w:rFonts w:cs="Calibri"/>
          <w:color w:val="000000" w:themeColor="text1"/>
          <w:sz w:val="24"/>
          <w:szCs w:val="24"/>
        </w:rPr>
        <w:t>The Bill proposes to expand the definition of sexual abuse to include grooming and sexual exploitation. By doing so, it addresses the broader range of harmful behaviours and actions that can cause significant harm to children and young people in these contexts. Grooming behaviour involves the perpetrator manipulating a child to gain their trust, build rapport, and exert power over them, which is a serious criminal offense in the ACT punishable by law</w:t>
      </w:r>
      <w:r w:rsidR="00D560B4" w:rsidRPr="00880129">
        <w:rPr>
          <w:rStyle w:val="FootnoteReference"/>
          <w:rFonts w:cs="Calibri"/>
          <w:color w:val="000000" w:themeColor="text1"/>
          <w:sz w:val="24"/>
          <w:szCs w:val="24"/>
        </w:rPr>
        <w:footnoteReference w:id="11"/>
      </w:r>
      <w:r w:rsidRPr="003A40EC">
        <w:rPr>
          <w:rFonts w:cs="Calibri"/>
          <w:color w:val="000000" w:themeColor="text1"/>
          <w:sz w:val="24"/>
          <w:szCs w:val="24"/>
        </w:rPr>
        <w:t xml:space="preserve"> but is not specifically addressed under</w:t>
      </w:r>
      <w:r w:rsidR="00F052CC">
        <w:rPr>
          <w:rFonts w:cs="Calibri"/>
          <w:color w:val="000000" w:themeColor="text1"/>
          <w:sz w:val="24"/>
          <w:szCs w:val="24"/>
        </w:rPr>
        <w:t xml:space="preserve"> existing</w:t>
      </w:r>
      <w:r w:rsidRPr="003A40EC">
        <w:rPr>
          <w:rFonts w:cs="Calibri"/>
          <w:color w:val="000000" w:themeColor="text1"/>
          <w:sz w:val="24"/>
          <w:szCs w:val="24"/>
        </w:rPr>
        <w:t xml:space="preserve"> child protection legislation.</w:t>
      </w:r>
      <w:r w:rsidR="00B54D13" w:rsidRPr="00B54D13">
        <w:t xml:space="preserve"> </w:t>
      </w:r>
      <w:r w:rsidR="00B54D13" w:rsidRPr="00B54D13">
        <w:rPr>
          <w:rFonts w:cs="Calibri"/>
          <w:color w:val="000000" w:themeColor="text1"/>
          <w:sz w:val="24"/>
          <w:szCs w:val="24"/>
        </w:rPr>
        <w:t>It is</w:t>
      </w:r>
      <w:r w:rsidR="00B54D13">
        <w:rPr>
          <w:rFonts w:cs="Calibri"/>
          <w:color w:val="000000" w:themeColor="text1"/>
          <w:sz w:val="24"/>
          <w:szCs w:val="24"/>
        </w:rPr>
        <w:t xml:space="preserve"> </w:t>
      </w:r>
      <w:r w:rsidR="00B54D13" w:rsidRPr="00B54D13">
        <w:rPr>
          <w:rFonts w:cs="Calibri"/>
          <w:color w:val="000000" w:themeColor="text1"/>
          <w:sz w:val="24"/>
          <w:szCs w:val="24"/>
        </w:rPr>
        <w:t>expected that a wider statutory definition of sexual abuse unified alongside other forms of abuse and risk will reflect and allow for a more progressive and responsive policy approach to child sexual abuse and meets ACT Government</w:t>
      </w:r>
      <w:r w:rsidR="00761540">
        <w:rPr>
          <w:rFonts w:cs="Calibri"/>
          <w:color w:val="000000" w:themeColor="text1"/>
          <w:sz w:val="24"/>
          <w:szCs w:val="24"/>
        </w:rPr>
        <w:t>’s</w:t>
      </w:r>
      <w:r w:rsidR="00B54D13" w:rsidRPr="00B54D13">
        <w:rPr>
          <w:rFonts w:cs="Calibri"/>
          <w:color w:val="000000" w:themeColor="text1"/>
          <w:sz w:val="24"/>
          <w:szCs w:val="24"/>
        </w:rPr>
        <w:t xml:space="preserve"> commitments to improving systemic responses to child sexual abuse.</w:t>
      </w:r>
    </w:p>
    <w:p w14:paraId="0B6A9EF5" w14:textId="7736B9BF" w:rsidR="004C376D" w:rsidRPr="003A40EC" w:rsidRDefault="004C376D" w:rsidP="00A10F58">
      <w:pPr>
        <w:spacing w:before="240" w:after="0"/>
        <w:rPr>
          <w:rFonts w:cs="Calibri"/>
          <w:color w:val="000000" w:themeColor="text1"/>
          <w:sz w:val="24"/>
          <w:szCs w:val="24"/>
        </w:rPr>
      </w:pPr>
      <w:r w:rsidRPr="003A40EC">
        <w:rPr>
          <w:rFonts w:cs="Calibri"/>
          <w:color w:val="000000" w:themeColor="text1"/>
          <w:sz w:val="24"/>
          <w:szCs w:val="24"/>
        </w:rPr>
        <w:t xml:space="preserve">The Bill introduces a revised definition of neglect that includes circumstances where a child or young person's </w:t>
      </w:r>
      <w:r w:rsidR="00B54D13">
        <w:rPr>
          <w:rFonts w:cs="Calibri"/>
          <w:color w:val="000000" w:themeColor="text1"/>
          <w:sz w:val="24"/>
          <w:szCs w:val="24"/>
        </w:rPr>
        <w:t>‘</w:t>
      </w:r>
      <w:r w:rsidRPr="00B54D13">
        <w:rPr>
          <w:rFonts w:cs="Calibri"/>
          <w:i/>
          <w:iCs/>
          <w:color w:val="000000" w:themeColor="text1"/>
          <w:sz w:val="24"/>
          <w:szCs w:val="24"/>
        </w:rPr>
        <w:t>basic physical, emotional, developmental, or psychological needs are not being met</w:t>
      </w:r>
      <w:r w:rsidR="00B54D13">
        <w:rPr>
          <w:rFonts w:cs="Calibri"/>
          <w:i/>
          <w:iCs/>
          <w:color w:val="000000" w:themeColor="text1"/>
          <w:sz w:val="24"/>
          <w:szCs w:val="24"/>
        </w:rPr>
        <w:t>’</w:t>
      </w:r>
      <w:r w:rsidRPr="003A40EC">
        <w:rPr>
          <w:rFonts w:cs="Calibri"/>
          <w:color w:val="000000" w:themeColor="text1"/>
          <w:sz w:val="24"/>
          <w:szCs w:val="24"/>
        </w:rPr>
        <w:t>. This broader definition aims to avoid unhelpful stigmatisation and create an environment where families are more likely to seek and receive the necessary help and support to ensure the wellbeing of their children.</w:t>
      </w:r>
    </w:p>
    <w:p w14:paraId="3EF474C3" w14:textId="2D920902" w:rsidR="00B54D13" w:rsidRDefault="004C376D" w:rsidP="00A10F58">
      <w:pPr>
        <w:spacing w:before="240" w:after="0"/>
        <w:rPr>
          <w:rFonts w:cs="Calibri"/>
          <w:color w:val="000000" w:themeColor="text1"/>
          <w:sz w:val="24"/>
          <w:szCs w:val="24"/>
        </w:rPr>
      </w:pPr>
      <w:r w:rsidRPr="003A40EC">
        <w:rPr>
          <w:rFonts w:cs="Calibri"/>
          <w:color w:val="000000" w:themeColor="text1"/>
          <w:sz w:val="24"/>
          <w:szCs w:val="24"/>
        </w:rPr>
        <w:lastRenderedPageBreak/>
        <w:t xml:space="preserve">The Bill also aligns the definition of family violence with the </w:t>
      </w:r>
      <w:r w:rsidRPr="00B54D13">
        <w:rPr>
          <w:rFonts w:cs="Calibri"/>
          <w:i/>
          <w:iCs/>
          <w:color w:val="000000" w:themeColor="text1"/>
          <w:sz w:val="24"/>
          <w:szCs w:val="24"/>
        </w:rPr>
        <w:t>Family Violence Act 2016</w:t>
      </w:r>
      <w:r w:rsidRPr="003A40EC">
        <w:rPr>
          <w:rFonts w:cs="Calibri"/>
          <w:color w:val="000000" w:themeColor="text1"/>
          <w:sz w:val="24"/>
          <w:szCs w:val="24"/>
        </w:rPr>
        <w:t>, ensuring consistency and comprehensive coverage in addressing</w:t>
      </w:r>
      <w:r w:rsidR="00B54D13">
        <w:rPr>
          <w:rFonts w:cs="Calibri"/>
          <w:color w:val="000000" w:themeColor="text1"/>
          <w:sz w:val="24"/>
          <w:szCs w:val="24"/>
        </w:rPr>
        <w:t xml:space="preserve"> </w:t>
      </w:r>
      <w:r w:rsidRPr="003A40EC">
        <w:rPr>
          <w:rFonts w:cs="Calibri"/>
          <w:color w:val="000000" w:themeColor="text1"/>
          <w:sz w:val="24"/>
          <w:szCs w:val="24"/>
        </w:rPr>
        <w:t>family violence concerns related to child protection</w:t>
      </w:r>
      <w:r w:rsidR="00B54D13">
        <w:rPr>
          <w:rFonts w:cs="Calibri"/>
          <w:color w:val="000000" w:themeColor="text1"/>
          <w:sz w:val="24"/>
          <w:szCs w:val="24"/>
        </w:rPr>
        <w:t xml:space="preserve">. </w:t>
      </w:r>
      <w:r w:rsidRPr="003A40EC">
        <w:rPr>
          <w:rFonts w:cs="Calibri"/>
          <w:color w:val="000000" w:themeColor="text1"/>
          <w:sz w:val="24"/>
          <w:szCs w:val="24"/>
        </w:rPr>
        <w:t>The existing legislative requirement that a child must have 'seen' or 'heard' inciden</w:t>
      </w:r>
      <w:r w:rsidR="00B54D13">
        <w:rPr>
          <w:rFonts w:cs="Calibri"/>
          <w:color w:val="000000" w:themeColor="text1"/>
          <w:sz w:val="24"/>
          <w:szCs w:val="24"/>
        </w:rPr>
        <w:t>ces</w:t>
      </w:r>
      <w:r w:rsidRPr="003A40EC">
        <w:rPr>
          <w:rFonts w:cs="Calibri"/>
          <w:color w:val="000000" w:themeColor="text1"/>
          <w:sz w:val="24"/>
          <w:szCs w:val="24"/>
        </w:rPr>
        <w:t xml:space="preserve"> of violence, and </w:t>
      </w:r>
      <w:r w:rsidR="00B54D13">
        <w:rPr>
          <w:rFonts w:cs="Calibri"/>
          <w:color w:val="000000" w:themeColor="text1"/>
          <w:sz w:val="24"/>
          <w:szCs w:val="24"/>
        </w:rPr>
        <w:t xml:space="preserve">that </w:t>
      </w:r>
      <w:r w:rsidRPr="003A40EC">
        <w:rPr>
          <w:rFonts w:cs="Calibri"/>
          <w:color w:val="000000" w:themeColor="text1"/>
          <w:sz w:val="24"/>
          <w:szCs w:val="24"/>
        </w:rPr>
        <w:t>it must have caused a significant impact on them, is problematic</w:t>
      </w:r>
      <w:r w:rsidR="00880129">
        <w:rPr>
          <w:rStyle w:val="FootnoteReference"/>
          <w:color w:val="000000" w:themeColor="text1"/>
          <w:sz w:val="24"/>
          <w:szCs w:val="24"/>
        </w:rPr>
        <w:footnoteReference w:id="12"/>
      </w:r>
      <w:r w:rsidRPr="003A40EC">
        <w:rPr>
          <w:rFonts w:cs="Calibri"/>
          <w:color w:val="000000" w:themeColor="text1"/>
          <w:sz w:val="24"/>
          <w:szCs w:val="24"/>
        </w:rPr>
        <w:t xml:space="preserve">. Extensive research has challenged the notion that children are passive and unaffected by </w:t>
      </w:r>
      <w:r w:rsidR="00B54D13">
        <w:rPr>
          <w:rFonts w:cs="Calibri"/>
          <w:color w:val="000000" w:themeColor="text1"/>
          <w:sz w:val="24"/>
          <w:szCs w:val="24"/>
        </w:rPr>
        <w:t xml:space="preserve">family </w:t>
      </w:r>
      <w:r w:rsidRPr="003A40EC">
        <w:rPr>
          <w:rFonts w:cs="Calibri"/>
          <w:color w:val="000000" w:themeColor="text1"/>
          <w:sz w:val="24"/>
          <w:szCs w:val="24"/>
        </w:rPr>
        <w:t>violence if it is not directly witnessed. Research has shown that the pattern of coercive control used by perpetrators is directed at both adult-survivors and children, disrupts global family functioning and has long-term impacts on the normal development of children and young people</w:t>
      </w:r>
      <w:r w:rsidR="00880129">
        <w:rPr>
          <w:rStyle w:val="FootnoteReference"/>
          <w:color w:val="000000" w:themeColor="text1"/>
          <w:sz w:val="24"/>
          <w:szCs w:val="24"/>
        </w:rPr>
        <w:footnoteReference w:id="13"/>
      </w:r>
      <w:r w:rsidRPr="003A40EC">
        <w:rPr>
          <w:rFonts w:cs="Calibri"/>
          <w:color w:val="000000" w:themeColor="text1"/>
          <w:sz w:val="24"/>
          <w:szCs w:val="24"/>
        </w:rPr>
        <w:t>.</w:t>
      </w:r>
    </w:p>
    <w:p w14:paraId="2A67613F" w14:textId="4681691C" w:rsidR="00590581" w:rsidRPr="003A40EC" w:rsidRDefault="00590581" w:rsidP="00A10F58">
      <w:pPr>
        <w:spacing w:before="240" w:after="0"/>
        <w:rPr>
          <w:rFonts w:cs="Calibri"/>
          <w:color w:val="000000" w:themeColor="text1"/>
          <w:sz w:val="24"/>
          <w:szCs w:val="24"/>
        </w:rPr>
      </w:pPr>
      <w:r w:rsidRPr="003A40EC">
        <w:rPr>
          <w:rFonts w:cs="Calibri"/>
          <w:color w:val="000000" w:themeColor="text1"/>
          <w:sz w:val="24"/>
          <w:szCs w:val="24"/>
        </w:rPr>
        <w:t>Combined with strong policy and practice alignment</w:t>
      </w:r>
      <w:r w:rsidR="00A84CE6">
        <w:rPr>
          <w:rFonts w:cs="Calibri"/>
          <w:color w:val="000000" w:themeColor="text1"/>
          <w:sz w:val="24"/>
          <w:szCs w:val="24"/>
        </w:rPr>
        <w:t>,</w:t>
      </w:r>
      <w:r w:rsidRPr="003A40EC">
        <w:rPr>
          <w:rFonts w:cs="Calibri"/>
          <w:color w:val="000000" w:themeColor="text1"/>
          <w:sz w:val="24"/>
          <w:szCs w:val="24"/>
        </w:rPr>
        <w:t xml:space="preserve"> the restructuring of the 'risk of significant harm' definition in section 344 holds the potential of strengthening child protection efforts through enhanced clarity, broader inclusion of risks, preventive measures, collaborative approaches and adaptation to evolving societal trends.</w:t>
      </w:r>
    </w:p>
    <w:p w14:paraId="20501924" w14:textId="2B133AF5" w:rsidR="00B65668" w:rsidRPr="00DB192C" w:rsidRDefault="001716EE" w:rsidP="00A10F58">
      <w:pPr>
        <w:spacing w:before="240" w:after="0"/>
        <w:rPr>
          <w:rFonts w:eastAsia="Calibri" w:cs="Calibri"/>
          <w:b/>
          <w:bCs/>
          <w:sz w:val="24"/>
          <w:szCs w:val="24"/>
        </w:rPr>
      </w:pPr>
      <w:r w:rsidRPr="00DB192C">
        <w:rPr>
          <w:rFonts w:cs="Calibri"/>
          <w:color w:val="000000" w:themeColor="text1"/>
          <w:sz w:val="24"/>
          <w:szCs w:val="24"/>
        </w:rPr>
        <w:t xml:space="preserve">The reorganisation toward significant harm does not change the threshold for statutory intervention or impose a requirement for the </w:t>
      </w:r>
      <w:r w:rsidR="00B65668" w:rsidRPr="00DB192C">
        <w:rPr>
          <w:rFonts w:cs="Calibri"/>
          <w:color w:val="000000" w:themeColor="text1"/>
          <w:sz w:val="24"/>
          <w:szCs w:val="24"/>
        </w:rPr>
        <w:t>d</w:t>
      </w:r>
      <w:r w:rsidRPr="00DB192C">
        <w:rPr>
          <w:rFonts w:cs="Calibri"/>
          <w:color w:val="000000" w:themeColor="text1"/>
          <w:sz w:val="24"/>
          <w:szCs w:val="24"/>
        </w:rPr>
        <w:t>irector-</w:t>
      </w:r>
      <w:r w:rsidR="00B65668" w:rsidRPr="00DB192C">
        <w:rPr>
          <w:rFonts w:cs="Calibri"/>
          <w:color w:val="000000" w:themeColor="text1"/>
          <w:sz w:val="24"/>
          <w:szCs w:val="24"/>
        </w:rPr>
        <w:t>g</w:t>
      </w:r>
      <w:r w:rsidRPr="00DB192C">
        <w:rPr>
          <w:rFonts w:cs="Calibri"/>
          <w:color w:val="000000" w:themeColor="text1"/>
          <w:sz w:val="24"/>
          <w:szCs w:val="24"/>
        </w:rPr>
        <w:t>eneral to support a broader cohort of families beyond those currently captured under the CYP Act.</w:t>
      </w:r>
    </w:p>
    <w:p w14:paraId="2AAFD40D" w14:textId="5659142C" w:rsidR="00522051" w:rsidRDefault="00522051" w:rsidP="00A10F58">
      <w:pPr>
        <w:spacing w:before="240" w:after="0"/>
        <w:rPr>
          <w:rFonts w:eastAsia="Calibri" w:cs="Calibri"/>
          <w:b/>
          <w:sz w:val="24"/>
          <w:szCs w:val="24"/>
        </w:rPr>
      </w:pPr>
      <w:r>
        <w:rPr>
          <w:rFonts w:eastAsia="Calibri" w:cs="Calibri"/>
          <w:b/>
          <w:bCs/>
          <w:sz w:val="24"/>
          <w:szCs w:val="24"/>
        </w:rPr>
        <w:t>S</w:t>
      </w:r>
      <w:r w:rsidRPr="00D86237">
        <w:rPr>
          <w:rFonts w:eastAsia="Calibri" w:cs="Calibri"/>
          <w:b/>
          <w:sz w:val="24"/>
          <w:szCs w:val="24"/>
        </w:rPr>
        <w:t>ection 34</w:t>
      </w:r>
      <w:r>
        <w:rPr>
          <w:rFonts w:eastAsia="Calibri" w:cs="Calibri"/>
          <w:b/>
          <w:sz w:val="24"/>
          <w:szCs w:val="24"/>
        </w:rPr>
        <w:t xml:space="preserve">9 </w:t>
      </w:r>
      <w:r w:rsidRPr="00522051">
        <w:rPr>
          <w:rFonts w:eastAsia="Calibri" w:cs="Calibri"/>
          <w:b/>
          <w:sz w:val="24"/>
          <w:szCs w:val="24"/>
        </w:rPr>
        <w:t>What is in best interests of child or young person?</w:t>
      </w:r>
    </w:p>
    <w:p w14:paraId="5F753006" w14:textId="026D7EBB" w:rsidR="00DA5245" w:rsidRPr="003A40EC" w:rsidRDefault="00EB64EF" w:rsidP="00A10F58">
      <w:pPr>
        <w:spacing w:before="240" w:after="0"/>
        <w:rPr>
          <w:rFonts w:cs="Calibri"/>
          <w:color w:val="000000" w:themeColor="text1"/>
          <w:sz w:val="24"/>
          <w:szCs w:val="24"/>
        </w:rPr>
      </w:pPr>
      <w:bookmarkStart w:id="1" w:name="_Hlk140916825"/>
      <w:r w:rsidRPr="00D86237">
        <w:rPr>
          <w:rFonts w:eastAsia="Calibri" w:cs="Calibri"/>
          <w:sz w:val="24"/>
          <w:szCs w:val="24"/>
        </w:rPr>
        <w:t xml:space="preserve">Best interests are the paramount considerations at section 8 of the CYP Act and ensure that in </w:t>
      </w:r>
      <w:r w:rsidRPr="003A40EC">
        <w:rPr>
          <w:rFonts w:cs="Calibri"/>
          <w:color w:val="000000" w:themeColor="text1"/>
          <w:sz w:val="24"/>
          <w:szCs w:val="24"/>
        </w:rPr>
        <w:t>making a decision in relation to a particular child or young person, the decision-maker must regard the best interests of the child or young person as the paramount consideration.</w:t>
      </w:r>
      <w:bookmarkEnd w:id="1"/>
    </w:p>
    <w:p w14:paraId="4FEC8060" w14:textId="1C7E33F9" w:rsidR="00E25334" w:rsidRDefault="00522051" w:rsidP="00A10F58">
      <w:pPr>
        <w:spacing w:before="240" w:after="0"/>
        <w:rPr>
          <w:rFonts w:eastAsia="Calibri" w:cs="Calibri"/>
          <w:sz w:val="24"/>
          <w:szCs w:val="24"/>
        </w:rPr>
      </w:pPr>
      <w:r w:rsidRPr="003A40EC">
        <w:rPr>
          <w:rFonts w:cs="Calibri"/>
          <w:color w:val="000000" w:themeColor="text1"/>
          <w:sz w:val="24"/>
          <w:szCs w:val="24"/>
        </w:rPr>
        <w:t xml:space="preserve">Part 10.3 of </w:t>
      </w:r>
      <w:r w:rsidR="00D92C0F" w:rsidRPr="003A40EC">
        <w:rPr>
          <w:rFonts w:cs="Calibri"/>
          <w:color w:val="000000" w:themeColor="text1"/>
          <w:sz w:val="24"/>
          <w:szCs w:val="24"/>
        </w:rPr>
        <w:t>c</w:t>
      </w:r>
      <w:r w:rsidRPr="003A40EC">
        <w:rPr>
          <w:rFonts w:cs="Calibri"/>
          <w:color w:val="000000" w:themeColor="text1"/>
          <w:sz w:val="24"/>
          <w:szCs w:val="24"/>
        </w:rPr>
        <w:t xml:space="preserve">hapter 10, </w:t>
      </w:r>
      <w:r w:rsidR="00D92C0F" w:rsidRPr="003A40EC">
        <w:rPr>
          <w:rFonts w:cs="Calibri"/>
          <w:color w:val="000000" w:themeColor="text1"/>
          <w:sz w:val="24"/>
          <w:szCs w:val="24"/>
        </w:rPr>
        <w:t>s</w:t>
      </w:r>
      <w:r w:rsidRPr="003A40EC">
        <w:rPr>
          <w:rFonts w:cs="Calibri"/>
          <w:color w:val="000000" w:themeColor="text1"/>
          <w:sz w:val="24"/>
          <w:szCs w:val="24"/>
        </w:rPr>
        <w:t>ection 349</w:t>
      </w:r>
      <w:r w:rsidR="00B54D13">
        <w:rPr>
          <w:rFonts w:cs="Calibri"/>
          <w:color w:val="000000" w:themeColor="text1"/>
          <w:sz w:val="24"/>
          <w:szCs w:val="24"/>
        </w:rPr>
        <w:t>(1)</w:t>
      </w:r>
      <w:r w:rsidRPr="003A40EC">
        <w:rPr>
          <w:rFonts w:cs="Calibri"/>
          <w:color w:val="000000" w:themeColor="text1"/>
          <w:sz w:val="24"/>
          <w:szCs w:val="24"/>
        </w:rPr>
        <w:t xml:space="preserve"> </w:t>
      </w:r>
      <w:r w:rsidR="0058238F" w:rsidRPr="003A40EC">
        <w:rPr>
          <w:rFonts w:cs="Calibri"/>
          <w:color w:val="000000" w:themeColor="text1"/>
          <w:sz w:val="24"/>
          <w:szCs w:val="24"/>
        </w:rPr>
        <w:t xml:space="preserve">specifies that, in determining the best interests of a child or young person, the decision-maker must always consider the child’s risk of significant harm, in addition to the relevant other </w:t>
      </w:r>
      <w:r w:rsidR="00F86B70" w:rsidRPr="003A40EC">
        <w:rPr>
          <w:rFonts w:cs="Calibri"/>
          <w:color w:val="000000" w:themeColor="text1"/>
          <w:sz w:val="24"/>
          <w:szCs w:val="24"/>
        </w:rPr>
        <w:t xml:space="preserve">best interest </w:t>
      </w:r>
      <w:r w:rsidR="0058238F" w:rsidRPr="003A40EC">
        <w:rPr>
          <w:rFonts w:cs="Calibri"/>
          <w:color w:val="000000" w:themeColor="text1"/>
          <w:sz w:val="24"/>
          <w:szCs w:val="24"/>
        </w:rPr>
        <w:t>factors where applicable. This approach strikes a balance by emphasising a child’s safety in all decision-making while acknowledging the importance of</w:t>
      </w:r>
      <w:r w:rsidR="0058238F" w:rsidRPr="006C68DE">
        <w:rPr>
          <w:rFonts w:eastAsia="Calibri" w:cs="Calibri"/>
          <w:sz w:val="24"/>
          <w:szCs w:val="24"/>
        </w:rPr>
        <w:t xml:space="preserve"> considering other factors contribut</w:t>
      </w:r>
      <w:r w:rsidR="00F86B70">
        <w:rPr>
          <w:rFonts w:eastAsia="Calibri" w:cs="Calibri"/>
          <w:sz w:val="24"/>
          <w:szCs w:val="24"/>
        </w:rPr>
        <w:t>ing</w:t>
      </w:r>
      <w:r w:rsidR="0058238F" w:rsidRPr="006C68DE">
        <w:rPr>
          <w:rFonts w:eastAsia="Calibri" w:cs="Calibri"/>
          <w:sz w:val="24"/>
          <w:szCs w:val="24"/>
        </w:rPr>
        <w:t xml:space="preserve"> to their overall best interests.</w:t>
      </w:r>
    </w:p>
    <w:p w14:paraId="0C804BE7" w14:textId="4351FE44" w:rsidR="00450873" w:rsidRPr="00D25292" w:rsidRDefault="00450873" w:rsidP="00A10F58">
      <w:pPr>
        <w:spacing w:before="240" w:after="0"/>
        <w:rPr>
          <w:rFonts w:eastAsia="Calibri" w:cs="Calibri"/>
          <w:b/>
          <w:bCs/>
          <w:sz w:val="28"/>
          <w:szCs w:val="28"/>
        </w:rPr>
      </w:pPr>
      <w:r>
        <w:rPr>
          <w:rFonts w:eastAsia="Calibri" w:cs="Calibri"/>
          <w:b/>
          <w:bCs/>
          <w:sz w:val="28"/>
          <w:szCs w:val="28"/>
        </w:rPr>
        <w:t>C</w:t>
      </w:r>
      <w:r w:rsidRPr="00D25292">
        <w:rPr>
          <w:rFonts w:eastAsia="Calibri" w:cs="Calibri"/>
          <w:b/>
          <w:bCs/>
          <w:sz w:val="28"/>
          <w:szCs w:val="28"/>
        </w:rPr>
        <w:t>hapter 11 Care and Protection—reporting and assessing risk of significant harm</w:t>
      </w:r>
    </w:p>
    <w:p w14:paraId="30ECA6F3" w14:textId="77777777" w:rsidR="00450873" w:rsidRPr="00DE69A9" w:rsidRDefault="00450873" w:rsidP="00A10F58">
      <w:pPr>
        <w:spacing w:before="240" w:after="0"/>
        <w:rPr>
          <w:rFonts w:eastAsia="Calibri" w:cs="Calibri"/>
          <w:b/>
          <w:bCs/>
        </w:rPr>
      </w:pPr>
      <w:r w:rsidRPr="00DE69A9">
        <w:rPr>
          <w:rFonts w:eastAsia="Calibri" w:cs="Calibri"/>
          <w:b/>
          <w:bCs/>
          <w:sz w:val="24"/>
          <w:szCs w:val="24"/>
        </w:rPr>
        <w:t>Section 353: Definition of child concern report</w:t>
      </w:r>
    </w:p>
    <w:p w14:paraId="14DBFF6C" w14:textId="413F32CE" w:rsidR="00804144" w:rsidRDefault="00450873" w:rsidP="00A10F58">
      <w:pPr>
        <w:spacing w:before="240" w:after="0"/>
        <w:rPr>
          <w:rFonts w:eastAsia="Calibri" w:cs="Calibri"/>
          <w:sz w:val="24"/>
          <w:szCs w:val="24"/>
        </w:rPr>
      </w:pPr>
      <w:r w:rsidRPr="00263D0C">
        <w:rPr>
          <w:rFonts w:eastAsia="Calibri" w:cs="Calibri"/>
          <w:sz w:val="24"/>
          <w:szCs w:val="24"/>
        </w:rPr>
        <w:t>Part 1</w:t>
      </w:r>
      <w:r>
        <w:rPr>
          <w:rFonts w:eastAsia="Calibri" w:cs="Calibri"/>
          <w:sz w:val="24"/>
          <w:szCs w:val="24"/>
        </w:rPr>
        <w:t>1</w:t>
      </w:r>
      <w:r w:rsidRPr="00263D0C">
        <w:rPr>
          <w:rFonts w:eastAsia="Calibri" w:cs="Calibri"/>
          <w:sz w:val="24"/>
          <w:szCs w:val="24"/>
        </w:rPr>
        <w:t>.</w:t>
      </w:r>
      <w:r>
        <w:rPr>
          <w:rFonts w:eastAsia="Calibri" w:cs="Calibri"/>
          <w:sz w:val="24"/>
          <w:szCs w:val="24"/>
        </w:rPr>
        <w:t xml:space="preserve">1.1 </w:t>
      </w:r>
      <w:r w:rsidRPr="00263D0C">
        <w:rPr>
          <w:rFonts w:eastAsia="Calibri" w:cs="Calibri"/>
          <w:sz w:val="24"/>
          <w:szCs w:val="24"/>
        </w:rPr>
        <w:t xml:space="preserve">of </w:t>
      </w:r>
      <w:r w:rsidR="00D92C0F">
        <w:rPr>
          <w:rFonts w:eastAsia="Calibri" w:cs="Calibri"/>
          <w:sz w:val="24"/>
          <w:szCs w:val="24"/>
        </w:rPr>
        <w:t>c</w:t>
      </w:r>
      <w:r w:rsidRPr="00263D0C">
        <w:rPr>
          <w:rFonts w:eastAsia="Calibri" w:cs="Calibri"/>
          <w:sz w:val="24"/>
          <w:szCs w:val="24"/>
        </w:rPr>
        <w:t xml:space="preserve">hapter 10, </w:t>
      </w:r>
      <w:r w:rsidR="00D92C0F">
        <w:rPr>
          <w:rFonts w:eastAsia="Calibri" w:cs="Calibri"/>
          <w:sz w:val="24"/>
          <w:szCs w:val="24"/>
        </w:rPr>
        <w:t>s</w:t>
      </w:r>
      <w:r w:rsidRPr="00263D0C">
        <w:rPr>
          <w:rFonts w:eastAsia="Calibri" w:cs="Calibri"/>
          <w:sz w:val="24"/>
          <w:szCs w:val="24"/>
        </w:rPr>
        <w:t>ection 3</w:t>
      </w:r>
      <w:r>
        <w:rPr>
          <w:rFonts w:eastAsia="Calibri" w:cs="Calibri"/>
          <w:sz w:val="24"/>
          <w:szCs w:val="24"/>
        </w:rPr>
        <w:t xml:space="preserve">53 </w:t>
      </w:r>
      <w:r w:rsidRPr="006C68DE">
        <w:rPr>
          <w:rFonts w:eastAsia="Calibri" w:cs="Calibri"/>
          <w:sz w:val="24"/>
          <w:szCs w:val="24"/>
        </w:rPr>
        <w:t>omits the definition of a child concern report and substitutes with the terms voluntary report or mandatory report.</w:t>
      </w:r>
      <w:r w:rsidR="00804144">
        <w:rPr>
          <w:rFonts w:eastAsia="Calibri" w:cs="Calibri"/>
          <w:sz w:val="24"/>
          <w:szCs w:val="24"/>
        </w:rPr>
        <w:t xml:space="preserve"> This is a consequential amendment to the removal of the two-stage risk assessment at c</w:t>
      </w:r>
      <w:r w:rsidR="00804144" w:rsidRPr="00450873">
        <w:rPr>
          <w:rFonts w:eastAsia="Calibri" w:cs="Calibri"/>
          <w:sz w:val="24"/>
          <w:szCs w:val="24"/>
        </w:rPr>
        <w:t xml:space="preserve">hapter 10, </w:t>
      </w:r>
      <w:r w:rsidR="00804144">
        <w:rPr>
          <w:rFonts w:eastAsia="Calibri" w:cs="Calibri"/>
          <w:sz w:val="24"/>
          <w:szCs w:val="24"/>
        </w:rPr>
        <w:t>s</w:t>
      </w:r>
      <w:r w:rsidR="00804144" w:rsidRPr="00450873">
        <w:rPr>
          <w:rFonts w:eastAsia="Calibri" w:cs="Calibri"/>
          <w:sz w:val="24"/>
          <w:szCs w:val="24"/>
        </w:rPr>
        <w:t>ection 360</w:t>
      </w:r>
      <w:r w:rsidR="00BF3F3E">
        <w:rPr>
          <w:rFonts w:eastAsia="Calibri" w:cs="Calibri"/>
          <w:sz w:val="24"/>
          <w:szCs w:val="24"/>
        </w:rPr>
        <w:t>, as described below.</w:t>
      </w:r>
      <w:r w:rsidR="00804144">
        <w:rPr>
          <w:rFonts w:eastAsia="Calibri" w:cs="Calibri"/>
          <w:sz w:val="24"/>
          <w:szCs w:val="24"/>
        </w:rPr>
        <w:t xml:space="preserve">  </w:t>
      </w:r>
    </w:p>
    <w:p w14:paraId="2A4DFA19" w14:textId="1D605CFC" w:rsidR="00450873" w:rsidRPr="00450873" w:rsidRDefault="00450873" w:rsidP="00A10F58">
      <w:pPr>
        <w:spacing w:before="240" w:after="0"/>
        <w:rPr>
          <w:rFonts w:eastAsia="Calibri" w:cs="Calibri"/>
          <w:sz w:val="24"/>
          <w:szCs w:val="24"/>
        </w:rPr>
      </w:pPr>
      <w:r w:rsidRPr="006C68DE">
        <w:rPr>
          <w:rFonts w:eastAsia="Calibri" w:cs="Calibri"/>
          <w:sz w:val="24"/>
          <w:szCs w:val="24"/>
        </w:rPr>
        <w:lastRenderedPageBreak/>
        <w:t>There is no difference between how the CYP Act considers and acts on a voluntary report versus a mandated report.</w:t>
      </w:r>
    </w:p>
    <w:p w14:paraId="7AF6A1DC" w14:textId="49C227F5" w:rsidR="00263D0C" w:rsidRPr="006C68DE" w:rsidRDefault="00263D0C" w:rsidP="00A10F58">
      <w:pPr>
        <w:spacing w:before="240" w:after="0"/>
        <w:rPr>
          <w:rFonts w:eastAsia="Calibri" w:cs="Calibri"/>
          <w:b/>
          <w:bCs/>
        </w:rPr>
      </w:pPr>
      <w:r w:rsidRPr="006C68DE">
        <w:rPr>
          <w:rFonts w:eastAsia="Calibri" w:cs="Calibri"/>
          <w:b/>
          <w:bCs/>
          <w:sz w:val="24"/>
          <w:szCs w:val="24"/>
        </w:rPr>
        <w:t>Section 360: Assessing risk of significant harm</w:t>
      </w:r>
    </w:p>
    <w:p w14:paraId="5FEC7860" w14:textId="5AB52D1E" w:rsidR="000F227C" w:rsidRPr="001D0B71" w:rsidRDefault="000F227C" w:rsidP="00A10F58">
      <w:pPr>
        <w:spacing w:before="240" w:after="0"/>
        <w:rPr>
          <w:rFonts w:eastAsia="Calibri" w:cs="Calibri"/>
          <w:sz w:val="24"/>
          <w:szCs w:val="24"/>
        </w:rPr>
      </w:pPr>
      <w:r w:rsidRPr="001D0B71">
        <w:rPr>
          <w:rFonts w:eastAsia="Calibri" w:cs="Calibri"/>
          <w:sz w:val="24"/>
          <w:szCs w:val="24"/>
        </w:rPr>
        <w:t xml:space="preserve">The CYP Act currently </w:t>
      </w:r>
      <w:r w:rsidR="007F1ABE">
        <w:rPr>
          <w:rFonts w:eastAsia="Calibri" w:cs="Calibri"/>
          <w:sz w:val="24"/>
          <w:szCs w:val="24"/>
        </w:rPr>
        <w:t>outlines</w:t>
      </w:r>
      <w:r w:rsidR="007F1ABE" w:rsidRPr="001D0B71">
        <w:rPr>
          <w:rFonts w:eastAsia="Calibri" w:cs="Calibri"/>
          <w:sz w:val="24"/>
          <w:szCs w:val="24"/>
        </w:rPr>
        <w:t xml:space="preserve"> </w:t>
      </w:r>
      <w:r w:rsidRPr="001D0B71">
        <w:rPr>
          <w:rFonts w:eastAsia="Calibri" w:cs="Calibri"/>
          <w:sz w:val="24"/>
          <w:szCs w:val="24"/>
        </w:rPr>
        <w:t xml:space="preserve">a complex, multi-stage process for the assessment of children and young people. The CYP Act requires </w:t>
      </w:r>
      <w:r w:rsidR="00BF3F3E">
        <w:rPr>
          <w:rFonts w:eastAsia="Calibri" w:cs="Calibri"/>
          <w:sz w:val="24"/>
          <w:szCs w:val="24"/>
        </w:rPr>
        <w:t xml:space="preserve">that </w:t>
      </w:r>
      <w:r w:rsidRPr="001D0B71">
        <w:rPr>
          <w:rFonts w:eastAsia="Calibri" w:cs="Calibri"/>
          <w:sz w:val="24"/>
          <w:szCs w:val="24"/>
        </w:rPr>
        <w:t>the</w:t>
      </w:r>
      <w:r w:rsidR="00F86B70">
        <w:rPr>
          <w:rFonts w:eastAsia="Calibri" w:cs="Calibri"/>
          <w:sz w:val="24"/>
          <w:szCs w:val="24"/>
        </w:rPr>
        <w:t xml:space="preserve"> d</w:t>
      </w:r>
      <w:r w:rsidRPr="001D0B71">
        <w:rPr>
          <w:rFonts w:eastAsia="Calibri" w:cs="Calibri"/>
          <w:sz w:val="24"/>
          <w:szCs w:val="24"/>
        </w:rPr>
        <w:t>irector-</w:t>
      </w:r>
      <w:r w:rsidR="00F86B70">
        <w:rPr>
          <w:rFonts w:eastAsia="Calibri" w:cs="Calibri"/>
          <w:sz w:val="24"/>
          <w:szCs w:val="24"/>
        </w:rPr>
        <w:t>g</w:t>
      </w:r>
      <w:r w:rsidRPr="001D0B71">
        <w:rPr>
          <w:rFonts w:eastAsia="Calibri" w:cs="Calibri"/>
          <w:sz w:val="24"/>
          <w:szCs w:val="24"/>
        </w:rPr>
        <w:t xml:space="preserve">eneral must consider every child concern report received and carry out a two-stage assessment to decide if the child </w:t>
      </w:r>
      <w:r w:rsidR="00BF3F3E">
        <w:rPr>
          <w:rFonts w:eastAsia="Calibri" w:cs="Calibri"/>
          <w:sz w:val="24"/>
          <w:szCs w:val="24"/>
        </w:rPr>
        <w:t xml:space="preserve">is in </w:t>
      </w:r>
      <w:r w:rsidRPr="001D0B71">
        <w:rPr>
          <w:rFonts w:eastAsia="Calibri" w:cs="Calibri"/>
          <w:sz w:val="24"/>
          <w:szCs w:val="24"/>
        </w:rPr>
        <w:t>need</w:t>
      </w:r>
      <w:r w:rsidR="00BF3F3E">
        <w:rPr>
          <w:rFonts w:eastAsia="Calibri" w:cs="Calibri"/>
          <w:sz w:val="24"/>
          <w:szCs w:val="24"/>
        </w:rPr>
        <w:t xml:space="preserve"> of care and</w:t>
      </w:r>
      <w:r w:rsidRPr="001D0B71">
        <w:rPr>
          <w:rFonts w:eastAsia="Calibri" w:cs="Calibri"/>
          <w:sz w:val="24"/>
          <w:szCs w:val="24"/>
        </w:rPr>
        <w:t xml:space="preserve"> protection. The only significant difference between the stages is </w:t>
      </w:r>
      <w:r w:rsidR="00BF3F3E">
        <w:rPr>
          <w:rFonts w:eastAsia="Calibri" w:cs="Calibri"/>
          <w:sz w:val="24"/>
          <w:szCs w:val="24"/>
        </w:rPr>
        <w:t xml:space="preserve">the </w:t>
      </w:r>
      <w:r w:rsidRPr="001D0B71">
        <w:rPr>
          <w:rFonts w:eastAsia="Calibri" w:cs="Calibri"/>
          <w:sz w:val="24"/>
          <w:szCs w:val="24"/>
        </w:rPr>
        <w:t>information gathering</w:t>
      </w:r>
      <w:r w:rsidR="00F86B70">
        <w:rPr>
          <w:rFonts w:eastAsia="Calibri" w:cs="Calibri"/>
          <w:sz w:val="24"/>
          <w:szCs w:val="24"/>
        </w:rPr>
        <w:t xml:space="preserve"> activities</w:t>
      </w:r>
      <w:r w:rsidRPr="001D0B71">
        <w:rPr>
          <w:rFonts w:eastAsia="Calibri" w:cs="Calibri"/>
          <w:sz w:val="24"/>
          <w:szCs w:val="24"/>
        </w:rPr>
        <w:t xml:space="preserve">. The range of possible actions available to the </w:t>
      </w:r>
      <w:r w:rsidR="00F86B70">
        <w:rPr>
          <w:rFonts w:eastAsia="Calibri" w:cs="Calibri"/>
          <w:sz w:val="24"/>
          <w:szCs w:val="24"/>
        </w:rPr>
        <w:t>d</w:t>
      </w:r>
      <w:r w:rsidRPr="001D0B71">
        <w:rPr>
          <w:rFonts w:eastAsia="Calibri" w:cs="Calibri"/>
          <w:sz w:val="24"/>
          <w:szCs w:val="24"/>
        </w:rPr>
        <w:t>irector-</w:t>
      </w:r>
      <w:r w:rsidR="00F86B70">
        <w:rPr>
          <w:rFonts w:eastAsia="Calibri" w:cs="Calibri"/>
          <w:sz w:val="24"/>
          <w:szCs w:val="24"/>
        </w:rPr>
        <w:t>g</w:t>
      </w:r>
      <w:r w:rsidRPr="001D0B71">
        <w:rPr>
          <w:rFonts w:eastAsia="Calibri" w:cs="Calibri"/>
          <w:sz w:val="24"/>
          <w:szCs w:val="24"/>
        </w:rPr>
        <w:t>eneral in these stages extends from referral to police to tak</w:t>
      </w:r>
      <w:r w:rsidR="007F1ABE">
        <w:rPr>
          <w:rFonts w:eastAsia="Calibri" w:cs="Calibri"/>
          <w:sz w:val="24"/>
          <w:szCs w:val="24"/>
        </w:rPr>
        <w:t>ing</w:t>
      </w:r>
      <w:r w:rsidR="00F86B70">
        <w:rPr>
          <w:rFonts w:eastAsia="Calibri" w:cs="Calibri"/>
          <w:sz w:val="24"/>
          <w:szCs w:val="24"/>
        </w:rPr>
        <w:t xml:space="preserve"> </w:t>
      </w:r>
      <w:r w:rsidRPr="001D0B71">
        <w:rPr>
          <w:rFonts w:eastAsia="Calibri" w:cs="Calibri"/>
          <w:sz w:val="24"/>
          <w:szCs w:val="24"/>
        </w:rPr>
        <w:t>no actio</w:t>
      </w:r>
      <w:r w:rsidR="006E3F32">
        <w:rPr>
          <w:rFonts w:eastAsia="Calibri" w:cs="Calibri"/>
          <w:sz w:val="24"/>
          <w:szCs w:val="24"/>
        </w:rPr>
        <w:t xml:space="preserve">n. This </w:t>
      </w:r>
      <w:r w:rsidRPr="001D0B71">
        <w:rPr>
          <w:rFonts w:eastAsia="Calibri" w:cs="Calibri"/>
          <w:sz w:val="24"/>
          <w:szCs w:val="24"/>
        </w:rPr>
        <w:t>suggest</w:t>
      </w:r>
      <w:r w:rsidR="006E3F32">
        <w:rPr>
          <w:rFonts w:eastAsia="Calibri" w:cs="Calibri"/>
          <w:sz w:val="24"/>
          <w:szCs w:val="24"/>
        </w:rPr>
        <w:t>s</w:t>
      </w:r>
      <w:r w:rsidRPr="001D0B71">
        <w:rPr>
          <w:rFonts w:eastAsia="Calibri" w:cs="Calibri"/>
          <w:sz w:val="24"/>
          <w:szCs w:val="24"/>
        </w:rPr>
        <w:t xml:space="preserve"> the legislation was intended to allow the widest possible degree of discretion and flexibility in the assessment process rather than the prescriptive and complex two-stage assessment process that has evolved.</w:t>
      </w:r>
    </w:p>
    <w:p w14:paraId="692B50C2" w14:textId="73098513" w:rsidR="00450873" w:rsidRDefault="00263D0C" w:rsidP="00A10F58">
      <w:pPr>
        <w:spacing w:before="240" w:after="0"/>
        <w:rPr>
          <w:rFonts w:eastAsia="Calibri" w:cs="Calibri"/>
          <w:sz w:val="24"/>
          <w:szCs w:val="24"/>
        </w:rPr>
      </w:pPr>
      <w:r w:rsidRPr="00263D0C">
        <w:rPr>
          <w:rFonts w:eastAsia="Calibri" w:cs="Calibri"/>
          <w:sz w:val="24"/>
          <w:szCs w:val="24"/>
        </w:rPr>
        <w:t>Part 1</w:t>
      </w:r>
      <w:r>
        <w:rPr>
          <w:rFonts w:eastAsia="Calibri" w:cs="Calibri"/>
          <w:sz w:val="24"/>
          <w:szCs w:val="24"/>
        </w:rPr>
        <w:t>1</w:t>
      </w:r>
      <w:r w:rsidRPr="00263D0C">
        <w:rPr>
          <w:rFonts w:eastAsia="Calibri" w:cs="Calibri"/>
          <w:sz w:val="24"/>
          <w:szCs w:val="24"/>
        </w:rPr>
        <w:t>.</w:t>
      </w:r>
      <w:r>
        <w:rPr>
          <w:rFonts w:eastAsia="Calibri" w:cs="Calibri"/>
          <w:sz w:val="24"/>
          <w:szCs w:val="24"/>
        </w:rPr>
        <w:t xml:space="preserve">1.2 </w:t>
      </w:r>
      <w:r w:rsidRPr="00263D0C">
        <w:rPr>
          <w:rFonts w:eastAsia="Calibri" w:cs="Calibri"/>
          <w:sz w:val="24"/>
          <w:szCs w:val="24"/>
        </w:rPr>
        <w:t xml:space="preserve">of </w:t>
      </w:r>
      <w:r w:rsidR="00D92C0F">
        <w:rPr>
          <w:rFonts w:eastAsia="Calibri" w:cs="Calibri"/>
          <w:sz w:val="24"/>
          <w:szCs w:val="24"/>
        </w:rPr>
        <w:t>c</w:t>
      </w:r>
      <w:r w:rsidRPr="00263D0C">
        <w:rPr>
          <w:rFonts w:eastAsia="Calibri" w:cs="Calibri"/>
          <w:sz w:val="24"/>
          <w:szCs w:val="24"/>
        </w:rPr>
        <w:t xml:space="preserve">hapter 10, </w:t>
      </w:r>
      <w:r w:rsidR="00D92C0F">
        <w:rPr>
          <w:rFonts w:eastAsia="Calibri" w:cs="Calibri"/>
          <w:sz w:val="24"/>
          <w:szCs w:val="24"/>
        </w:rPr>
        <w:t>s</w:t>
      </w:r>
      <w:r w:rsidRPr="00263D0C">
        <w:rPr>
          <w:rFonts w:eastAsia="Calibri" w:cs="Calibri"/>
          <w:sz w:val="24"/>
          <w:szCs w:val="24"/>
        </w:rPr>
        <w:t>ection 3</w:t>
      </w:r>
      <w:r>
        <w:rPr>
          <w:rFonts w:eastAsia="Calibri" w:cs="Calibri"/>
          <w:sz w:val="24"/>
          <w:szCs w:val="24"/>
        </w:rPr>
        <w:t>60</w:t>
      </w:r>
      <w:r w:rsidRPr="006C68DE">
        <w:rPr>
          <w:rFonts w:eastAsia="Calibri" w:cs="Calibri"/>
          <w:sz w:val="24"/>
          <w:szCs w:val="24"/>
        </w:rPr>
        <w:t xml:space="preserve"> </w:t>
      </w:r>
      <w:r w:rsidR="006C68DE" w:rsidRPr="006C68DE">
        <w:rPr>
          <w:rFonts w:eastAsia="Calibri" w:cs="Calibri"/>
          <w:sz w:val="24"/>
          <w:szCs w:val="24"/>
        </w:rPr>
        <w:t>collapses the two-stage child concern report and child protection report assessment process into one assessment provision</w:t>
      </w:r>
      <w:r w:rsidR="006E3F32">
        <w:rPr>
          <w:rFonts w:eastAsia="Calibri" w:cs="Calibri"/>
          <w:sz w:val="24"/>
          <w:szCs w:val="24"/>
        </w:rPr>
        <w:t>. It also</w:t>
      </w:r>
      <w:r w:rsidR="006C68DE" w:rsidRPr="006C68DE">
        <w:rPr>
          <w:rFonts w:eastAsia="Calibri" w:cs="Calibri"/>
          <w:sz w:val="24"/>
          <w:szCs w:val="24"/>
        </w:rPr>
        <w:t xml:space="preserve"> removes the legislative threshold of </w:t>
      </w:r>
      <w:r w:rsidR="006C68DE" w:rsidRPr="006E3F32">
        <w:rPr>
          <w:rFonts w:eastAsia="Calibri" w:cs="Calibri"/>
          <w:i/>
          <w:iCs/>
          <w:sz w:val="24"/>
          <w:szCs w:val="24"/>
        </w:rPr>
        <w:t>in need of care and protection</w:t>
      </w:r>
      <w:r w:rsidR="006C68DE" w:rsidRPr="006C68DE">
        <w:rPr>
          <w:rFonts w:eastAsia="Calibri" w:cs="Calibri"/>
          <w:sz w:val="24"/>
          <w:szCs w:val="24"/>
        </w:rPr>
        <w:t xml:space="preserve"> </w:t>
      </w:r>
      <w:r w:rsidR="00D92C0F">
        <w:rPr>
          <w:rFonts w:eastAsia="Calibri" w:cs="Calibri"/>
          <w:sz w:val="24"/>
          <w:szCs w:val="24"/>
        </w:rPr>
        <w:t xml:space="preserve">section 360(b) </w:t>
      </w:r>
      <w:r w:rsidR="006C68DE" w:rsidRPr="006C68DE">
        <w:rPr>
          <w:rFonts w:eastAsia="Calibri" w:cs="Calibri"/>
          <w:sz w:val="24"/>
          <w:szCs w:val="24"/>
        </w:rPr>
        <w:t xml:space="preserve">and replaces with </w:t>
      </w:r>
      <w:r w:rsidR="006C68DE" w:rsidRPr="006E3F32">
        <w:rPr>
          <w:rFonts w:eastAsia="Calibri" w:cs="Calibri"/>
          <w:i/>
          <w:iCs/>
          <w:sz w:val="24"/>
          <w:szCs w:val="24"/>
        </w:rPr>
        <w:t>risk of significant harm</w:t>
      </w:r>
      <w:r w:rsidR="006C68DE" w:rsidRPr="006C68DE">
        <w:rPr>
          <w:rFonts w:eastAsia="Calibri" w:cs="Calibri"/>
          <w:sz w:val="24"/>
          <w:szCs w:val="24"/>
        </w:rPr>
        <w:t>. This change will allow for the implementation of an evidence-based assessment tool and associated policy development and implementation. It also serves to provide greater opportunity to provide alternative support and resources to children, young people and families at an earlier stage where previously concerns may have not met the statutory threshold of in need of care and protection.</w:t>
      </w:r>
    </w:p>
    <w:p w14:paraId="7949BF8F" w14:textId="6551633A" w:rsidR="00E25334" w:rsidRDefault="001D0B71" w:rsidP="00A10F58">
      <w:pPr>
        <w:spacing w:before="240" w:after="0"/>
        <w:rPr>
          <w:rFonts w:eastAsia="Calibri" w:cs="Calibri"/>
          <w:sz w:val="24"/>
          <w:szCs w:val="24"/>
        </w:rPr>
      </w:pPr>
      <w:r w:rsidRPr="001D0B71">
        <w:rPr>
          <w:rFonts w:eastAsia="Calibri" w:cs="Calibri"/>
          <w:sz w:val="24"/>
          <w:szCs w:val="24"/>
        </w:rPr>
        <w:t>Section 360(4) stipulates that the director-general must make diligent efforts to determine whether a child or young person is an Aboriginal or Torres Strait Islander child or young person at the earliest opportunity. This provision acknowledges the importance of and protects a child’s connections to</w:t>
      </w:r>
      <w:r w:rsidR="00BF3F3E">
        <w:rPr>
          <w:rFonts w:eastAsia="Calibri" w:cs="Calibri"/>
          <w:sz w:val="24"/>
          <w:szCs w:val="24"/>
        </w:rPr>
        <w:t xml:space="preserve"> family,</w:t>
      </w:r>
      <w:r w:rsidRPr="001D0B71">
        <w:rPr>
          <w:rFonts w:eastAsia="Calibri" w:cs="Calibri"/>
          <w:sz w:val="24"/>
          <w:szCs w:val="24"/>
        </w:rPr>
        <w:t xml:space="preserve"> culture and community, recogni</w:t>
      </w:r>
      <w:r w:rsidR="00EF69E0">
        <w:rPr>
          <w:rFonts w:eastAsia="Calibri" w:cs="Calibri"/>
          <w:sz w:val="24"/>
          <w:szCs w:val="24"/>
        </w:rPr>
        <w:t>s</w:t>
      </w:r>
      <w:r w:rsidRPr="001D0B71">
        <w:rPr>
          <w:rFonts w:eastAsia="Calibri" w:cs="Calibri"/>
          <w:sz w:val="24"/>
          <w:szCs w:val="24"/>
        </w:rPr>
        <w:t>ing this as being in their best interest and crucial to their safety and wellbeing throughout all phases of child protection intervention</w:t>
      </w:r>
      <w:r w:rsidR="00EF69E0">
        <w:rPr>
          <w:rStyle w:val="FootnoteReference"/>
          <w:rFonts w:eastAsia="Calibri"/>
          <w:sz w:val="24"/>
          <w:szCs w:val="24"/>
        </w:rPr>
        <w:footnoteReference w:id="14"/>
      </w:r>
      <w:r w:rsidRPr="001D0B71">
        <w:rPr>
          <w:rFonts w:eastAsia="Calibri" w:cs="Calibri"/>
          <w:sz w:val="24"/>
          <w:szCs w:val="24"/>
        </w:rPr>
        <w:t>. It also acknowledges that early identification is a critical component for the full implementation of all five elements of the ATSICPP.</w:t>
      </w:r>
    </w:p>
    <w:p w14:paraId="2348AC65" w14:textId="20775D43" w:rsidR="00023958" w:rsidRPr="006E3F32" w:rsidRDefault="00023958" w:rsidP="00A10F58">
      <w:pPr>
        <w:spacing w:before="240" w:after="0"/>
        <w:rPr>
          <w:rFonts w:eastAsia="Calibri" w:cs="Calibri"/>
          <w:b/>
          <w:bCs/>
          <w:sz w:val="28"/>
          <w:szCs w:val="28"/>
        </w:rPr>
      </w:pPr>
      <w:r w:rsidRPr="00D86237">
        <w:rPr>
          <w:rFonts w:eastAsia="Calibri" w:cs="Calibri"/>
          <w:b/>
          <w:bCs/>
          <w:sz w:val="28"/>
          <w:szCs w:val="28"/>
        </w:rPr>
        <w:t xml:space="preserve">Chapter </w:t>
      </w:r>
      <w:r w:rsidRPr="00270312">
        <w:rPr>
          <w:rFonts w:eastAsia="Calibri" w:cs="Calibri"/>
          <w:b/>
          <w:bCs/>
          <w:sz w:val="28"/>
          <w:szCs w:val="28"/>
        </w:rPr>
        <w:t>19A Children and Young People Death Review Committee</w:t>
      </w:r>
    </w:p>
    <w:p w14:paraId="360A67E6" w14:textId="3EB649A4" w:rsidR="00023958" w:rsidRPr="006E3F32" w:rsidRDefault="00023958" w:rsidP="00A10F58">
      <w:pPr>
        <w:spacing w:before="240" w:after="0"/>
        <w:rPr>
          <w:rFonts w:eastAsia="Calibri" w:cs="Calibri"/>
          <w:b/>
          <w:bCs/>
          <w:sz w:val="24"/>
          <w:szCs w:val="24"/>
        </w:rPr>
      </w:pPr>
      <w:r w:rsidRPr="006E3F32">
        <w:rPr>
          <w:rFonts w:eastAsia="Calibri" w:cs="Calibri"/>
          <w:b/>
          <w:bCs/>
          <w:sz w:val="24"/>
          <w:szCs w:val="24"/>
        </w:rPr>
        <w:t xml:space="preserve">Section </w:t>
      </w:r>
      <w:r w:rsidR="007F1ABE">
        <w:rPr>
          <w:rFonts w:eastAsia="Calibri" w:cs="Calibri"/>
          <w:b/>
          <w:bCs/>
          <w:sz w:val="24"/>
          <w:szCs w:val="24"/>
        </w:rPr>
        <w:t>727B Functions of committee</w:t>
      </w:r>
      <w:r w:rsidR="007F1ABE" w:rsidRPr="006E3F32">
        <w:rPr>
          <w:rFonts w:eastAsia="Calibri" w:cs="Calibri"/>
          <w:b/>
          <w:bCs/>
          <w:sz w:val="24"/>
          <w:szCs w:val="24"/>
        </w:rPr>
        <w:t xml:space="preserve"> </w:t>
      </w:r>
    </w:p>
    <w:p w14:paraId="1E3CF02B" w14:textId="28198209" w:rsidR="00270312" w:rsidRPr="00DE69A9" w:rsidRDefault="00023958" w:rsidP="00A10F58">
      <w:pPr>
        <w:spacing w:before="240" w:after="0"/>
        <w:rPr>
          <w:rFonts w:eastAsia="Calibri" w:cs="Calibri"/>
          <w:sz w:val="24"/>
          <w:szCs w:val="24"/>
        </w:rPr>
      </w:pPr>
      <w:r w:rsidRPr="00D25292">
        <w:rPr>
          <w:rFonts w:eastAsia="Calibri" w:cs="Calibri"/>
          <w:sz w:val="24"/>
          <w:szCs w:val="24"/>
        </w:rPr>
        <w:t>Part 19A</w:t>
      </w:r>
      <w:r w:rsidR="007F1ABE">
        <w:rPr>
          <w:rFonts w:eastAsia="Calibri" w:cs="Calibri"/>
          <w:sz w:val="24"/>
          <w:szCs w:val="24"/>
        </w:rPr>
        <w:t>.1</w:t>
      </w:r>
      <w:r w:rsidRPr="00D25292">
        <w:rPr>
          <w:rFonts w:eastAsia="Calibri" w:cs="Calibri"/>
          <w:sz w:val="24"/>
          <w:szCs w:val="24"/>
        </w:rPr>
        <w:t xml:space="preserve"> of </w:t>
      </w:r>
      <w:r w:rsidR="00D92C0F">
        <w:rPr>
          <w:rFonts w:eastAsia="Calibri" w:cs="Calibri"/>
          <w:sz w:val="24"/>
          <w:szCs w:val="24"/>
        </w:rPr>
        <w:t>c</w:t>
      </w:r>
      <w:r w:rsidRPr="00D25292">
        <w:rPr>
          <w:rFonts w:eastAsia="Calibri" w:cs="Calibri"/>
          <w:sz w:val="24"/>
          <w:szCs w:val="24"/>
        </w:rPr>
        <w:t>hapter 19A,</w:t>
      </w:r>
      <w:r w:rsidR="00D92C0F">
        <w:rPr>
          <w:rFonts w:eastAsia="Calibri" w:cs="Calibri"/>
          <w:sz w:val="24"/>
          <w:szCs w:val="24"/>
        </w:rPr>
        <w:t xml:space="preserve"> s</w:t>
      </w:r>
      <w:r w:rsidRPr="00D25292">
        <w:rPr>
          <w:rFonts w:eastAsia="Calibri" w:cs="Calibri"/>
          <w:sz w:val="24"/>
          <w:szCs w:val="24"/>
        </w:rPr>
        <w:t xml:space="preserve">ection </w:t>
      </w:r>
      <w:r w:rsidR="00F75303" w:rsidRPr="00D25292">
        <w:rPr>
          <w:rFonts w:eastAsia="Calibri" w:cs="Calibri"/>
          <w:sz w:val="24"/>
          <w:szCs w:val="24"/>
        </w:rPr>
        <w:t>727</w:t>
      </w:r>
      <w:r w:rsidR="007F1ABE">
        <w:rPr>
          <w:rFonts w:eastAsia="Calibri" w:cs="Calibri"/>
          <w:sz w:val="24"/>
          <w:szCs w:val="24"/>
        </w:rPr>
        <w:t>B</w:t>
      </w:r>
      <w:r w:rsidR="00F75303" w:rsidRPr="00D25292">
        <w:rPr>
          <w:rFonts w:eastAsia="Calibri" w:cs="Calibri"/>
          <w:sz w:val="24"/>
          <w:szCs w:val="24"/>
        </w:rPr>
        <w:t>, sets</w:t>
      </w:r>
      <w:r>
        <w:rPr>
          <w:rFonts w:eastAsia="Calibri" w:cs="Calibri"/>
          <w:sz w:val="24"/>
          <w:szCs w:val="24"/>
        </w:rPr>
        <w:t xml:space="preserve"> out </w:t>
      </w:r>
      <w:r w:rsidR="0058238F" w:rsidRPr="006C68DE">
        <w:rPr>
          <w:rFonts w:eastAsia="Calibri" w:cs="Calibri"/>
          <w:sz w:val="24"/>
          <w:szCs w:val="24"/>
        </w:rPr>
        <w:t>the functions and responsibilities of the ACT Child and Young Person Death Review Committee based on the Committee’s annual reportin</w:t>
      </w:r>
      <w:r>
        <w:rPr>
          <w:rFonts w:eastAsia="Calibri" w:cs="Calibri"/>
          <w:sz w:val="24"/>
          <w:szCs w:val="24"/>
        </w:rPr>
        <w:t>g.</w:t>
      </w:r>
    </w:p>
    <w:p w14:paraId="3E4256AA" w14:textId="7BFB26F2" w:rsidR="00E25334" w:rsidRPr="00023958" w:rsidRDefault="00023958" w:rsidP="00A10F58">
      <w:pPr>
        <w:spacing w:before="240" w:after="0"/>
        <w:rPr>
          <w:rFonts w:eastAsia="Calibri" w:cs="Calibri"/>
          <w:sz w:val="24"/>
          <w:szCs w:val="24"/>
        </w:rPr>
      </w:pPr>
      <w:r w:rsidRPr="00023958">
        <w:rPr>
          <w:rFonts w:eastAsia="Calibri" w:cs="Calibri"/>
          <w:sz w:val="24"/>
          <w:szCs w:val="24"/>
        </w:rPr>
        <w:lastRenderedPageBreak/>
        <w:t xml:space="preserve">In 2021, the ACT Child and Young People Death Review Committee completed </w:t>
      </w:r>
      <w:r>
        <w:rPr>
          <w:rFonts w:eastAsia="Calibri" w:cs="Calibri"/>
          <w:sz w:val="24"/>
          <w:szCs w:val="24"/>
        </w:rPr>
        <w:t xml:space="preserve">the </w:t>
      </w:r>
      <w:r w:rsidRPr="006C68DE">
        <w:rPr>
          <w:rFonts w:eastAsia="Calibri" w:cs="Calibri"/>
          <w:i/>
          <w:iCs/>
          <w:sz w:val="24"/>
          <w:szCs w:val="24"/>
        </w:rPr>
        <w:t>Review of Children and Young People Who Have Died as a Result of Intentional Self-Harm</w:t>
      </w:r>
      <w:r w:rsidR="00450873">
        <w:rPr>
          <w:rStyle w:val="FootnoteReference"/>
          <w:rFonts w:eastAsia="Calibri"/>
          <w:i/>
          <w:iCs/>
          <w:sz w:val="24"/>
          <w:szCs w:val="24"/>
        </w:rPr>
        <w:footnoteReference w:id="15"/>
      </w:r>
      <w:r w:rsidRPr="006C68DE">
        <w:rPr>
          <w:rFonts w:eastAsia="Calibri" w:cs="Calibri"/>
          <w:i/>
          <w:iCs/>
          <w:sz w:val="24"/>
          <w:szCs w:val="24"/>
        </w:rPr>
        <w:t xml:space="preserve"> </w:t>
      </w:r>
      <w:r w:rsidRPr="00023958">
        <w:rPr>
          <w:rFonts w:eastAsia="Calibri" w:cs="Calibri"/>
          <w:sz w:val="24"/>
          <w:szCs w:val="24"/>
        </w:rPr>
        <w:t xml:space="preserve">(the Review) in response to an increase in deaths by suicide in 2018. The Bill addresses recommendations from the 2021 Review, as well as findings from a review into the Committee’s effectiveness in 2019. The 2021 recommendations are echoed by the findings in the </w:t>
      </w:r>
      <w:r w:rsidRPr="006C68DE">
        <w:rPr>
          <w:rFonts w:eastAsia="Calibri" w:cs="Calibri"/>
          <w:i/>
          <w:iCs/>
          <w:sz w:val="24"/>
          <w:szCs w:val="24"/>
        </w:rPr>
        <w:t xml:space="preserve">Review of Children and Young People in the ACT </w:t>
      </w:r>
      <w:r w:rsidRPr="00023958">
        <w:rPr>
          <w:rFonts w:eastAsia="Calibri" w:cs="Calibri"/>
          <w:sz w:val="24"/>
          <w:szCs w:val="24"/>
        </w:rPr>
        <w:t>(2020) by the ACT Government’s Office for Mental Health and Wellbeing</w:t>
      </w:r>
      <w:r w:rsidR="006E3F32">
        <w:rPr>
          <w:rStyle w:val="FootnoteReference"/>
          <w:rFonts w:eastAsia="Calibri"/>
          <w:sz w:val="24"/>
          <w:szCs w:val="24"/>
        </w:rPr>
        <w:footnoteReference w:id="16"/>
      </w:r>
      <w:r w:rsidRPr="00023958">
        <w:rPr>
          <w:rFonts w:eastAsia="Calibri" w:cs="Calibri"/>
          <w:sz w:val="24"/>
          <w:szCs w:val="24"/>
        </w:rPr>
        <w:t>.</w:t>
      </w:r>
    </w:p>
    <w:p w14:paraId="63A7AD60" w14:textId="0C33BFE4" w:rsidR="00270312" w:rsidRDefault="00023958" w:rsidP="00A10F58">
      <w:pPr>
        <w:spacing w:before="240" w:after="0"/>
        <w:rPr>
          <w:rFonts w:eastAsia="Calibri" w:cs="Calibri"/>
          <w:sz w:val="24"/>
          <w:szCs w:val="24"/>
        </w:rPr>
      </w:pPr>
      <w:r w:rsidRPr="00023958">
        <w:rPr>
          <w:rFonts w:eastAsia="Calibri" w:cs="Calibri"/>
          <w:sz w:val="24"/>
          <w:szCs w:val="24"/>
        </w:rPr>
        <w:t xml:space="preserve">The </w:t>
      </w:r>
      <w:r w:rsidRPr="00E25334">
        <w:rPr>
          <w:rFonts w:eastAsia="Calibri" w:cs="Calibri"/>
          <w:sz w:val="24"/>
          <w:szCs w:val="24"/>
        </w:rPr>
        <w:t>Bill retains the core functions of the Committee while expanding its scope to include the 18 to 24-year age group and review of ‘serious injuries</w:t>
      </w:r>
      <w:r w:rsidR="00BE2FA5">
        <w:rPr>
          <w:rFonts w:eastAsia="Calibri" w:cs="Calibri"/>
          <w:sz w:val="24"/>
          <w:szCs w:val="24"/>
        </w:rPr>
        <w:t>.</w:t>
      </w:r>
      <w:r w:rsidRPr="00E25334">
        <w:rPr>
          <w:rFonts w:eastAsia="Calibri" w:cs="Calibri"/>
          <w:sz w:val="24"/>
          <w:szCs w:val="24"/>
        </w:rPr>
        <w:t>’ The amendments support efforts to reduce preventable deaths of children and young people in the ACT and systemic changes to improve support and services to children and their families.</w:t>
      </w:r>
    </w:p>
    <w:p w14:paraId="385550E4" w14:textId="24B1CEBF" w:rsidR="00A56CB8" w:rsidRDefault="00A56CB8" w:rsidP="00A10F58">
      <w:pPr>
        <w:spacing w:before="240" w:after="0"/>
        <w:rPr>
          <w:rFonts w:eastAsia="Calibri" w:cs="Calibri"/>
          <w:sz w:val="24"/>
          <w:szCs w:val="24"/>
        </w:rPr>
      </w:pPr>
      <w:r>
        <w:rPr>
          <w:rFonts w:eastAsia="Calibri" w:cs="Calibri"/>
          <w:sz w:val="24"/>
          <w:szCs w:val="24"/>
        </w:rPr>
        <w:t>The Bill also makes a range of minor amendments to improve the functioning of the Committee.</w:t>
      </w:r>
    </w:p>
    <w:p w14:paraId="4A734203" w14:textId="5382362C" w:rsidR="00285E19" w:rsidRDefault="00352E6F" w:rsidP="00A10F58">
      <w:pPr>
        <w:pStyle w:val="Heading2"/>
        <w:spacing w:before="240" w:after="0" w:line="276" w:lineRule="auto"/>
        <w:rPr>
          <w:rFonts w:ascii="Calibri" w:eastAsia="Times New Roman" w:hAnsi="Calibri" w:cs="Calibri"/>
          <w:bCs/>
          <w:iCs/>
          <w:sz w:val="28"/>
          <w:szCs w:val="28"/>
        </w:rPr>
      </w:pPr>
      <w:r w:rsidRPr="00D3068B">
        <w:rPr>
          <w:rFonts w:ascii="Calibri" w:eastAsia="Times New Roman" w:hAnsi="Calibri" w:cs="Calibri"/>
          <w:bCs/>
          <w:iCs/>
          <w:sz w:val="28"/>
          <w:szCs w:val="28"/>
        </w:rPr>
        <w:t>CONSISTENCY WITH HUMAN RIGHTS</w:t>
      </w:r>
    </w:p>
    <w:p w14:paraId="45A27D18" w14:textId="40A6CE0C" w:rsidR="00555E06" w:rsidRPr="00285E19" w:rsidRDefault="00555E06" w:rsidP="00A10F58">
      <w:pPr>
        <w:pStyle w:val="Heading2"/>
        <w:spacing w:before="240" w:after="0" w:line="276" w:lineRule="auto"/>
        <w:rPr>
          <w:rFonts w:ascii="Calibri" w:eastAsia="Times New Roman" w:hAnsi="Calibri" w:cs="Calibri"/>
          <w:bCs/>
          <w:iCs/>
          <w:sz w:val="28"/>
          <w:szCs w:val="28"/>
        </w:rPr>
      </w:pPr>
      <w:r w:rsidRPr="00285E19">
        <w:rPr>
          <w:rFonts w:ascii="Calibri" w:eastAsia="Times New Roman" w:hAnsi="Calibri" w:cs="Calibri"/>
          <w:b w:val="0"/>
          <w:iCs/>
          <w:szCs w:val="24"/>
        </w:rPr>
        <w:t xml:space="preserve">The preamble to the </w:t>
      </w:r>
      <w:r w:rsidRPr="004C376D">
        <w:rPr>
          <w:rFonts w:ascii="Calibri" w:eastAsia="Times New Roman" w:hAnsi="Calibri" w:cs="Calibri"/>
          <w:b w:val="0"/>
          <w:i/>
          <w:szCs w:val="24"/>
        </w:rPr>
        <w:t>Human Rights Act 2004</w:t>
      </w:r>
      <w:r w:rsidRPr="00285E19">
        <w:rPr>
          <w:rFonts w:ascii="Calibri" w:eastAsia="Times New Roman" w:hAnsi="Calibri" w:cs="Calibri"/>
          <w:b w:val="0"/>
          <w:iCs/>
          <w:szCs w:val="24"/>
        </w:rPr>
        <w:t xml:space="preserve"> </w:t>
      </w:r>
      <w:r w:rsidR="004C376D">
        <w:rPr>
          <w:rFonts w:ascii="Calibri" w:eastAsia="Times New Roman" w:hAnsi="Calibri" w:cs="Calibri"/>
          <w:b w:val="0"/>
          <w:iCs/>
          <w:szCs w:val="24"/>
        </w:rPr>
        <w:t xml:space="preserve">(ACT) </w:t>
      </w:r>
      <w:r w:rsidRPr="00285E19">
        <w:rPr>
          <w:rFonts w:ascii="Calibri" w:eastAsia="Times New Roman" w:hAnsi="Calibri" w:cs="Calibri"/>
          <w:b w:val="0"/>
          <w:iCs/>
          <w:szCs w:val="24"/>
        </w:rPr>
        <w:t>(the Human Rights Act) states that few rights are absolute and that they may be subject only to the reasonable limits in law that can be demonstrably justified in a free and democratic society. This is further reflected in section 28 of the Human Rights Act with subsection (2) stating that in deciding whether a limit on a human right is reasonable, all relevant factors must be considered, including</w:t>
      </w:r>
      <w:r w:rsidRPr="00555E06">
        <w:rPr>
          <w:rFonts w:cs="Calibri"/>
          <w:iCs/>
          <w:szCs w:val="24"/>
        </w:rPr>
        <w:t>:</w:t>
      </w:r>
    </w:p>
    <w:p w14:paraId="05A5DE8F" w14:textId="2FD4F69B" w:rsidR="00555E06" w:rsidRPr="00555E06" w:rsidRDefault="00555E06" w:rsidP="00A10F58">
      <w:pPr>
        <w:pStyle w:val="ListParagraph"/>
        <w:numPr>
          <w:ilvl w:val="0"/>
          <w:numId w:val="13"/>
        </w:numPr>
        <w:spacing w:before="120"/>
        <w:ind w:left="714" w:hanging="357"/>
        <w:rPr>
          <w:iCs/>
          <w:sz w:val="24"/>
          <w:szCs w:val="24"/>
        </w:rPr>
      </w:pPr>
      <w:r w:rsidRPr="00555E06">
        <w:rPr>
          <w:iCs/>
          <w:sz w:val="24"/>
          <w:szCs w:val="24"/>
        </w:rPr>
        <w:t>the nature of the right affected;</w:t>
      </w:r>
    </w:p>
    <w:p w14:paraId="4757C973" w14:textId="191E2834" w:rsidR="00555E06" w:rsidRPr="00555E06" w:rsidRDefault="00555E06" w:rsidP="00A10F58">
      <w:pPr>
        <w:pStyle w:val="ListParagraph"/>
        <w:numPr>
          <w:ilvl w:val="0"/>
          <w:numId w:val="13"/>
        </w:numPr>
        <w:spacing w:before="120"/>
        <w:ind w:left="714" w:hanging="357"/>
        <w:rPr>
          <w:iCs/>
          <w:sz w:val="24"/>
          <w:szCs w:val="24"/>
        </w:rPr>
      </w:pPr>
      <w:r w:rsidRPr="00555E06">
        <w:rPr>
          <w:iCs/>
          <w:sz w:val="24"/>
          <w:szCs w:val="24"/>
        </w:rPr>
        <w:t>the importance of the purpose of the limitation;</w:t>
      </w:r>
    </w:p>
    <w:p w14:paraId="0DD80EC8" w14:textId="6C0B61E9" w:rsidR="00555E06" w:rsidRPr="00555E06" w:rsidRDefault="00555E06" w:rsidP="00A10F58">
      <w:pPr>
        <w:pStyle w:val="ListParagraph"/>
        <w:numPr>
          <w:ilvl w:val="0"/>
          <w:numId w:val="13"/>
        </w:numPr>
        <w:spacing w:before="120"/>
        <w:ind w:left="714" w:hanging="357"/>
        <w:rPr>
          <w:iCs/>
          <w:sz w:val="24"/>
          <w:szCs w:val="24"/>
        </w:rPr>
      </w:pPr>
      <w:r w:rsidRPr="00555E06">
        <w:rPr>
          <w:iCs/>
          <w:sz w:val="24"/>
          <w:szCs w:val="24"/>
        </w:rPr>
        <w:t>the nature and extent of the limitation;</w:t>
      </w:r>
    </w:p>
    <w:p w14:paraId="34BBC581" w14:textId="016A3B95" w:rsidR="00555E06" w:rsidRPr="00555E06" w:rsidRDefault="00555E06" w:rsidP="00A10F58">
      <w:pPr>
        <w:pStyle w:val="ListParagraph"/>
        <w:numPr>
          <w:ilvl w:val="0"/>
          <w:numId w:val="13"/>
        </w:numPr>
        <w:spacing w:before="120"/>
        <w:ind w:left="714" w:hanging="357"/>
        <w:rPr>
          <w:iCs/>
          <w:sz w:val="24"/>
          <w:szCs w:val="24"/>
        </w:rPr>
      </w:pPr>
      <w:r w:rsidRPr="00555E06">
        <w:rPr>
          <w:iCs/>
          <w:sz w:val="24"/>
          <w:szCs w:val="24"/>
        </w:rPr>
        <w:t>the relationship between the limitation and its purposes; and</w:t>
      </w:r>
    </w:p>
    <w:p w14:paraId="75AE954C" w14:textId="618ECC45" w:rsidR="00555E06" w:rsidRPr="00555E06" w:rsidRDefault="00555E06" w:rsidP="00A10F58">
      <w:pPr>
        <w:pStyle w:val="ListParagraph"/>
        <w:numPr>
          <w:ilvl w:val="0"/>
          <w:numId w:val="13"/>
        </w:numPr>
        <w:spacing w:before="120"/>
        <w:ind w:left="714" w:hanging="357"/>
        <w:rPr>
          <w:iCs/>
          <w:sz w:val="24"/>
          <w:szCs w:val="24"/>
        </w:rPr>
      </w:pPr>
      <w:r w:rsidRPr="00555E06">
        <w:rPr>
          <w:iCs/>
          <w:sz w:val="24"/>
          <w:szCs w:val="24"/>
        </w:rPr>
        <w:t>any less restrictive means reasonably available to achieve the purpose the limitation seeks to achieve.</w:t>
      </w:r>
    </w:p>
    <w:p w14:paraId="683AC59C" w14:textId="29275C59" w:rsidR="002D1A01" w:rsidRPr="00A57E60" w:rsidRDefault="002D1A01" w:rsidP="00A10F58">
      <w:pPr>
        <w:spacing w:before="240" w:after="0"/>
      </w:pPr>
      <w:r w:rsidRPr="002D1A01">
        <w:rPr>
          <w:rFonts w:cs="Calibri"/>
          <w:iCs/>
          <w:sz w:val="24"/>
          <w:szCs w:val="24"/>
        </w:rPr>
        <w:t xml:space="preserve">The Bill actively engages with and supports several </w:t>
      </w:r>
      <w:r w:rsidR="00BB7ADC">
        <w:rPr>
          <w:rFonts w:cs="Calibri"/>
          <w:iCs/>
          <w:sz w:val="24"/>
          <w:szCs w:val="24"/>
        </w:rPr>
        <w:t xml:space="preserve">human </w:t>
      </w:r>
      <w:r w:rsidRPr="002D1A01">
        <w:rPr>
          <w:rFonts w:cs="Calibri"/>
          <w:iCs/>
          <w:sz w:val="24"/>
          <w:szCs w:val="24"/>
        </w:rPr>
        <w:t xml:space="preserve">rights </w:t>
      </w:r>
      <w:r w:rsidR="00285E19">
        <w:rPr>
          <w:rFonts w:cs="Calibri"/>
          <w:iCs/>
          <w:sz w:val="24"/>
          <w:szCs w:val="24"/>
        </w:rPr>
        <w:t>as outlined and described</w:t>
      </w:r>
      <w:r w:rsidR="004C376D">
        <w:rPr>
          <w:rFonts w:cs="Calibri"/>
          <w:iCs/>
          <w:sz w:val="24"/>
          <w:szCs w:val="24"/>
        </w:rPr>
        <w:t xml:space="preserve"> below</w:t>
      </w:r>
      <w:r w:rsidRPr="002D1A01">
        <w:rPr>
          <w:rFonts w:cs="Calibri"/>
          <w:iCs/>
          <w:sz w:val="24"/>
          <w:szCs w:val="24"/>
        </w:rPr>
        <w:t xml:space="preserve">. </w:t>
      </w:r>
    </w:p>
    <w:p w14:paraId="7DDEE555" w14:textId="4F79880F" w:rsidR="00352E6F" w:rsidRPr="00E25334" w:rsidRDefault="00352E6F" w:rsidP="004F520A">
      <w:pPr>
        <w:pStyle w:val="ListParagraph"/>
        <w:numPr>
          <w:ilvl w:val="0"/>
          <w:numId w:val="4"/>
        </w:numPr>
        <w:spacing w:before="120" w:line="276" w:lineRule="auto"/>
        <w:ind w:left="714" w:hanging="357"/>
        <w:rPr>
          <w:sz w:val="24"/>
          <w:szCs w:val="24"/>
        </w:rPr>
      </w:pPr>
      <w:r w:rsidRPr="002D1A01">
        <w:rPr>
          <w:b/>
          <w:bCs/>
          <w:sz w:val="24"/>
          <w:szCs w:val="24"/>
        </w:rPr>
        <w:t>Section 8</w:t>
      </w:r>
      <w:r w:rsidR="002D1A01" w:rsidRPr="002D1A01">
        <w:rPr>
          <w:b/>
          <w:bCs/>
          <w:sz w:val="24"/>
          <w:szCs w:val="24"/>
        </w:rPr>
        <w:t>:</w:t>
      </w:r>
      <w:r w:rsidR="002D1A01">
        <w:rPr>
          <w:sz w:val="24"/>
          <w:szCs w:val="24"/>
        </w:rPr>
        <w:t xml:space="preserve"> R</w:t>
      </w:r>
      <w:r w:rsidRPr="00E25334">
        <w:rPr>
          <w:sz w:val="24"/>
          <w:szCs w:val="24"/>
        </w:rPr>
        <w:t>ecognition and equality before the law</w:t>
      </w:r>
      <w:r w:rsidRPr="00E25334">
        <w:rPr>
          <w:sz w:val="24"/>
          <w:szCs w:val="24"/>
        </w:rPr>
        <w:tab/>
      </w:r>
    </w:p>
    <w:p w14:paraId="6B10F56C" w14:textId="440002D5" w:rsidR="00352E6F" w:rsidRPr="00E25334" w:rsidRDefault="00352E6F" w:rsidP="004F520A">
      <w:pPr>
        <w:pStyle w:val="ListParagraph"/>
        <w:numPr>
          <w:ilvl w:val="0"/>
          <w:numId w:val="4"/>
        </w:numPr>
        <w:spacing w:before="120" w:line="276" w:lineRule="auto"/>
        <w:ind w:left="714" w:right="-46" w:hanging="357"/>
        <w:rPr>
          <w:sz w:val="24"/>
          <w:szCs w:val="24"/>
        </w:rPr>
      </w:pPr>
      <w:r w:rsidRPr="002D1A01">
        <w:rPr>
          <w:b/>
          <w:bCs/>
          <w:sz w:val="24"/>
          <w:szCs w:val="24"/>
        </w:rPr>
        <w:t>Section 10</w:t>
      </w:r>
      <w:r w:rsidR="002D1A01">
        <w:rPr>
          <w:sz w:val="24"/>
          <w:szCs w:val="24"/>
        </w:rPr>
        <w:t>: P</w:t>
      </w:r>
      <w:r w:rsidRPr="00E25334">
        <w:rPr>
          <w:sz w:val="24"/>
          <w:szCs w:val="24"/>
        </w:rPr>
        <w:t xml:space="preserve">rotection from torture and cruel, inhuman and degrading treatment </w:t>
      </w:r>
      <w:r w:rsidR="009F2E81" w:rsidRPr="00E25334">
        <w:rPr>
          <w:sz w:val="24"/>
          <w:szCs w:val="24"/>
        </w:rPr>
        <w:t>etc</w:t>
      </w:r>
    </w:p>
    <w:p w14:paraId="04A420B5" w14:textId="6665A99B" w:rsidR="00352E6F" w:rsidRPr="00E25334" w:rsidRDefault="00352E6F" w:rsidP="004F520A">
      <w:pPr>
        <w:pStyle w:val="ListParagraph"/>
        <w:numPr>
          <w:ilvl w:val="0"/>
          <w:numId w:val="4"/>
        </w:numPr>
        <w:spacing w:before="120" w:line="276" w:lineRule="auto"/>
        <w:ind w:left="714" w:hanging="357"/>
        <w:rPr>
          <w:sz w:val="24"/>
          <w:szCs w:val="24"/>
        </w:rPr>
      </w:pPr>
      <w:r w:rsidRPr="002D1A01">
        <w:rPr>
          <w:b/>
          <w:bCs/>
          <w:sz w:val="24"/>
          <w:szCs w:val="24"/>
        </w:rPr>
        <w:t>Section 11</w:t>
      </w:r>
      <w:r w:rsidR="002D1A01" w:rsidRPr="002D1A01">
        <w:rPr>
          <w:b/>
          <w:bCs/>
          <w:sz w:val="24"/>
          <w:szCs w:val="24"/>
        </w:rPr>
        <w:t>:</w:t>
      </w:r>
      <w:r w:rsidR="002D1A01">
        <w:rPr>
          <w:sz w:val="24"/>
          <w:szCs w:val="24"/>
        </w:rPr>
        <w:t xml:space="preserve"> P</w:t>
      </w:r>
      <w:r w:rsidRPr="00E25334">
        <w:rPr>
          <w:sz w:val="24"/>
          <w:szCs w:val="24"/>
        </w:rPr>
        <w:t>rotection of the family and children</w:t>
      </w:r>
    </w:p>
    <w:p w14:paraId="5543F4F6" w14:textId="36A2693A" w:rsidR="006558B5" w:rsidRPr="00E25334" w:rsidRDefault="006558B5" w:rsidP="004F520A">
      <w:pPr>
        <w:pStyle w:val="ListParagraph"/>
        <w:numPr>
          <w:ilvl w:val="0"/>
          <w:numId w:val="4"/>
        </w:numPr>
        <w:spacing w:before="120" w:line="276" w:lineRule="auto"/>
        <w:ind w:left="714" w:hanging="357"/>
        <w:rPr>
          <w:sz w:val="24"/>
          <w:szCs w:val="24"/>
        </w:rPr>
      </w:pPr>
      <w:r w:rsidRPr="002D1A01">
        <w:rPr>
          <w:b/>
          <w:bCs/>
          <w:sz w:val="24"/>
          <w:szCs w:val="24"/>
        </w:rPr>
        <w:t xml:space="preserve">Section </w:t>
      </w:r>
      <w:r w:rsidR="000C7581" w:rsidRPr="002D1A01">
        <w:rPr>
          <w:b/>
          <w:bCs/>
          <w:sz w:val="24"/>
          <w:szCs w:val="24"/>
        </w:rPr>
        <w:t>21</w:t>
      </w:r>
      <w:r w:rsidR="002D1A01" w:rsidRPr="002D1A01">
        <w:rPr>
          <w:b/>
          <w:bCs/>
          <w:sz w:val="24"/>
          <w:szCs w:val="24"/>
        </w:rPr>
        <w:t>:</w:t>
      </w:r>
      <w:r w:rsidR="002D1A01">
        <w:rPr>
          <w:sz w:val="24"/>
          <w:szCs w:val="24"/>
        </w:rPr>
        <w:t xml:space="preserve"> R</w:t>
      </w:r>
      <w:r w:rsidR="000C7581" w:rsidRPr="00E25334">
        <w:rPr>
          <w:sz w:val="24"/>
          <w:szCs w:val="24"/>
        </w:rPr>
        <w:t xml:space="preserve">ight to fair trial </w:t>
      </w:r>
    </w:p>
    <w:p w14:paraId="20B7F66D" w14:textId="660E7E33" w:rsidR="00E25334" w:rsidRDefault="00352E6F" w:rsidP="004F520A">
      <w:pPr>
        <w:pStyle w:val="ListParagraph"/>
        <w:numPr>
          <w:ilvl w:val="0"/>
          <w:numId w:val="4"/>
        </w:numPr>
        <w:spacing w:before="120" w:line="276" w:lineRule="auto"/>
        <w:ind w:left="714" w:hanging="357"/>
        <w:rPr>
          <w:sz w:val="24"/>
          <w:szCs w:val="24"/>
        </w:rPr>
      </w:pPr>
      <w:r w:rsidRPr="002D1A01">
        <w:rPr>
          <w:b/>
          <w:bCs/>
          <w:sz w:val="24"/>
          <w:szCs w:val="24"/>
        </w:rPr>
        <w:lastRenderedPageBreak/>
        <w:t>Section 27</w:t>
      </w:r>
      <w:r w:rsidR="002D1A01" w:rsidRPr="002D1A01">
        <w:rPr>
          <w:b/>
          <w:bCs/>
          <w:sz w:val="24"/>
          <w:szCs w:val="24"/>
        </w:rPr>
        <w:t>:</w:t>
      </w:r>
      <w:r w:rsidR="002D1A01">
        <w:rPr>
          <w:sz w:val="24"/>
          <w:szCs w:val="24"/>
        </w:rPr>
        <w:t xml:space="preserve"> C</w:t>
      </w:r>
      <w:r w:rsidRPr="00E25334">
        <w:rPr>
          <w:sz w:val="24"/>
          <w:szCs w:val="24"/>
        </w:rPr>
        <w:t>ultural and other rights of Aboriginal and Torres Strait Islander peoples and other minorities</w:t>
      </w:r>
      <w:r w:rsidR="00EE3A12" w:rsidRPr="00E25334">
        <w:rPr>
          <w:sz w:val="24"/>
          <w:szCs w:val="24"/>
        </w:rPr>
        <w:t>.</w:t>
      </w:r>
    </w:p>
    <w:p w14:paraId="550C4963" w14:textId="14D65FC7" w:rsidR="004C376D" w:rsidRPr="004C376D" w:rsidRDefault="004C376D" w:rsidP="004F520A">
      <w:pPr>
        <w:spacing w:before="240" w:after="0"/>
        <w:rPr>
          <w:sz w:val="24"/>
          <w:szCs w:val="24"/>
        </w:rPr>
      </w:pPr>
      <w:r>
        <w:rPr>
          <w:rFonts w:cs="Calibri"/>
          <w:iCs/>
          <w:sz w:val="24"/>
          <w:szCs w:val="24"/>
        </w:rPr>
        <w:t xml:space="preserve">The </w:t>
      </w:r>
      <w:r w:rsidRPr="002D1A01">
        <w:rPr>
          <w:rFonts w:cs="Calibri"/>
          <w:iCs/>
          <w:sz w:val="24"/>
          <w:szCs w:val="24"/>
        </w:rPr>
        <w:t>Bill does not impose any limitations on human rights</w:t>
      </w:r>
      <w:r>
        <w:rPr>
          <w:rFonts w:cs="Calibri"/>
          <w:iCs/>
          <w:sz w:val="24"/>
          <w:szCs w:val="24"/>
        </w:rPr>
        <w:t>.</w:t>
      </w:r>
    </w:p>
    <w:p w14:paraId="105147A5" w14:textId="295B6316" w:rsidR="00352E6F" w:rsidRPr="00555E06" w:rsidRDefault="00555E06" w:rsidP="004F520A">
      <w:pPr>
        <w:spacing w:before="240" w:after="0"/>
        <w:rPr>
          <w:rFonts w:cs="Calibri"/>
          <w:b/>
          <w:bCs/>
          <w:sz w:val="24"/>
          <w:szCs w:val="24"/>
        </w:rPr>
      </w:pPr>
      <w:r w:rsidRPr="00555E06">
        <w:rPr>
          <w:rFonts w:cs="Calibri"/>
          <w:b/>
          <w:bCs/>
          <w:sz w:val="24"/>
          <w:szCs w:val="24"/>
        </w:rPr>
        <w:t xml:space="preserve">Part 3 </w:t>
      </w:r>
      <w:r w:rsidR="00352E6F" w:rsidRPr="00555E06">
        <w:rPr>
          <w:rFonts w:cs="Calibri"/>
          <w:b/>
          <w:bCs/>
          <w:sz w:val="24"/>
          <w:szCs w:val="24"/>
        </w:rPr>
        <w:t>Section 8</w:t>
      </w:r>
      <w:r w:rsidR="00E25334" w:rsidRPr="00555E06">
        <w:rPr>
          <w:rFonts w:cs="Calibri"/>
          <w:b/>
          <w:bCs/>
          <w:sz w:val="24"/>
          <w:szCs w:val="24"/>
        </w:rPr>
        <w:t xml:space="preserve"> R</w:t>
      </w:r>
      <w:r w:rsidR="00352E6F" w:rsidRPr="00555E06">
        <w:rPr>
          <w:rFonts w:cs="Calibri"/>
          <w:b/>
          <w:bCs/>
          <w:sz w:val="24"/>
          <w:szCs w:val="24"/>
        </w:rPr>
        <w:t>ecognition and equality before the law</w:t>
      </w:r>
    </w:p>
    <w:p w14:paraId="24183DC0" w14:textId="6EF84ABA" w:rsidR="00555E06" w:rsidRDefault="00555E06" w:rsidP="004F520A">
      <w:pPr>
        <w:spacing w:before="240" w:after="0"/>
        <w:rPr>
          <w:rFonts w:cs="Calibri"/>
          <w:sz w:val="24"/>
          <w:szCs w:val="24"/>
        </w:rPr>
      </w:pPr>
      <w:r w:rsidRPr="00555E06">
        <w:rPr>
          <w:rFonts w:cs="Calibri"/>
          <w:sz w:val="24"/>
          <w:szCs w:val="24"/>
        </w:rPr>
        <w:t>Section 8 of the Human Rights Act provides that everyone is equal before the law and is entitled to the equal protection of the law without discrimination. The purpose is to ensure that all laws and policies are applied equally</w:t>
      </w:r>
      <w:r w:rsidR="00462B35">
        <w:rPr>
          <w:rFonts w:cs="Calibri"/>
          <w:sz w:val="24"/>
          <w:szCs w:val="24"/>
        </w:rPr>
        <w:t xml:space="preserve"> </w:t>
      </w:r>
      <w:r w:rsidRPr="00555E06">
        <w:rPr>
          <w:rFonts w:cs="Calibri"/>
          <w:sz w:val="24"/>
          <w:szCs w:val="24"/>
        </w:rPr>
        <w:t xml:space="preserve">and do not have a discriminatory effect. </w:t>
      </w:r>
      <w:r w:rsidR="001C1F06" w:rsidRPr="00E25334">
        <w:rPr>
          <w:rFonts w:cs="Calibri"/>
          <w:sz w:val="24"/>
          <w:szCs w:val="24"/>
        </w:rPr>
        <w:t xml:space="preserve">The right to recognition and equality before the law is a standalone right that also permeates all human rights. </w:t>
      </w:r>
    </w:p>
    <w:p w14:paraId="06885265" w14:textId="74EE7C85" w:rsidR="00555E06" w:rsidRDefault="00555E06" w:rsidP="004F520A">
      <w:pPr>
        <w:spacing w:before="240" w:after="0"/>
        <w:rPr>
          <w:rFonts w:cs="Calibri"/>
          <w:sz w:val="24"/>
          <w:szCs w:val="24"/>
        </w:rPr>
      </w:pPr>
      <w:r w:rsidRPr="00555E06">
        <w:rPr>
          <w:rFonts w:cs="Calibri"/>
          <w:sz w:val="24"/>
          <w:szCs w:val="24"/>
        </w:rPr>
        <w:t xml:space="preserve">Section 8 of the Human Rights Act </w:t>
      </w:r>
      <w:r>
        <w:rPr>
          <w:rFonts w:cs="Calibri"/>
          <w:sz w:val="24"/>
          <w:szCs w:val="24"/>
        </w:rPr>
        <w:t xml:space="preserve">sets out </w:t>
      </w:r>
      <w:r w:rsidRPr="00555E06">
        <w:rPr>
          <w:rFonts w:cs="Calibri"/>
          <w:sz w:val="24"/>
          <w:szCs w:val="24"/>
        </w:rPr>
        <w:t xml:space="preserve">examples </w:t>
      </w:r>
      <w:r>
        <w:rPr>
          <w:rFonts w:cs="Calibri"/>
          <w:sz w:val="24"/>
          <w:szCs w:val="24"/>
        </w:rPr>
        <w:t xml:space="preserve">of </w:t>
      </w:r>
      <w:r w:rsidRPr="00555E06">
        <w:rPr>
          <w:rFonts w:cs="Calibri"/>
          <w:sz w:val="24"/>
          <w:szCs w:val="24"/>
        </w:rPr>
        <w:t>discrimination on the basis of race, colour, sex, sexual orientation, language, religion, political or other opinion, national or social origin, property, birth, disability or ‘other status</w:t>
      </w:r>
      <w:r w:rsidR="000F189C">
        <w:rPr>
          <w:rFonts w:cs="Calibri"/>
          <w:sz w:val="24"/>
          <w:szCs w:val="24"/>
        </w:rPr>
        <w:t>.</w:t>
      </w:r>
      <w:r w:rsidR="00285E19">
        <w:rPr>
          <w:rFonts w:cs="Calibri"/>
          <w:sz w:val="24"/>
          <w:szCs w:val="24"/>
        </w:rPr>
        <w:t xml:space="preserve">’ </w:t>
      </w:r>
      <w:r w:rsidRPr="00555E06">
        <w:rPr>
          <w:rFonts w:cs="Calibri"/>
          <w:sz w:val="24"/>
          <w:szCs w:val="24"/>
        </w:rPr>
        <w:t xml:space="preserve">In addition to the grounds identified as examples in the Human Rights Act, section 8 of the </w:t>
      </w:r>
      <w:r w:rsidRPr="00170445">
        <w:rPr>
          <w:rFonts w:cs="Calibri"/>
          <w:i/>
          <w:iCs/>
          <w:sz w:val="24"/>
          <w:szCs w:val="24"/>
        </w:rPr>
        <w:t>Discrimination Act 1991</w:t>
      </w:r>
      <w:r w:rsidRPr="00555E06">
        <w:rPr>
          <w:rFonts w:cs="Calibri"/>
          <w:sz w:val="24"/>
          <w:szCs w:val="24"/>
        </w:rPr>
        <w:t xml:space="preserve"> (ACT) provides it is unlawful to discriminate based on a person having one or more protected attributes including but not limited to, age, race, colour, sex, sexual orientation, language, religion, disability, or other status.</w:t>
      </w:r>
    </w:p>
    <w:p w14:paraId="506896BB" w14:textId="388115D1" w:rsidR="00462B35" w:rsidRPr="00462B35" w:rsidRDefault="00555E06" w:rsidP="004F520A">
      <w:pPr>
        <w:spacing w:before="240" w:after="0"/>
        <w:rPr>
          <w:rFonts w:cs="Calibri"/>
          <w:color w:val="000000" w:themeColor="text1"/>
          <w:sz w:val="24"/>
          <w:szCs w:val="24"/>
        </w:rPr>
      </w:pPr>
      <w:r w:rsidRPr="00555E06">
        <w:rPr>
          <w:rFonts w:cs="Calibri"/>
          <w:sz w:val="24"/>
          <w:szCs w:val="24"/>
        </w:rPr>
        <w:t>Direct discrimination occurs where a person treats a person with an attribute unfavourably because of that attribute.</w:t>
      </w:r>
      <w:r w:rsidRPr="00555E06">
        <w:t xml:space="preserve"> </w:t>
      </w:r>
      <w:r w:rsidR="00462B35" w:rsidRPr="00E25334">
        <w:rPr>
          <w:rFonts w:cs="Calibri"/>
          <w:color w:val="000000" w:themeColor="text1"/>
          <w:sz w:val="24"/>
          <w:szCs w:val="24"/>
        </w:rPr>
        <w:t>Discrimination means any distinction, exclusion, restriction or preference based on any ground which has the purpose or effect of nullifying or impairing the recognition, enjoyment or exercise by everyone, on an equal footing, of all rights and freedoms.</w:t>
      </w:r>
      <w:r w:rsidR="00462B35" w:rsidRPr="00E25334">
        <w:rPr>
          <w:rStyle w:val="FootnoteReference"/>
          <w:rFonts w:cs="Calibri"/>
          <w:color w:val="000000" w:themeColor="text1"/>
          <w:sz w:val="24"/>
          <w:szCs w:val="24"/>
        </w:rPr>
        <w:footnoteReference w:id="17"/>
      </w:r>
      <w:r w:rsidR="00462B35" w:rsidRPr="00E25334">
        <w:rPr>
          <w:rFonts w:cs="Calibri"/>
          <w:color w:val="000000" w:themeColor="text1"/>
          <w:sz w:val="24"/>
          <w:szCs w:val="24"/>
        </w:rPr>
        <w:t xml:space="preserve"> It can be taken to include different treatment of persons who are in relevantly similar situations, where there is an absence of an objective and reasonable justification.</w:t>
      </w:r>
      <w:r w:rsidR="00462B35" w:rsidRPr="00E25334">
        <w:rPr>
          <w:rStyle w:val="FootnoteReference"/>
          <w:rFonts w:cs="Calibri"/>
          <w:color w:val="000000" w:themeColor="text1"/>
          <w:sz w:val="24"/>
          <w:szCs w:val="24"/>
        </w:rPr>
        <w:footnoteReference w:id="18"/>
      </w:r>
      <w:r w:rsidR="00462B35" w:rsidRPr="00E25334">
        <w:rPr>
          <w:rFonts w:cs="Calibri"/>
          <w:color w:val="000000" w:themeColor="text1"/>
          <w:sz w:val="24"/>
          <w:szCs w:val="24"/>
        </w:rPr>
        <w:t xml:space="preserve"> </w:t>
      </w:r>
    </w:p>
    <w:p w14:paraId="467FE520" w14:textId="4D8C1DAC" w:rsidR="00BB7ADC" w:rsidRPr="009F704C" w:rsidRDefault="00555E06" w:rsidP="004F520A">
      <w:pPr>
        <w:spacing w:before="240" w:after="0"/>
      </w:pPr>
      <w:r w:rsidRPr="00555E06">
        <w:rPr>
          <w:rFonts w:cs="Calibri"/>
          <w:sz w:val="24"/>
          <w:szCs w:val="24"/>
        </w:rPr>
        <w:t>Indirect discrimination</w:t>
      </w:r>
      <w:r>
        <w:rPr>
          <w:rFonts w:cs="Calibri"/>
          <w:sz w:val="24"/>
          <w:szCs w:val="24"/>
        </w:rPr>
        <w:t xml:space="preserve"> may arise</w:t>
      </w:r>
      <w:r w:rsidRPr="00555E06">
        <w:rPr>
          <w:rFonts w:cs="Calibri"/>
          <w:sz w:val="24"/>
          <w:szCs w:val="24"/>
        </w:rPr>
        <w:t xml:space="preserve"> when an unreasonable rule or policy applies to everyone but has the effect of disadvantaging some people because of a personal characteristic they share. </w:t>
      </w:r>
      <w:r w:rsidR="00462B35" w:rsidRPr="00E25334">
        <w:rPr>
          <w:rFonts w:cs="Calibri"/>
          <w:color w:val="000000" w:themeColor="text1"/>
          <w:sz w:val="24"/>
          <w:szCs w:val="24"/>
        </w:rPr>
        <w:t>The right to equality and the prohibition on discrimination do not prevent special measures</w:t>
      </w:r>
      <w:r w:rsidR="00462B35">
        <w:rPr>
          <w:rFonts w:cs="Calibri"/>
          <w:color w:val="000000" w:themeColor="text1"/>
          <w:sz w:val="24"/>
          <w:szCs w:val="24"/>
        </w:rPr>
        <w:t xml:space="preserve"> or affirmative action </w:t>
      </w:r>
      <w:r w:rsidR="00462B35" w:rsidRPr="00E25334">
        <w:rPr>
          <w:rFonts w:cs="Calibri"/>
          <w:color w:val="000000" w:themeColor="text1"/>
          <w:sz w:val="24"/>
          <w:szCs w:val="24"/>
        </w:rPr>
        <w:t>aimed at correcting inequalities that arise from facially neutral laws.</w:t>
      </w:r>
      <w:r w:rsidR="00462B35" w:rsidRPr="00E25334">
        <w:rPr>
          <w:rStyle w:val="FootnoteReference"/>
          <w:rFonts w:cs="Calibri"/>
          <w:color w:val="000000" w:themeColor="text1"/>
          <w:sz w:val="24"/>
          <w:szCs w:val="24"/>
        </w:rPr>
        <w:footnoteReference w:id="19"/>
      </w:r>
      <w:r w:rsidR="00462B35" w:rsidRPr="00E25334">
        <w:rPr>
          <w:rFonts w:cs="Calibri"/>
          <w:color w:val="000000" w:themeColor="text1"/>
          <w:sz w:val="24"/>
          <w:szCs w:val="24"/>
        </w:rPr>
        <w:t xml:space="preserve"> </w:t>
      </w:r>
      <w:r w:rsidR="00462B35" w:rsidRPr="00462B35">
        <w:rPr>
          <w:rFonts w:cs="Calibri"/>
          <w:sz w:val="24"/>
          <w:szCs w:val="24"/>
        </w:rPr>
        <w:t xml:space="preserve">Sometimes it may be necessary to treat people differently to achieve equality. This is because differences between people </w:t>
      </w:r>
      <w:r w:rsidR="00CB2FF5">
        <w:rPr>
          <w:rFonts w:cs="Calibri"/>
          <w:sz w:val="24"/>
          <w:szCs w:val="24"/>
        </w:rPr>
        <w:t xml:space="preserve">(and at times in common with their communities) </w:t>
      </w:r>
      <w:r w:rsidR="00462B35" w:rsidRPr="00462B35">
        <w:rPr>
          <w:rFonts w:cs="Calibri"/>
          <w:sz w:val="24"/>
          <w:szCs w:val="24"/>
        </w:rPr>
        <w:t>may make it difficult for them to enjoy their rights without support.</w:t>
      </w:r>
      <w:r w:rsidR="00462B35" w:rsidRPr="00462B35">
        <w:t xml:space="preserve"> </w:t>
      </w:r>
    </w:p>
    <w:p w14:paraId="06023E9F" w14:textId="61AE95AA" w:rsidR="00462B35" w:rsidRPr="00462B35" w:rsidRDefault="00462B35" w:rsidP="004F520A">
      <w:pPr>
        <w:spacing w:before="240" w:after="0"/>
        <w:rPr>
          <w:rFonts w:cs="Calibri"/>
          <w:color w:val="000000" w:themeColor="text1"/>
          <w:sz w:val="24"/>
          <w:szCs w:val="24"/>
        </w:rPr>
      </w:pPr>
      <w:r w:rsidRPr="00462B35">
        <w:rPr>
          <w:rFonts w:cs="Calibri"/>
          <w:sz w:val="24"/>
          <w:szCs w:val="24"/>
        </w:rPr>
        <w:t xml:space="preserve">The principle of equality, as it pertains to social justice and human rights, asserts that all individuals should be treated fairly and impartially, without any form of discrimination or bias. However, in certain situations, achieving true equality may require more than just removing existing discriminatory practices. It may necessitate taking affirmative action to </w:t>
      </w:r>
      <w:r w:rsidRPr="00462B35">
        <w:rPr>
          <w:rFonts w:cs="Calibri"/>
          <w:sz w:val="24"/>
          <w:szCs w:val="24"/>
        </w:rPr>
        <w:lastRenderedPageBreak/>
        <w:t xml:space="preserve">address the underlying conditions that contribute to or perpetuate </w:t>
      </w:r>
      <w:r w:rsidR="00352E6F" w:rsidRPr="00E25334">
        <w:rPr>
          <w:rFonts w:cs="Calibri"/>
          <w:color w:val="000000" w:themeColor="text1"/>
          <w:sz w:val="24"/>
          <w:szCs w:val="24"/>
        </w:rPr>
        <w:t>discrimination</w:t>
      </w:r>
      <w:r w:rsidR="00352E6F" w:rsidRPr="00E25334">
        <w:rPr>
          <w:rStyle w:val="FootnoteReference"/>
          <w:rFonts w:cs="Calibri"/>
          <w:color w:val="000000" w:themeColor="text1"/>
          <w:sz w:val="24"/>
          <w:szCs w:val="24"/>
        </w:rPr>
        <w:footnoteReference w:id="20"/>
      </w:r>
      <w:r>
        <w:rPr>
          <w:rFonts w:cs="Calibri"/>
          <w:color w:val="000000" w:themeColor="text1"/>
          <w:sz w:val="24"/>
          <w:szCs w:val="24"/>
        </w:rPr>
        <w:t xml:space="preserve">. </w:t>
      </w:r>
      <w:r w:rsidRPr="00462B35">
        <w:rPr>
          <w:rFonts w:cs="Calibri"/>
          <w:color w:val="000000" w:themeColor="text1"/>
          <w:sz w:val="24"/>
          <w:szCs w:val="24"/>
        </w:rPr>
        <w:t>The need for affirmative action arises from the recognition that historical and systemic discrimination can create deeply entrenched disparities</w:t>
      </w:r>
      <w:r w:rsidR="00285E19">
        <w:rPr>
          <w:rFonts w:cs="Calibri"/>
          <w:color w:val="000000" w:themeColor="text1"/>
          <w:sz w:val="24"/>
          <w:szCs w:val="24"/>
        </w:rPr>
        <w:t xml:space="preserve"> for certain individuals and groups</w:t>
      </w:r>
      <w:r w:rsidRPr="00E25334">
        <w:rPr>
          <w:rStyle w:val="FootnoteReference"/>
          <w:rFonts w:cs="Calibri"/>
          <w:color w:val="000000" w:themeColor="text1"/>
          <w:sz w:val="24"/>
          <w:szCs w:val="24"/>
        </w:rPr>
        <w:footnoteReference w:id="21"/>
      </w:r>
      <w:r w:rsidRPr="00462B35">
        <w:rPr>
          <w:rFonts w:cs="Calibri"/>
          <w:color w:val="000000" w:themeColor="text1"/>
          <w:sz w:val="24"/>
          <w:szCs w:val="24"/>
        </w:rPr>
        <w:t xml:space="preserve">. These disparities may not be easily rectified by simply ending discriminatory practices, as the effects of past discrimination can continue to </w:t>
      </w:r>
      <w:r w:rsidR="00F052CC">
        <w:rPr>
          <w:rFonts w:cs="Calibri"/>
          <w:color w:val="000000" w:themeColor="text1"/>
          <w:sz w:val="24"/>
          <w:szCs w:val="24"/>
        </w:rPr>
        <w:t>permeate</w:t>
      </w:r>
      <w:r w:rsidRPr="00462B35">
        <w:rPr>
          <w:rFonts w:cs="Calibri"/>
          <w:color w:val="000000" w:themeColor="text1"/>
          <w:sz w:val="24"/>
          <w:szCs w:val="24"/>
        </w:rPr>
        <w:t xml:space="preserve"> and disadvantage certain groups.</w:t>
      </w:r>
    </w:p>
    <w:p w14:paraId="4F500ED1" w14:textId="27096EB8" w:rsidR="00170445" w:rsidRDefault="00641318" w:rsidP="004F520A">
      <w:pPr>
        <w:pStyle w:val="ESStandard1"/>
        <w:spacing w:before="240" w:after="0"/>
        <w:rPr>
          <w:rFonts w:ascii="Calibri" w:hAnsi="Calibri" w:cs="Calibri"/>
        </w:rPr>
      </w:pPr>
      <w:r w:rsidRPr="00E25334">
        <w:rPr>
          <w:rFonts w:ascii="Calibri" w:hAnsi="Calibri" w:cs="Calibri"/>
          <w:color w:val="000000" w:themeColor="text1"/>
        </w:rPr>
        <w:t>D</w:t>
      </w:r>
      <w:r w:rsidR="00352E6F" w:rsidRPr="00E25334">
        <w:rPr>
          <w:rFonts w:ascii="Calibri" w:hAnsi="Calibri" w:cs="Calibri"/>
          <w:color w:val="000000" w:themeColor="text1"/>
        </w:rPr>
        <w:t>omestic case</w:t>
      </w:r>
      <w:r w:rsidR="00E14FB1" w:rsidRPr="00E25334">
        <w:rPr>
          <w:rFonts w:ascii="Calibri" w:hAnsi="Calibri" w:cs="Calibri"/>
          <w:color w:val="000000" w:themeColor="text1"/>
        </w:rPr>
        <w:t xml:space="preserve"> </w:t>
      </w:r>
      <w:r w:rsidR="00352E6F" w:rsidRPr="00E25334">
        <w:rPr>
          <w:rFonts w:ascii="Calibri" w:hAnsi="Calibri" w:cs="Calibri"/>
          <w:color w:val="000000" w:themeColor="text1"/>
        </w:rPr>
        <w:t>law confirms that w</w:t>
      </w:r>
      <w:r w:rsidR="00352E6F" w:rsidRPr="00E25334">
        <w:rPr>
          <w:rFonts w:ascii="Calibri" w:hAnsi="Calibri" w:cs="Calibri"/>
        </w:rPr>
        <w:t xml:space="preserve">hile </w:t>
      </w:r>
      <w:r w:rsidR="000F189C" w:rsidRPr="000F189C">
        <w:rPr>
          <w:rFonts w:ascii="Calibri" w:hAnsi="Calibri" w:cs="Calibri"/>
        </w:rPr>
        <w:t>special measure</w:t>
      </w:r>
      <w:r w:rsidR="00CB2FF5">
        <w:rPr>
          <w:rFonts w:ascii="Calibri" w:hAnsi="Calibri" w:cs="Calibri"/>
        </w:rPr>
        <w:t>s</w:t>
      </w:r>
      <w:r w:rsidR="000F189C" w:rsidRPr="000F189C">
        <w:rPr>
          <w:rFonts w:ascii="Calibri" w:hAnsi="Calibri" w:cs="Calibri"/>
        </w:rPr>
        <w:t xml:space="preserve"> or affirmative action</w:t>
      </w:r>
      <w:r w:rsidR="00CB2FF5">
        <w:rPr>
          <w:rFonts w:ascii="Calibri" w:hAnsi="Calibri" w:cs="Calibri"/>
        </w:rPr>
        <w:t>s</w:t>
      </w:r>
      <w:r w:rsidR="000F189C" w:rsidRPr="000F189C">
        <w:rPr>
          <w:rFonts w:ascii="Calibri" w:hAnsi="Calibri" w:cs="Calibri"/>
        </w:rPr>
        <w:t xml:space="preserve"> do</w:t>
      </w:r>
      <w:r w:rsidR="00CB2FF5">
        <w:rPr>
          <w:rFonts w:ascii="Calibri" w:hAnsi="Calibri" w:cs="Calibri"/>
        </w:rPr>
        <w:t xml:space="preserve"> not</w:t>
      </w:r>
      <w:r w:rsidR="000F189C" w:rsidRPr="000F189C">
        <w:rPr>
          <w:rFonts w:ascii="Calibri" w:hAnsi="Calibri" w:cs="Calibri"/>
        </w:rPr>
        <w:t xml:space="preserve"> necessarily have to guarantee equal opportunity in an absolute sense</w:t>
      </w:r>
      <w:r w:rsidR="000F189C">
        <w:rPr>
          <w:rFonts w:ascii="Calibri" w:hAnsi="Calibri" w:cs="Calibri"/>
        </w:rPr>
        <w:t xml:space="preserve">, </w:t>
      </w:r>
      <w:r w:rsidR="00285E19">
        <w:rPr>
          <w:rFonts w:ascii="Calibri" w:hAnsi="Calibri" w:cs="Calibri"/>
        </w:rPr>
        <w:t>there</w:t>
      </w:r>
      <w:r w:rsidR="00352E6F" w:rsidRPr="00E25334">
        <w:rPr>
          <w:rFonts w:ascii="Calibri" w:hAnsi="Calibri" w:cs="Calibri"/>
        </w:rPr>
        <w:t xml:space="preserve"> must be reasonable </w:t>
      </w:r>
      <w:r w:rsidR="000F189C">
        <w:rPr>
          <w:rFonts w:ascii="Calibri" w:hAnsi="Calibri" w:cs="Calibri"/>
        </w:rPr>
        <w:t xml:space="preserve">acceptance </w:t>
      </w:r>
      <w:r w:rsidR="000F189C" w:rsidRPr="000F189C">
        <w:rPr>
          <w:rFonts w:ascii="Calibri" w:hAnsi="Calibri" w:cs="Calibri"/>
        </w:rPr>
        <w:t>the measures taken are justifiable, rational</w:t>
      </w:r>
      <w:r w:rsidR="00F052CC">
        <w:rPr>
          <w:rFonts w:ascii="Calibri" w:hAnsi="Calibri" w:cs="Calibri"/>
        </w:rPr>
        <w:t xml:space="preserve"> </w:t>
      </w:r>
      <w:r w:rsidR="000F189C" w:rsidRPr="000F189C">
        <w:rPr>
          <w:rFonts w:ascii="Calibri" w:hAnsi="Calibri" w:cs="Calibri"/>
        </w:rPr>
        <w:t xml:space="preserve">and reasonably connected to the </w:t>
      </w:r>
      <w:r w:rsidR="00CB2FF5">
        <w:rPr>
          <w:rFonts w:ascii="Calibri" w:hAnsi="Calibri" w:cs="Calibri"/>
        </w:rPr>
        <w:t xml:space="preserve">objective </w:t>
      </w:r>
      <w:r w:rsidR="000F189C" w:rsidRPr="000F189C">
        <w:rPr>
          <w:rFonts w:ascii="Calibri" w:hAnsi="Calibri" w:cs="Calibri"/>
        </w:rPr>
        <w:t>of promoting equality and diminishing discrimination</w:t>
      </w:r>
      <w:r w:rsidR="00352E6F" w:rsidRPr="00E25334">
        <w:rPr>
          <w:rStyle w:val="FootnoteReference"/>
          <w:rFonts w:ascii="Calibri" w:hAnsi="Calibri" w:cs="Calibri"/>
        </w:rPr>
        <w:footnoteReference w:id="22"/>
      </w:r>
      <w:r w:rsidR="000F189C">
        <w:rPr>
          <w:rFonts w:ascii="Calibri" w:hAnsi="Calibri" w:cs="Calibri"/>
        </w:rPr>
        <w:t>.</w:t>
      </w:r>
    </w:p>
    <w:p w14:paraId="476D0500" w14:textId="52D04FF1" w:rsidR="00AF259A" w:rsidRDefault="00AF259A" w:rsidP="004F520A">
      <w:pPr>
        <w:pStyle w:val="ESStandard1"/>
        <w:spacing w:before="240" w:after="0"/>
        <w:rPr>
          <w:rFonts w:ascii="Calibri" w:hAnsi="Calibri" w:cs="Calibri"/>
        </w:rPr>
      </w:pPr>
      <w:r w:rsidRPr="00AF259A">
        <w:rPr>
          <w:rFonts w:ascii="Calibri" w:hAnsi="Calibri" w:cs="Calibri"/>
        </w:rPr>
        <w:t>The</w:t>
      </w:r>
      <w:r>
        <w:rPr>
          <w:rFonts w:ascii="Calibri" w:hAnsi="Calibri" w:cs="Calibri"/>
        </w:rPr>
        <w:t xml:space="preserve"> </w:t>
      </w:r>
      <w:r w:rsidRPr="00AF259A">
        <w:rPr>
          <w:rFonts w:ascii="Calibri" w:hAnsi="Calibri" w:cs="Calibri"/>
        </w:rPr>
        <w:t>Human Rights Act recognises the special</w:t>
      </w:r>
      <w:r>
        <w:rPr>
          <w:rFonts w:ascii="Calibri" w:hAnsi="Calibri" w:cs="Calibri"/>
        </w:rPr>
        <w:t xml:space="preserve"> </w:t>
      </w:r>
      <w:r w:rsidR="00170445">
        <w:rPr>
          <w:rFonts w:ascii="Calibri" w:hAnsi="Calibri" w:cs="Calibri"/>
        </w:rPr>
        <w:t>significance</w:t>
      </w:r>
      <w:r w:rsidRPr="00AF259A">
        <w:rPr>
          <w:rFonts w:ascii="Calibri" w:hAnsi="Calibri" w:cs="Calibri"/>
        </w:rPr>
        <w:t xml:space="preserve"> of human</w:t>
      </w:r>
      <w:r>
        <w:rPr>
          <w:rFonts w:ascii="Calibri" w:hAnsi="Calibri" w:cs="Calibri"/>
        </w:rPr>
        <w:t xml:space="preserve"> </w:t>
      </w:r>
      <w:r w:rsidRPr="00AF259A">
        <w:rPr>
          <w:rFonts w:ascii="Calibri" w:hAnsi="Calibri" w:cs="Calibri"/>
        </w:rPr>
        <w:t>rights for Aboriginal</w:t>
      </w:r>
      <w:r>
        <w:rPr>
          <w:rFonts w:ascii="Calibri" w:hAnsi="Calibri" w:cs="Calibri"/>
        </w:rPr>
        <w:t xml:space="preserve"> </w:t>
      </w:r>
      <w:r w:rsidRPr="00AF259A">
        <w:rPr>
          <w:rFonts w:ascii="Calibri" w:hAnsi="Calibri" w:cs="Calibri"/>
        </w:rPr>
        <w:t>and Torres Strait Islander peoples</w:t>
      </w:r>
      <w:r w:rsidR="00CB2FF5">
        <w:rPr>
          <w:rFonts w:ascii="Calibri" w:hAnsi="Calibri" w:cs="Calibri"/>
        </w:rPr>
        <w:t xml:space="preserve">, as </w:t>
      </w:r>
      <w:r w:rsidR="00A806AB">
        <w:rPr>
          <w:rFonts w:ascii="Calibri" w:hAnsi="Calibri" w:cs="Calibri"/>
        </w:rPr>
        <w:t xml:space="preserve">the </w:t>
      </w:r>
      <w:r w:rsidR="00CB2FF5">
        <w:rPr>
          <w:rFonts w:ascii="Calibri" w:hAnsi="Calibri" w:cs="Calibri"/>
        </w:rPr>
        <w:t>First Nations people</w:t>
      </w:r>
      <w:r w:rsidR="00FC1718">
        <w:rPr>
          <w:rFonts w:ascii="Calibri" w:hAnsi="Calibri" w:cs="Calibri"/>
        </w:rPr>
        <w:t xml:space="preserve">. The </w:t>
      </w:r>
      <w:r w:rsidR="00FC1718" w:rsidRPr="00FC1718">
        <w:rPr>
          <w:rFonts w:ascii="Calibri" w:hAnsi="Calibri" w:cs="Calibri"/>
        </w:rPr>
        <w:t xml:space="preserve">fundamental principle </w:t>
      </w:r>
      <w:r w:rsidRPr="00AF259A">
        <w:rPr>
          <w:rFonts w:ascii="Calibri" w:hAnsi="Calibri" w:cs="Calibri"/>
        </w:rPr>
        <w:t>underpinning</w:t>
      </w:r>
      <w:r>
        <w:rPr>
          <w:rFonts w:ascii="Calibri" w:hAnsi="Calibri" w:cs="Calibri"/>
        </w:rPr>
        <w:t xml:space="preserve"> </w:t>
      </w:r>
      <w:r w:rsidRPr="00AF259A">
        <w:rPr>
          <w:rFonts w:ascii="Calibri" w:hAnsi="Calibri" w:cs="Calibri"/>
        </w:rPr>
        <w:t>the</w:t>
      </w:r>
      <w:r>
        <w:rPr>
          <w:rFonts w:ascii="Calibri" w:hAnsi="Calibri" w:cs="Calibri"/>
        </w:rPr>
        <w:t xml:space="preserve"> </w:t>
      </w:r>
      <w:r w:rsidRPr="00AF259A">
        <w:rPr>
          <w:rFonts w:ascii="Calibri" w:hAnsi="Calibri" w:cs="Calibri"/>
        </w:rPr>
        <w:t>various</w:t>
      </w:r>
      <w:r>
        <w:rPr>
          <w:rFonts w:ascii="Calibri" w:hAnsi="Calibri" w:cs="Calibri"/>
        </w:rPr>
        <w:t xml:space="preserve"> </w:t>
      </w:r>
      <w:r w:rsidRPr="00AF259A">
        <w:rPr>
          <w:rFonts w:ascii="Calibri" w:hAnsi="Calibri" w:cs="Calibri"/>
        </w:rPr>
        <w:t>cultural</w:t>
      </w:r>
      <w:r>
        <w:rPr>
          <w:rFonts w:ascii="Calibri" w:hAnsi="Calibri" w:cs="Calibri"/>
        </w:rPr>
        <w:t xml:space="preserve"> </w:t>
      </w:r>
      <w:r w:rsidRPr="00AF259A">
        <w:rPr>
          <w:rFonts w:ascii="Calibri" w:hAnsi="Calibri" w:cs="Calibri"/>
        </w:rPr>
        <w:t>rights</w:t>
      </w:r>
      <w:r>
        <w:rPr>
          <w:rFonts w:ascii="Calibri" w:hAnsi="Calibri" w:cs="Calibri"/>
        </w:rPr>
        <w:t xml:space="preserve"> </w:t>
      </w:r>
      <w:r w:rsidRPr="00AF259A">
        <w:rPr>
          <w:rFonts w:ascii="Calibri" w:hAnsi="Calibri" w:cs="Calibri"/>
        </w:rPr>
        <w:t>protected</w:t>
      </w:r>
      <w:r>
        <w:rPr>
          <w:rFonts w:ascii="Calibri" w:hAnsi="Calibri" w:cs="Calibri"/>
        </w:rPr>
        <w:t xml:space="preserve"> </w:t>
      </w:r>
      <w:r w:rsidRPr="00AF259A">
        <w:rPr>
          <w:rFonts w:ascii="Calibri" w:hAnsi="Calibri" w:cs="Calibri"/>
        </w:rPr>
        <w:t>under</w:t>
      </w:r>
      <w:r w:rsidR="00361433">
        <w:rPr>
          <w:rFonts w:ascii="Calibri" w:hAnsi="Calibri" w:cs="Calibri"/>
        </w:rPr>
        <w:t xml:space="preserve"> </w:t>
      </w:r>
      <w:r w:rsidRPr="00AF259A">
        <w:rPr>
          <w:rFonts w:ascii="Calibri" w:hAnsi="Calibri" w:cs="Calibri"/>
        </w:rPr>
        <w:t>section 2</w:t>
      </w:r>
      <w:r>
        <w:rPr>
          <w:rFonts w:ascii="Calibri" w:hAnsi="Calibri" w:cs="Calibri"/>
        </w:rPr>
        <w:t>7</w:t>
      </w:r>
      <w:r w:rsidRPr="00AF259A">
        <w:rPr>
          <w:rFonts w:ascii="Calibri" w:hAnsi="Calibri" w:cs="Calibri"/>
        </w:rPr>
        <w:t xml:space="preserve"> of the</w:t>
      </w:r>
      <w:r>
        <w:rPr>
          <w:rFonts w:ascii="Calibri" w:hAnsi="Calibri" w:cs="Calibri"/>
        </w:rPr>
        <w:t xml:space="preserve"> </w:t>
      </w:r>
      <w:r w:rsidRPr="00AF259A">
        <w:rPr>
          <w:rFonts w:ascii="Calibri" w:hAnsi="Calibri" w:cs="Calibri"/>
        </w:rPr>
        <w:t>Human Rights Act</w:t>
      </w:r>
      <w:r>
        <w:rPr>
          <w:rFonts w:ascii="Calibri" w:hAnsi="Calibri" w:cs="Calibri"/>
        </w:rPr>
        <w:t xml:space="preserve"> </w:t>
      </w:r>
      <w:r w:rsidRPr="00AF259A">
        <w:rPr>
          <w:rFonts w:ascii="Calibri" w:hAnsi="Calibri" w:cs="Calibri"/>
        </w:rPr>
        <w:t>is recognition and respect for the identity of</w:t>
      </w:r>
      <w:r>
        <w:rPr>
          <w:rFonts w:ascii="Calibri" w:hAnsi="Calibri" w:cs="Calibri"/>
        </w:rPr>
        <w:t xml:space="preserve"> </w:t>
      </w:r>
      <w:r w:rsidRPr="00AF259A">
        <w:rPr>
          <w:rFonts w:ascii="Calibri" w:hAnsi="Calibri" w:cs="Calibri"/>
        </w:rPr>
        <w:t>Aboriginal and Torres Strait Islander peoples, both as individuals and in common with</w:t>
      </w:r>
      <w:r>
        <w:rPr>
          <w:rFonts w:ascii="Calibri" w:hAnsi="Calibri" w:cs="Calibri"/>
        </w:rPr>
        <w:t xml:space="preserve"> </w:t>
      </w:r>
      <w:r w:rsidRPr="00AF259A">
        <w:rPr>
          <w:rFonts w:ascii="Calibri" w:hAnsi="Calibri" w:cs="Calibri"/>
        </w:rPr>
        <w:t>their communities.</w:t>
      </w:r>
      <w:r>
        <w:rPr>
          <w:rFonts w:ascii="Calibri" w:hAnsi="Calibri" w:cs="Calibri"/>
        </w:rPr>
        <w:t xml:space="preserve"> </w:t>
      </w:r>
    </w:p>
    <w:p w14:paraId="52A2BEF5" w14:textId="3FAC116A" w:rsidR="00A10F58" w:rsidRPr="00A10F58" w:rsidRDefault="00A10F58" w:rsidP="004F520A">
      <w:pPr>
        <w:pStyle w:val="ESStandard1"/>
        <w:spacing w:before="240" w:after="0"/>
        <w:rPr>
          <w:rFonts w:ascii="Calibri" w:hAnsi="Calibri" w:cs="Calibri"/>
        </w:rPr>
      </w:pPr>
      <w:r w:rsidRPr="00A10F58">
        <w:rPr>
          <w:rFonts w:ascii="Calibri" w:hAnsi="Calibri" w:cs="Calibri"/>
        </w:rPr>
        <w:t>The Section 10 of the CYP Act embeds the five elements of the Aboriginal and Torres Strait Islander Child Placement Principle. The Aboriginal and Torres Strait Islander Child Placement Principle includes recognition that Aboriginal or Torres Strait Islander persons have:</w:t>
      </w:r>
    </w:p>
    <w:p w14:paraId="77875AFF" w14:textId="77777777" w:rsidR="00A10F58" w:rsidRPr="00A10F58" w:rsidRDefault="00A10F58" w:rsidP="004F520A">
      <w:pPr>
        <w:pStyle w:val="ESStandard1"/>
        <w:numPr>
          <w:ilvl w:val="0"/>
          <w:numId w:val="19"/>
        </w:numPr>
        <w:spacing w:before="120" w:after="0"/>
        <w:ind w:left="771" w:hanging="357"/>
        <w:rPr>
          <w:rFonts w:ascii="Calibri" w:hAnsi="Calibri" w:cs="Calibri"/>
        </w:rPr>
      </w:pPr>
      <w:r w:rsidRPr="00A10F58">
        <w:rPr>
          <w:rFonts w:ascii="Calibri" w:hAnsi="Calibri" w:cs="Calibri"/>
        </w:rPr>
        <w:t>the right to participate in significant decisions affecting their children;</w:t>
      </w:r>
    </w:p>
    <w:p w14:paraId="1EBAEB3D" w14:textId="77777777" w:rsidR="00A10F58" w:rsidRPr="00A10F58" w:rsidRDefault="00A10F58" w:rsidP="004F520A">
      <w:pPr>
        <w:pStyle w:val="ESStandard1"/>
        <w:numPr>
          <w:ilvl w:val="0"/>
          <w:numId w:val="19"/>
        </w:numPr>
        <w:spacing w:before="120" w:after="0"/>
        <w:ind w:left="771" w:hanging="357"/>
        <w:rPr>
          <w:rFonts w:ascii="Calibri" w:hAnsi="Calibri" w:cs="Calibri"/>
        </w:rPr>
      </w:pPr>
      <w:r w:rsidRPr="00A10F58">
        <w:rPr>
          <w:rFonts w:ascii="Calibri" w:hAnsi="Calibri" w:cs="Calibri"/>
        </w:rPr>
        <w:t>if a child is to be placed in care, the child has a right to be placed with a member of the child’s family group in accordance with the placement hierarchy;</w:t>
      </w:r>
    </w:p>
    <w:p w14:paraId="03DF4DB8" w14:textId="77777777" w:rsidR="00A10F58" w:rsidRPr="00A10F58" w:rsidRDefault="00A10F58" w:rsidP="004F520A">
      <w:pPr>
        <w:pStyle w:val="ESStandard1"/>
        <w:numPr>
          <w:ilvl w:val="0"/>
          <w:numId w:val="19"/>
        </w:numPr>
        <w:spacing w:before="120" w:after="0"/>
        <w:ind w:left="771" w:hanging="357"/>
        <w:rPr>
          <w:rFonts w:ascii="Calibri" w:hAnsi="Calibri" w:cs="Calibri"/>
        </w:rPr>
      </w:pPr>
      <w:r w:rsidRPr="00A10F58">
        <w:rPr>
          <w:rFonts w:ascii="Calibri" w:hAnsi="Calibri" w:cs="Calibri"/>
        </w:rPr>
        <w:t>a child has a right to be supported to develop and maintain a connection with their family, community, culture, traditions and language; and</w:t>
      </w:r>
    </w:p>
    <w:p w14:paraId="28B5350E" w14:textId="77777777" w:rsidR="00A10F58" w:rsidRPr="00A10F58" w:rsidRDefault="00A10F58" w:rsidP="004F520A">
      <w:pPr>
        <w:pStyle w:val="ESStandard1"/>
        <w:numPr>
          <w:ilvl w:val="0"/>
          <w:numId w:val="19"/>
        </w:numPr>
        <w:spacing w:before="120" w:after="0"/>
        <w:ind w:left="771" w:hanging="357"/>
        <w:rPr>
          <w:rFonts w:ascii="Calibri" w:hAnsi="Calibri" w:cs="Calibri"/>
        </w:rPr>
      </w:pPr>
      <w:r w:rsidRPr="00A10F58">
        <w:rPr>
          <w:rFonts w:ascii="Calibri" w:hAnsi="Calibri" w:cs="Calibri"/>
        </w:rPr>
        <w:t>the child’s parents and family members have a right to participate, and been supported to actively participate, in an administrative or judicial process for making a significant decision about the child. </w:t>
      </w:r>
    </w:p>
    <w:p w14:paraId="5899186D" w14:textId="672C2BC3" w:rsidR="00170445" w:rsidRDefault="004E654C" w:rsidP="004F520A">
      <w:pPr>
        <w:pStyle w:val="ESStandard1"/>
        <w:spacing w:before="240" w:after="0"/>
        <w:rPr>
          <w:rFonts w:ascii="Calibri" w:hAnsi="Calibri" w:cs="Calibri"/>
        </w:rPr>
      </w:pPr>
      <w:r w:rsidRPr="004E654C">
        <w:rPr>
          <w:rFonts w:ascii="Calibri" w:hAnsi="Calibri" w:cs="Calibri"/>
        </w:rPr>
        <w:t>The amendments are intended to be a</w:t>
      </w:r>
      <w:r>
        <w:rPr>
          <w:rFonts w:ascii="Calibri" w:hAnsi="Calibri" w:cs="Calibri"/>
        </w:rPr>
        <w:t>n</w:t>
      </w:r>
      <w:r w:rsidRPr="004E654C">
        <w:rPr>
          <w:rFonts w:ascii="Calibri" w:hAnsi="Calibri" w:cs="Calibri"/>
        </w:rPr>
        <w:t xml:space="preserve"> affirmative action to address t</w:t>
      </w:r>
      <w:r w:rsidR="00FC1718">
        <w:rPr>
          <w:rFonts w:ascii="Calibri" w:hAnsi="Calibri" w:cs="Calibri"/>
        </w:rPr>
        <w:t>he r</w:t>
      </w:r>
      <w:r w:rsidR="00FC1718" w:rsidRPr="00FC1718">
        <w:rPr>
          <w:rFonts w:ascii="Calibri" w:hAnsi="Calibri" w:cs="Calibri"/>
        </w:rPr>
        <w:t>ecognition and equality before the law</w:t>
      </w:r>
      <w:r w:rsidR="00362F9D">
        <w:rPr>
          <w:rFonts w:ascii="Calibri" w:hAnsi="Calibri" w:cs="Calibri"/>
        </w:rPr>
        <w:t>.</w:t>
      </w:r>
    </w:p>
    <w:p w14:paraId="75EBA579" w14:textId="24462352" w:rsidR="00352E6F" w:rsidRPr="001F04E2" w:rsidRDefault="00950302" w:rsidP="004F520A">
      <w:pPr>
        <w:spacing w:before="240" w:after="0"/>
        <w:rPr>
          <w:rFonts w:cs="Calibri"/>
          <w:b/>
          <w:bCs/>
          <w:sz w:val="24"/>
          <w:szCs w:val="24"/>
        </w:rPr>
      </w:pPr>
      <w:r>
        <w:rPr>
          <w:rFonts w:cs="Calibri"/>
          <w:b/>
          <w:bCs/>
          <w:sz w:val="24"/>
          <w:szCs w:val="24"/>
        </w:rPr>
        <w:t xml:space="preserve">Part 3 </w:t>
      </w:r>
      <w:r w:rsidR="00352E6F" w:rsidRPr="001F04E2">
        <w:rPr>
          <w:rFonts w:cs="Calibri"/>
          <w:b/>
          <w:bCs/>
          <w:sz w:val="24"/>
          <w:szCs w:val="24"/>
        </w:rPr>
        <w:t xml:space="preserve">Section 10 </w:t>
      </w:r>
      <w:r w:rsidR="00E25334" w:rsidRPr="001F04E2">
        <w:rPr>
          <w:rFonts w:cs="Calibri"/>
          <w:b/>
          <w:bCs/>
          <w:sz w:val="24"/>
          <w:szCs w:val="24"/>
        </w:rPr>
        <w:t>P</w:t>
      </w:r>
      <w:r w:rsidR="00352E6F" w:rsidRPr="001F04E2">
        <w:rPr>
          <w:rFonts w:cs="Calibri"/>
          <w:b/>
          <w:bCs/>
          <w:sz w:val="24"/>
          <w:szCs w:val="24"/>
        </w:rPr>
        <w:t xml:space="preserve">rotection from torture, cruel, inhuman or degrading treatment </w:t>
      </w:r>
    </w:p>
    <w:p w14:paraId="42FCD98E" w14:textId="22DC6315" w:rsidR="00057E48" w:rsidRPr="001B311B" w:rsidRDefault="0088668C" w:rsidP="004F520A">
      <w:pPr>
        <w:spacing w:before="240" w:after="0"/>
        <w:rPr>
          <w:rFonts w:cs="Calibri"/>
          <w:sz w:val="24"/>
          <w:szCs w:val="24"/>
        </w:rPr>
      </w:pPr>
      <w:r w:rsidRPr="001F04E2">
        <w:rPr>
          <w:rFonts w:cs="Calibri"/>
          <w:sz w:val="24"/>
          <w:szCs w:val="24"/>
        </w:rPr>
        <w:t>Section 10(1)(b)</w:t>
      </w:r>
      <w:r w:rsidR="007E4AB6">
        <w:rPr>
          <w:rFonts w:cs="Calibri"/>
          <w:sz w:val="24"/>
          <w:szCs w:val="24"/>
        </w:rPr>
        <w:t xml:space="preserve"> of the Human Rights Act</w:t>
      </w:r>
      <w:r w:rsidRPr="001F04E2">
        <w:rPr>
          <w:rFonts w:cs="Calibri"/>
          <w:sz w:val="24"/>
          <w:szCs w:val="24"/>
        </w:rPr>
        <w:t xml:space="preserve"> establishes that all individuals must be protected from cruel, inhuman, or degrading treatment.</w:t>
      </w:r>
      <w:r w:rsidR="00AE1816">
        <w:rPr>
          <w:rFonts w:cs="Calibri"/>
          <w:sz w:val="24"/>
          <w:szCs w:val="24"/>
        </w:rPr>
        <w:t xml:space="preserve"> The </w:t>
      </w:r>
      <w:r w:rsidR="00CA1941">
        <w:rPr>
          <w:rFonts w:cs="Calibri"/>
          <w:sz w:val="24"/>
          <w:szCs w:val="24"/>
        </w:rPr>
        <w:t xml:space="preserve">Australian </w:t>
      </w:r>
      <w:r w:rsidR="00AE1816">
        <w:rPr>
          <w:rFonts w:cs="Calibri"/>
          <w:sz w:val="24"/>
          <w:szCs w:val="24"/>
        </w:rPr>
        <w:t>G</w:t>
      </w:r>
      <w:r w:rsidRPr="001F04E2">
        <w:rPr>
          <w:rFonts w:cs="Calibri"/>
          <w:sz w:val="24"/>
          <w:szCs w:val="24"/>
        </w:rPr>
        <w:t xml:space="preserve">overnment bear </w:t>
      </w:r>
      <w:r w:rsidR="00AE1816">
        <w:rPr>
          <w:rFonts w:cs="Calibri"/>
          <w:sz w:val="24"/>
          <w:szCs w:val="24"/>
        </w:rPr>
        <w:t xml:space="preserve">a </w:t>
      </w:r>
      <w:r w:rsidRPr="001F04E2">
        <w:rPr>
          <w:rFonts w:cs="Calibri"/>
          <w:sz w:val="24"/>
          <w:szCs w:val="24"/>
        </w:rPr>
        <w:t>responsibility to take proactive measures</w:t>
      </w:r>
      <w:r w:rsidR="001B311B" w:rsidRPr="001F04E2">
        <w:rPr>
          <w:rFonts w:cs="Calibri"/>
          <w:sz w:val="24"/>
          <w:szCs w:val="24"/>
        </w:rPr>
        <w:t xml:space="preserve"> </w:t>
      </w:r>
      <w:r w:rsidR="00352E6F" w:rsidRPr="00E25334">
        <w:rPr>
          <w:rFonts w:cs="Calibri"/>
          <w:sz w:val="24"/>
          <w:szCs w:val="24"/>
        </w:rPr>
        <w:t xml:space="preserve">to </w:t>
      </w:r>
      <w:r w:rsidR="001B311B" w:rsidRPr="001B311B">
        <w:rPr>
          <w:rFonts w:cs="Calibri"/>
          <w:sz w:val="24"/>
          <w:szCs w:val="24"/>
        </w:rPr>
        <w:t>safeguard individuals from such treatmen</w:t>
      </w:r>
      <w:r w:rsidR="001B311B">
        <w:rPr>
          <w:rFonts w:cs="Calibri"/>
          <w:sz w:val="24"/>
          <w:szCs w:val="24"/>
        </w:rPr>
        <w:t xml:space="preserve">t </w:t>
      </w:r>
      <w:r w:rsidR="00352E6F" w:rsidRPr="00E25334">
        <w:rPr>
          <w:rFonts w:cs="Calibri"/>
          <w:sz w:val="24"/>
          <w:szCs w:val="24"/>
        </w:rPr>
        <w:lastRenderedPageBreak/>
        <w:t>including that by private parties.</w:t>
      </w:r>
      <w:r w:rsidR="00352E6F" w:rsidRPr="00E25334">
        <w:rPr>
          <w:rStyle w:val="FootnoteReference"/>
          <w:rFonts w:cs="Calibri"/>
          <w:sz w:val="24"/>
          <w:szCs w:val="24"/>
        </w:rPr>
        <w:footnoteReference w:id="23"/>
      </w:r>
      <w:r w:rsidR="00352E6F" w:rsidRPr="00E25334">
        <w:rPr>
          <w:rFonts w:cs="Calibri"/>
          <w:sz w:val="24"/>
          <w:szCs w:val="24"/>
        </w:rPr>
        <w:t xml:space="preserve"> </w:t>
      </w:r>
      <w:r w:rsidR="001B311B" w:rsidRPr="001B311B">
        <w:rPr>
          <w:rFonts w:cs="Calibri"/>
          <w:sz w:val="24"/>
          <w:szCs w:val="24"/>
        </w:rPr>
        <w:t>This duty extends to protecting children from ill-treatment and preventing such acts, which the authorities should have been aware of</w:t>
      </w:r>
      <w:r w:rsidR="00FC1718">
        <w:rPr>
          <w:rFonts w:cs="Calibri"/>
          <w:sz w:val="24"/>
          <w:szCs w:val="24"/>
        </w:rPr>
        <w:t>, and</w:t>
      </w:r>
      <w:r w:rsidR="001B311B" w:rsidRPr="001B311B">
        <w:rPr>
          <w:rFonts w:cs="Calibri"/>
          <w:sz w:val="24"/>
          <w:szCs w:val="24"/>
        </w:rPr>
        <w:t xml:space="preserve"> or could have reasonably foreseen</w:t>
      </w:r>
      <w:r w:rsidR="00352E6F" w:rsidRPr="00E25334">
        <w:rPr>
          <w:rStyle w:val="FootnoteReference"/>
          <w:rFonts w:cs="Calibri"/>
          <w:sz w:val="24"/>
          <w:szCs w:val="24"/>
        </w:rPr>
        <w:footnoteReference w:id="24"/>
      </w:r>
      <w:r w:rsidR="001B311B">
        <w:rPr>
          <w:rFonts w:cs="Calibri"/>
          <w:sz w:val="24"/>
          <w:szCs w:val="24"/>
        </w:rPr>
        <w:t>.</w:t>
      </w:r>
    </w:p>
    <w:p w14:paraId="00485393" w14:textId="15EC892B" w:rsidR="001B311B" w:rsidRDefault="00AE1816" w:rsidP="004F520A">
      <w:pPr>
        <w:spacing w:before="240" w:after="0"/>
        <w:rPr>
          <w:rFonts w:cs="Calibri"/>
          <w:sz w:val="24"/>
          <w:szCs w:val="24"/>
        </w:rPr>
      </w:pPr>
      <w:r w:rsidRPr="00AE1816">
        <w:rPr>
          <w:rFonts w:cs="Calibri"/>
          <w:sz w:val="24"/>
          <w:szCs w:val="24"/>
        </w:rPr>
        <w:t>B</w:t>
      </w:r>
      <w:r w:rsidR="001B311B" w:rsidRPr="001B311B">
        <w:rPr>
          <w:rFonts w:cs="Calibri"/>
          <w:sz w:val="24"/>
          <w:szCs w:val="24"/>
        </w:rPr>
        <w:t>y reorgani</w:t>
      </w:r>
      <w:r w:rsidR="001B311B">
        <w:rPr>
          <w:rFonts w:cs="Calibri"/>
          <w:sz w:val="24"/>
          <w:szCs w:val="24"/>
        </w:rPr>
        <w:t>s</w:t>
      </w:r>
      <w:r w:rsidR="001B311B" w:rsidRPr="001B311B">
        <w:rPr>
          <w:rFonts w:cs="Calibri"/>
          <w:sz w:val="24"/>
          <w:szCs w:val="24"/>
        </w:rPr>
        <w:t>ing the concepts of abuse and neglect under the definition of 'risk of significant harm</w:t>
      </w:r>
      <w:r>
        <w:rPr>
          <w:rFonts w:cs="Calibri"/>
          <w:sz w:val="24"/>
          <w:szCs w:val="24"/>
        </w:rPr>
        <w:t>’ at section 344 of the CYP Act,</w:t>
      </w:r>
      <w:r w:rsidR="001B311B" w:rsidRPr="001B311B">
        <w:rPr>
          <w:rFonts w:cs="Calibri"/>
          <w:sz w:val="24"/>
          <w:szCs w:val="24"/>
        </w:rPr>
        <w:t xml:space="preserve"> a more comprehensive approach can be taken to better capture the accumulation of harm experienced by a child. </w:t>
      </w:r>
      <w:r w:rsidRPr="001B311B">
        <w:rPr>
          <w:rFonts w:cs="Calibri"/>
          <w:sz w:val="24"/>
          <w:szCs w:val="24"/>
        </w:rPr>
        <w:t>The expanded definition enables authorities to intervene at an earlier stage and implement necessary measures to safeguard the child's safety, welfare and wellbeing, ensuring a more effective protection mechanism.</w:t>
      </w:r>
      <w:r>
        <w:rPr>
          <w:rFonts w:cs="Calibri"/>
          <w:sz w:val="24"/>
          <w:szCs w:val="24"/>
        </w:rPr>
        <w:t xml:space="preserve"> </w:t>
      </w:r>
      <w:r w:rsidR="00FC1718" w:rsidRPr="00FC1718">
        <w:rPr>
          <w:rFonts w:cs="Calibri"/>
          <w:sz w:val="24"/>
          <w:szCs w:val="24"/>
        </w:rPr>
        <w:t xml:space="preserve">This </w:t>
      </w:r>
      <w:r>
        <w:rPr>
          <w:rFonts w:cs="Calibri"/>
          <w:sz w:val="24"/>
          <w:szCs w:val="24"/>
        </w:rPr>
        <w:t xml:space="preserve">approach </w:t>
      </w:r>
      <w:r w:rsidR="00FC1718" w:rsidRPr="00FC1718">
        <w:rPr>
          <w:rFonts w:cs="Calibri"/>
          <w:sz w:val="24"/>
          <w:szCs w:val="24"/>
        </w:rPr>
        <w:t xml:space="preserve">strengthens the safeguarding of children by enhancing the </w:t>
      </w:r>
      <w:r>
        <w:rPr>
          <w:rFonts w:cs="Calibri"/>
          <w:sz w:val="24"/>
          <w:szCs w:val="24"/>
        </w:rPr>
        <w:t xml:space="preserve">child protection system and community sector’s </w:t>
      </w:r>
      <w:r w:rsidRPr="00FC1718">
        <w:rPr>
          <w:rFonts w:cs="Calibri"/>
          <w:sz w:val="24"/>
          <w:szCs w:val="24"/>
        </w:rPr>
        <w:t>ability</w:t>
      </w:r>
      <w:r w:rsidR="00FC1718" w:rsidRPr="00FC1718">
        <w:rPr>
          <w:rFonts w:cs="Calibri"/>
          <w:sz w:val="24"/>
          <w:szCs w:val="24"/>
        </w:rPr>
        <w:t xml:space="preserve"> to recogni</w:t>
      </w:r>
      <w:r w:rsidR="00FC1718">
        <w:rPr>
          <w:rFonts w:cs="Calibri"/>
          <w:sz w:val="24"/>
          <w:szCs w:val="24"/>
        </w:rPr>
        <w:t>s</w:t>
      </w:r>
      <w:r w:rsidR="00FC1718" w:rsidRPr="00FC1718">
        <w:rPr>
          <w:rFonts w:cs="Calibri"/>
          <w:sz w:val="24"/>
          <w:szCs w:val="24"/>
        </w:rPr>
        <w:t xml:space="preserve">e cruel, inhuman, or degrading treatment and enabling a more comprehensive assessment of </w:t>
      </w:r>
      <w:r w:rsidR="00FC1718" w:rsidRPr="001B311B">
        <w:rPr>
          <w:rFonts w:cs="Calibri"/>
          <w:sz w:val="24"/>
          <w:szCs w:val="24"/>
        </w:rPr>
        <w:t>potential</w:t>
      </w:r>
      <w:r w:rsidR="00FC1718" w:rsidRPr="00FC1718">
        <w:rPr>
          <w:rFonts w:cs="Calibri"/>
          <w:sz w:val="24"/>
          <w:szCs w:val="24"/>
        </w:rPr>
        <w:t xml:space="preserve"> harm.</w:t>
      </w:r>
    </w:p>
    <w:p w14:paraId="653D9626" w14:textId="77777777" w:rsidR="00B60B93" w:rsidRDefault="008E6B34" w:rsidP="004F520A">
      <w:pPr>
        <w:spacing w:before="240" w:after="0"/>
        <w:rPr>
          <w:rFonts w:eastAsia="Calibri" w:cs="Calibri"/>
          <w:b/>
          <w:bCs/>
          <w:sz w:val="24"/>
          <w:szCs w:val="24"/>
        </w:rPr>
      </w:pPr>
      <w:r>
        <w:rPr>
          <w:rFonts w:eastAsia="Calibri" w:cs="Calibri"/>
          <w:b/>
          <w:bCs/>
          <w:sz w:val="24"/>
          <w:szCs w:val="24"/>
        </w:rPr>
        <w:t xml:space="preserve">Part 3 </w:t>
      </w:r>
      <w:r w:rsidR="00352E6F" w:rsidRPr="00450873">
        <w:rPr>
          <w:rFonts w:eastAsia="Calibri" w:cs="Calibri"/>
          <w:b/>
          <w:bCs/>
          <w:sz w:val="24"/>
          <w:szCs w:val="24"/>
        </w:rPr>
        <w:t>Section 11</w:t>
      </w:r>
      <w:r w:rsidR="00E25334" w:rsidRPr="00450873">
        <w:rPr>
          <w:rFonts w:eastAsia="Calibri" w:cs="Calibri"/>
          <w:b/>
          <w:bCs/>
          <w:sz w:val="24"/>
          <w:szCs w:val="24"/>
        </w:rPr>
        <w:t xml:space="preserve"> P</w:t>
      </w:r>
      <w:r w:rsidR="00352E6F" w:rsidRPr="00450873">
        <w:rPr>
          <w:rFonts w:eastAsia="Calibri" w:cs="Calibri"/>
          <w:b/>
          <w:bCs/>
          <w:sz w:val="24"/>
          <w:szCs w:val="24"/>
        </w:rPr>
        <w:t>rotection of the family and children</w:t>
      </w:r>
    </w:p>
    <w:p w14:paraId="65D0F46C" w14:textId="404A32EB" w:rsidR="00AE1816" w:rsidRDefault="008E6B34" w:rsidP="004F520A">
      <w:pPr>
        <w:spacing w:before="240" w:after="0"/>
        <w:rPr>
          <w:rFonts w:cs="Calibri"/>
          <w:iCs/>
          <w:sz w:val="24"/>
          <w:szCs w:val="24"/>
        </w:rPr>
      </w:pPr>
      <w:r w:rsidRPr="008E6B34">
        <w:rPr>
          <w:rFonts w:cs="Calibri"/>
          <w:iCs/>
          <w:sz w:val="24"/>
          <w:szCs w:val="24"/>
        </w:rPr>
        <w:t xml:space="preserve">The </w:t>
      </w:r>
      <w:r>
        <w:rPr>
          <w:rFonts w:cs="Calibri"/>
          <w:iCs/>
          <w:sz w:val="24"/>
          <w:szCs w:val="24"/>
        </w:rPr>
        <w:t xml:space="preserve">Human Rights </w:t>
      </w:r>
      <w:r w:rsidRPr="008E6B34">
        <w:rPr>
          <w:rFonts w:cs="Calibri"/>
          <w:iCs/>
          <w:sz w:val="24"/>
          <w:szCs w:val="24"/>
        </w:rPr>
        <w:t xml:space="preserve">Act recognises that children are entitled to special protection. It recognises that children are more vulnerable because of their age. </w:t>
      </w:r>
      <w:r w:rsidR="00AE1816">
        <w:rPr>
          <w:rFonts w:cs="Calibri"/>
          <w:iCs/>
          <w:sz w:val="24"/>
          <w:szCs w:val="24"/>
        </w:rPr>
        <w:t xml:space="preserve">The Human Rights </w:t>
      </w:r>
      <w:r w:rsidR="00AE1816" w:rsidRPr="008E6B34">
        <w:rPr>
          <w:rFonts w:cs="Calibri"/>
          <w:iCs/>
          <w:sz w:val="24"/>
          <w:szCs w:val="24"/>
        </w:rPr>
        <w:t xml:space="preserve">Act </w:t>
      </w:r>
      <w:r w:rsidR="00AE1816" w:rsidRPr="00AE1816">
        <w:rPr>
          <w:rFonts w:cs="Calibri"/>
          <w:iCs/>
          <w:sz w:val="24"/>
          <w:szCs w:val="24"/>
        </w:rPr>
        <w:t>does not provide a precise definition of the term</w:t>
      </w:r>
      <w:r w:rsidR="00AE1816">
        <w:rPr>
          <w:rFonts w:cs="Calibri"/>
          <w:iCs/>
          <w:sz w:val="24"/>
          <w:szCs w:val="24"/>
        </w:rPr>
        <w:t xml:space="preserve"> ‘child’; however,</w:t>
      </w:r>
      <w:r w:rsidR="00AE1816" w:rsidRPr="00AE1816">
        <w:rPr>
          <w:rFonts w:cs="Calibri"/>
          <w:iCs/>
          <w:sz w:val="24"/>
          <w:szCs w:val="24"/>
        </w:rPr>
        <w:t xml:space="preserve"> it is widely interpreted as referring to an individual who is below 18 years of age.</w:t>
      </w:r>
    </w:p>
    <w:p w14:paraId="5CA859CE" w14:textId="5F079147" w:rsidR="00B60B93" w:rsidRDefault="008E6B34" w:rsidP="004F520A">
      <w:pPr>
        <w:spacing w:before="240" w:after="0"/>
      </w:pPr>
      <w:r w:rsidRPr="008E6B34">
        <w:rPr>
          <w:rFonts w:cs="Calibri"/>
          <w:iCs/>
          <w:sz w:val="24"/>
          <w:szCs w:val="24"/>
        </w:rPr>
        <w:t xml:space="preserve">Section 11 of </w:t>
      </w:r>
      <w:r w:rsidR="00AE1816">
        <w:rPr>
          <w:rFonts w:cs="Calibri"/>
          <w:iCs/>
          <w:sz w:val="24"/>
          <w:szCs w:val="24"/>
        </w:rPr>
        <w:t xml:space="preserve">the </w:t>
      </w:r>
      <w:r w:rsidR="00DE33DB">
        <w:rPr>
          <w:rFonts w:cs="Calibri"/>
          <w:iCs/>
          <w:sz w:val="24"/>
          <w:szCs w:val="24"/>
        </w:rPr>
        <w:t xml:space="preserve">Human Rights </w:t>
      </w:r>
      <w:r w:rsidR="00DE33DB" w:rsidRPr="008E6B34">
        <w:rPr>
          <w:rFonts w:cs="Calibri"/>
          <w:iCs/>
          <w:sz w:val="24"/>
          <w:szCs w:val="24"/>
        </w:rPr>
        <w:t xml:space="preserve">Act </w:t>
      </w:r>
      <w:r w:rsidRPr="008E6B34">
        <w:rPr>
          <w:rFonts w:cs="Calibri"/>
          <w:iCs/>
          <w:sz w:val="24"/>
          <w:szCs w:val="24"/>
        </w:rPr>
        <w:t>safeguards two fundamental rights: the right of a family to protection (s 11(1)) and the right of a child to receive necessary protection due to their status as a child (s 11(2)).</w:t>
      </w:r>
      <w:r w:rsidR="00962725" w:rsidRPr="00962725">
        <w:t xml:space="preserve"> </w:t>
      </w:r>
      <w:r w:rsidR="00B60B93" w:rsidRPr="00B60B93">
        <w:rPr>
          <w:rFonts w:cs="Calibri"/>
          <w:sz w:val="24"/>
          <w:szCs w:val="24"/>
        </w:rPr>
        <w:t xml:space="preserve">This is </w:t>
      </w:r>
      <w:r w:rsidR="001671FC" w:rsidRPr="00B60B93">
        <w:rPr>
          <w:rFonts w:cs="Calibri"/>
          <w:sz w:val="24"/>
          <w:szCs w:val="24"/>
        </w:rPr>
        <w:t>complemented</w:t>
      </w:r>
      <w:r w:rsidR="00B60B93" w:rsidRPr="00B60B93">
        <w:rPr>
          <w:rFonts w:cs="Calibri"/>
          <w:sz w:val="24"/>
          <w:szCs w:val="24"/>
        </w:rPr>
        <w:t xml:space="preserve"> by </w:t>
      </w:r>
      <w:r w:rsidR="00D92C0F">
        <w:rPr>
          <w:rFonts w:cs="Calibri"/>
          <w:sz w:val="24"/>
          <w:szCs w:val="24"/>
        </w:rPr>
        <w:t>a</w:t>
      </w:r>
      <w:r w:rsidR="00B60B93" w:rsidRPr="00DE33DB">
        <w:rPr>
          <w:rFonts w:cs="Calibri"/>
          <w:sz w:val="24"/>
          <w:szCs w:val="24"/>
        </w:rPr>
        <w:t>rticle</w:t>
      </w:r>
      <w:r w:rsidR="00D92C0F">
        <w:rPr>
          <w:rFonts w:cs="Calibri"/>
          <w:sz w:val="24"/>
          <w:szCs w:val="24"/>
        </w:rPr>
        <w:t xml:space="preserve"> </w:t>
      </w:r>
      <w:r w:rsidR="00B60B93" w:rsidRPr="00DE33DB">
        <w:rPr>
          <w:rFonts w:cs="Calibri"/>
          <w:sz w:val="24"/>
          <w:szCs w:val="24"/>
        </w:rPr>
        <w:t>6 of the Convention of the Rights of the Child</w:t>
      </w:r>
      <w:r w:rsidR="007220B5">
        <w:rPr>
          <w:rStyle w:val="FootnoteReference"/>
          <w:sz w:val="24"/>
          <w:szCs w:val="24"/>
        </w:rPr>
        <w:footnoteReference w:id="25"/>
      </w:r>
      <w:r w:rsidR="00B60B93" w:rsidRPr="00DE33DB">
        <w:rPr>
          <w:rFonts w:cs="Calibri"/>
          <w:sz w:val="24"/>
          <w:szCs w:val="24"/>
        </w:rPr>
        <w:t xml:space="preserve"> (UNCRC)</w:t>
      </w:r>
      <w:r w:rsidR="00361433" w:rsidRPr="00361433">
        <w:t xml:space="preserve"> </w:t>
      </w:r>
      <w:r w:rsidR="00361433" w:rsidRPr="00361433">
        <w:rPr>
          <w:rFonts w:cs="Calibri"/>
          <w:sz w:val="24"/>
          <w:szCs w:val="24"/>
        </w:rPr>
        <w:t>ratified by Australia in 1990</w:t>
      </w:r>
      <w:r w:rsidR="00B60B93">
        <w:rPr>
          <w:rFonts w:cs="Calibri"/>
          <w:sz w:val="24"/>
          <w:szCs w:val="24"/>
        </w:rPr>
        <w:t xml:space="preserve">, which </w:t>
      </w:r>
      <w:r w:rsidR="00B60B93" w:rsidRPr="00DE33DB">
        <w:rPr>
          <w:rFonts w:cs="Calibri"/>
          <w:sz w:val="24"/>
          <w:szCs w:val="24"/>
        </w:rPr>
        <w:t>recognise</w:t>
      </w:r>
      <w:r w:rsidR="00AE1816">
        <w:rPr>
          <w:rFonts w:cs="Calibri"/>
          <w:sz w:val="24"/>
          <w:szCs w:val="24"/>
        </w:rPr>
        <w:t>s</w:t>
      </w:r>
      <w:r w:rsidR="00B60B93" w:rsidRPr="00DE33DB">
        <w:rPr>
          <w:rFonts w:cs="Calibri"/>
          <w:sz w:val="24"/>
          <w:szCs w:val="24"/>
        </w:rPr>
        <w:t xml:space="preserve"> that every child has the inherent right to life and that </w:t>
      </w:r>
      <w:r w:rsidR="00A8017B">
        <w:rPr>
          <w:rFonts w:cs="Calibri"/>
          <w:sz w:val="24"/>
          <w:szCs w:val="24"/>
        </w:rPr>
        <w:t>S</w:t>
      </w:r>
      <w:r w:rsidR="00B60B93" w:rsidRPr="00DE33DB">
        <w:rPr>
          <w:rFonts w:cs="Calibri"/>
          <w:sz w:val="24"/>
          <w:szCs w:val="24"/>
        </w:rPr>
        <w:t xml:space="preserve">tates </w:t>
      </w:r>
      <w:r w:rsidR="00A8017B">
        <w:rPr>
          <w:rFonts w:cs="Calibri"/>
          <w:sz w:val="24"/>
          <w:szCs w:val="24"/>
        </w:rPr>
        <w:t xml:space="preserve">Parties </w:t>
      </w:r>
      <w:r w:rsidR="00B60B93" w:rsidRPr="00DE33DB">
        <w:rPr>
          <w:rFonts w:cs="Calibri"/>
          <w:sz w:val="24"/>
          <w:szCs w:val="24"/>
        </w:rPr>
        <w:t>shall ensure to the maximum extent possible the survival and development of the child.</w:t>
      </w:r>
    </w:p>
    <w:p w14:paraId="11EC8F0E" w14:textId="7F1F791B" w:rsidR="00962725" w:rsidRDefault="00962725" w:rsidP="004F520A">
      <w:pPr>
        <w:spacing w:before="240" w:after="0"/>
        <w:rPr>
          <w:rFonts w:cs="Calibri"/>
          <w:iCs/>
          <w:sz w:val="24"/>
          <w:szCs w:val="24"/>
        </w:rPr>
      </w:pPr>
      <w:r>
        <w:t>T</w:t>
      </w:r>
      <w:r w:rsidRPr="00962725">
        <w:rPr>
          <w:rFonts w:cs="Calibri"/>
          <w:iCs/>
          <w:sz w:val="24"/>
          <w:szCs w:val="24"/>
        </w:rPr>
        <w:t xml:space="preserve">he right of a child to protection places an obligation on governments to ensure that every child receives the care and safeguarding essential for their overall wellbeing. </w:t>
      </w:r>
      <w:r>
        <w:rPr>
          <w:rFonts w:cs="Calibri"/>
          <w:iCs/>
          <w:sz w:val="24"/>
          <w:szCs w:val="24"/>
        </w:rPr>
        <w:t xml:space="preserve">This is also articulated in </w:t>
      </w:r>
      <w:r w:rsidR="00D92C0F">
        <w:rPr>
          <w:rFonts w:cs="Calibri"/>
          <w:iCs/>
          <w:sz w:val="24"/>
          <w:szCs w:val="24"/>
        </w:rPr>
        <w:t>a</w:t>
      </w:r>
      <w:r w:rsidRPr="00E0130D">
        <w:rPr>
          <w:rFonts w:cs="Calibri"/>
          <w:iCs/>
          <w:sz w:val="24"/>
          <w:szCs w:val="24"/>
        </w:rPr>
        <w:t xml:space="preserve">rticle 19(1) of the </w:t>
      </w:r>
      <w:r w:rsidR="00DE33DB">
        <w:rPr>
          <w:rFonts w:cs="Calibri"/>
          <w:iCs/>
          <w:sz w:val="24"/>
          <w:szCs w:val="24"/>
        </w:rPr>
        <w:t>UNCRC,</w:t>
      </w:r>
      <w:r w:rsidRPr="00E0130D">
        <w:rPr>
          <w:rFonts w:cs="Calibri"/>
          <w:iCs/>
          <w:sz w:val="24"/>
          <w:szCs w:val="24"/>
        </w:rPr>
        <w:t xml:space="preserve"> </w:t>
      </w:r>
      <w:r>
        <w:rPr>
          <w:rFonts w:cs="Calibri"/>
          <w:iCs/>
          <w:sz w:val="24"/>
          <w:szCs w:val="24"/>
        </w:rPr>
        <w:t xml:space="preserve">which </w:t>
      </w:r>
      <w:r w:rsidRPr="00E0130D">
        <w:rPr>
          <w:rFonts w:cs="Calibri"/>
          <w:iCs/>
          <w:sz w:val="24"/>
          <w:szCs w:val="24"/>
        </w:rPr>
        <w:t>emphasis</w:t>
      </w:r>
      <w:r>
        <w:rPr>
          <w:rFonts w:cs="Calibri"/>
          <w:iCs/>
          <w:sz w:val="24"/>
          <w:szCs w:val="24"/>
        </w:rPr>
        <w:t>es</w:t>
      </w:r>
      <w:r w:rsidRPr="00E0130D">
        <w:rPr>
          <w:rFonts w:cs="Calibri"/>
          <w:iCs/>
          <w:sz w:val="24"/>
          <w:szCs w:val="24"/>
        </w:rPr>
        <w:t xml:space="preserve"> that governments should ensure that children are properly cared for and</w:t>
      </w:r>
      <w:r w:rsidR="00AE1816">
        <w:rPr>
          <w:rFonts w:cs="Calibri"/>
          <w:iCs/>
          <w:sz w:val="24"/>
          <w:szCs w:val="24"/>
        </w:rPr>
        <w:t xml:space="preserve"> are</w:t>
      </w:r>
      <w:r w:rsidRPr="00E0130D">
        <w:rPr>
          <w:rFonts w:cs="Calibri"/>
          <w:iCs/>
          <w:sz w:val="24"/>
          <w:szCs w:val="24"/>
        </w:rPr>
        <w:t xml:space="preserve"> protect</w:t>
      </w:r>
      <w:r w:rsidR="00AE1816">
        <w:rPr>
          <w:rFonts w:cs="Calibri"/>
          <w:iCs/>
          <w:sz w:val="24"/>
          <w:szCs w:val="24"/>
        </w:rPr>
        <w:t>ed</w:t>
      </w:r>
      <w:r w:rsidRPr="00E0130D">
        <w:rPr>
          <w:rFonts w:cs="Calibri"/>
          <w:iCs/>
          <w:sz w:val="24"/>
          <w:szCs w:val="24"/>
        </w:rPr>
        <w:t xml:space="preserve"> from violence, abuse and neglect by their parents, or anyone else who looks after them.</w:t>
      </w:r>
      <w:r>
        <w:rPr>
          <w:rFonts w:cs="Calibri"/>
          <w:iCs/>
          <w:sz w:val="24"/>
          <w:szCs w:val="24"/>
        </w:rPr>
        <w:t xml:space="preserve"> </w:t>
      </w:r>
      <w:r w:rsidRPr="00962725">
        <w:rPr>
          <w:rFonts w:cs="Calibri"/>
          <w:iCs/>
          <w:sz w:val="24"/>
          <w:szCs w:val="24"/>
        </w:rPr>
        <w:t xml:space="preserve">This obligation is balanced with the rights and responsibilities of parents and caregivers, as articulated in </w:t>
      </w:r>
      <w:r w:rsidR="00D92C0F">
        <w:rPr>
          <w:rFonts w:cs="Calibri"/>
          <w:iCs/>
          <w:sz w:val="24"/>
          <w:szCs w:val="24"/>
        </w:rPr>
        <w:t>a</w:t>
      </w:r>
      <w:r w:rsidRPr="00962725">
        <w:rPr>
          <w:rFonts w:cs="Calibri"/>
          <w:iCs/>
          <w:sz w:val="24"/>
          <w:szCs w:val="24"/>
        </w:rPr>
        <w:t xml:space="preserve">rticle </w:t>
      </w:r>
      <w:r w:rsidR="00D9137C">
        <w:rPr>
          <w:rFonts w:cs="Calibri"/>
          <w:iCs/>
          <w:sz w:val="24"/>
          <w:szCs w:val="24"/>
        </w:rPr>
        <w:t xml:space="preserve">18 </w:t>
      </w:r>
      <w:r w:rsidRPr="00962725">
        <w:rPr>
          <w:rFonts w:cs="Calibri"/>
          <w:iCs/>
          <w:sz w:val="24"/>
          <w:szCs w:val="24"/>
        </w:rPr>
        <w:t xml:space="preserve">of the </w:t>
      </w:r>
      <w:r w:rsidR="00A8017B">
        <w:rPr>
          <w:rFonts w:cs="Calibri"/>
          <w:iCs/>
          <w:sz w:val="24"/>
          <w:szCs w:val="24"/>
        </w:rPr>
        <w:t xml:space="preserve">UNCRC. </w:t>
      </w:r>
    </w:p>
    <w:p w14:paraId="405D802D" w14:textId="6B1FA4A2" w:rsidR="002339B3" w:rsidRDefault="00962725" w:rsidP="004F520A">
      <w:pPr>
        <w:spacing w:before="240" w:after="0"/>
        <w:rPr>
          <w:rFonts w:cs="Calibri"/>
          <w:sz w:val="24"/>
          <w:szCs w:val="24"/>
        </w:rPr>
      </w:pPr>
      <w:r w:rsidRPr="00962725">
        <w:rPr>
          <w:rFonts w:cs="Calibri"/>
          <w:sz w:val="24"/>
          <w:szCs w:val="24"/>
        </w:rPr>
        <w:t>In the context of child protection, the rights regarding the protection of family and children carry an inherent duty to identify, report and investigate any allegations of abuse or neglect</w:t>
      </w:r>
      <w:r w:rsidR="00970C9D" w:rsidRPr="00E25334">
        <w:rPr>
          <w:rStyle w:val="FootnoteReference"/>
          <w:rFonts w:cs="Calibri"/>
          <w:sz w:val="24"/>
          <w:szCs w:val="24"/>
        </w:rPr>
        <w:footnoteReference w:id="26"/>
      </w:r>
      <w:r>
        <w:rPr>
          <w:rFonts w:cs="Calibri"/>
          <w:sz w:val="24"/>
          <w:szCs w:val="24"/>
        </w:rPr>
        <w:t xml:space="preserve">. </w:t>
      </w:r>
      <w:r w:rsidRPr="00962725">
        <w:rPr>
          <w:rFonts w:cs="Calibri"/>
          <w:sz w:val="24"/>
          <w:szCs w:val="24"/>
        </w:rPr>
        <w:t xml:space="preserve">Governments and relevant authorities have a crucial obligation to actively take proactive measures to mitigate the risk of abuse or neglect and ensure the safety and </w:t>
      </w:r>
      <w:r w:rsidRPr="00962725">
        <w:rPr>
          <w:rFonts w:cs="Calibri"/>
          <w:sz w:val="24"/>
          <w:szCs w:val="24"/>
        </w:rPr>
        <w:lastRenderedPageBreak/>
        <w:t>wellbeing of children. This involves implementing prevent</w:t>
      </w:r>
      <w:r w:rsidR="00AE1816">
        <w:rPr>
          <w:rFonts w:cs="Calibri"/>
          <w:sz w:val="24"/>
          <w:szCs w:val="24"/>
        </w:rPr>
        <w:t>at</w:t>
      </w:r>
      <w:r w:rsidRPr="00962725">
        <w:rPr>
          <w:rFonts w:cs="Calibri"/>
          <w:sz w:val="24"/>
          <w:szCs w:val="24"/>
        </w:rPr>
        <w:t>ive strategies, providing necessary support systems, and promptly intervening in situations where children may be at risk.</w:t>
      </w:r>
    </w:p>
    <w:p w14:paraId="2938398C" w14:textId="6D5EDBF6" w:rsidR="00175397" w:rsidRPr="006B4FD7" w:rsidRDefault="00175397" w:rsidP="004F520A">
      <w:pPr>
        <w:spacing w:before="240" w:after="0"/>
        <w:rPr>
          <w:rFonts w:cs="Calibri"/>
          <w:i/>
          <w:iCs/>
          <w:sz w:val="24"/>
          <w:szCs w:val="24"/>
        </w:rPr>
      </w:pPr>
      <w:r w:rsidRPr="006B4FD7">
        <w:rPr>
          <w:rFonts w:cs="Calibri"/>
          <w:i/>
          <w:iCs/>
          <w:sz w:val="24"/>
          <w:szCs w:val="24"/>
        </w:rPr>
        <w:t>Risk of significant Harm</w:t>
      </w:r>
    </w:p>
    <w:p w14:paraId="320D7088" w14:textId="0A9B0FC5" w:rsidR="00590581" w:rsidRPr="00F052CC" w:rsidRDefault="006B4FD7" w:rsidP="004F520A">
      <w:pPr>
        <w:spacing w:before="240" w:after="0"/>
        <w:rPr>
          <w:rFonts w:cs="Calibri"/>
          <w:iCs/>
          <w:sz w:val="24"/>
          <w:szCs w:val="24"/>
        </w:rPr>
      </w:pPr>
      <w:r w:rsidRPr="006B4FD7">
        <w:rPr>
          <w:rFonts w:cs="Calibri"/>
          <w:sz w:val="24"/>
          <w:szCs w:val="24"/>
        </w:rPr>
        <w:t xml:space="preserve">The process of restructuring the definition </w:t>
      </w:r>
      <w:r>
        <w:rPr>
          <w:rFonts w:cs="Calibri"/>
          <w:sz w:val="24"/>
          <w:szCs w:val="24"/>
        </w:rPr>
        <w:t>to</w:t>
      </w:r>
      <w:r w:rsidR="00590581">
        <w:rPr>
          <w:rFonts w:cs="Calibri"/>
          <w:sz w:val="24"/>
          <w:szCs w:val="24"/>
        </w:rPr>
        <w:t xml:space="preserve">ward </w:t>
      </w:r>
      <w:r w:rsidRPr="002339B3">
        <w:rPr>
          <w:rFonts w:cs="Calibri"/>
          <w:sz w:val="24"/>
          <w:szCs w:val="24"/>
        </w:rPr>
        <w:t xml:space="preserve">'risk of significant harm' </w:t>
      </w:r>
      <w:r w:rsidRPr="006B4FD7">
        <w:rPr>
          <w:rFonts w:cs="Calibri"/>
          <w:sz w:val="24"/>
          <w:szCs w:val="24"/>
        </w:rPr>
        <w:t>aim</w:t>
      </w:r>
      <w:r w:rsidR="00A8017B">
        <w:rPr>
          <w:rFonts w:cs="Calibri"/>
          <w:sz w:val="24"/>
          <w:szCs w:val="24"/>
        </w:rPr>
        <w:t>s</w:t>
      </w:r>
      <w:r w:rsidRPr="006B4FD7">
        <w:rPr>
          <w:rFonts w:cs="Calibri"/>
          <w:sz w:val="24"/>
          <w:szCs w:val="24"/>
        </w:rPr>
        <w:t xml:space="preserve"> to clarify the criteria for identifying risks that pose a significant </w:t>
      </w:r>
      <w:r w:rsidR="00590581">
        <w:rPr>
          <w:rFonts w:cs="Calibri"/>
          <w:sz w:val="24"/>
          <w:szCs w:val="24"/>
        </w:rPr>
        <w:t xml:space="preserve">risk </w:t>
      </w:r>
      <w:r w:rsidRPr="006B4FD7">
        <w:rPr>
          <w:rFonts w:cs="Calibri"/>
          <w:sz w:val="24"/>
          <w:szCs w:val="24"/>
        </w:rPr>
        <w:t xml:space="preserve">to children's </w:t>
      </w:r>
      <w:r w:rsidR="00590581">
        <w:rPr>
          <w:rFonts w:cs="Calibri"/>
          <w:sz w:val="24"/>
          <w:szCs w:val="24"/>
        </w:rPr>
        <w:t xml:space="preserve">safety, welfare and </w:t>
      </w:r>
      <w:r w:rsidRPr="006B4FD7">
        <w:rPr>
          <w:rFonts w:cs="Calibri"/>
          <w:sz w:val="24"/>
          <w:szCs w:val="24"/>
        </w:rPr>
        <w:t>wellbeing. This improved clarity will empower child protection agencies, professionals, and the general public to better recogni</w:t>
      </w:r>
      <w:r>
        <w:rPr>
          <w:rFonts w:cs="Calibri"/>
          <w:sz w:val="24"/>
          <w:szCs w:val="24"/>
        </w:rPr>
        <w:t>s</w:t>
      </w:r>
      <w:r w:rsidRPr="006B4FD7">
        <w:rPr>
          <w:rFonts w:cs="Calibri"/>
          <w:sz w:val="24"/>
          <w:szCs w:val="24"/>
        </w:rPr>
        <w:t>e and respond to various forms of harm that children may fac</w:t>
      </w:r>
      <w:r w:rsidR="00590581">
        <w:rPr>
          <w:rFonts w:cs="Calibri"/>
          <w:sz w:val="24"/>
          <w:szCs w:val="24"/>
        </w:rPr>
        <w:t>e</w:t>
      </w:r>
      <w:r w:rsidR="002339B3" w:rsidRPr="002339B3">
        <w:rPr>
          <w:rFonts w:cs="Calibri"/>
          <w:sz w:val="24"/>
          <w:szCs w:val="24"/>
        </w:rPr>
        <w:t>.</w:t>
      </w:r>
      <w:r w:rsidRPr="006B4FD7">
        <w:t xml:space="preserve"> </w:t>
      </w:r>
      <w:r w:rsidRPr="006B4FD7">
        <w:rPr>
          <w:rFonts w:cs="Calibri"/>
          <w:sz w:val="24"/>
          <w:szCs w:val="24"/>
        </w:rPr>
        <w:t>Additionally, the revised definition is anticipated to place a stronger emphasis on proactive and preventative strategies</w:t>
      </w:r>
      <w:r w:rsidR="00590581" w:rsidRPr="00590581">
        <w:rPr>
          <w:rFonts w:cs="Calibri"/>
          <w:sz w:val="24"/>
          <w:szCs w:val="24"/>
        </w:rPr>
        <w:t xml:space="preserve"> and shift the focus of </w:t>
      </w:r>
      <w:r w:rsidR="00590581" w:rsidRPr="00F052CC">
        <w:rPr>
          <w:rFonts w:cs="Calibri"/>
          <w:iCs/>
          <w:sz w:val="24"/>
          <w:szCs w:val="24"/>
        </w:rPr>
        <w:t>assessments towards the experiences of children and young people, rather than solely on the behaviour of parents or caregivers</w:t>
      </w:r>
      <w:r w:rsidR="00A8017B">
        <w:rPr>
          <w:rFonts w:cs="Calibri"/>
          <w:iCs/>
          <w:sz w:val="24"/>
          <w:szCs w:val="24"/>
        </w:rPr>
        <w:t>.</w:t>
      </w:r>
      <w:r w:rsidRPr="00F052CC">
        <w:rPr>
          <w:rFonts w:cs="Calibri"/>
          <w:iCs/>
          <w:sz w:val="24"/>
          <w:szCs w:val="24"/>
        </w:rPr>
        <w:t xml:space="preserve"> By highlighting the significance of early intervention and support services for families in vulnerable circumstances, the aim is to reduce the incidence of harm and improve overall protection to vulnerable children and young people.</w:t>
      </w:r>
    </w:p>
    <w:p w14:paraId="396A370C" w14:textId="608C0D27" w:rsidR="00361433" w:rsidRPr="00F052CC" w:rsidRDefault="00361433" w:rsidP="004F520A">
      <w:pPr>
        <w:spacing w:before="240" w:after="0"/>
        <w:rPr>
          <w:rFonts w:cs="Calibri"/>
          <w:iCs/>
          <w:sz w:val="24"/>
          <w:szCs w:val="24"/>
        </w:rPr>
      </w:pPr>
      <w:bookmarkStart w:id="2" w:name="_Hlk141191928"/>
      <w:r w:rsidRPr="00F052CC">
        <w:rPr>
          <w:rFonts w:cs="Calibri"/>
          <w:iCs/>
          <w:sz w:val="24"/>
          <w:szCs w:val="24"/>
        </w:rPr>
        <w:t>Under the concept of significant harm, the Bill insert</w:t>
      </w:r>
      <w:r w:rsidR="007C2840">
        <w:rPr>
          <w:rFonts w:cs="Calibri"/>
          <w:iCs/>
          <w:sz w:val="24"/>
          <w:szCs w:val="24"/>
        </w:rPr>
        <w:t>s</w:t>
      </w:r>
      <w:r w:rsidRPr="00F052CC">
        <w:rPr>
          <w:rFonts w:cs="Calibri"/>
          <w:iCs/>
          <w:sz w:val="24"/>
          <w:szCs w:val="24"/>
        </w:rPr>
        <w:t xml:space="preserve"> a new provision that better considers cumulative patterns of harm on a child or young person. The Bill also broadens sexual abuse to include grooming and sexual exploitation</w:t>
      </w:r>
      <w:bookmarkEnd w:id="2"/>
      <w:r w:rsidRPr="00361433">
        <w:rPr>
          <w:rFonts w:cs="Calibri"/>
          <w:sz w:val="24"/>
          <w:szCs w:val="24"/>
        </w:rPr>
        <w:t>, aligning with the Australia’s responsibility to protect children from sexual abuse and to prevent it from occurring</w:t>
      </w:r>
      <w:r w:rsidR="00A8017B">
        <w:rPr>
          <w:rFonts w:cs="Calibri"/>
          <w:sz w:val="24"/>
          <w:szCs w:val="24"/>
        </w:rPr>
        <w:t>,</w:t>
      </w:r>
      <w:r w:rsidRPr="00361433">
        <w:rPr>
          <w:rFonts w:cs="Calibri"/>
          <w:sz w:val="24"/>
          <w:szCs w:val="24"/>
        </w:rPr>
        <w:t xml:space="preserve"> under </w:t>
      </w:r>
      <w:r w:rsidR="00D92C0F">
        <w:rPr>
          <w:rFonts w:cs="Calibri"/>
          <w:sz w:val="24"/>
          <w:szCs w:val="24"/>
        </w:rPr>
        <w:t>a</w:t>
      </w:r>
      <w:r w:rsidRPr="00361433">
        <w:rPr>
          <w:rFonts w:cs="Calibri"/>
          <w:sz w:val="24"/>
          <w:szCs w:val="24"/>
        </w:rPr>
        <w:t xml:space="preserve">rticles 19 and 34 of the </w:t>
      </w:r>
      <w:r w:rsidR="00F052CC">
        <w:rPr>
          <w:rFonts w:cs="Calibri"/>
          <w:sz w:val="24"/>
          <w:szCs w:val="24"/>
        </w:rPr>
        <w:t xml:space="preserve">UNRC </w:t>
      </w:r>
      <w:r w:rsidRPr="00361433">
        <w:rPr>
          <w:rFonts w:cs="Calibri"/>
          <w:sz w:val="24"/>
          <w:szCs w:val="24"/>
        </w:rPr>
        <w:t xml:space="preserve">and the </w:t>
      </w:r>
      <w:r w:rsidR="00F052CC" w:rsidRPr="00361433">
        <w:rPr>
          <w:rFonts w:cs="Calibri"/>
          <w:sz w:val="24"/>
          <w:szCs w:val="24"/>
        </w:rPr>
        <w:t>Government</w:t>
      </w:r>
      <w:r w:rsidR="00F052CC">
        <w:rPr>
          <w:rFonts w:cs="Calibri"/>
          <w:sz w:val="24"/>
          <w:szCs w:val="24"/>
        </w:rPr>
        <w:t>’s</w:t>
      </w:r>
      <w:r w:rsidRPr="00361433">
        <w:rPr>
          <w:rFonts w:cs="Calibri"/>
          <w:sz w:val="24"/>
          <w:szCs w:val="24"/>
        </w:rPr>
        <w:t xml:space="preserve"> commitment to improving systemic responses to </w:t>
      </w:r>
      <w:r w:rsidRPr="00F052CC">
        <w:rPr>
          <w:rFonts w:cs="Calibri"/>
          <w:iCs/>
          <w:sz w:val="24"/>
          <w:szCs w:val="24"/>
        </w:rPr>
        <w:t>child sexual abuse, in the Government Response to the Listen. Take Action to Prevent, Believe and Heal Report</w:t>
      </w:r>
      <w:r w:rsidR="00381CC7">
        <w:rPr>
          <w:rStyle w:val="FootnoteReference"/>
          <w:iCs/>
          <w:sz w:val="24"/>
          <w:szCs w:val="24"/>
        </w:rPr>
        <w:footnoteReference w:id="27"/>
      </w:r>
      <w:r w:rsidRPr="00F052CC">
        <w:rPr>
          <w:rFonts w:cs="Calibri"/>
          <w:iCs/>
          <w:sz w:val="24"/>
          <w:szCs w:val="24"/>
        </w:rPr>
        <w:t xml:space="preserve"> (2022).</w:t>
      </w:r>
    </w:p>
    <w:p w14:paraId="0E73B42D" w14:textId="77777777" w:rsidR="00361433" w:rsidRPr="00361433" w:rsidRDefault="00361433" w:rsidP="004F520A">
      <w:pPr>
        <w:spacing w:before="240" w:after="0"/>
        <w:rPr>
          <w:rFonts w:cs="Calibri"/>
          <w:sz w:val="24"/>
          <w:szCs w:val="24"/>
        </w:rPr>
      </w:pPr>
      <w:r w:rsidRPr="00F052CC">
        <w:rPr>
          <w:rFonts w:cs="Calibri"/>
          <w:iCs/>
          <w:sz w:val="24"/>
          <w:szCs w:val="24"/>
        </w:rPr>
        <w:t xml:space="preserve">The Bill aligns the definition of family violence with the </w:t>
      </w:r>
      <w:r w:rsidRPr="00A8017B">
        <w:rPr>
          <w:rFonts w:cs="Calibri"/>
          <w:i/>
          <w:sz w:val="24"/>
          <w:szCs w:val="24"/>
        </w:rPr>
        <w:t>Family Violence Act 2016</w:t>
      </w:r>
      <w:r w:rsidRPr="00F052CC">
        <w:rPr>
          <w:rFonts w:cs="Calibri"/>
          <w:iCs/>
          <w:sz w:val="24"/>
          <w:szCs w:val="24"/>
        </w:rPr>
        <w:t>. This definition recognises the various forms of violence that can occur against a family member, as well as the diverse range</w:t>
      </w:r>
      <w:r w:rsidRPr="00361433">
        <w:rPr>
          <w:rFonts w:cs="Calibri"/>
          <w:sz w:val="24"/>
          <w:szCs w:val="24"/>
        </w:rPr>
        <w:t xml:space="preserve"> of experiences endured by those who suffer from such violence, including:</w:t>
      </w:r>
    </w:p>
    <w:p w14:paraId="07D3D4B4" w14:textId="025F09CD" w:rsidR="00361433" w:rsidRPr="00361433" w:rsidRDefault="00361433" w:rsidP="004F520A">
      <w:pPr>
        <w:pStyle w:val="ListParagraph"/>
        <w:numPr>
          <w:ilvl w:val="0"/>
          <w:numId w:val="18"/>
        </w:numPr>
        <w:spacing w:before="120"/>
        <w:ind w:left="714" w:hanging="357"/>
        <w:rPr>
          <w:sz w:val="24"/>
          <w:szCs w:val="24"/>
        </w:rPr>
      </w:pPr>
      <w:r w:rsidRPr="00361433">
        <w:rPr>
          <w:sz w:val="24"/>
          <w:szCs w:val="24"/>
        </w:rPr>
        <w:t>sexual violence or abuse;</w:t>
      </w:r>
    </w:p>
    <w:p w14:paraId="69BFB7A5" w14:textId="77777777" w:rsidR="00F052CC" w:rsidRDefault="00361433" w:rsidP="004F520A">
      <w:pPr>
        <w:pStyle w:val="ListParagraph"/>
        <w:numPr>
          <w:ilvl w:val="0"/>
          <w:numId w:val="18"/>
        </w:numPr>
        <w:spacing w:before="120"/>
        <w:ind w:left="714" w:hanging="357"/>
        <w:rPr>
          <w:sz w:val="24"/>
          <w:szCs w:val="24"/>
        </w:rPr>
      </w:pPr>
      <w:r w:rsidRPr="00361433">
        <w:rPr>
          <w:sz w:val="24"/>
          <w:szCs w:val="24"/>
        </w:rPr>
        <w:t>emotional, psychological, and economic abuse; and</w:t>
      </w:r>
    </w:p>
    <w:p w14:paraId="75848F9A" w14:textId="2CF262A9" w:rsidR="00361433" w:rsidRPr="00F052CC" w:rsidRDefault="00361433" w:rsidP="004F520A">
      <w:pPr>
        <w:pStyle w:val="ListParagraph"/>
        <w:numPr>
          <w:ilvl w:val="0"/>
          <w:numId w:val="18"/>
        </w:numPr>
        <w:spacing w:before="120"/>
        <w:ind w:left="714" w:hanging="357"/>
        <w:rPr>
          <w:sz w:val="24"/>
          <w:szCs w:val="24"/>
        </w:rPr>
      </w:pPr>
      <w:r w:rsidRPr="00F052CC">
        <w:rPr>
          <w:sz w:val="24"/>
          <w:szCs w:val="24"/>
        </w:rPr>
        <w:t>coercion or other behaviour that controls or dominates a person and causes them to fear for their safety or wellbeing, such as property damage, stalking or harming an animal.</w:t>
      </w:r>
    </w:p>
    <w:p w14:paraId="31A2B3AC" w14:textId="28C51703" w:rsidR="00361433" w:rsidRPr="00F052CC" w:rsidRDefault="00361433" w:rsidP="004F520A">
      <w:pPr>
        <w:spacing w:before="240" w:after="0"/>
        <w:rPr>
          <w:rFonts w:cs="Calibri"/>
          <w:b/>
          <w:bCs/>
          <w:iCs/>
          <w:sz w:val="24"/>
          <w:szCs w:val="24"/>
        </w:rPr>
      </w:pPr>
      <w:bookmarkStart w:id="3" w:name="_Hlk141191976"/>
      <w:r w:rsidRPr="00361433">
        <w:rPr>
          <w:rFonts w:cs="Calibri"/>
          <w:sz w:val="24"/>
          <w:szCs w:val="24"/>
        </w:rPr>
        <w:t xml:space="preserve">The Bill also introduces a revised definition of neglect to include significant harm caused when a </w:t>
      </w:r>
      <w:r w:rsidRPr="00A8017B">
        <w:rPr>
          <w:rFonts w:cs="Calibri"/>
          <w:i/>
          <w:iCs/>
          <w:sz w:val="24"/>
          <w:szCs w:val="24"/>
        </w:rPr>
        <w:t xml:space="preserve">‘child or young person's basic physical, emotional, developmental or psychological needs are not being met.’ </w:t>
      </w:r>
      <w:r w:rsidRPr="00361433">
        <w:rPr>
          <w:rFonts w:cs="Calibri"/>
          <w:sz w:val="24"/>
          <w:szCs w:val="24"/>
        </w:rPr>
        <w:t xml:space="preserve">This broader definition and removal of the term neglect aims to </w:t>
      </w:r>
      <w:r w:rsidRPr="00F052CC">
        <w:rPr>
          <w:rFonts w:cs="Calibri"/>
          <w:iCs/>
          <w:sz w:val="24"/>
          <w:szCs w:val="24"/>
        </w:rPr>
        <w:t>foster a more supportive approach for families seeking assistance or support and help to avoid unhelpful stigmatisation</w:t>
      </w:r>
      <w:r w:rsidR="009E394E">
        <w:rPr>
          <w:rFonts w:cs="Calibri"/>
          <w:iCs/>
          <w:sz w:val="24"/>
          <w:szCs w:val="24"/>
        </w:rPr>
        <w:t xml:space="preserve">. </w:t>
      </w:r>
    </w:p>
    <w:bookmarkEnd w:id="3"/>
    <w:p w14:paraId="2C992CFF" w14:textId="0DA481CE" w:rsidR="00175397" w:rsidRPr="00A8017B" w:rsidRDefault="00175397" w:rsidP="004F520A">
      <w:pPr>
        <w:spacing w:before="240" w:after="0"/>
        <w:rPr>
          <w:rFonts w:cs="Calibri"/>
          <w:i/>
          <w:sz w:val="24"/>
          <w:szCs w:val="24"/>
        </w:rPr>
      </w:pPr>
      <w:r w:rsidRPr="00A8017B">
        <w:rPr>
          <w:rFonts w:cs="Calibri"/>
          <w:i/>
          <w:sz w:val="24"/>
          <w:szCs w:val="24"/>
        </w:rPr>
        <w:lastRenderedPageBreak/>
        <w:t>Best interest of the child</w:t>
      </w:r>
    </w:p>
    <w:p w14:paraId="628527F7" w14:textId="5284724A" w:rsidR="00B60B93" w:rsidRDefault="00B60B93" w:rsidP="004F520A">
      <w:pPr>
        <w:spacing w:before="240" w:after="0"/>
        <w:rPr>
          <w:rFonts w:cs="Calibri"/>
          <w:sz w:val="24"/>
          <w:szCs w:val="24"/>
        </w:rPr>
      </w:pPr>
      <w:r w:rsidRPr="00F052CC">
        <w:rPr>
          <w:rFonts w:cs="Calibri"/>
          <w:iCs/>
          <w:sz w:val="24"/>
          <w:szCs w:val="24"/>
        </w:rPr>
        <w:t>Best interests of the child are fundamental principles that should be considered in all actions affecting</w:t>
      </w:r>
      <w:r w:rsidRPr="00B60B93">
        <w:rPr>
          <w:rFonts w:cs="Calibri"/>
          <w:sz w:val="24"/>
          <w:szCs w:val="24"/>
        </w:rPr>
        <w:t xml:space="preserve"> a child</w:t>
      </w:r>
      <w:r>
        <w:rPr>
          <w:rFonts w:cs="Calibri"/>
          <w:sz w:val="24"/>
          <w:szCs w:val="24"/>
        </w:rPr>
        <w:t xml:space="preserve">. </w:t>
      </w:r>
      <w:r w:rsidRPr="001B311B">
        <w:rPr>
          <w:rFonts w:cs="Calibri"/>
          <w:sz w:val="24"/>
          <w:szCs w:val="24"/>
        </w:rPr>
        <w:t>The ‘best interest’ of children and young people is the paramount consideration for all decision-making pursuant to section 8 of CYP Act</w:t>
      </w:r>
      <w:r>
        <w:rPr>
          <w:rFonts w:cs="Calibri"/>
          <w:sz w:val="24"/>
          <w:szCs w:val="24"/>
        </w:rPr>
        <w:t>. W</w:t>
      </w:r>
      <w:r w:rsidRPr="00B60B93">
        <w:rPr>
          <w:rFonts w:cs="Calibri"/>
          <w:sz w:val="24"/>
          <w:szCs w:val="24"/>
        </w:rPr>
        <w:t xml:space="preserve">hat will be in each child’s ‘best interests’ will depend on </w:t>
      </w:r>
      <w:r w:rsidR="001671FC">
        <w:rPr>
          <w:rFonts w:cs="Calibri"/>
          <w:sz w:val="24"/>
          <w:szCs w:val="24"/>
        </w:rPr>
        <w:t xml:space="preserve">the child’s individual </w:t>
      </w:r>
      <w:r w:rsidRPr="00B60B93">
        <w:rPr>
          <w:rFonts w:cs="Calibri"/>
          <w:sz w:val="24"/>
          <w:szCs w:val="24"/>
        </w:rPr>
        <w:t>circumstances.</w:t>
      </w:r>
      <w:r>
        <w:rPr>
          <w:rFonts w:cs="Calibri"/>
          <w:sz w:val="24"/>
          <w:szCs w:val="24"/>
        </w:rPr>
        <w:t xml:space="preserve"> </w:t>
      </w:r>
      <w:r w:rsidRPr="003B003F">
        <w:rPr>
          <w:rFonts w:cs="Calibri"/>
          <w:sz w:val="24"/>
          <w:szCs w:val="24"/>
        </w:rPr>
        <w:t>This approach reflects the U</w:t>
      </w:r>
      <w:r w:rsidR="006262FD">
        <w:rPr>
          <w:rFonts w:cs="Calibri"/>
          <w:sz w:val="24"/>
          <w:szCs w:val="24"/>
        </w:rPr>
        <w:t xml:space="preserve">nited </w:t>
      </w:r>
      <w:r w:rsidRPr="003B003F">
        <w:rPr>
          <w:rFonts w:cs="Calibri"/>
          <w:sz w:val="24"/>
          <w:szCs w:val="24"/>
        </w:rPr>
        <w:t>N</w:t>
      </w:r>
      <w:r w:rsidR="006262FD">
        <w:rPr>
          <w:rFonts w:cs="Calibri"/>
          <w:sz w:val="24"/>
          <w:szCs w:val="24"/>
        </w:rPr>
        <w:t>ations</w:t>
      </w:r>
      <w:r w:rsidRPr="003B003F">
        <w:rPr>
          <w:rFonts w:cs="Calibri"/>
          <w:sz w:val="24"/>
          <w:szCs w:val="24"/>
        </w:rPr>
        <w:t xml:space="preserve"> Committee on the Rights of the Child General Comment </w:t>
      </w:r>
      <w:r w:rsidR="002A36C9">
        <w:rPr>
          <w:rFonts w:cs="Calibri"/>
          <w:sz w:val="24"/>
          <w:szCs w:val="24"/>
        </w:rPr>
        <w:t>14</w:t>
      </w:r>
      <w:r w:rsidR="002A36C9">
        <w:rPr>
          <w:rStyle w:val="FootnoteReference"/>
          <w:sz w:val="24"/>
          <w:szCs w:val="24"/>
        </w:rPr>
        <w:footnoteReference w:id="28"/>
      </w:r>
      <w:r w:rsidR="002A36C9">
        <w:rPr>
          <w:rFonts w:cs="Calibri"/>
          <w:sz w:val="24"/>
          <w:szCs w:val="24"/>
        </w:rPr>
        <w:t xml:space="preserve"> </w:t>
      </w:r>
      <w:r w:rsidRPr="003B003F">
        <w:rPr>
          <w:rFonts w:cs="Calibri"/>
          <w:sz w:val="24"/>
          <w:szCs w:val="24"/>
        </w:rPr>
        <w:t xml:space="preserve">on the implementation of </w:t>
      </w:r>
      <w:r w:rsidR="00D92C0F">
        <w:rPr>
          <w:rFonts w:cs="Calibri"/>
          <w:sz w:val="24"/>
          <w:szCs w:val="24"/>
        </w:rPr>
        <w:t>a</w:t>
      </w:r>
      <w:r w:rsidRPr="003B003F">
        <w:rPr>
          <w:rFonts w:cs="Calibri"/>
          <w:sz w:val="24"/>
          <w:szCs w:val="24"/>
        </w:rPr>
        <w:t xml:space="preserve">rticle 3(1) of the UNCRC, that states it is </w:t>
      </w:r>
      <w:r w:rsidRPr="002339B3">
        <w:rPr>
          <w:rFonts w:cs="Calibri"/>
          <w:i/>
          <w:iCs/>
          <w:sz w:val="24"/>
          <w:szCs w:val="24"/>
        </w:rPr>
        <w:t>‘useful to draw up a non-exhaustive and non-hierarchical list of elements that could be included in a best interests assessment by any decision maker</w:t>
      </w:r>
      <w:r w:rsidR="00BE2FA5">
        <w:rPr>
          <w:rFonts w:cs="Calibri"/>
          <w:i/>
          <w:iCs/>
          <w:sz w:val="24"/>
          <w:szCs w:val="24"/>
        </w:rPr>
        <w:t>.</w:t>
      </w:r>
      <w:r w:rsidRPr="002339B3">
        <w:rPr>
          <w:rFonts w:cs="Calibri"/>
          <w:i/>
          <w:iCs/>
          <w:sz w:val="24"/>
          <w:szCs w:val="24"/>
        </w:rPr>
        <w:t>’</w:t>
      </w:r>
      <w:r w:rsidRPr="003B003F">
        <w:rPr>
          <w:rFonts w:cs="Calibri"/>
          <w:sz w:val="24"/>
          <w:szCs w:val="24"/>
        </w:rPr>
        <w:t xml:space="preserve"> The Committee’s General Comment acknowledges the best interests principle is complex and must be determined on a case-by-case basis and that the list of best interest considerations should provide</w:t>
      </w:r>
      <w:r w:rsidR="002339B3">
        <w:rPr>
          <w:rFonts w:cs="Calibri"/>
          <w:sz w:val="24"/>
          <w:szCs w:val="24"/>
        </w:rPr>
        <w:t xml:space="preserve"> ‘</w:t>
      </w:r>
      <w:r w:rsidRPr="005B3C33">
        <w:rPr>
          <w:rFonts w:asciiTheme="minorHAnsi" w:eastAsiaTheme="minorHAnsi" w:hAnsiTheme="minorHAnsi" w:cstheme="minorBidi"/>
          <w:sz w:val="24"/>
          <w:szCs w:val="24"/>
        </w:rPr>
        <w:t>concrete</w:t>
      </w:r>
      <w:r w:rsidRPr="003B003F">
        <w:rPr>
          <w:rFonts w:cs="Calibri"/>
          <w:sz w:val="24"/>
          <w:szCs w:val="24"/>
        </w:rPr>
        <w:t xml:space="preserve"> guidance, yet flexibility’.</w:t>
      </w:r>
    </w:p>
    <w:p w14:paraId="48639048" w14:textId="1F33805D" w:rsidR="00B60B93" w:rsidRDefault="00B60B93" w:rsidP="004F520A">
      <w:pPr>
        <w:spacing w:before="240" w:after="0"/>
        <w:rPr>
          <w:rFonts w:eastAsia="Calibri" w:cs="Calibri"/>
          <w:sz w:val="24"/>
          <w:szCs w:val="24"/>
        </w:rPr>
      </w:pPr>
      <w:r w:rsidRPr="00B60B93">
        <w:rPr>
          <w:rFonts w:cs="Calibri"/>
          <w:sz w:val="24"/>
          <w:szCs w:val="24"/>
        </w:rPr>
        <w:t>Safeguarding the safety of children and young people forms a fundamental and</w:t>
      </w:r>
      <w:r w:rsidR="001671FC">
        <w:rPr>
          <w:rFonts w:cs="Calibri"/>
          <w:sz w:val="24"/>
          <w:szCs w:val="24"/>
        </w:rPr>
        <w:t xml:space="preserve"> </w:t>
      </w:r>
      <w:r w:rsidRPr="00B60B93">
        <w:rPr>
          <w:rFonts w:cs="Calibri"/>
          <w:sz w:val="24"/>
          <w:szCs w:val="24"/>
        </w:rPr>
        <w:t>indispensable aspect of a child protection system that operates in the best interests of every child. In this regard, child protection decision-making differs from decision-making in other contexts where safety may not always be a prominent concern.</w:t>
      </w:r>
      <w:r w:rsidR="002339B3">
        <w:rPr>
          <w:rFonts w:cs="Calibri"/>
          <w:sz w:val="24"/>
          <w:szCs w:val="24"/>
        </w:rPr>
        <w:t xml:space="preserve"> </w:t>
      </w:r>
      <w:r w:rsidR="001671FC">
        <w:rPr>
          <w:rFonts w:eastAsia="Calibri" w:cs="Calibri"/>
          <w:sz w:val="24"/>
          <w:szCs w:val="24"/>
        </w:rPr>
        <w:t xml:space="preserve">Considering this, </w:t>
      </w:r>
      <w:r>
        <w:rPr>
          <w:rFonts w:eastAsia="Calibri" w:cs="Calibri"/>
          <w:sz w:val="24"/>
          <w:szCs w:val="24"/>
        </w:rPr>
        <w:t xml:space="preserve">Section 349 of the CYP Act </w:t>
      </w:r>
      <w:r w:rsidR="001671FC">
        <w:rPr>
          <w:rFonts w:eastAsia="Calibri" w:cs="Calibri"/>
          <w:sz w:val="24"/>
          <w:szCs w:val="24"/>
        </w:rPr>
        <w:t xml:space="preserve">sets out </w:t>
      </w:r>
      <w:r w:rsidRPr="008E6B34">
        <w:rPr>
          <w:rFonts w:eastAsia="Calibri" w:cs="Calibri"/>
          <w:sz w:val="24"/>
          <w:szCs w:val="24"/>
        </w:rPr>
        <w:t xml:space="preserve">guidance on the factors to consider in making a decision about a child’s best interests and clarifies </w:t>
      </w:r>
      <w:r>
        <w:rPr>
          <w:rFonts w:eastAsia="Calibri" w:cs="Calibri"/>
          <w:sz w:val="24"/>
          <w:szCs w:val="24"/>
        </w:rPr>
        <w:t xml:space="preserve">that </w:t>
      </w:r>
      <w:r w:rsidRPr="003B003F">
        <w:rPr>
          <w:rFonts w:eastAsia="Calibri" w:cs="Calibri"/>
          <w:sz w:val="24"/>
          <w:szCs w:val="24"/>
        </w:rPr>
        <w:t>the decision-maker must always consider the child’s risk of significant harm, in addition to the</w:t>
      </w:r>
      <w:r>
        <w:rPr>
          <w:rFonts w:eastAsia="Calibri" w:cs="Calibri"/>
          <w:sz w:val="24"/>
          <w:szCs w:val="24"/>
        </w:rPr>
        <w:t xml:space="preserve"> other</w:t>
      </w:r>
      <w:r w:rsidRPr="003B003F">
        <w:rPr>
          <w:rFonts w:eastAsia="Calibri" w:cs="Calibri"/>
          <w:sz w:val="24"/>
          <w:szCs w:val="24"/>
        </w:rPr>
        <w:t xml:space="preserve"> relevant </w:t>
      </w:r>
      <w:r>
        <w:rPr>
          <w:rFonts w:eastAsia="Calibri" w:cs="Calibri"/>
          <w:sz w:val="24"/>
          <w:szCs w:val="24"/>
        </w:rPr>
        <w:t xml:space="preserve">best interests </w:t>
      </w:r>
      <w:r w:rsidRPr="005B3C33">
        <w:rPr>
          <w:rFonts w:eastAsia="Calibri" w:cs="Calibri"/>
          <w:sz w:val="24"/>
          <w:szCs w:val="24"/>
        </w:rPr>
        <w:t>when making a best interests determination</w:t>
      </w:r>
      <w:r>
        <w:rPr>
          <w:rFonts w:eastAsia="Calibri" w:cs="Calibri"/>
          <w:sz w:val="24"/>
          <w:szCs w:val="24"/>
        </w:rPr>
        <w:t>.</w:t>
      </w:r>
      <w:r w:rsidRPr="00DE33DB">
        <w:rPr>
          <w:rFonts w:eastAsia="Calibri" w:cs="Calibri"/>
          <w:sz w:val="24"/>
          <w:szCs w:val="24"/>
        </w:rPr>
        <w:t xml:space="preserve"> </w:t>
      </w:r>
      <w:r>
        <w:rPr>
          <w:rFonts w:eastAsia="Calibri" w:cs="Calibri"/>
          <w:sz w:val="24"/>
          <w:szCs w:val="24"/>
        </w:rPr>
        <w:t>T</w:t>
      </w:r>
      <w:r w:rsidRPr="005B3C33">
        <w:rPr>
          <w:rFonts w:eastAsia="Calibri" w:cs="Calibri"/>
          <w:sz w:val="24"/>
          <w:szCs w:val="24"/>
        </w:rPr>
        <w:t>he amendments aim to ensure that children's safety and best interests are squarely and unequivocally the primary focus of the legislation. By prioritising best interests, emphasising the need to protect from risk of significant harm</w:t>
      </w:r>
      <w:r w:rsidR="00E16732">
        <w:rPr>
          <w:rFonts w:eastAsia="Calibri" w:cs="Calibri"/>
          <w:sz w:val="24"/>
          <w:szCs w:val="24"/>
        </w:rPr>
        <w:t>,</w:t>
      </w:r>
      <w:r w:rsidRPr="005B3C33">
        <w:rPr>
          <w:rFonts w:eastAsia="Calibri" w:cs="Calibri"/>
          <w:sz w:val="24"/>
          <w:szCs w:val="24"/>
        </w:rPr>
        <w:t xml:space="preserve"> the Bill promotes children’s right to life and protection from exploitation, violence, and abuse, as outlined in </w:t>
      </w:r>
      <w:r w:rsidR="00D92C0F">
        <w:rPr>
          <w:rFonts w:eastAsia="Calibri" w:cs="Calibri"/>
          <w:sz w:val="24"/>
          <w:szCs w:val="24"/>
        </w:rPr>
        <w:t>a</w:t>
      </w:r>
      <w:r w:rsidRPr="005B3C33">
        <w:rPr>
          <w:rFonts w:eastAsia="Calibri" w:cs="Calibri"/>
          <w:sz w:val="24"/>
          <w:szCs w:val="24"/>
        </w:rPr>
        <w:t>rticle 24(1) of the International Covenant on Civil and Political Rights</w:t>
      </w:r>
      <w:r w:rsidR="002A36C9">
        <w:rPr>
          <w:rStyle w:val="FootnoteReference"/>
          <w:rFonts w:eastAsia="Calibri"/>
          <w:sz w:val="24"/>
          <w:szCs w:val="24"/>
        </w:rPr>
        <w:footnoteReference w:id="29"/>
      </w:r>
      <w:r w:rsidRPr="005B3C33">
        <w:rPr>
          <w:rFonts w:eastAsia="Calibri" w:cs="Calibri"/>
          <w:sz w:val="24"/>
          <w:szCs w:val="24"/>
        </w:rPr>
        <w:t xml:space="preserve"> and </w:t>
      </w:r>
      <w:r w:rsidR="00D92C0F">
        <w:rPr>
          <w:rFonts w:eastAsia="Calibri" w:cs="Calibri"/>
          <w:sz w:val="24"/>
          <w:szCs w:val="24"/>
        </w:rPr>
        <w:t>a</w:t>
      </w:r>
      <w:r w:rsidRPr="005B3C33">
        <w:rPr>
          <w:rFonts w:eastAsia="Calibri" w:cs="Calibri"/>
          <w:sz w:val="24"/>
          <w:szCs w:val="24"/>
        </w:rPr>
        <w:t>rticles 3(2), 6, 19(1), and 34 of the UNCRC.</w:t>
      </w:r>
    </w:p>
    <w:p w14:paraId="5E503168" w14:textId="66FBD1AB" w:rsidR="009E394E" w:rsidRPr="00A8017B" w:rsidRDefault="002C7451" w:rsidP="004F520A">
      <w:pPr>
        <w:spacing w:before="240" w:after="0"/>
        <w:rPr>
          <w:rFonts w:cs="Calibri"/>
          <w:i/>
          <w:sz w:val="24"/>
          <w:szCs w:val="24"/>
        </w:rPr>
      </w:pPr>
      <w:r>
        <w:rPr>
          <w:rFonts w:cs="Calibri"/>
          <w:i/>
          <w:sz w:val="24"/>
          <w:szCs w:val="24"/>
        </w:rPr>
        <w:t>The Death Review Committee</w:t>
      </w:r>
    </w:p>
    <w:p w14:paraId="4F6204DD" w14:textId="3D1B04D7" w:rsidR="00E25334" w:rsidRPr="00E25334" w:rsidRDefault="00352E6F" w:rsidP="004F520A">
      <w:pPr>
        <w:spacing w:before="240" w:after="0"/>
        <w:rPr>
          <w:rFonts w:cs="Calibri"/>
          <w:sz w:val="24"/>
          <w:szCs w:val="24"/>
        </w:rPr>
      </w:pPr>
      <w:r w:rsidRPr="00E25334">
        <w:rPr>
          <w:rFonts w:cs="Calibri"/>
          <w:sz w:val="24"/>
          <w:szCs w:val="24"/>
        </w:rPr>
        <w:t xml:space="preserve">The amendments to the </w:t>
      </w:r>
      <w:r w:rsidR="009576C1" w:rsidRPr="00E25334">
        <w:rPr>
          <w:rFonts w:cs="Calibri"/>
          <w:sz w:val="24"/>
          <w:szCs w:val="24"/>
        </w:rPr>
        <w:t xml:space="preserve">Child and Young Person </w:t>
      </w:r>
      <w:r w:rsidRPr="00E25334">
        <w:rPr>
          <w:rFonts w:cs="Calibri"/>
          <w:sz w:val="24"/>
          <w:szCs w:val="24"/>
        </w:rPr>
        <w:t xml:space="preserve">Death Review Committee will support the </w:t>
      </w:r>
      <w:r w:rsidR="00B674BF" w:rsidRPr="00E25334">
        <w:rPr>
          <w:rFonts w:cs="Calibri"/>
          <w:sz w:val="24"/>
          <w:szCs w:val="24"/>
        </w:rPr>
        <w:t>protection</w:t>
      </w:r>
      <w:r w:rsidRPr="00E25334">
        <w:rPr>
          <w:rFonts w:cs="Calibri"/>
          <w:sz w:val="24"/>
          <w:szCs w:val="24"/>
        </w:rPr>
        <w:t xml:space="preserve"> of children by expanding their scope to allow consideration of </w:t>
      </w:r>
      <w:r w:rsidR="007C426F" w:rsidRPr="00E25334">
        <w:rPr>
          <w:rFonts w:cs="Calibri"/>
          <w:sz w:val="24"/>
          <w:szCs w:val="24"/>
        </w:rPr>
        <w:t xml:space="preserve">people aged 18 -24 years </w:t>
      </w:r>
      <w:r w:rsidRPr="00E25334">
        <w:rPr>
          <w:rFonts w:cs="Calibri"/>
          <w:sz w:val="24"/>
          <w:szCs w:val="24"/>
        </w:rPr>
        <w:t xml:space="preserve">and serious injuries. This </w:t>
      </w:r>
      <w:r w:rsidR="007C426F" w:rsidRPr="00E25334">
        <w:rPr>
          <w:rFonts w:cs="Calibri"/>
          <w:sz w:val="24"/>
          <w:szCs w:val="24"/>
        </w:rPr>
        <w:t>suppo</w:t>
      </w:r>
      <w:r w:rsidR="009576C1" w:rsidRPr="00E25334">
        <w:rPr>
          <w:rFonts w:cs="Calibri"/>
          <w:sz w:val="24"/>
          <w:szCs w:val="24"/>
        </w:rPr>
        <w:t xml:space="preserve">rts </w:t>
      </w:r>
      <w:r w:rsidR="007C426F" w:rsidRPr="00E25334">
        <w:rPr>
          <w:rFonts w:cs="Calibri"/>
          <w:sz w:val="24"/>
          <w:szCs w:val="24"/>
        </w:rPr>
        <w:t xml:space="preserve">efforts to reduce the preventable deaths of children and young people in the ACT </w:t>
      </w:r>
      <w:r w:rsidRPr="00E25334">
        <w:rPr>
          <w:rFonts w:cs="Calibri"/>
          <w:sz w:val="24"/>
          <w:szCs w:val="24"/>
        </w:rPr>
        <w:t xml:space="preserve">and </w:t>
      </w:r>
      <w:r w:rsidR="00C8783E" w:rsidRPr="00E25334">
        <w:rPr>
          <w:rFonts w:cs="Calibri"/>
          <w:sz w:val="24"/>
          <w:szCs w:val="24"/>
        </w:rPr>
        <w:t>support</w:t>
      </w:r>
      <w:r w:rsidR="009576C1" w:rsidRPr="00E25334">
        <w:rPr>
          <w:rFonts w:cs="Calibri"/>
          <w:sz w:val="24"/>
          <w:szCs w:val="24"/>
        </w:rPr>
        <w:t>s</w:t>
      </w:r>
      <w:r w:rsidR="00C8783E" w:rsidRPr="00E25334">
        <w:rPr>
          <w:rFonts w:cs="Calibri"/>
          <w:sz w:val="24"/>
          <w:szCs w:val="24"/>
        </w:rPr>
        <w:t xml:space="preserve"> </w:t>
      </w:r>
      <w:r w:rsidRPr="00E25334">
        <w:rPr>
          <w:rFonts w:cs="Calibri"/>
          <w:sz w:val="24"/>
          <w:szCs w:val="24"/>
        </w:rPr>
        <w:t xml:space="preserve">systemic changes </w:t>
      </w:r>
      <w:r w:rsidR="007C426F" w:rsidRPr="00E25334">
        <w:rPr>
          <w:rFonts w:cs="Calibri"/>
          <w:sz w:val="24"/>
          <w:szCs w:val="24"/>
        </w:rPr>
        <w:t>to</w:t>
      </w:r>
      <w:r w:rsidRPr="00E25334">
        <w:rPr>
          <w:rFonts w:cs="Calibri"/>
          <w:sz w:val="24"/>
          <w:szCs w:val="24"/>
        </w:rPr>
        <w:t xml:space="preserve"> </w:t>
      </w:r>
      <w:r w:rsidR="00643560" w:rsidRPr="00E25334">
        <w:rPr>
          <w:rFonts w:cs="Calibri"/>
          <w:sz w:val="24"/>
          <w:szCs w:val="24"/>
        </w:rPr>
        <w:t>improve</w:t>
      </w:r>
      <w:r w:rsidRPr="00E25334">
        <w:rPr>
          <w:rFonts w:cs="Calibri"/>
          <w:sz w:val="24"/>
          <w:szCs w:val="24"/>
        </w:rPr>
        <w:t xml:space="preserve"> </w:t>
      </w:r>
      <w:r w:rsidR="008466A8" w:rsidRPr="00E25334">
        <w:rPr>
          <w:rFonts w:cs="Calibri"/>
          <w:sz w:val="24"/>
          <w:szCs w:val="24"/>
        </w:rPr>
        <w:t>support and services to children and their families.</w:t>
      </w:r>
    </w:p>
    <w:p w14:paraId="0CEBEB43" w14:textId="34F1259D" w:rsidR="00352E6F" w:rsidRPr="00450873" w:rsidRDefault="00950302" w:rsidP="004F520A">
      <w:pPr>
        <w:spacing w:before="240" w:after="0"/>
        <w:rPr>
          <w:rFonts w:eastAsia="Calibri" w:cs="Calibri"/>
          <w:b/>
          <w:bCs/>
          <w:sz w:val="24"/>
          <w:szCs w:val="24"/>
        </w:rPr>
      </w:pPr>
      <w:r>
        <w:rPr>
          <w:rFonts w:eastAsia="Calibri" w:cs="Calibri"/>
          <w:b/>
          <w:bCs/>
          <w:sz w:val="24"/>
          <w:szCs w:val="24"/>
        </w:rPr>
        <w:t xml:space="preserve">Part 3 </w:t>
      </w:r>
      <w:r w:rsidR="00352E6F" w:rsidRPr="00450873">
        <w:rPr>
          <w:rFonts w:eastAsia="Calibri" w:cs="Calibri"/>
          <w:b/>
          <w:bCs/>
          <w:sz w:val="24"/>
          <w:szCs w:val="24"/>
        </w:rPr>
        <w:t xml:space="preserve">Section 27 Aboriginal and Torres Strait Islander culture </w:t>
      </w:r>
    </w:p>
    <w:p w14:paraId="51AD0E47" w14:textId="73F7BD6C" w:rsidR="00352E6F" w:rsidRDefault="003B2A3D" w:rsidP="004F520A">
      <w:pPr>
        <w:spacing w:before="240" w:after="0"/>
        <w:rPr>
          <w:rFonts w:cs="Calibri"/>
          <w:sz w:val="24"/>
          <w:szCs w:val="24"/>
        </w:rPr>
      </w:pPr>
      <w:r w:rsidRPr="00057E48">
        <w:rPr>
          <w:rFonts w:cs="Calibri"/>
          <w:sz w:val="24"/>
          <w:szCs w:val="24"/>
        </w:rPr>
        <w:t xml:space="preserve">Section 27(2) </w:t>
      </w:r>
      <w:r w:rsidR="007E4AB6">
        <w:rPr>
          <w:rFonts w:cs="Calibri"/>
          <w:sz w:val="24"/>
          <w:szCs w:val="24"/>
        </w:rPr>
        <w:t xml:space="preserve">of the Human Rights Act </w:t>
      </w:r>
      <w:r w:rsidR="00335ADD" w:rsidRPr="00335ADD">
        <w:rPr>
          <w:rFonts w:cs="Calibri"/>
          <w:sz w:val="24"/>
          <w:szCs w:val="24"/>
        </w:rPr>
        <w:t xml:space="preserve">specifies that Aboriginal and Torres Strait Islander peoples hold distinct cultural rights </w:t>
      </w:r>
      <w:r w:rsidR="00BE2C67" w:rsidRPr="00E25334">
        <w:rPr>
          <w:rFonts w:cs="Calibri"/>
          <w:sz w:val="24"/>
          <w:szCs w:val="24"/>
        </w:rPr>
        <w:t>to enjoy, maintain, control, protect and develop their identity and cultural heritage</w:t>
      </w:r>
      <w:r>
        <w:rPr>
          <w:rFonts w:cs="Calibri"/>
          <w:sz w:val="24"/>
          <w:szCs w:val="24"/>
        </w:rPr>
        <w:t xml:space="preserve"> </w:t>
      </w:r>
      <w:r w:rsidRPr="00335ADD">
        <w:rPr>
          <w:rFonts w:cs="Calibri"/>
          <w:sz w:val="24"/>
          <w:szCs w:val="24"/>
        </w:rPr>
        <w:t>as Australia’s first people</w:t>
      </w:r>
      <w:r>
        <w:rPr>
          <w:rFonts w:cs="Calibri"/>
          <w:sz w:val="24"/>
          <w:szCs w:val="24"/>
        </w:rPr>
        <w:t>.</w:t>
      </w:r>
      <w:r w:rsidRPr="003B2A3D">
        <w:t xml:space="preserve"> </w:t>
      </w:r>
      <w:r w:rsidRPr="003B2A3D">
        <w:rPr>
          <w:rFonts w:cs="Calibri"/>
          <w:sz w:val="24"/>
          <w:szCs w:val="24"/>
        </w:rPr>
        <w:t xml:space="preserve">This section is based on two international instruments. </w:t>
      </w:r>
      <w:r w:rsidR="009E394E">
        <w:rPr>
          <w:rFonts w:cs="Calibri"/>
          <w:sz w:val="24"/>
          <w:szCs w:val="24"/>
        </w:rPr>
        <w:t>First,</w:t>
      </w:r>
      <w:r w:rsidRPr="003B2A3D">
        <w:rPr>
          <w:rFonts w:cs="Calibri"/>
          <w:sz w:val="24"/>
          <w:szCs w:val="24"/>
        </w:rPr>
        <w:t xml:space="preserve"> i</w:t>
      </w:r>
      <w:r w:rsidR="007E4AB6">
        <w:rPr>
          <w:rFonts w:cs="Calibri"/>
          <w:sz w:val="24"/>
          <w:szCs w:val="24"/>
        </w:rPr>
        <w:t>s the</w:t>
      </w:r>
      <w:r w:rsidRPr="003B2A3D">
        <w:rPr>
          <w:rFonts w:cs="Calibri"/>
          <w:sz w:val="24"/>
          <w:szCs w:val="24"/>
        </w:rPr>
        <w:t xml:space="preserve"> International Covenant on Economic, Social and </w:t>
      </w:r>
      <w:r w:rsidRPr="003B2A3D">
        <w:rPr>
          <w:rFonts w:cs="Calibri"/>
          <w:sz w:val="24"/>
          <w:szCs w:val="24"/>
        </w:rPr>
        <w:lastRenderedPageBreak/>
        <w:t>Cultural Rights</w:t>
      </w:r>
      <w:r w:rsidR="005A3608">
        <w:rPr>
          <w:rStyle w:val="FootnoteReference"/>
          <w:sz w:val="24"/>
          <w:szCs w:val="24"/>
        </w:rPr>
        <w:footnoteReference w:id="30"/>
      </w:r>
      <w:r w:rsidRPr="003B2A3D">
        <w:rPr>
          <w:rFonts w:cs="Calibri"/>
          <w:sz w:val="24"/>
          <w:szCs w:val="24"/>
        </w:rPr>
        <w:t>, which Australia ratified in 19</w:t>
      </w:r>
      <w:r>
        <w:rPr>
          <w:rFonts w:cs="Calibri"/>
          <w:sz w:val="24"/>
          <w:szCs w:val="24"/>
        </w:rPr>
        <w:t>75</w:t>
      </w:r>
      <w:r w:rsidRPr="003B2A3D">
        <w:rPr>
          <w:rFonts w:cs="Calibri"/>
          <w:sz w:val="24"/>
          <w:szCs w:val="24"/>
        </w:rPr>
        <w:t xml:space="preserve">. </w:t>
      </w:r>
      <w:r w:rsidR="009E394E">
        <w:rPr>
          <w:rFonts w:cs="Calibri"/>
          <w:sz w:val="24"/>
          <w:szCs w:val="24"/>
        </w:rPr>
        <w:t>Second, are</w:t>
      </w:r>
      <w:r w:rsidRPr="003B2A3D">
        <w:rPr>
          <w:rFonts w:cs="Calibri"/>
          <w:sz w:val="24"/>
          <w:szCs w:val="24"/>
        </w:rPr>
        <w:t xml:space="preserve"> </w:t>
      </w:r>
      <w:r w:rsidR="00D92C0F">
        <w:rPr>
          <w:rFonts w:cs="Calibri"/>
          <w:sz w:val="24"/>
          <w:szCs w:val="24"/>
        </w:rPr>
        <w:t>a</w:t>
      </w:r>
      <w:r w:rsidRPr="003B2A3D">
        <w:rPr>
          <w:rFonts w:cs="Calibri"/>
          <w:sz w:val="24"/>
          <w:szCs w:val="24"/>
        </w:rPr>
        <w:t>rticles 25 and 31 of the United Nations Declaration on the Rights of Indigenous Peoples</w:t>
      </w:r>
      <w:r w:rsidR="005A3608">
        <w:rPr>
          <w:rStyle w:val="FootnoteReference"/>
          <w:sz w:val="24"/>
          <w:szCs w:val="24"/>
        </w:rPr>
        <w:footnoteReference w:id="31"/>
      </w:r>
      <w:r w:rsidR="001E0E6D">
        <w:rPr>
          <w:rFonts w:cs="Calibri"/>
          <w:sz w:val="24"/>
          <w:szCs w:val="24"/>
        </w:rPr>
        <w:t>,</w:t>
      </w:r>
      <w:r w:rsidRPr="003B2A3D">
        <w:rPr>
          <w:rFonts w:cs="Calibri"/>
          <w:sz w:val="24"/>
          <w:szCs w:val="24"/>
        </w:rPr>
        <w:t xml:space="preserve"> </w:t>
      </w:r>
      <w:r w:rsidR="001E0E6D" w:rsidRPr="001E0E6D">
        <w:rPr>
          <w:rFonts w:cs="Calibri"/>
          <w:sz w:val="24"/>
          <w:szCs w:val="24"/>
        </w:rPr>
        <w:t>adopted by the General Assembly in 2007.</w:t>
      </w:r>
    </w:p>
    <w:p w14:paraId="7A2FAE1B" w14:textId="11D54E9F" w:rsidR="00D9137C" w:rsidRDefault="00D92C0F" w:rsidP="004F520A">
      <w:pPr>
        <w:spacing w:before="240" w:after="0"/>
        <w:rPr>
          <w:rFonts w:cs="Calibri"/>
          <w:sz w:val="24"/>
          <w:szCs w:val="24"/>
        </w:rPr>
      </w:pPr>
      <w:r>
        <w:rPr>
          <w:rFonts w:cs="Calibri"/>
          <w:iCs/>
          <w:sz w:val="24"/>
          <w:szCs w:val="24"/>
        </w:rPr>
        <w:t>A</w:t>
      </w:r>
      <w:r w:rsidR="007E4AB6">
        <w:rPr>
          <w:rFonts w:cs="Calibri"/>
          <w:iCs/>
          <w:sz w:val="24"/>
          <w:szCs w:val="24"/>
        </w:rPr>
        <w:t>rticle 3 of the</w:t>
      </w:r>
      <w:r w:rsidR="00D9137C" w:rsidRPr="00170445">
        <w:rPr>
          <w:rFonts w:cs="Calibri"/>
          <w:iCs/>
          <w:sz w:val="24"/>
          <w:szCs w:val="24"/>
        </w:rPr>
        <w:t xml:space="preserve"> </w:t>
      </w:r>
      <w:r w:rsidR="007E4AB6">
        <w:rPr>
          <w:rFonts w:cs="Calibri"/>
          <w:iCs/>
          <w:sz w:val="24"/>
          <w:szCs w:val="24"/>
        </w:rPr>
        <w:t xml:space="preserve">UNCRC </w:t>
      </w:r>
      <w:r w:rsidR="00D9137C" w:rsidRPr="00170445">
        <w:rPr>
          <w:rFonts w:cs="Calibri"/>
          <w:iCs/>
          <w:sz w:val="24"/>
          <w:szCs w:val="24"/>
        </w:rPr>
        <w:t>provides all organisations concerned with children should work towards what is best for each child. Article</w:t>
      </w:r>
      <w:r w:rsidR="00D9137C">
        <w:rPr>
          <w:rFonts w:cs="Calibri"/>
          <w:iCs/>
          <w:sz w:val="24"/>
          <w:szCs w:val="24"/>
        </w:rPr>
        <w:t xml:space="preserve"> 8</w:t>
      </w:r>
      <w:r w:rsidR="00D9137C" w:rsidRPr="00170445">
        <w:rPr>
          <w:rFonts w:cs="Calibri"/>
          <w:iCs/>
          <w:sz w:val="24"/>
          <w:szCs w:val="24"/>
        </w:rPr>
        <w:t xml:space="preserve"> provides that governments should respect a child’s right to family ties</w:t>
      </w:r>
      <w:r w:rsidR="007E4AB6">
        <w:rPr>
          <w:rFonts w:cs="Calibri"/>
          <w:iCs/>
          <w:sz w:val="24"/>
          <w:szCs w:val="24"/>
        </w:rPr>
        <w:t xml:space="preserve">, </w:t>
      </w:r>
      <w:r w:rsidR="00D9137C" w:rsidRPr="00170445">
        <w:rPr>
          <w:rFonts w:cs="Calibri"/>
          <w:iCs/>
          <w:sz w:val="24"/>
          <w:szCs w:val="24"/>
        </w:rPr>
        <w:t xml:space="preserve">with </w:t>
      </w:r>
      <w:r>
        <w:rPr>
          <w:rFonts w:cs="Calibri"/>
          <w:iCs/>
          <w:sz w:val="24"/>
          <w:szCs w:val="24"/>
        </w:rPr>
        <w:t>a</w:t>
      </w:r>
      <w:r w:rsidR="00D9137C" w:rsidRPr="00170445">
        <w:rPr>
          <w:rFonts w:cs="Calibri"/>
          <w:iCs/>
          <w:sz w:val="24"/>
          <w:szCs w:val="24"/>
        </w:rPr>
        <w:t>rticle 7 asserting children have the right to know their parents and, as far as possible, to be cared for by them.</w:t>
      </w:r>
      <w:r w:rsidR="00335ADD">
        <w:rPr>
          <w:rFonts w:cs="Calibri"/>
          <w:iCs/>
          <w:sz w:val="24"/>
          <w:szCs w:val="24"/>
        </w:rPr>
        <w:t xml:space="preserve"> </w:t>
      </w:r>
      <w:r>
        <w:rPr>
          <w:rFonts w:cs="Calibri"/>
          <w:iCs/>
          <w:sz w:val="24"/>
          <w:szCs w:val="24"/>
        </w:rPr>
        <w:t>A</w:t>
      </w:r>
      <w:r w:rsidR="001E0E6D">
        <w:rPr>
          <w:rFonts w:cs="Calibri"/>
          <w:iCs/>
          <w:sz w:val="24"/>
          <w:szCs w:val="24"/>
        </w:rPr>
        <w:t>rticle 20</w:t>
      </w:r>
      <w:r w:rsidR="00335ADD">
        <w:rPr>
          <w:rFonts w:cs="Calibri"/>
          <w:iCs/>
          <w:sz w:val="24"/>
          <w:szCs w:val="24"/>
        </w:rPr>
        <w:t xml:space="preserve"> provides that</w:t>
      </w:r>
      <w:r w:rsidR="00D9137C" w:rsidRPr="00170445">
        <w:rPr>
          <w:rFonts w:cs="Calibri"/>
          <w:iCs/>
          <w:sz w:val="24"/>
          <w:szCs w:val="24"/>
        </w:rPr>
        <w:t xml:space="preserve"> </w:t>
      </w:r>
      <w:r w:rsidR="00D418A1">
        <w:rPr>
          <w:rFonts w:cs="Calibri"/>
          <w:iCs/>
          <w:sz w:val="24"/>
          <w:szCs w:val="24"/>
        </w:rPr>
        <w:t>c</w:t>
      </w:r>
      <w:r w:rsidR="00335ADD" w:rsidRPr="00335ADD">
        <w:rPr>
          <w:rFonts w:cs="Calibri"/>
          <w:iCs/>
          <w:sz w:val="24"/>
          <w:szCs w:val="24"/>
        </w:rPr>
        <w:t>hildren who cannot be looked after by their own family must be looked after properly by people who respect their religion, culture and language.</w:t>
      </w:r>
    </w:p>
    <w:p w14:paraId="123735A7" w14:textId="3C33D798" w:rsidR="00D9137C" w:rsidRDefault="00D9137C" w:rsidP="004F520A">
      <w:pPr>
        <w:spacing w:before="240" w:after="0"/>
        <w:rPr>
          <w:rFonts w:cs="Calibri"/>
          <w:sz w:val="24"/>
          <w:szCs w:val="24"/>
        </w:rPr>
      </w:pPr>
      <w:r w:rsidRPr="00962725">
        <w:rPr>
          <w:rFonts w:cs="Calibri"/>
          <w:sz w:val="24"/>
          <w:szCs w:val="24"/>
        </w:rPr>
        <w:t xml:space="preserve">Section 10 of the CYP Act incorporates the </w:t>
      </w:r>
      <w:r w:rsidR="007E4AB6" w:rsidRPr="00962725">
        <w:rPr>
          <w:rFonts w:cs="Calibri"/>
          <w:sz w:val="24"/>
          <w:szCs w:val="24"/>
        </w:rPr>
        <w:t xml:space="preserve">Aboriginal and Torres Strait Islander </w:t>
      </w:r>
      <w:r w:rsidR="007E4AB6">
        <w:rPr>
          <w:rFonts w:cs="Calibri"/>
          <w:sz w:val="24"/>
          <w:szCs w:val="24"/>
        </w:rPr>
        <w:t>C</w:t>
      </w:r>
      <w:r w:rsidRPr="00962725">
        <w:rPr>
          <w:rFonts w:cs="Calibri"/>
          <w:sz w:val="24"/>
          <w:szCs w:val="24"/>
        </w:rPr>
        <w:t xml:space="preserve">hild </w:t>
      </w:r>
      <w:r w:rsidR="007E4AB6">
        <w:rPr>
          <w:rFonts w:cs="Calibri"/>
          <w:sz w:val="24"/>
          <w:szCs w:val="24"/>
        </w:rPr>
        <w:t>P</w:t>
      </w:r>
      <w:r w:rsidRPr="00962725">
        <w:rPr>
          <w:rFonts w:cs="Calibri"/>
          <w:sz w:val="24"/>
          <w:szCs w:val="24"/>
        </w:rPr>
        <w:t xml:space="preserve">lacement </w:t>
      </w:r>
      <w:r w:rsidR="007E4AB6">
        <w:rPr>
          <w:rFonts w:cs="Calibri"/>
          <w:sz w:val="24"/>
          <w:szCs w:val="24"/>
        </w:rPr>
        <w:t>P</w:t>
      </w:r>
      <w:r w:rsidRPr="00962725">
        <w:rPr>
          <w:rFonts w:cs="Calibri"/>
          <w:sz w:val="24"/>
          <w:szCs w:val="24"/>
        </w:rPr>
        <w:t>rinciple</w:t>
      </w:r>
      <w:r w:rsidR="007E4AB6">
        <w:rPr>
          <w:rFonts w:cs="Calibri"/>
          <w:sz w:val="24"/>
          <w:szCs w:val="24"/>
        </w:rPr>
        <w:t xml:space="preserve"> (ATSI</w:t>
      </w:r>
      <w:r w:rsidR="009E394E">
        <w:rPr>
          <w:rFonts w:cs="Calibri"/>
          <w:sz w:val="24"/>
          <w:szCs w:val="24"/>
        </w:rPr>
        <w:t>CPP)</w:t>
      </w:r>
      <w:r w:rsidR="007E4AB6">
        <w:rPr>
          <w:rFonts w:cs="Calibri"/>
          <w:sz w:val="24"/>
          <w:szCs w:val="24"/>
        </w:rPr>
        <w:t xml:space="preserve">, which </w:t>
      </w:r>
      <w:r w:rsidR="007E4AB6" w:rsidRPr="007E4AB6">
        <w:rPr>
          <w:rFonts w:cs="Calibri"/>
          <w:sz w:val="24"/>
          <w:szCs w:val="24"/>
        </w:rPr>
        <w:t>safeguards the rights of Aboriginal children and young people, their families and communities within the statutory child protection system</w:t>
      </w:r>
      <w:r w:rsidRPr="00962725">
        <w:rPr>
          <w:rFonts w:cs="Calibri"/>
          <w:sz w:val="24"/>
          <w:szCs w:val="24"/>
        </w:rPr>
        <w:t>. It prioriti</w:t>
      </w:r>
      <w:r>
        <w:rPr>
          <w:rFonts w:cs="Calibri"/>
          <w:sz w:val="24"/>
          <w:szCs w:val="24"/>
        </w:rPr>
        <w:t>s</w:t>
      </w:r>
      <w:r w:rsidRPr="00962725">
        <w:rPr>
          <w:rFonts w:cs="Calibri"/>
          <w:sz w:val="24"/>
          <w:szCs w:val="24"/>
        </w:rPr>
        <w:t>es preserving the family unit, working in collaboration with the community, involving children and families in decision-making processes, maintaining connections to family, community, culture, and country, and</w:t>
      </w:r>
      <w:r w:rsidRPr="00E25334">
        <w:rPr>
          <w:rFonts w:cs="Calibri"/>
          <w:sz w:val="24"/>
          <w:szCs w:val="24"/>
        </w:rPr>
        <w:t xml:space="preserve"> ensuring children who </w:t>
      </w:r>
      <w:r w:rsidR="007E4AB6">
        <w:rPr>
          <w:rFonts w:cs="Calibri"/>
          <w:sz w:val="24"/>
          <w:szCs w:val="24"/>
        </w:rPr>
        <w:t xml:space="preserve">are </w:t>
      </w:r>
      <w:r w:rsidRPr="00E25334">
        <w:rPr>
          <w:rFonts w:cs="Calibri"/>
          <w:sz w:val="24"/>
          <w:szCs w:val="24"/>
        </w:rPr>
        <w:t>placed in out of home care are done so in accordance with the</w:t>
      </w:r>
      <w:r w:rsidRPr="000B2C2E">
        <w:rPr>
          <w:rFonts w:cs="Calibri"/>
          <w:sz w:val="24"/>
          <w:szCs w:val="24"/>
        </w:rPr>
        <w:t xml:space="preserve"> </w:t>
      </w:r>
      <w:r w:rsidR="007E4AB6">
        <w:rPr>
          <w:rFonts w:cs="Calibri"/>
          <w:sz w:val="24"/>
          <w:szCs w:val="24"/>
        </w:rPr>
        <w:t>c</w:t>
      </w:r>
      <w:r w:rsidRPr="00962725">
        <w:rPr>
          <w:rFonts w:cs="Calibri"/>
          <w:sz w:val="24"/>
          <w:szCs w:val="24"/>
        </w:rPr>
        <w:t xml:space="preserve">hild </w:t>
      </w:r>
      <w:r w:rsidR="007E4AB6">
        <w:rPr>
          <w:rFonts w:cs="Calibri"/>
          <w:sz w:val="24"/>
          <w:szCs w:val="24"/>
        </w:rPr>
        <w:t>p</w:t>
      </w:r>
      <w:r w:rsidRPr="00962725">
        <w:rPr>
          <w:rFonts w:cs="Calibri"/>
          <w:sz w:val="24"/>
          <w:szCs w:val="24"/>
        </w:rPr>
        <w:t>lacement</w:t>
      </w:r>
      <w:r w:rsidRPr="00E25334">
        <w:rPr>
          <w:rFonts w:cs="Calibri"/>
          <w:sz w:val="24"/>
          <w:szCs w:val="24"/>
        </w:rPr>
        <w:t xml:space="preserve"> </w:t>
      </w:r>
      <w:r w:rsidR="007E4AB6">
        <w:rPr>
          <w:rFonts w:cs="Calibri"/>
          <w:sz w:val="24"/>
          <w:szCs w:val="24"/>
        </w:rPr>
        <w:t>p</w:t>
      </w:r>
      <w:r w:rsidRPr="00E25334">
        <w:rPr>
          <w:rFonts w:cs="Calibri"/>
          <w:sz w:val="24"/>
          <w:szCs w:val="24"/>
        </w:rPr>
        <w:t>rinciple hierarchy.</w:t>
      </w:r>
    </w:p>
    <w:p w14:paraId="5C0D02C2" w14:textId="69FCBBA3" w:rsidR="00D9137C" w:rsidRPr="006E2164" w:rsidRDefault="00D9137C" w:rsidP="004F520A">
      <w:pPr>
        <w:spacing w:before="240" w:after="0"/>
        <w:rPr>
          <w:rFonts w:cs="Calibri"/>
          <w:sz w:val="24"/>
          <w:szCs w:val="24"/>
        </w:rPr>
      </w:pPr>
      <w:r w:rsidRPr="00962725">
        <w:rPr>
          <w:rFonts w:cs="Calibri"/>
          <w:sz w:val="24"/>
          <w:szCs w:val="24"/>
        </w:rPr>
        <w:t xml:space="preserve">Section 360(4) </w:t>
      </w:r>
      <w:r>
        <w:rPr>
          <w:rFonts w:cs="Calibri"/>
          <w:sz w:val="24"/>
          <w:szCs w:val="24"/>
        </w:rPr>
        <w:t>affirms</w:t>
      </w:r>
      <w:r w:rsidRPr="00962725">
        <w:rPr>
          <w:rFonts w:cs="Calibri"/>
          <w:sz w:val="24"/>
          <w:szCs w:val="24"/>
        </w:rPr>
        <w:t xml:space="preserve"> the director-general's duty to promptly determine if a child is of Aboriginal or Torres Strait Islander </w:t>
      </w:r>
      <w:r w:rsidR="007E4AB6">
        <w:rPr>
          <w:rFonts w:cs="Calibri"/>
          <w:sz w:val="24"/>
          <w:szCs w:val="24"/>
        </w:rPr>
        <w:t>identity</w:t>
      </w:r>
      <w:r w:rsidRPr="00962725">
        <w:rPr>
          <w:rFonts w:cs="Calibri"/>
          <w:sz w:val="24"/>
          <w:szCs w:val="24"/>
        </w:rPr>
        <w:t>. This acknowledgment prioriti</w:t>
      </w:r>
      <w:r>
        <w:rPr>
          <w:rFonts w:cs="Calibri"/>
          <w:sz w:val="24"/>
          <w:szCs w:val="24"/>
        </w:rPr>
        <w:t>s</w:t>
      </w:r>
      <w:r w:rsidRPr="00962725">
        <w:rPr>
          <w:rFonts w:cs="Calibri"/>
          <w:sz w:val="24"/>
          <w:szCs w:val="24"/>
        </w:rPr>
        <w:t>es preserving the child's cultural and community connections, essential for their wellbeing and safety throughout</w:t>
      </w:r>
      <w:r w:rsidR="007E4AB6">
        <w:rPr>
          <w:rFonts w:cs="Calibri"/>
          <w:sz w:val="24"/>
          <w:szCs w:val="24"/>
        </w:rPr>
        <w:t xml:space="preserve"> all phases of child protection involvement</w:t>
      </w:r>
      <w:r w:rsidRPr="00962725">
        <w:rPr>
          <w:rFonts w:cs="Calibri"/>
          <w:sz w:val="24"/>
          <w:szCs w:val="24"/>
        </w:rPr>
        <w:t>. Early identification is pivotal in effectively implementing all five elements of the ATSICPP.</w:t>
      </w:r>
    </w:p>
    <w:p w14:paraId="1022CF31" w14:textId="358BCF28" w:rsidR="00F10B5C" w:rsidRPr="000B2C2E" w:rsidRDefault="00F10B5C" w:rsidP="004F520A">
      <w:pPr>
        <w:spacing w:before="240" w:after="0"/>
        <w:rPr>
          <w:rFonts w:eastAsia="Calibri" w:cs="Calibri"/>
          <w:sz w:val="24"/>
          <w:szCs w:val="24"/>
        </w:rPr>
      </w:pPr>
      <w:r w:rsidRPr="00E25334">
        <w:rPr>
          <w:rFonts w:cs="Calibri"/>
          <w:sz w:val="24"/>
          <w:szCs w:val="24"/>
        </w:rPr>
        <w:t xml:space="preserve">The Bill also recognises and promotes the importance of self-determination. </w:t>
      </w:r>
      <w:r w:rsidR="000B2C2E" w:rsidRPr="00DE3E0A">
        <w:rPr>
          <w:rFonts w:eastAsia="Calibri" w:cs="Calibri"/>
          <w:sz w:val="24"/>
          <w:szCs w:val="24"/>
        </w:rPr>
        <w:t>Section 10 A(</w:t>
      </w:r>
      <w:r w:rsidR="000B2C2E">
        <w:rPr>
          <w:rFonts w:eastAsia="Calibri" w:cs="Calibri"/>
          <w:sz w:val="24"/>
          <w:szCs w:val="24"/>
        </w:rPr>
        <w:t>a</w:t>
      </w:r>
      <w:r w:rsidR="000B2C2E" w:rsidRPr="00DE3E0A">
        <w:rPr>
          <w:rFonts w:eastAsia="Calibri" w:cs="Calibri"/>
          <w:sz w:val="24"/>
          <w:szCs w:val="24"/>
        </w:rPr>
        <w:t xml:space="preserve">) recognises </w:t>
      </w:r>
      <w:r w:rsidR="000B2C2E" w:rsidRPr="00172A30">
        <w:rPr>
          <w:rFonts w:eastAsia="Calibri" w:cs="Calibri"/>
          <w:sz w:val="24"/>
          <w:szCs w:val="24"/>
        </w:rPr>
        <w:t>Aboriginal and Torres Strait Islander people should participate in the care and protection of their children and young people with as much self-determination as is possible.</w:t>
      </w:r>
      <w:r w:rsidR="000B2C2E" w:rsidRPr="00172A30">
        <w:t xml:space="preserve"> </w:t>
      </w:r>
      <w:r w:rsidR="000B2C2E" w:rsidRPr="00172A30">
        <w:rPr>
          <w:rFonts w:eastAsia="Calibri" w:cs="Calibri"/>
          <w:sz w:val="24"/>
          <w:szCs w:val="24"/>
        </w:rPr>
        <w:t xml:space="preserve">This principle </w:t>
      </w:r>
      <w:r w:rsidR="000B2C2E">
        <w:rPr>
          <w:rFonts w:eastAsia="Calibri" w:cs="Calibri"/>
          <w:sz w:val="24"/>
          <w:szCs w:val="24"/>
        </w:rPr>
        <w:t>r</w:t>
      </w:r>
      <w:r w:rsidR="000B2C2E" w:rsidRPr="00172A30">
        <w:rPr>
          <w:rFonts w:eastAsia="Calibri" w:cs="Calibri"/>
          <w:sz w:val="24"/>
          <w:szCs w:val="24"/>
        </w:rPr>
        <w:t xml:space="preserve">ecognises Aboriginal and Torres Strait Islander children, parents and family members </w:t>
      </w:r>
      <w:r w:rsidR="000B2C2E">
        <w:rPr>
          <w:rFonts w:eastAsia="Calibri" w:cs="Calibri"/>
          <w:sz w:val="24"/>
          <w:szCs w:val="24"/>
        </w:rPr>
        <w:t xml:space="preserve">have the right </w:t>
      </w:r>
      <w:r w:rsidR="000B2C2E" w:rsidRPr="00172A30">
        <w:rPr>
          <w:rFonts w:eastAsia="Calibri" w:cs="Calibri"/>
          <w:sz w:val="24"/>
          <w:szCs w:val="24"/>
        </w:rPr>
        <w:t>to participate in all child protection decisions affecting them, including intervention, placement and care and judicial decisions</w:t>
      </w:r>
      <w:r w:rsidR="000B2C2E">
        <w:rPr>
          <w:rStyle w:val="FootnoteReference"/>
          <w:rFonts w:eastAsia="Calibri"/>
          <w:sz w:val="24"/>
          <w:szCs w:val="24"/>
        </w:rPr>
        <w:footnoteReference w:id="32"/>
      </w:r>
      <w:r w:rsidR="000B2C2E" w:rsidRPr="00172A30">
        <w:rPr>
          <w:rFonts w:eastAsia="Calibri" w:cs="Calibri"/>
          <w:sz w:val="24"/>
          <w:szCs w:val="24"/>
        </w:rPr>
        <w:t>.</w:t>
      </w:r>
      <w:r w:rsidR="000B2C2E">
        <w:rPr>
          <w:rFonts w:eastAsia="Calibri" w:cs="Calibri"/>
          <w:sz w:val="24"/>
          <w:szCs w:val="24"/>
        </w:rPr>
        <w:t xml:space="preserve"> </w:t>
      </w:r>
      <w:r w:rsidRPr="00E25334">
        <w:rPr>
          <w:rFonts w:cs="Calibri"/>
          <w:sz w:val="24"/>
          <w:szCs w:val="24"/>
        </w:rPr>
        <w:t xml:space="preserve">While self-determination is not specifically protected by the </w:t>
      </w:r>
      <w:r w:rsidRPr="00E25334">
        <w:rPr>
          <w:rFonts w:cs="Calibri"/>
          <w:i/>
          <w:iCs/>
          <w:sz w:val="24"/>
          <w:szCs w:val="24"/>
        </w:rPr>
        <w:t>Human Rights Act</w:t>
      </w:r>
      <w:r w:rsidRPr="00E25334">
        <w:rPr>
          <w:rFonts w:cs="Calibri"/>
          <w:sz w:val="24"/>
          <w:szCs w:val="24"/>
        </w:rPr>
        <w:t xml:space="preserve"> 2004, it is closely related to other rights that are protected</w:t>
      </w:r>
      <w:r w:rsidR="001E0E6D">
        <w:rPr>
          <w:rFonts w:cs="Calibri"/>
          <w:sz w:val="24"/>
          <w:szCs w:val="24"/>
        </w:rPr>
        <w:t xml:space="preserve"> and articulated at </w:t>
      </w:r>
      <w:r w:rsidR="00D92C0F">
        <w:rPr>
          <w:rFonts w:cs="Calibri"/>
          <w:sz w:val="24"/>
          <w:szCs w:val="24"/>
        </w:rPr>
        <w:t>a</w:t>
      </w:r>
      <w:r w:rsidR="001E0E6D">
        <w:rPr>
          <w:rFonts w:cs="Calibri"/>
          <w:sz w:val="24"/>
          <w:szCs w:val="24"/>
        </w:rPr>
        <w:t xml:space="preserve">rticle 1 </w:t>
      </w:r>
      <w:r w:rsidR="001E0E6D" w:rsidRPr="003B2A3D">
        <w:rPr>
          <w:rFonts w:cs="Calibri"/>
          <w:sz w:val="24"/>
          <w:szCs w:val="24"/>
        </w:rPr>
        <w:t>of the United Nations Declaration on the Rights of Indigenous Peoples</w:t>
      </w:r>
      <w:r w:rsidR="001E0E6D">
        <w:rPr>
          <w:rFonts w:cs="Calibri"/>
          <w:sz w:val="24"/>
          <w:szCs w:val="24"/>
        </w:rPr>
        <w:t>.</w:t>
      </w:r>
    </w:p>
    <w:p w14:paraId="39804C6C" w14:textId="77777777" w:rsidR="00352E6F" w:rsidRPr="006C68DE" w:rsidRDefault="00352E6F" w:rsidP="009F704C">
      <w:pPr>
        <w:spacing w:before="100" w:beforeAutospacing="1" w:after="100" w:afterAutospacing="1"/>
        <w:rPr>
          <w:rFonts w:cs="Calibri"/>
          <w:iCs/>
          <w:color w:val="000000" w:themeColor="text1"/>
          <w:sz w:val="24"/>
          <w:szCs w:val="24"/>
        </w:rPr>
      </w:pPr>
    </w:p>
    <w:p w14:paraId="54FBACA1" w14:textId="6BAA0CF5" w:rsidR="00BA2CFA" w:rsidRPr="006C68DE" w:rsidRDefault="00BA2CFA">
      <w:pPr>
        <w:spacing w:after="160" w:line="259" w:lineRule="auto"/>
        <w:rPr>
          <w:rFonts w:eastAsiaTheme="majorEastAsia" w:cs="Calibri"/>
          <w:sz w:val="24"/>
          <w:szCs w:val="24"/>
          <w:lang w:eastAsia="en-AU"/>
        </w:rPr>
      </w:pPr>
      <w:bookmarkStart w:id="4" w:name="OLE_LINK1"/>
      <w:r w:rsidRPr="006C68DE">
        <w:rPr>
          <w:rFonts w:cs="Calibri"/>
          <w:b/>
          <w:sz w:val="24"/>
          <w:szCs w:val="24"/>
          <w:lang w:eastAsia="en-AU"/>
        </w:rPr>
        <w:br w:type="page"/>
      </w:r>
    </w:p>
    <w:p w14:paraId="6D450188" w14:textId="561A8FCD" w:rsidR="006910EB" w:rsidRPr="00057E48" w:rsidRDefault="006910EB" w:rsidP="006910EB">
      <w:pPr>
        <w:pStyle w:val="Heading2"/>
        <w:ind w:left="-108"/>
        <w:jc w:val="center"/>
        <w:rPr>
          <w:rFonts w:asciiTheme="minorHAnsi" w:hAnsiTheme="minorHAnsi" w:cs="Arial"/>
          <w:bCs/>
          <w:i/>
          <w:iCs/>
          <w:sz w:val="28"/>
          <w:szCs w:val="28"/>
        </w:rPr>
      </w:pPr>
      <w:r w:rsidRPr="00057E48">
        <w:rPr>
          <w:rFonts w:asciiTheme="minorHAnsi" w:hAnsiTheme="minorHAnsi" w:cs="Arial"/>
          <w:bCs/>
          <w:sz w:val="28"/>
          <w:szCs w:val="28"/>
          <w:lang w:eastAsia="en-AU"/>
        </w:rPr>
        <w:lastRenderedPageBreak/>
        <w:t>CHILDREN AND YOUNG PEOPLE AMEND</w:t>
      </w:r>
      <w:r w:rsidR="00E5067C" w:rsidRPr="00057E48">
        <w:rPr>
          <w:rFonts w:asciiTheme="minorHAnsi" w:hAnsiTheme="minorHAnsi" w:cs="Arial"/>
          <w:bCs/>
          <w:sz w:val="28"/>
          <w:szCs w:val="28"/>
          <w:lang w:eastAsia="en-AU"/>
        </w:rPr>
        <w:t>MENT</w:t>
      </w:r>
      <w:r w:rsidRPr="00057E48">
        <w:rPr>
          <w:rFonts w:asciiTheme="minorHAnsi" w:hAnsiTheme="minorHAnsi" w:cs="Arial"/>
          <w:bCs/>
          <w:sz w:val="28"/>
          <w:szCs w:val="28"/>
          <w:lang w:eastAsia="en-AU"/>
        </w:rPr>
        <w:t xml:space="preserve"> BILL 2023</w:t>
      </w:r>
    </w:p>
    <w:p w14:paraId="0B589EFE" w14:textId="77777777" w:rsidR="006910EB" w:rsidRDefault="006910EB" w:rsidP="006910EB">
      <w:pPr>
        <w:pStyle w:val="Heading4"/>
        <w:ind w:left="-108"/>
        <w:jc w:val="center"/>
        <w:rPr>
          <w:rFonts w:asciiTheme="minorHAnsi" w:hAnsiTheme="minorHAnsi"/>
          <w:sz w:val="24"/>
          <w:szCs w:val="24"/>
        </w:rPr>
      </w:pPr>
      <w:r>
        <w:rPr>
          <w:rFonts w:asciiTheme="minorHAnsi" w:hAnsiTheme="minorHAnsi"/>
          <w:sz w:val="24"/>
          <w:szCs w:val="24"/>
        </w:rPr>
        <w:t>Human Rights Act 2004 - Compatibility Statement</w:t>
      </w:r>
    </w:p>
    <w:p w14:paraId="61D82EFE" w14:textId="77777777" w:rsidR="006910EB" w:rsidRDefault="006910EB" w:rsidP="006910EB"/>
    <w:p w14:paraId="3D8FB35F" w14:textId="77777777" w:rsidR="006910EB" w:rsidRPr="006C23AA" w:rsidRDefault="006910EB" w:rsidP="006910EB">
      <w:pPr>
        <w:rPr>
          <w:sz w:val="24"/>
          <w:szCs w:val="24"/>
        </w:rPr>
      </w:pPr>
    </w:p>
    <w:p w14:paraId="4CE108F8" w14:textId="0618ECAD" w:rsidR="006910EB" w:rsidRPr="006C23AA" w:rsidRDefault="006910EB" w:rsidP="006910EB">
      <w:pPr>
        <w:rPr>
          <w:sz w:val="24"/>
          <w:szCs w:val="24"/>
        </w:rPr>
      </w:pPr>
      <w:r w:rsidRPr="006C23AA">
        <w:rPr>
          <w:rFonts w:asciiTheme="minorHAnsi" w:hAnsiTheme="minorHAnsi"/>
          <w:sz w:val="24"/>
          <w:szCs w:val="24"/>
        </w:rPr>
        <w:t xml:space="preserve">In accordance with section 37 of the </w:t>
      </w:r>
      <w:r w:rsidRPr="006C23AA">
        <w:rPr>
          <w:rFonts w:asciiTheme="minorHAnsi" w:hAnsiTheme="minorHAnsi"/>
          <w:i/>
          <w:iCs/>
          <w:sz w:val="24"/>
          <w:szCs w:val="24"/>
        </w:rPr>
        <w:t>Human Rights Act 2004</w:t>
      </w:r>
      <w:r w:rsidRPr="006C23AA">
        <w:rPr>
          <w:rFonts w:asciiTheme="minorHAnsi" w:hAnsiTheme="minorHAnsi"/>
          <w:sz w:val="24"/>
          <w:szCs w:val="24"/>
        </w:rPr>
        <w:t xml:space="preserve"> I have examined the</w:t>
      </w:r>
      <w:r w:rsidRPr="006C23AA">
        <w:rPr>
          <w:rFonts w:asciiTheme="minorHAnsi" w:hAnsiTheme="minorHAnsi"/>
          <w:b/>
          <w:sz w:val="24"/>
          <w:szCs w:val="24"/>
        </w:rPr>
        <w:t xml:space="preserve"> </w:t>
      </w:r>
      <w:r w:rsidR="00E5067C" w:rsidRPr="006C23AA">
        <w:rPr>
          <w:rFonts w:asciiTheme="minorHAnsi" w:hAnsiTheme="minorHAnsi"/>
          <w:b/>
          <w:sz w:val="24"/>
          <w:szCs w:val="24"/>
        </w:rPr>
        <w:t>Children and Young People Amendment Bill</w:t>
      </w:r>
      <w:r w:rsidRPr="006C23AA">
        <w:rPr>
          <w:rFonts w:asciiTheme="minorHAnsi" w:hAnsiTheme="minorHAnsi"/>
          <w:b/>
          <w:sz w:val="24"/>
          <w:szCs w:val="24"/>
        </w:rPr>
        <w:t xml:space="preserve"> 2023</w:t>
      </w:r>
      <w:r w:rsidRPr="006C23AA">
        <w:rPr>
          <w:rFonts w:asciiTheme="minorHAnsi" w:hAnsiTheme="minorHAnsi"/>
          <w:sz w:val="24"/>
          <w:szCs w:val="24"/>
        </w:rPr>
        <w:t>.  In my opinion, having regard to the Bill and the outline of the policy considerations and justification of any limitations on rights outlined in this explanatory statement, the Bill as presented to the Legislative Assembly</w:t>
      </w:r>
      <w:r w:rsidR="00AA6196">
        <w:rPr>
          <w:rFonts w:asciiTheme="minorHAnsi" w:hAnsiTheme="minorHAnsi"/>
          <w:sz w:val="24"/>
          <w:szCs w:val="24"/>
        </w:rPr>
        <w:t xml:space="preserve"> is</w:t>
      </w:r>
      <w:r w:rsidRPr="006C23AA">
        <w:rPr>
          <w:rFonts w:asciiTheme="minorHAnsi" w:hAnsiTheme="minorHAnsi"/>
          <w:sz w:val="24"/>
          <w:szCs w:val="24"/>
        </w:rPr>
        <w:t xml:space="preserve"> consistent with the </w:t>
      </w:r>
      <w:r w:rsidRPr="006C23AA">
        <w:rPr>
          <w:rFonts w:asciiTheme="minorHAnsi" w:hAnsiTheme="minorHAnsi"/>
          <w:i/>
          <w:iCs/>
          <w:sz w:val="24"/>
          <w:szCs w:val="24"/>
        </w:rPr>
        <w:t>Human Rights Act 2004.</w:t>
      </w:r>
    </w:p>
    <w:p w14:paraId="7021FA8B" w14:textId="77777777" w:rsidR="006910EB" w:rsidRPr="006C23AA" w:rsidRDefault="006910EB" w:rsidP="006910EB">
      <w:pPr>
        <w:rPr>
          <w:rFonts w:asciiTheme="minorHAnsi" w:hAnsiTheme="minorHAnsi" w:cstheme="minorHAnsi"/>
          <w:sz w:val="24"/>
          <w:szCs w:val="24"/>
        </w:rPr>
      </w:pPr>
    </w:p>
    <w:p w14:paraId="62958847" w14:textId="77777777" w:rsidR="006910EB" w:rsidRPr="006C23AA" w:rsidRDefault="006910EB" w:rsidP="006910EB">
      <w:pPr>
        <w:rPr>
          <w:rFonts w:asciiTheme="minorHAnsi" w:hAnsiTheme="minorHAnsi" w:cstheme="minorHAnsi"/>
          <w:sz w:val="24"/>
          <w:szCs w:val="24"/>
        </w:rPr>
      </w:pPr>
    </w:p>
    <w:p w14:paraId="1D99E748" w14:textId="77777777" w:rsidR="006910EB" w:rsidRPr="006C23AA" w:rsidRDefault="006910EB" w:rsidP="006910EB">
      <w:pPr>
        <w:rPr>
          <w:rFonts w:asciiTheme="minorHAnsi" w:hAnsiTheme="minorHAnsi" w:cstheme="minorHAnsi"/>
          <w:sz w:val="24"/>
          <w:szCs w:val="24"/>
        </w:rPr>
      </w:pPr>
      <w:r w:rsidRPr="006C23AA">
        <w:rPr>
          <w:rFonts w:asciiTheme="minorHAnsi" w:hAnsiTheme="minorHAnsi" w:cstheme="minorHAnsi"/>
          <w:sz w:val="24"/>
          <w:szCs w:val="24"/>
        </w:rPr>
        <w:t>………………………………………………….</w:t>
      </w:r>
    </w:p>
    <w:p w14:paraId="344A86AE" w14:textId="77777777" w:rsidR="006910EB" w:rsidRPr="006C23AA" w:rsidRDefault="006910EB" w:rsidP="006910EB">
      <w:pPr>
        <w:rPr>
          <w:rFonts w:asciiTheme="minorHAnsi" w:hAnsiTheme="minorHAnsi" w:cstheme="minorHAnsi"/>
          <w:sz w:val="24"/>
          <w:szCs w:val="24"/>
        </w:rPr>
      </w:pPr>
      <w:r w:rsidRPr="006C23AA">
        <w:rPr>
          <w:rFonts w:asciiTheme="minorHAnsi" w:hAnsiTheme="minorHAnsi" w:cstheme="minorHAnsi"/>
          <w:sz w:val="24"/>
          <w:szCs w:val="24"/>
        </w:rPr>
        <w:t xml:space="preserve">Shane </w:t>
      </w:r>
      <w:proofErr w:type="spellStart"/>
      <w:r w:rsidRPr="006C23AA">
        <w:rPr>
          <w:rFonts w:asciiTheme="minorHAnsi" w:hAnsiTheme="minorHAnsi" w:cstheme="minorHAnsi"/>
          <w:sz w:val="24"/>
          <w:szCs w:val="24"/>
        </w:rPr>
        <w:t>Rattenbury</w:t>
      </w:r>
      <w:proofErr w:type="spellEnd"/>
      <w:r w:rsidRPr="006C23AA">
        <w:rPr>
          <w:rFonts w:asciiTheme="minorHAnsi" w:hAnsiTheme="minorHAnsi" w:cstheme="minorHAnsi"/>
          <w:sz w:val="24"/>
          <w:szCs w:val="24"/>
        </w:rPr>
        <w:t xml:space="preserve"> MLA</w:t>
      </w:r>
      <w:r w:rsidRPr="006C23AA">
        <w:rPr>
          <w:rFonts w:asciiTheme="minorHAnsi" w:hAnsiTheme="minorHAnsi" w:cstheme="minorHAnsi"/>
          <w:sz w:val="24"/>
          <w:szCs w:val="24"/>
        </w:rPr>
        <w:br/>
        <w:t>Attorney-General</w:t>
      </w:r>
    </w:p>
    <w:p w14:paraId="5BA62454" w14:textId="0FCC9524" w:rsidR="00F10B5C" w:rsidRDefault="00F10B5C" w:rsidP="00AF1E67">
      <w:pPr>
        <w:rPr>
          <w:rFonts w:asciiTheme="minorHAnsi" w:eastAsiaTheme="majorEastAsia" w:hAnsiTheme="minorHAnsi" w:cs="Arial"/>
          <w:sz w:val="28"/>
          <w:szCs w:val="28"/>
        </w:rPr>
      </w:pPr>
    </w:p>
    <w:p w14:paraId="36824BC3" w14:textId="77777777" w:rsidR="00F10B5C" w:rsidRPr="00AF1E67" w:rsidRDefault="00F10B5C" w:rsidP="00AF1E67">
      <w:pPr>
        <w:rPr>
          <w:rFonts w:asciiTheme="minorHAnsi" w:eastAsiaTheme="majorEastAsia" w:hAnsiTheme="minorHAnsi" w:cs="Arial"/>
          <w:sz w:val="28"/>
          <w:szCs w:val="28"/>
        </w:rPr>
      </w:pPr>
    </w:p>
    <w:bookmarkEnd w:id="4"/>
    <w:p w14:paraId="28374516" w14:textId="77777777" w:rsidR="00D141DB" w:rsidRPr="00591C77" w:rsidRDefault="00D141DB" w:rsidP="00D141DB">
      <w:pPr>
        <w:pStyle w:val="Heading2"/>
        <w:pageBreakBefore/>
        <w:spacing w:before="240" w:after="240"/>
        <w:rPr>
          <w:rFonts w:asciiTheme="minorHAnsi" w:hAnsiTheme="minorHAnsi" w:cstheme="minorHAnsi"/>
          <w:sz w:val="28"/>
          <w:szCs w:val="28"/>
        </w:rPr>
      </w:pPr>
      <w:r w:rsidRPr="00591C77">
        <w:rPr>
          <w:rFonts w:asciiTheme="minorHAnsi" w:hAnsiTheme="minorHAnsi" w:cstheme="minorHAnsi"/>
          <w:sz w:val="28"/>
          <w:szCs w:val="28"/>
        </w:rPr>
        <w:lastRenderedPageBreak/>
        <w:t>CLAUSE NOTES</w:t>
      </w:r>
    </w:p>
    <w:p w14:paraId="6B621868" w14:textId="77777777" w:rsidR="00D141DB" w:rsidRPr="006C23AA" w:rsidRDefault="00D141DB" w:rsidP="00D141DB">
      <w:pPr>
        <w:keepNext/>
        <w:autoSpaceDE w:val="0"/>
        <w:autoSpaceDN w:val="0"/>
        <w:adjustRightInd w:val="0"/>
        <w:spacing w:before="240" w:after="120"/>
        <w:jc w:val="center"/>
        <w:rPr>
          <w:rFonts w:asciiTheme="minorHAnsi" w:eastAsia="Calibri" w:hAnsiTheme="minorHAnsi" w:cstheme="minorHAnsi"/>
          <w:b/>
          <w:bCs/>
          <w:sz w:val="28"/>
          <w:szCs w:val="28"/>
          <w:lang w:eastAsia="en-AU"/>
        </w:rPr>
      </w:pPr>
      <w:bookmarkStart w:id="5" w:name="_Toc447714847"/>
      <w:bookmarkStart w:id="6" w:name="_Toc500401683"/>
      <w:r w:rsidRPr="006C23AA">
        <w:rPr>
          <w:rFonts w:asciiTheme="minorHAnsi" w:eastAsia="Calibri" w:hAnsiTheme="minorHAnsi" w:cstheme="minorHAnsi"/>
          <w:b/>
          <w:bCs/>
          <w:sz w:val="28"/>
          <w:szCs w:val="28"/>
          <w:lang w:eastAsia="en-AU"/>
        </w:rPr>
        <w:t>Children and Young People Amendment Bill 2023</w:t>
      </w:r>
    </w:p>
    <w:p w14:paraId="2D4F4F8F" w14:textId="77777777" w:rsidR="00D141DB" w:rsidRPr="006C23AA" w:rsidRDefault="00D141DB" w:rsidP="00D141DB">
      <w:pPr>
        <w:spacing w:before="240" w:after="120"/>
        <w:jc w:val="center"/>
        <w:outlineLvl w:val="0"/>
        <w:rPr>
          <w:rFonts w:asciiTheme="minorHAnsi" w:hAnsiTheme="minorHAnsi" w:cstheme="minorHAnsi"/>
          <w:b/>
          <w:bCs/>
          <w:kern w:val="28"/>
          <w:sz w:val="28"/>
          <w:szCs w:val="28"/>
          <w:lang w:eastAsia="en-AU"/>
        </w:rPr>
      </w:pPr>
      <w:bookmarkStart w:id="7" w:name="_Toc426711261"/>
      <w:bookmarkStart w:id="8" w:name="_Toc429052824"/>
      <w:bookmarkStart w:id="9" w:name="_Toc500401679"/>
      <w:r w:rsidRPr="006C23AA">
        <w:rPr>
          <w:rFonts w:asciiTheme="minorHAnsi" w:hAnsiTheme="minorHAnsi" w:cstheme="minorHAnsi"/>
          <w:b/>
          <w:bCs/>
          <w:kern w:val="28"/>
          <w:sz w:val="28"/>
          <w:szCs w:val="28"/>
          <w:lang w:eastAsia="en-AU"/>
        </w:rPr>
        <w:t>Detail</w:t>
      </w:r>
      <w:bookmarkEnd w:id="7"/>
      <w:bookmarkEnd w:id="8"/>
      <w:bookmarkEnd w:id="9"/>
    </w:p>
    <w:p w14:paraId="56ABEB80" w14:textId="77777777" w:rsidR="00D141DB" w:rsidRPr="00591C77" w:rsidRDefault="00D141DB" w:rsidP="000165E8">
      <w:pPr>
        <w:keepNext/>
        <w:spacing w:before="100" w:beforeAutospacing="1" w:after="100" w:afterAutospacing="1"/>
        <w:outlineLvl w:val="0"/>
        <w:rPr>
          <w:rFonts w:asciiTheme="minorHAnsi" w:hAnsiTheme="minorHAnsi" w:cstheme="minorHAnsi"/>
          <w:b/>
          <w:bCs/>
          <w:kern w:val="32"/>
          <w:sz w:val="24"/>
          <w:szCs w:val="24"/>
          <w:lang w:eastAsia="en-AU"/>
        </w:rPr>
      </w:pPr>
      <w:bookmarkStart w:id="10" w:name="_Preamble"/>
      <w:bookmarkStart w:id="11" w:name="_Toc500401680"/>
      <w:bookmarkEnd w:id="10"/>
      <w:r w:rsidRPr="00591C77">
        <w:rPr>
          <w:rFonts w:asciiTheme="minorHAnsi" w:hAnsiTheme="minorHAnsi" w:cstheme="minorHAnsi"/>
          <w:b/>
          <w:bCs/>
          <w:kern w:val="32"/>
          <w:sz w:val="24"/>
          <w:szCs w:val="24"/>
          <w:lang w:eastAsia="en-AU"/>
        </w:rPr>
        <w:t xml:space="preserve">Part </w:t>
      </w:r>
      <w:r w:rsidRPr="00591C77">
        <w:rPr>
          <w:rFonts w:asciiTheme="minorHAnsi" w:hAnsiTheme="minorHAnsi" w:cstheme="minorHAnsi"/>
          <w:sz w:val="24"/>
          <w:szCs w:val="24"/>
        </w:rPr>
        <w:fldChar w:fldCharType="begin"/>
      </w:r>
      <w:r w:rsidRPr="00591C77">
        <w:rPr>
          <w:rFonts w:asciiTheme="minorHAnsi" w:hAnsiTheme="minorHAnsi" w:cstheme="minorHAnsi"/>
          <w:b/>
          <w:bCs/>
          <w:kern w:val="32"/>
          <w:sz w:val="24"/>
          <w:szCs w:val="24"/>
          <w:lang w:eastAsia="en-AU"/>
        </w:rPr>
        <w:instrText xml:space="preserve"> SEQ Part \* ARABIC </w:instrText>
      </w:r>
      <w:r w:rsidRPr="00591C77">
        <w:rPr>
          <w:rFonts w:asciiTheme="minorHAnsi" w:hAnsiTheme="minorHAnsi" w:cstheme="minorHAnsi"/>
          <w:sz w:val="24"/>
          <w:szCs w:val="24"/>
        </w:rPr>
        <w:fldChar w:fldCharType="separate"/>
      </w:r>
      <w:r w:rsidRPr="00591C77">
        <w:rPr>
          <w:rFonts w:asciiTheme="minorHAnsi" w:hAnsiTheme="minorHAnsi" w:cstheme="minorHAnsi"/>
          <w:b/>
          <w:bCs/>
          <w:noProof/>
          <w:kern w:val="32"/>
          <w:sz w:val="24"/>
          <w:szCs w:val="24"/>
          <w:lang w:eastAsia="en-AU"/>
        </w:rPr>
        <w:t>1</w:t>
      </w:r>
      <w:r w:rsidRPr="00591C77">
        <w:rPr>
          <w:rFonts w:asciiTheme="minorHAnsi" w:hAnsiTheme="minorHAnsi" w:cstheme="minorHAnsi"/>
          <w:sz w:val="24"/>
          <w:szCs w:val="24"/>
        </w:rPr>
        <w:fldChar w:fldCharType="end"/>
      </w:r>
      <w:r w:rsidRPr="00591C77">
        <w:rPr>
          <w:rFonts w:asciiTheme="minorHAnsi" w:hAnsiTheme="minorHAnsi" w:cstheme="minorHAnsi"/>
          <w:b/>
          <w:bCs/>
          <w:kern w:val="32"/>
          <w:sz w:val="24"/>
          <w:szCs w:val="24"/>
          <w:lang w:eastAsia="en-AU"/>
        </w:rPr>
        <w:t xml:space="preserve"> – Preliminary</w:t>
      </w:r>
      <w:bookmarkEnd w:id="11"/>
    </w:p>
    <w:p w14:paraId="1C768371" w14:textId="77777777" w:rsidR="00D141DB" w:rsidRPr="00591C77" w:rsidRDefault="00D141DB" w:rsidP="000165E8">
      <w:pPr>
        <w:keepNext/>
        <w:spacing w:before="100" w:beforeAutospacing="1" w:after="100" w:afterAutospacing="1"/>
        <w:outlineLvl w:val="3"/>
        <w:rPr>
          <w:rFonts w:asciiTheme="minorHAnsi" w:eastAsia="Calibri" w:hAnsiTheme="minorHAnsi" w:cstheme="minorHAnsi"/>
          <w:b/>
          <w:bCs/>
          <w:sz w:val="24"/>
          <w:szCs w:val="24"/>
          <w:lang w:eastAsia="en-AU"/>
        </w:rPr>
      </w:pPr>
      <w:r w:rsidRPr="00591C77">
        <w:rPr>
          <w:rFonts w:asciiTheme="minorHAnsi" w:eastAsia="Calibri" w:hAnsiTheme="minorHAnsi" w:cstheme="minorHAnsi"/>
          <w:b/>
          <w:sz w:val="24"/>
          <w:szCs w:val="24"/>
        </w:rPr>
        <w:t xml:space="preserve">Clause </w:t>
      </w:r>
      <w:r w:rsidRPr="00591C77">
        <w:rPr>
          <w:rFonts w:asciiTheme="minorHAnsi" w:eastAsia="Calibri" w:hAnsiTheme="minorHAnsi" w:cstheme="minorHAnsi"/>
          <w:b/>
          <w:sz w:val="24"/>
          <w:szCs w:val="24"/>
        </w:rPr>
        <w:fldChar w:fldCharType="begin"/>
      </w:r>
      <w:r w:rsidRPr="00591C77">
        <w:rPr>
          <w:rFonts w:asciiTheme="minorHAnsi" w:eastAsia="Calibri" w:hAnsiTheme="minorHAnsi" w:cstheme="minorHAnsi"/>
          <w:b/>
          <w:sz w:val="24"/>
          <w:szCs w:val="24"/>
        </w:rPr>
        <w:instrText xml:space="preserve"> SEQ Clause \* ARABIC </w:instrText>
      </w:r>
      <w:r w:rsidRPr="00591C77">
        <w:rPr>
          <w:rFonts w:asciiTheme="minorHAnsi" w:eastAsia="Calibri" w:hAnsiTheme="minorHAnsi" w:cstheme="minorHAnsi"/>
          <w:b/>
          <w:sz w:val="24"/>
          <w:szCs w:val="24"/>
        </w:rPr>
        <w:fldChar w:fldCharType="separate"/>
      </w:r>
      <w:r w:rsidRPr="00591C77">
        <w:rPr>
          <w:rFonts w:asciiTheme="minorHAnsi" w:eastAsia="Calibri" w:hAnsiTheme="minorHAnsi" w:cstheme="minorHAnsi"/>
          <w:b/>
          <w:noProof/>
          <w:sz w:val="24"/>
          <w:szCs w:val="24"/>
        </w:rPr>
        <w:t>1</w:t>
      </w:r>
      <w:r w:rsidRPr="00591C77">
        <w:rPr>
          <w:rFonts w:asciiTheme="minorHAnsi" w:eastAsia="Calibri" w:hAnsiTheme="minorHAnsi" w:cstheme="minorHAnsi"/>
          <w:b/>
          <w:sz w:val="24"/>
          <w:szCs w:val="24"/>
        </w:rPr>
        <w:fldChar w:fldCharType="end"/>
      </w:r>
      <w:r w:rsidRPr="00591C77">
        <w:rPr>
          <w:rFonts w:asciiTheme="minorHAnsi" w:eastAsia="Calibri" w:hAnsiTheme="minorHAnsi" w:cstheme="minorHAnsi"/>
          <w:b/>
          <w:bCs/>
          <w:sz w:val="24"/>
          <w:szCs w:val="24"/>
          <w:lang w:eastAsia="en-AU"/>
        </w:rPr>
        <w:t xml:space="preserve"> — Name of Act </w:t>
      </w:r>
    </w:p>
    <w:p w14:paraId="099D35C9" w14:textId="77777777" w:rsidR="00D141DB" w:rsidRPr="00591C77" w:rsidRDefault="00D141DB" w:rsidP="000165E8">
      <w:pPr>
        <w:spacing w:before="100" w:beforeAutospacing="1" w:after="100" w:afterAutospacing="1"/>
        <w:rPr>
          <w:rFonts w:asciiTheme="minorHAnsi" w:hAnsiTheme="minorHAnsi" w:cstheme="minorHAnsi"/>
          <w:sz w:val="24"/>
          <w:szCs w:val="24"/>
        </w:rPr>
      </w:pPr>
      <w:r w:rsidRPr="00591C77">
        <w:rPr>
          <w:rFonts w:asciiTheme="minorHAnsi" w:eastAsia="Calibri" w:hAnsiTheme="minorHAnsi" w:cstheme="minorHAnsi"/>
          <w:sz w:val="24"/>
          <w:szCs w:val="24"/>
          <w:lang w:eastAsia="en-AU"/>
        </w:rPr>
        <w:t xml:space="preserve">This is a technical clause that names the short title of the Act. </w:t>
      </w:r>
    </w:p>
    <w:bookmarkEnd w:id="5"/>
    <w:bookmarkEnd w:id="6"/>
    <w:p w14:paraId="6F25082E" w14:textId="77777777" w:rsidR="00D141DB" w:rsidRPr="00591C77" w:rsidRDefault="00D141DB" w:rsidP="000165E8">
      <w:pPr>
        <w:keepNext/>
        <w:spacing w:before="100" w:beforeAutospacing="1" w:after="100" w:afterAutospacing="1"/>
        <w:outlineLvl w:val="3"/>
        <w:rPr>
          <w:rFonts w:asciiTheme="minorHAnsi" w:eastAsia="Calibri" w:hAnsiTheme="minorHAnsi" w:cstheme="minorHAnsi"/>
          <w:b/>
          <w:bCs/>
          <w:sz w:val="24"/>
          <w:szCs w:val="24"/>
          <w:lang w:eastAsia="en-AU"/>
        </w:rPr>
      </w:pPr>
      <w:r w:rsidRPr="00591C77">
        <w:rPr>
          <w:rFonts w:asciiTheme="minorHAnsi" w:eastAsia="Calibri" w:hAnsiTheme="minorHAnsi" w:cstheme="minorHAnsi"/>
          <w:b/>
          <w:sz w:val="24"/>
          <w:szCs w:val="24"/>
        </w:rPr>
        <w:t xml:space="preserve">Clause </w:t>
      </w:r>
      <w:r w:rsidRPr="00591C77">
        <w:rPr>
          <w:rFonts w:asciiTheme="minorHAnsi" w:eastAsia="Calibri" w:hAnsiTheme="minorHAnsi" w:cstheme="minorHAnsi"/>
          <w:b/>
          <w:sz w:val="24"/>
          <w:szCs w:val="24"/>
        </w:rPr>
        <w:fldChar w:fldCharType="begin"/>
      </w:r>
      <w:r w:rsidRPr="00591C77">
        <w:rPr>
          <w:rFonts w:asciiTheme="minorHAnsi" w:eastAsia="Calibri" w:hAnsiTheme="minorHAnsi" w:cstheme="minorHAnsi"/>
          <w:b/>
          <w:sz w:val="24"/>
          <w:szCs w:val="24"/>
        </w:rPr>
        <w:instrText xml:space="preserve"> SEQ Clause \* ARABIC </w:instrText>
      </w:r>
      <w:r w:rsidRPr="00591C77">
        <w:rPr>
          <w:rFonts w:asciiTheme="minorHAnsi" w:eastAsia="Calibri" w:hAnsiTheme="minorHAnsi" w:cstheme="minorHAnsi"/>
          <w:b/>
          <w:sz w:val="24"/>
          <w:szCs w:val="24"/>
        </w:rPr>
        <w:fldChar w:fldCharType="separate"/>
      </w:r>
      <w:r w:rsidRPr="00591C77">
        <w:rPr>
          <w:rFonts w:asciiTheme="minorHAnsi" w:eastAsia="Calibri" w:hAnsiTheme="minorHAnsi" w:cstheme="minorHAnsi"/>
          <w:b/>
          <w:noProof/>
          <w:sz w:val="24"/>
          <w:szCs w:val="24"/>
        </w:rPr>
        <w:t>2</w:t>
      </w:r>
      <w:r w:rsidRPr="00591C77">
        <w:rPr>
          <w:rFonts w:asciiTheme="minorHAnsi" w:eastAsia="Calibri" w:hAnsiTheme="minorHAnsi" w:cstheme="minorHAnsi"/>
          <w:b/>
          <w:sz w:val="24"/>
          <w:szCs w:val="24"/>
        </w:rPr>
        <w:fldChar w:fldCharType="end"/>
      </w:r>
      <w:r w:rsidRPr="00591C77">
        <w:rPr>
          <w:rFonts w:asciiTheme="minorHAnsi" w:eastAsia="Calibri" w:hAnsiTheme="minorHAnsi" w:cstheme="minorHAnsi"/>
          <w:b/>
          <w:bCs/>
          <w:sz w:val="24"/>
          <w:szCs w:val="24"/>
          <w:lang w:eastAsia="en-AU"/>
        </w:rPr>
        <w:t xml:space="preserve"> — Commencement</w:t>
      </w:r>
    </w:p>
    <w:p w14:paraId="7AB7B455" w14:textId="191B45C6" w:rsidR="00D141DB" w:rsidRPr="00591C77" w:rsidRDefault="00D141DB" w:rsidP="000165E8">
      <w:pPr>
        <w:spacing w:before="100" w:beforeAutospacing="1" w:after="100" w:afterAutospacing="1"/>
        <w:rPr>
          <w:rFonts w:asciiTheme="minorHAnsi" w:hAnsiTheme="minorHAnsi" w:cstheme="minorHAnsi"/>
          <w:sz w:val="24"/>
          <w:szCs w:val="24"/>
        </w:rPr>
      </w:pPr>
      <w:r w:rsidRPr="00591C77">
        <w:rPr>
          <w:rFonts w:asciiTheme="minorHAnsi" w:eastAsia="Calibri" w:hAnsiTheme="minorHAnsi" w:cstheme="minorHAnsi"/>
          <w:sz w:val="24"/>
          <w:szCs w:val="24"/>
          <w:lang w:eastAsia="en-AU"/>
        </w:rPr>
        <w:t xml:space="preserve">This clause provides that the Act </w:t>
      </w:r>
      <w:r w:rsidR="00217ECC" w:rsidRPr="00591C77">
        <w:rPr>
          <w:rFonts w:asciiTheme="minorHAnsi" w:eastAsia="Calibri" w:hAnsiTheme="minorHAnsi" w:cstheme="minorHAnsi"/>
          <w:sz w:val="24"/>
          <w:szCs w:val="24"/>
          <w:lang w:eastAsia="en-AU"/>
        </w:rPr>
        <w:t>will commence on a day fixed by the Minister by written notice</w:t>
      </w:r>
      <w:r w:rsidRPr="00591C77">
        <w:rPr>
          <w:rFonts w:asciiTheme="minorHAnsi" w:eastAsia="Calibri" w:hAnsiTheme="minorHAnsi" w:cstheme="minorHAnsi"/>
          <w:sz w:val="24"/>
          <w:szCs w:val="24"/>
          <w:lang w:eastAsia="en-AU"/>
        </w:rPr>
        <w:t>.</w:t>
      </w:r>
      <w:r w:rsidR="00217ECC" w:rsidRPr="00591C77">
        <w:rPr>
          <w:rFonts w:asciiTheme="minorHAnsi" w:eastAsia="Calibri" w:hAnsiTheme="minorHAnsi" w:cstheme="minorHAnsi"/>
          <w:sz w:val="24"/>
          <w:szCs w:val="24"/>
          <w:lang w:eastAsia="en-AU"/>
        </w:rPr>
        <w:t xml:space="preserve"> If the Act has not commenced before 31 March 2024, it will automatically commence on that day. </w:t>
      </w:r>
    </w:p>
    <w:p w14:paraId="748E292C" w14:textId="77777777" w:rsidR="00D141DB" w:rsidRPr="00591C77" w:rsidRDefault="00D141DB" w:rsidP="000165E8">
      <w:pPr>
        <w:keepNext/>
        <w:spacing w:before="100" w:beforeAutospacing="1" w:after="100" w:afterAutospacing="1"/>
        <w:outlineLvl w:val="3"/>
        <w:rPr>
          <w:rFonts w:asciiTheme="minorHAnsi" w:eastAsia="Calibri" w:hAnsiTheme="minorHAnsi" w:cstheme="minorHAnsi"/>
          <w:b/>
          <w:bCs/>
          <w:sz w:val="24"/>
          <w:szCs w:val="24"/>
          <w:lang w:eastAsia="en-AU"/>
        </w:rPr>
      </w:pPr>
      <w:r w:rsidRPr="00591C77">
        <w:rPr>
          <w:rFonts w:asciiTheme="minorHAnsi" w:eastAsia="Calibri" w:hAnsiTheme="minorHAnsi" w:cstheme="minorHAnsi"/>
          <w:b/>
          <w:sz w:val="24"/>
          <w:szCs w:val="24"/>
        </w:rPr>
        <w:t xml:space="preserve">Clause </w:t>
      </w:r>
      <w:r w:rsidRPr="00591C77">
        <w:rPr>
          <w:rFonts w:asciiTheme="minorHAnsi" w:eastAsia="Calibri" w:hAnsiTheme="minorHAnsi" w:cstheme="minorHAnsi"/>
          <w:b/>
          <w:sz w:val="24"/>
          <w:szCs w:val="24"/>
        </w:rPr>
        <w:fldChar w:fldCharType="begin"/>
      </w:r>
      <w:r w:rsidRPr="00591C77">
        <w:rPr>
          <w:rFonts w:asciiTheme="minorHAnsi" w:eastAsia="Calibri" w:hAnsiTheme="minorHAnsi" w:cstheme="minorHAnsi"/>
          <w:b/>
          <w:sz w:val="24"/>
          <w:szCs w:val="24"/>
        </w:rPr>
        <w:instrText xml:space="preserve"> SEQ Clause \* ARABIC </w:instrText>
      </w:r>
      <w:r w:rsidRPr="00591C77">
        <w:rPr>
          <w:rFonts w:asciiTheme="minorHAnsi" w:eastAsia="Calibri" w:hAnsiTheme="minorHAnsi" w:cstheme="minorHAnsi"/>
          <w:b/>
          <w:sz w:val="24"/>
          <w:szCs w:val="24"/>
        </w:rPr>
        <w:fldChar w:fldCharType="separate"/>
      </w:r>
      <w:r w:rsidRPr="00591C77">
        <w:rPr>
          <w:rFonts w:asciiTheme="minorHAnsi" w:eastAsia="Calibri" w:hAnsiTheme="minorHAnsi" w:cstheme="minorHAnsi"/>
          <w:b/>
          <w:noProof/>
          <w:sz w:val="24"/>
          <w:szCs w:val="24"/>
        </w:rPr>
        <w:t>3</w:t>
      </w:r>
      <w:r w:rsidRPr="00591C77">
        <w:rPr>
          <w:rFonts w:asciiTheme="minorHAnsi" w:eastAsia="Calibri" w:hAnsiTheme="minorHAnsi" w:cstheme="minorHAnsi"/>
          <w:b/>
          <w:noProof/>
          <w:sz w:val="24"/>
          <w:szCs w:val="24"/>
        </w:rPr>
        <w:fldChar w:fldCharType="end"/>
      </w:r>
      <w:r w:rsidRPr="00591C77">
        <w:rPr>
          <w:rFonts w:asciiTheme="minorHAnsi" w:eastAsia="Calibri" w:hAnsiTheme="minorHAnsi" w:cstheme="minorHAnsi"/>
          <w:b/>
          <w:bCs/>
          <w:sz w:val="24"/>
          <w:szCs w:val="24"/>
          <w:lang w:eastAsia="en-AU"/>
        </w:rPr>
        <w:t xml:space="preserve"> — Legislation Amended</w:t>
      </w:r>
    </w:p>
    <w:p w14:paraId="0CCE6669" w14:textId="77777777" w:rsidR="00D141DB" w:rsidRPr="00591C77" w:rsidRDefault="00D141DB"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 xml:space="preserve">This clause lists the legislation amended by this Bill. This Bill will amend the </w:t>
      </w:r>
      <w:r w:rsidRPr="00591C77">
        <w:rPr>
          <w:rFonts w:asciiTheme="minorHAnsi" w:eastAsia="Calibri" w:hAnsiTheme="minorHAnsi" w:cstheme="minorHAnsi"/>
          <w:i/>
          <w:iCs/>
          <w:sz w:val="24"/>
          <w:szCs w:val="24"/>
          <w:lang w:eastAsia="en-AU"/>
        </w:rPr>
        <w:t>Children and Young People Act 2008.</w:t>
      </w:r>
    </w:p>
    <w:p w14:paraId="14978645" w14:textId="47EE0BF3" w:rsidR="00D66F63" w:rsidRDefault="00D141DB" w:rsidP="000165E8">
      <w:pPr>
        <w:keepNext/>
        <w:spacing w:before="100" w:beforeAutospacing="1" w:after="100" w:afterAutospacing="1"/>
        <w:outlineLvl w:val="3"/>
        <w:rPr>
          <w:b/>
          <w:bCs/>
          <w:sz w:val="23"/>
          <w:szCs w:val="23"/>
        </w:rPr>
      </w:pPr>
      <w:r w:rsidRPr="00591C77">
        <w:rPr>
          <w:rFonts w:asciiTheme="minorHAnsi" w:eastAsia="Calibri" w:hAnsiTheme="minorHAnsi" w:cstheme="minorHAnsi"/>
          <w:b/>
          <w:sz w:val="24"/>
          <w:szCs w:val="24"/>
        </w:rPr>
        <w:t xml:space="preserve">Clause 4 – </w:t>
      </w:r>
      <w:r w:rsidR="00D66F63">
        <w:rPr>
          <w:b/>
          <w:bCs/>
          <w:sz w:val="23"/>
          <w:szCs w:val="23"/>
        </w:rPr>
        <w:t>Application of Act to children and young people etc Section 6 (c)</w:t>
      </w:r>
    </w:p>
    <w:p w14:paraId="2434A522" w14:textId="7BAE910A" w:rsidR="00D66F63" w:rsidRPr="00D775A9" w:rsidRDefault="00D66F63" w:rsidP="000165E8">
      <w:pPr>
        <w:pStyle w:val="Default"/>
        <w:spacing w:before="100" w:beforeAutospacing="1" w:after="100" w:afterAutospacing="1"/>
        <w:rPr>
          <w:rFonts w:asciiTheme="minorHAnsi" w:eastAsia="Calibri" w:hAnsiTheme="minorHAnsi" w:cstheme="minorHAnsi"/>
          <w:color w:val="auto"/>
          <w:lang w:eastAsia="en-AU"/>
        </w:rPr>
      </w:pPr>
      <w:r w:rsidRPr="00D775A9">
        <w:rPr>
          <w:rFonts w:asciiTheme="minorHAnsi" w:eastAsia="Calibri" w:hAnsiTheme="minorHAnsi" w:cstheme="minorHAnsi"/>
          <w:color w:val="auto"/>
          <w:lang w:eastAsia="en-AU"/>
        </w:rPr>
        <w:t>This clause amends section 354 (</w:t>
      </w:r>
      <w:proofErr w:type="spellStart"/>
      <w:r w:rsidRPr="00D775A9">
        <w:rPr>
          <w:rFonts w:asciiTheme="minorHAnsi" w:eastAsia="Calibri" w:hAnsiTheme="minorHAnsi" w:cstheme="minorHAnsi"/>
          <w:color w:val="auto"/>
          <w:lang w:eastAsia="en-AU"/>
        </w:rPr>
        <w:t>i</w:t>
      </w:r>
      <w:proofErr w:type="spellEnd"/>
      <w:r w:rsidRPr="00D775A9">
        <w:rPr>
          <w:rFonts w:asciiTheme="minorHAnsi" w:eastAsia="Calibri" w:hAnsiTheme="minorHAnsi" w:cstheme="minorHAnsi"/>
          <w:color w:val="auto"/>
          <w:lang w:eastAsia="en-AU"/>
        </w:rPr>
        <w:t>)(ii) and (iii)</w:t>
      </w:r>
      <w:r w:rsidR="00D775A9" w:rsidRPr="00D775A9">
        <w:rPr>
          <w:rFonts w:asciiTheme="minorHAnsi" w:eastAsia="Calibri" w:hAnsiTheme="minorHAnsi" w:cstheme="minorHAnsi"/>
          <w:lang w:eastAsia="en-AU"/>
        </w:rPr>
        <w:t xml:space="preserve"> </w:t>
      </w:r>
      <w:r w:rsidR="000165E8">
        <w:rPr>
          <w:rFonts w:asciiTheme="minorHAnsi" w:eastAsia="Calibri" w:hAnsiTheme="minorHAnsi" w:cstheme="minorHAnsi"/>
          <w:lang w:eastAsia="en-AU"/>
        </w:rPr>
        <w:t xml:space="preserve">by </w:t>
      </w:r>
      <w:r w:rsidR="00D775A9" w:rsidRPr="00591C77">
        <w:rPr>
          <w:rFonts w:asciiTheme="minorHAnsi" w:eastAsia="Calibri" w:hAnsiTheme="minorHAnsi" w:cstheme="minorHAnsi"/>
          <w:lang w:eastAsia="en-AU"/>
        </w:rPr>
        <w:t>omit</w:t>
      </w:r>
      <w:r w:rsidR="000165E8">
        <w:rPr>
          <w:rFonts w:asciiTheme="minorHAnsi" w:eastAsia="Calibri" w:hAnsiTheme="minorHAnsi" w:cstheme="minorHAnsi"/>
          <w:lang w:eastAsia="en-AU"/>
        </w:rPr>
        <w:t>ting</w:t>
      </w:r>
      <w:r w:rsidRPr="00D775A9">
        <w:rPr>
          <w:rFonts w:asciiTheme="minorHAnsi" w:eastAsia="Calibri" w:hAnsiTheme="minorHAnsi" w:cstheme="minorHAnsi"/>
          <w:color w:val="auto"/>
          <w:lang w:eastAsia="en-AU"/>
        </w:rPr>
        <w:t xml:space="preserve"> abuse and neglect</w:t>
      </w:r>
      <w:r w:rsidR="00D775A9">
        <w:rPr>
          <w:rFonts w:asciiTheme="minorHAnsi" w:eastAsia="Calibri" w:hAnsiTheme="minorHAnsi" w:cstheme="minorHAnsi"/>
          <w:color w:val="auto"/>
          <w:lang w:eastAsia="en-AU"/>
        </w:rPr>
        <w:t xml:space="preserve"> and substitut</w:t>
      </w:r>
      <w:r w:rsidR="000165E8">
        <w:rPr>
          <w:rFonts w:asciiTheme="minorHAnsi" w:eastAsia="Calibri" w:hAnsiTheme="minorHAnsi" w:cstheme="minorHAnsi"/>
          <w:color w:val="auto"/>
          <w:lang w:eastAsia="en-AU"/>
        </w:rPr>
        <w:t>ing</w:t>
      </w:r>
      <w:r w:rsidR="00D775A9">
        <w:rPr>
          <w:rFonts w:asciiTheme="minorHAnsi" w:eastAsia="Calibri" w:hAnsiTheme="minorHAnsi" w:cstheme="minorHAnsi"/>
          <w:color w:val="auto"/>
          <w:lang w:eastAsia="en-AU"/>
        </w:rPr>
        <w:t xml:space="preserve"> risk of significant harm. </w:t>
      </w:r>
    </w:p>
    <w:p w14:paraId="653B937F" w14:textId="206F9BE7" w:rsidR="00D141DB" w:rsidRPr="00591C77" w:rsidRDefault="00D66F63" w:rsidP="000165E8">
      <w:pPr>
        <w:keepNext/>
        <w:spacing w:before="100" w:beforeAutospacing="1" w:after="100" w:afterAutospacing="1"/>
        <w:outlineLvl w:val="3"/>
        <w:rPr>
          <w:rFonts w:asciiTheme="minorHAnsi" w:eastAsia="Calibri" w:hAnsiTheme="minorHAnsi" w:cstheme="minorHAnsi"/>
          <w:b/>
          <w:sz w:val="24"/>
          <w:szCs w:val="24"/>
        </w:rPr>
      </w:pPr>
      <w:r>
        <w:rPr>
          <w:rFonts w:asciiTheme="minorHAnsi" w:eastAsia="Calibri" w:hAnsiTheme="minorHAnsi" w:cstheme="minorHAnsi"/>
          <w:b/>
          <w:sz w:val="24"/>
          <w:szCs w:val="24"/>
        </w:rPr>
        <w:t xml:space="preserve">Clause 5 </w:t>
      </w:r>
      <w:r w:rsidRPr="00591C77">
        <w:rPr>
          <w:rFonts w:asciiTheme="minorHAnsi" w:eastAsia="Calibri" w:hAnsiTheme="minorHAnsi" w:cstheme="minorHAnsi"/>
          <w:b/>
          <w:sz w:val="24"/>
          <w:szCs w:val="24"/>
        </w:rPr>
        <w:t xml:space="preserve">– </w:t>
      </w:r>
      <w:r w:rsidR="00D141DB" w:rsidRPr="00591C77">
        <w:rPr>
          <w:rFonts w:asciiTheme="minorHAnsi" w:eastAsia="Calibri" w:hAnsiTheme="minorHAnsi" w:cstheme="minorHAnsi"/>
          <w:b/>
          <w:sz w:val="24"/>
          <w:szCs w:val="24"/>
        </w:rPr>
        <w:t>Main objects of Act</w:t>
      </w:r>
    </w:p>
    <w:p w14:paraId="7B5F31ED" w14:textId="0E0B4889" w:rsidR="00D66F63" w:rsidRPr="00D66F63" w:rsidRDefault="00D141DB"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 amends section 7 (a) and (b) to omit ‘</w:t>
      </w:r>
      <w:r w:rsidRPr="00591C77">
        <w:rPr>
          <w:rFonts w:asciiTheme="minorHAnsi" w:eastAsia="Calibri" w:hAnsiTheme="minorHAnsi" w:cstheme="minorHAnsi"/>
          <w:i/>
          <w:iCs/>
          <w:sz w:val="24"/>
          <w:szCs w:val="24"/>
          <w:lang w:eastAsia="en-AU"/>
        </w:rPr>
        <w:t xml:space="preserve">wellbeing, care and protection’ </w:t>
      </w:r>
      <w:r w:rsidRPr="00591C77">
        <w:rPr>
          <w:rFonts w:asciiTheme="minorHAnsi" w:eastAsia="Calibri" w:hAnsiTheme="minorHAnsi" w:cstheme="minorHAnsi"/>
          <w:sz w:val="24"/>
          <w:szCs w:val="24"/>
          <w:lang w:eastAsia="en-AU"/>
        </w:rPr>
        <w:t>to substitute the words ‘</w:t>
      </w:r>
      <w:r w:rsidRPr="00591C77">
        <w:rPr>
          <w:rFonts w:asciiTheme="minorHAnsi" w:eastAsia="Calibri" w:hAnsiTheme="minorHAnsi" w:cstheme="minorHAnsi"/>
          <w:i/>
          <w:iCs/>
          <w:sz w:val="24"/>
          <w:szCs w:val="24"/>
          <w:lang w:eastAsia="en-AU"/>
        </w:rPr>
        <w:t xml:space="preserve">safety, welfare and wellbeing’. </w:t>
      </w:r>
      <w:r w:rsidRPr="00591C77">
        <w:rPr>
          <w:rFonts w:asciiTheme="minorHAnsi" w:eastAsia="Calibri" w:hAnsiTheme="minorHAnsi" w:cstheme="minorHAnsi"/>
          <w:sz w:val="24"/>
          <w:szCs w:val="24"/>
          <w:lang w:eastAsia="en-AU"/>
        </w:rPr>
        <w:t xml:space="preserve">The objects of the Act set the tone and priorities for the Act, and this change allows for following provisions to build on providing for and promoting the safety, welfare and wellbeing of children and young people. </w:t>
      </w:r>
    </w:p>
    <w:p w14:paraId="5A3A59C9" w14:textId="6B6C0013" w:rsidR="00D141DB" w:rsidRPr="00591C77" w:rsidRDefault="00D141DB" w:rsidP="000165E8">
      <w:pPr>
        <w:spacing w:before="100" w:beforeAutospacing="1" w:after="100" w:afterAutospacing="1"/>
        <w:rPr>
          <w:rFonts w:asciiTheme="minorHAnsi" w:eastAsia="Calibri" w:hAnsiTheme="minorHAnsi" w:cstheme="minorHAnsi"/>
          <w:b/>
          <w:sz w:val="24"/>
          <w:szCs w:val="24"/>
        </w:rPr>
      </w:pPr>
      <w:r w:rsidRPr="00591C77">
        <w:rPr>
          <w:rFonts w:asciiTheme="minorHAnsi" w:eastAsia="Calibri" w:hAnsiTheme="minorHAnsi" w:cstheme="minorHAnsi"/>
          <w:b/>
          <w:sz w:val="24"/>
          <w:szCs w:val="24"/>
        </w:rPr>
        <w:t xml:space="preserve">Clause </w:t>
      </w:r>
      <w:r w:rsidR="00D775A9">
        <w:rPr>
          <w:rFonts w:asciiTheme="minorHAnsi" w:eastAsia="Calibri" w:hAnsiTheme="minorHAnsi" w:cstheme="minorHAnsi"/>
          <w:b/>
          <w:sz w:val="24"/>
          <w:szCs w:val="24"/>
        </w:rPr>
        <w:t>6</w:t>
      </w:r>
      <w:r w:rsidRPr="00591C77">
        <w:rPr>
          <w:rFonts w:asciiTheme="minorHAnsi" w:eastAsia="Calibri" w:hAnsiTheme="minorHAnsi" w:cstheme="minorHAnsi"/>
          <w:b/>
          <w:sz w:val="24"/>
          <w:szCs w:val="24"/>
        </w:rPr>
        <w:t xml:space="preserve"> – Section 7 (c)</w:t>
      </w:r>
    </w:p>
    <w:p w14:paraId="7726B4A0" w14:textId="7AD14111" w:rsidR="00D141DB" w:rsidRDefault="00D141DB"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 xml:space="preserve">This clause substitutes the existing section 7 (c) which defines an object of the Act as ‘preventing abuse and neglect of children and young people’ and replaces it with the object to provide children and young people with the care and protection necessary to protect them from significant harm. </w:t>
      </w:r>
    </w:p>
    <w:p w14:paraId="48BA30A5" w14:textId="29E9135E" w:rsidR="00A25BAE" w:rsidRDefault="00A25BAE" w:rsidP="000165E8">
      <w:pPr>
        <w:spacing w:before="100" w:beforeAutospacing="1" w:after="100" w:afterAutospacing="1"/>
        <w:rPr>
          <w:rFonts w:asciiTheme="minorHAnsi" w:eastAsia="Calibri" w:hAnsiTheme="minorHAnsi" w:cstheme="minorHAnsi"/>
          <w:sz w:val="24"/>
          <w:szCs w:val="24"/>
          <w:lang w:eastAsia="en-AU"/>
        </w:rPr>
      </w:pPr>
    </w:p>
    <w:p w14:paraId="6D98C66D" w14:textId="77777777" w:rsidR="00A25BAE" w:rsidRPr="00591C77" w:rsidRDefault="00A25BAE" w:rsidP="000165E8">
      <w:pPr>
        <w:spacing w:before="100" w:beforeAutospacing="1" w:after="100" w:afterAutospacing="1"/>
        <w:rPr>
          <w:rFonts w:asciiTheme="minorHAnsi" w:eastAsia="Calibri" w:hAnsiTheme="minorHAnsi" w:cstheme="minorHAnsi"/>
          <w:sz w:val="24"/>
          <w:szCs w:val="24"/>
          <w:lang w:eastAsia="en-AU"/>
        </w:rPr>
      </w:pPr>
    </w:p>
    <w:p w14:paraId="0B9362EB" w14:textId="59E0E014" w:rsidR="00D141DB" w:rsidRPr="00591C77" w:rsidRDefault="00D141DB" w:rsidP="000165E8">
      <w:pPr>
        <w:spacing w:before="100" w:beforeAutospacing="1" w:after="100" w:afterAutospacing="1"/>
        <w:rPr>
          <w:rFonts w:asciiTheme="minorHAnsi" w:eastAsia="Calibri" w:hAnsiTheme="minorHAnsi" w:cstheme="minorHAnsi"/>
          <w:b/>
          <w:sz w:val="24"/>
          <w:szCs w:val="24"/>
        </w:rPr>
      </w:pPr>
      <w:r w:rsidRPr="00591C77">
        <w:rPr>
          <w:rFonts w:asciiTheme="minorHAnsi" w:eastAsia="Calibri" w:hAnsiTheme="minorHAnsi" w:cstheme="minorHAnsi"/>
          <w:b/>
          <w:sz w:val="24"/>
          <w:szCs w:val="24"/>
        </w:rPr>
        <w:lastRenderedPageBreak/>
        <w:t xml:space="preserve">Clause </w:t>
      </w:r>
      <w:r w:rsidR="00D775A9">
        <w:rPr>
          <w:rFonts w:asciiTheme="minorHAnsi" w:eastAsia="Calibri" w:hAnsiTheme="minorHAnsi" w:cstheme="minorHAnsi"/>
          <w:b/>
          <w:sz w:val="24"/>
          <w:szCs w:val="24"/>
        </w:rPr>
        <w:t>7</w:t>
      </w:r>
      <w:r w:rsidRPr="00591C77">
        <w:rPr>
          <w:rFonts w:asciiTheme="minorHAnsi" w:eastAsia="Calibri" w:hAnsiTheme="minorHAnsi" w:cstheme="minorHAnsi"/>
          <w:b/>
          <w:sz w:val="24"/>
          <w:szCs w:val="24"/>
        </w:rPr>
        <w:t xml:space="preserve"> – Section 7 (d) (</w:t>
      </w:r>
      <w:proofErr w:type="spellStart"/>
      <w:r w:rsidRPr="00591C77">
        <w:rPr>
          <w:rFonts w:asciiTheme="minorHAnsi" w:eastAsia="Calibri" w:hAnsiTheme="minorHAnsi" w:cstheme="minorHAnsi"/>
          <w:b/>
          <w:sz w:val="24"/>
          <w:szCs w:val="24"/>
        </w:rPr>
        <w:t>i</w:t>
      </w:r>
      <w:proofErr w:type="spellEnd"/>
      <w:r w:rsidRPr="00591C77">
        <w:rPr>
          <w:rFonts w:asciiTheme="minorHAnsi" w:eastAsia="Calibri" w:hAnsiTheme="minorHAnsi" w:cstheme="minorHAnsi"/>
          <w:b/>
          <w:sz w:val="24"/>
          <w:szCs w:val="24"/>
        </w:rPr>
        <w:t>)</w:t>
      </w:r>
    </w:p>
    <w:p w14:paraId="71D4D587" w14:textId="1E5D2BEE" w:rsidR="00D141DB" w:rsidRPr="00591C77" w:rsidRDefault="00D141DB"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 xml:space="preserve">This clause omits the words ‘wellbeing, care and protection’ and substitutes ‘safety, welfare and wellbeing’ for consistency purposes.  </w:t>
      </w:r>
    </w:p>
    <w:p w14:paraId="30467E41" w14:textId="7B0795DD" w:rsidR="00D141DB" w:rsidRPr="00591C77"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591C77">
        <w:rPr>
          <w:rFonts w:asciiTheme="minorHAnsi" w:eastAsia="Calibri" w:hAnsiTheme="minorHAnsi" w:cstheme="minorHAnsi"/>
          <w:b/>
          <w:sz w:val="24"/>
          <w:szCs w:val="24"/>
        </w:rPr>
        <w:t xml:space="preserve">Clause </w:t>
      </w:r>
      <w:r w:rsidR="00D66F63">
        <w:rPr>
          <w:rFonts w:asciiTheme="minorHAnsi" w:eastAsia="Calibri" w:hAnsiTheme="minorHAnsi" w:cstheme="minorHAnsi"/>
          <w:b/>
          <w:sz w:val="24"/>
          <w:szCs w:val="24"/>
        </w:rPr>
        <w:t>8</w:t>
      </w:r>
      <w:r w:rsidRPr="00591C77">
        <w:rPr>
          <w:rFonts w:asciiTheme="minorHAnsi" w:eastAsia="Calibri" w:hAnsiTheme="minorHAnsi" w:cstheme="minorHAnsi"/>
          <w:b/>
          <w:sz w:val="24"/>
          <w:szCs w:val="24"/>
        </w:rPr>
        <w:t xml:space="preserve"> – </w:t>
      </w:r>
      <w:r w:rsidR="004545E2" w:rsidRPr="00591C77">
        <w:rPr>
          <w:rFonts w:asciiTheme="minorHAnsi" w:eastAsia="Calibri" w:hAnsiTheme="minorHAnsi" w:cstheme="minorHAnsi"/>
          <w:b/>
          <w:sz w:val="24"/>
          <w:szCs w:val="24"/>
        </w:rPr>
        <w:t>Section 97 (d) (ii)</w:t>
      </w:r>
    </w:p>
    <w:p w14:paraId="41F66A6E" w14:textId="083D97FB" w:rsidR="004545E2" w:rsidRPr="00591C77" w:rsidRDefault="004545E2"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 xml:space="preserve">This clause substitutes </w:t>
      </w:r>
      <w:r w:rsidR="0035149C" w:rsidRPr="00591C77">
        <w:rPr>
          <w:rFonts w:asciiTheme="minorHAnsi" w:eastAsia="Calibri" w:hAnsiTheme="minorHAnsi" w:cstheme="minorHAnsi"/>
          <w:sz w:val="24"/>
          <w:szCs w:val="24"/>
          <w:lang w:eastAsia="en-AU"/>
        </w:rPr>
        <w:t xml:space="preserve">the reference to preventing abuse and neglect of Aboriginal and Torres Strait Islander children and young people with a clause that states we must provide for Aboriginal and Torres Strait Islander children and young people to receive the care and protection necessary to protect them from significant harm. This is consistent with the removal of the concept of ‘abuse and neglect’ and replacement with ‘risk of significant harm’. </w:t>
      </w:r>
    </w:p>
    <w:p w14:paraId="1B6655E3" w14:textId="2C7DDBDF" w:rsidR="00D141DB" w:rsidRPr="00591C77"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591C77">
        <w:rPr>
          <w:rFonts w:asciiTheme="minorHAnsi" w:eastAsia="Calibri" w:hAnsiTheme="minorHAnsi" w:cstheme="minorHAnsi"/>
          <w:b/>
          <w:sz w:val="24"/>
          <w:szCs w:val="24"/>
        </w:rPr>
        <w:t xml:space="preserve">Clause </w:t>
      </w:r>
      <w:r w:rsidR="00D66F63">
        <w:rPr>
          <w:rFonts w:asciiTheme="minorHAnsi" w:eastAsia="Calibri" w:hAnsiTheme="minorHAnsi" w:cstheme="minorHAnsi"/>
          <w:b/>
          <w:sz w:val="24"/>
          <w:szCs w:val="24"/>
        </w:rPr>
        <w:t>9</w:t>
      </w:r>
      <w:r w:rsidRPr="00591C77">
        <w:rPr>
          <w:rFonts w:asciiTheme="minorHAnsi" w:eastAsia="Calibri" w:hAnsiTheme="minorHAnsi" w:cstheme="minorHAnsi"/>
          <w:b/>
          <w:sz w:val="24"/>
          <w:szCs w:val="24"/>
        </w:rPr>
        <w:t xml:space="preserve"> – </w:t>
      </w:r>
      <w:r w:rsidR="0035149C" w:rsidRPr="00591C77">
        <w:rPr>
          <w:rFonts w:asciiTheme="minorHAnsi" w:eastAsia="Calibri" w:hAnsiTheme="minorHAnsi" w:cstheme="minorHAnsi"/>
          <w:b/>
          <w:sz w:val="24"/>
          <w:szCs w:val="24"/>
        </w:rPr>
        <w:t>Section 7 (e)</w:t>
      </w:r>
    </w:p>
    <w:p w14:paraId="135F03F0" w14:textId="7C4BD15D" w:rsidR="004545E2" w:rsidRPr="00591C77" w:rsidRDefault="004545E2"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w:t>
      </w:r>
      <w:r w:rsidR="0035149C" w:rsidRPr="00591C77">
        <w:rPr>
          <w:rFonts w:asciiTheme="minorHAnsi" w:eastAsia="Calibri" w:hAnsiTheme="minorHAnsi" w:cstheme="minorHAnsi"/>
          <w:sz w:val="24"/>
          <w:szCs w:val="24"/>
          <w:lang w:eastAsia="en-AU"/>
        </w:rPr>
        <w:t xml:space="preserve"> omits the reference to </w:t>
      </w:r>
      <w:r w:rsidR="00A25BAE">
        <w:rPr>
          <w:rFonts w:asciiTheme="minorHAnsi" w:eastAsia="Calibri" w:hAnsiTheme="minorHAnsi" w:cstheme="minorHAnsi"/>
          <w:sz w:val="24"/>
          <w:szCs w:val="24"/>
          <w:lang w:eastAsia="en-AU"/>
        </w:rPr>
        <w:t>‘</w:t>
      </w:r>
      <w:r w:rsidR="0035149C" w:rsidRPr="00591C77">
        <w:rPr>
          <w:rFonts w:asciiTheme="minorHAnsi" w:eastAsia="Calibri" w:hAnsiTheme="minorHAnsi" w:cstheme="minorHAnsi"/>
          <w:sz w:val="24"/>
          <w:szCs w:val="24"/>
          <w:lang w:eastAsia="en-AU"/>
        </w:rPr>
        <w:t>wellbeing, care and protection</w:t>
      </w:r>
      <w:r w:rsidR="00A25BAE">
        <w:rPr>
          <w:rFonts w:asciiTheme="minorHAnsi" w:eastAsia="Calibri" w:hAnsiTheme="minorHAnsi" w:cstheme="minorHAnsi"/>
          <w:sz w:val="24"/>
          <w:szCs w:val="24"/>
          <w:lang w:eastAsia="en-AU"/>
        </w:rPr>
        <w:t>’</w:t>
      </w:r>
      <w:r w:rsidR="0035149C" w:rsidRPr="00591C77">
        <w:rPr>
          <w:rFonts w:asciiTheme="minorHAnsi" w:eastAsia="Calibri" w:hAnsiTheme="minorHAnsi" w:cstheme="minorHAnsi"/>
          <w:sz w:val="24"/>
          <w:szCs w:val="24"/>
          <w:lang w:eastAsia="en-AU"/>
        </w:rPr>
        <w:t xml:space="preserve"> and substitutes a reference to </w:t>
      </w:r>
      <w:r w:rsidR="00A25BAE">
        <w:rPr>
          <w:rFonts w:asciiTheme="minorHAnsi" w:eastAsia="Calibri" w:hAnsiTheme="minorHAnsi" w:cstheme="minorHAnsi"/>
          <w:sz w:val="24"/>
          <w:szCs w:val="24"/>
          <w:lang w:eastAsia="en-AU"/>
        </w:rPr>
        <w:t>‘</w:t>
      </w:r>
      <w:r w:rsidR="0035149C" w:rsidRPr="00591C77">
        <w:rPr>
          <w:rFonts w:asciiTheme="minorHAnsi" w:eastAsia="Calibri" w:hAnsiTheme="minorHAnsi" w:cstheme="minorHAnsi"/>
          <w:sz w:val="24"/>
          <w:szCs w:val="24"/>
          <w:lang w:eastAsia="en-AU"/>
        </w:rPr>
        <w:t>safety, welfare and wellbeing</w:t>
      </w:r>
      <w:r w:rsidR="00A25BAE">
        <w:rPr>
          <w:rFonts w:asciiTheme="minorHAnsi" w:eastAsia="Calibri" w:hAnsiTheme="minorHAnsi" w:cstheme="minorHAnsi"/>
          <w:sz w:val="24"/>
          <w:szCs w:val="24"/>
          <w:lang w:eastAsia="en-AU"/>
        </w:rPr>
        <w:t>’</w:t>
      </w:r>
      <w:r w:rsidR="0035149C" w:rsidRPr="00591C77">
        <w:rPr>
          <w:rFonts w:asciiTheme="minorHAnsi" w:eastAsia="Calibri" w:hAnsiTheme="minorHAnsi" w:cstheme="minorHAnsi"/>
          <w:sz w:val="24"/>
          <w:szCs w:val="24"/>
          <w:lang w:eastAsia="en-AU"/>
        </w:rPr>
        <w:t xml:space="preserve">. This is consistent with other changes to the legislation in a move towards protecting children and young people’s ‘safety, welfare and wellbeing’. </w:t>
      </w:r>
    </w:p>
    <w:p w14:paraId="3FF9A9E0" w14:textId="293CBC91" w:rsidR="00D141DB" w:rsidRPr="00591C77"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591C77">
        <w:rPr>
          <w:rFonts w:asciiTheme="minorHAnsi" w:eastAsia="Calibri" w:hAnsiTheme="minorHAnsi" w:cstheme="minorHAnsi"/>
          <w:b/>
          <w:sz w:val="24"/>
          <w:szCs w:val="24"/>
        </w:rPr>
        <w:t xml:space="preserve">Clause </w:t>
      </w:r>
      <w:r w:rsidR="00D775A9">
        <w:rPr>
          <w:rFonts w:asciiTheme="minorHAnsi" w:eastAsia="Calibri" w:hAnsiTheme="minorHAnsi" w:cstheme="minorHAnsi"/>
          <w:b/>
          <w:sz w:val="24"/>
          <w:szCs w:val="24"/>
        </w:rPr>
        <w:t>10</w:t>
      </w:r>
      <w:r w:rsidRPr="00591C77">
        <w:rPr>
          <w:rFonts w:asciiTheme="minorHAnsi" w:eastAsia="Calibri" w:hAnsiTheme="minorHAnsi" w:cstheme="minorHAnsi"/>
          <w:b/>
          <w:sz w:val="24"/>
          <w:szCs w:val="24"/>
        </w:rPr>
        <w:t xml:space="preserve"> – </w:t>
      </w:r>
      <w:r w:rsidR="0035149C" w:rsidRPr="00591C77">
        <w:rPr>
          <w:rFonts w:asciiTheme="minorHAnsi" w:eastAsia="Calibri" w:hAnsiTheme="minorHAnsi" w:cstheme="minorHAnsi"/>
          <w:b/>
          <w:sz w:val="24"/>
          <w:szCs w:val="24"/>
        </w:rPr>
        <w:t>Section 10</w:t>
      </w:r>
    </w:p>
    <w:p w14:paraId="78D31C0C" w14:textId="03ABD280" w:rsidR="004545E2" w:rsidRPr="00591C77" w:rsidRDefault="004545E2"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w:t>
      </w:r>
      <w:r w:rsidR="0035149C" w:rsidRPr="00591C77">
        <w:rPr>
          <w:rFonts w:asciiTheme="minorHAnsi" w:eastAsia="Calibri" w:hAnsiTheme="minorHAnsi" w:cstheme="minorHAnsi"/>
          <w:sz w:val="24"/>
          <w:szCs w:val="24"/>
          <w:lang w:eastAsia="en-AU"/>
        </w:rPr>
        <w:t>e substitute</w:t>
      </w:r>
      <w:r w:rsidR="005264F5" w:rsidRPr="00591C77">
        <w:rPr>
          <w:rFonts w:asciiTheme="minorHAnsi" w:eastAsia="Calibri" w:hAnsiTheme="minorHAnsi" w:cstheme="minorHAnsi"/>
          <w:sz w:val="24"/>
          <w:szCs w:val="24"/>
          <w:lang w:eastAsia="en-AU"/>
        </w:rPr>
        <w:t>s</w:t>
      </w:r>
      <w:r w:rsidR="0035149C" w:rsidRPr="00591C77">
        <w:rPr>
          <w:rFonts w:asciiTheme="minorHAnsi" w:eastAsia="Calibri" w:hAnsiTheme="minorHAnsi" w:cstheme="minorHAnsi"/>
          <w:sz w:val="24"/>
          <w:szCs w:val="24"/>
          <w:lang w:eastAsia="en-AU"/>
        </w:rPr>
        <w:t xml:space="preserve"> a new clause, introducing the Aboriginal and Torres Strait Islander Child Placement Principle. </w:t>
      </w:r>
    </w:p>
    <w:p w14:paraId="2D2FA6ED" w14:textId="77777777" w:rsidR="0035149C" w:rsidRPr="00591C77" w:rsidRDefault="0035149C"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It provides that when making a decision under the Act in relation to an Aboriginal or Torres Strait Islander child or young person, the decision maker must take into account the Aboriginal and Torres Strait Islander Child Placement Principle as set out in this new section 10, as well as the matters set out in sections 8 (best interests of children and young people as the paramount consideration) and 9 (the principles applying to Act).</w:t>
      </w:r>
    </w:p>
    <w:p w14:paraId="0CF6DDCA" w14:textId="5C32553E" w:rsidR="0035149C" w:rsidRPr="00591C77" w:rsidRDefault="0035149C"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The Aboriginal and Torres Strait Islander child placement principles are that Aboriginal and Torres Strait Islander:</w:t>
      </w:r>
    </w:p>
    <w:p w14:paraId="06D6DAA0" w14:textId="04FC4010" w:rsidR="0035149C" w:rsidRPr="00591C77" w:rsidRDefault="0035149C" w:rsidP="009664ED">
      <w:pPr>
        <w:pStyle w:val="ListParagraph"/>
        <w:numPr>
          <w:ilvl w:val="0"/>
          <w:numId w:val="8"/>
        </w:numPr>
        <w:spacing w:before="120"/>
        <w:ind w:left="714" w:hanging="357"/>
        <w:rPr>
          <w:rFonts w:asciiTheme="minorHAnsi" w:eastAsia="Calibri" w:hAnsiTheme="minorHAnsi" w:cstheme="minorHAnsi"/>
          <w:sz w:val="24"/>
          <w:szCs w:val="24"/>
        </w:rPr>
      </w:pPr>
      <w:r w:rsidRPr="00591C77">
        <w:rPr>
          <w:rFonts w:asciiTheme="minorHAnsi" w:eastAsia="Calibri" w:hAnsiTheme="minorHAnsi" w:cstheme="minorHAnsi"/>
          <w:sz w:val="24"/>
          <w:szCs w:val="24"/>
        </w:rPr>
        <w:t>children should be brought up within their own family, community and culture (the prevention principle)</w:t>
      </w:r>
    </w:p>
    <w:p w14:paraId="2AD15DF0" w14:textId="0F6A3153" w:rsidR="0035149C" w:rsidRPr="00591C77" w:rsidRDefault="0035149C" w:rsidP="009664ED">
      <w:pPr>
        <w:pStyle w:val="ListParagraph"/>
        <w:numPr>
          <w:ilvl w:val="0"/>
          <w:numId w:val="8"/>
        </w:numPr>
        <w:spacing w:before="120"/>
        <w:ind w:left="714" w:hanging="357"/>
        <w:rPr>
          <w:rFonts w:asciiTheme="minorHAnsi" w:eastAsia="Calibri" w:hAnsiTheme="minorHAnsi" w:cstheme="minorHAnsi"/>
          <w:sz w:val="24"/>
          <w:szCs w:val="24"/>
        </w:rPr>
      </w:pPr>
      <w:r w:rsidRPr="00591C77">
        <w:rPr>
          <w:rFonts w:asciiTheme="minorHAnsi" w:eastAsia="Calibri" w:hAnsiTheme="minorHAnsi" w:cstheme="minorHAnsi"/>
          <w:sz w:val="24"/>
          <w:szCs w:val="24"/>
        </w:rPr>
        <w:t>community representatives should be given opportunities to participate in design and delivery of services for children and young people, as well as decisions under this Act about children and young people (the partnership principle)</w:t>
      </w:r>
    </w:p>
    <w:p w14:paraId="7AD3A1E9" w14:textId="63051BEC" w:rsidR="0035149C" w:rsidRPr="00591C77" w:rsidRDefault="0035149C" w:rsidP="009664ED">
      <w:pPr>
        <w:pStyle w:val="ListParagraph"/>
        <w:numPr>
          <w:ilvl w:val="0"/>
          <w:numId w:val="8"/>
        </w:numPr>
        <w:spacing w:before="120"/>
        <w:ind w:left="714" w:hanging="357"/>
        <w:rPr>
          <w:rFonts w:asciiTheme="minorHAnsi" w:eastAsia="Calibri" w:hAnsiTheme="minorHAnsi" w:cstheme="minorHAnsi"/>
          <w:sz w:val="24"/>
          <w:szCs w:val="24"/>
        </w:rPr>
      </w:pPr>
      <w:r w:rsidRPr="00591C77">
        <w:rPr>
          <w:rFonts w:asciiTheme="minorHAnsi" w:eastAsia="Calibri" w:hAnsiTheme="minorHAnsi" w:cstheme="minorHAnsi"/>
          <w:sz w:val="24"/>
          <w:szCs w:val="24"/>
        </w:rPr>
        <w:t xml:space="preserve">children and young people placed with out-of-home carers </w:t>
      </w:r>
      <w:r w:rsidR="000E59EC" w:rsidRPr="00591C77">
        <w:rPr>
          <w:rFonts w:asciiTheme="minorHAnsi" w:eastAsia="Calibri" w:hAnsiTheme="minorHAnsi" w:cstheme="minorHAnsi"/>
          <w:sz w:val="24"/>
          <w:szCs w:val="24"/>
        </w:rPr>
        <w:t>must be placed in accordance with the priorities for placement set out later in the Act at section 513</w:t>
      </w:r>
      <w:r w:rsidRPr="00591C77">
        <w:rPr>
          <w:rFonts w:asciiTheme="minorHAnsi" w:eastAsia="Calibri" w:hAnsiTheme="minorHAnsi" w:cstheme="minorHAnsi"/>
          <w:sz w:val="24"/>
          <w:szCs w:val="24"/>
        </w:rPr>
        <w:t xml:space="preserve"> (the </w:t>
      </w:r>
      <w:r w:rsidR="000E59EC" w:rsidRPr="00591C77">
        <w:rPr>
          <w:rFonts w:asciiTheme="minorHAnsi" w:eastAsia="Calibri" w:hAnsiTheme="minorHAnsi" w:cstheme="minorHAnsi"/>
          <w:sz w:val="24"/>
          <w:szCs w:val="24"/>
        </w:rPr>
        <w:t>placement</w:t>
      </w:r>
      <w:r w:rsidRPr="00591C77">
        <w:rPr>
          <w:rFonts w:asciiTheme="minorHAnsi" w:eastAsia="Calibri" w:hAnsiTheme="minorHAnsi" w:cstheme="minorHAnsi"/>
          <w:sz w:val="24"/>
          <w:szCs w:val="24"/>
        </w:rPr>
        <w:t xml:space="preserve"> principle)</w:t>
      </w:r>
    </w:p>
    <w:p w14:paraId="560D1BDA" w14:textId="0FF9034D" w:rsidR="000E59EC" w:rsidRPr="00591C77" w:rsidRDefault="000E59EC" w:rsidP="009664ED">
      <w:pPr>
        <w:pStyle w:val="ListParagraph"/>
        <w:numPr>
          <w:ilvl w:val="0"/>
          <w:numId w:val="8"/>
        </w:numPr>
        <w:spacing w:before="120"/>
        <w:ind w:left="714" w:hanging="357"/>
        <w:rPr>
          <w:rFonts w:asciiTheme="minorHAnsi" w:eastAsia="Calibri" w:hAnsiTheme="minorHAnsi" w:cstheme="minorHAnsi"/>
          <w:sz w:val="24"/>
          <w:szCs w:val="24"/>
        </w:rPr>
      </w:pPr>
      <w:r w:rsidRPr="00591C77">
        <w:rPr>
          <w:rFonts w:asciiTheme="minorHAnsi" w:eastAsia="Calibri" w:hAnsiTheme="minorHAnsi" w:cstheme="minorHAnsi"/>
          <w:sz w:val="24"/>
          <w:szCs w:val="24"/>
        </w:rPr>
        <w:lastRenderedPageBreak/>
        <w:t xml:space="preserve">children and young people, their parents and other family members, should be given opportunities to participate in decision making processes about care arrangements (the participation principle), and </w:t>
      </w:r>
    </w:p>
    <w:p w14:paraId="7A7982D4" w14:textId="68F17710" w:rsidR="0035149C" w:rsidRPr="00591C77" w:rsidRDefault="000E59EC" w:rsidP="009664ED">
      <w:pPr>
        <w:pStyle w:val="ListParagraph"/>
        <w:numPr>
          <w:ilvl w:val="0"/>
          <w:numId w:val="8"/>
        </w:numPr>
        <w:spacing w:before="120"/>
        <w:ind w:left="714" w:hanging="357"/>
        <w:rPr>
          <w:rFonts w:asciiTheme="minorHAnsi" w:eastAsia="Calibri" w:hAnsiTheme="minorHAnsi" w:cstheme="minorHAnsi"/>
          <w:sz w:val="24"/>
          <w:szCs w:val="24"/>
        </w:rPr>
      </w:pPr>
      <w:r w:rsidRPr="00591C77">
        <w:rPr>
          <w:rFonts w:asciiTheme="minorHAnsi" w:eastAsia="Calibri" w:hAnsiTheme="minorHAnsi" w:cstheme="minorHAnsi"/>
          <w:sz w:val="24"/>
          <w:szCs w:val="24"/>
        </w:rPr>
        <w:t xml:space="preserve">children and young people should have connections to family, community, culture and country supported and maintained </w:t>
      </w:r>
      <w:r w:rsidR="0035149C" w:rsidRPr="00591C77">
        <w:rPr>
          <w:rFonts w:asciiTheme="minorHAnsi" w:eastAsia="Calibri" w:hAnsiTheme="minorHAnsi" w:cstheme="minorHAnsi"/>
          <w:sz w:val="24"/>
          <w:szCs w:val="24"/>
        </w:rPr>
        <w:t xml:space="preserve">(the connection principle).  </w:t>
      </w:r>
    </w:p>
    <w:p w14:paraId="3158BA8A" w14:textId="14684A9A" w:rsidR="00372E5F" w:rsidRDefault="000E59EC" w:rsidP="000165E8">
      <w:pPr>
        <w:spacing w:before="100" w:beforeAutospacing="1" w:after="100" w:afterAutospacing="1"/>
        <w:rPr>
          <w:rFonts w:asciiTheme="minorHAnsi" w:eastAsia="Calibri" w:hAnsiTheme="minorHAnsi" w:cstheme="minorHAnsi"/>
          <w:sz w:val="24"/>
          <w:szCs w:val="24"/>
        </w:rPr>
      </w:pPr>
      <w:r w:rsidRPr="00591C77">
        <w:rPr>
          <w:rFonts w:asciiTheme="minorHAnsi" w:eastAsia="Calibri" w:hAnsiTheme="minorHAnsi" w:cstheme="minorHAnsi"/>
          <w:sz w:val="24"/>
          <w:szCs w:val="24"/>
        </w:rPr>
        <w:t xml:space="preserve">Additionally, a new Section 10A </w:t>
      </w:r>
      <w:r w:rsidR="00372E5F">
        <w:rPr>
          <w:rFonts w:asciiTheme="minorHAnsi" w:eastAsia="Calibri" w:hAnsiTheme="minorHAnsi" w:cstheme="minorHAnsi"/>
          <w:sz w:val="24"/>
          <w:szCs w:val="24"/>
        </w:rPr>
        <w:t xml:space="preserve">specifies that the </w:t>
      </w:r>
      <w:r w:rsidR="00372E5F" w:rsidRPr="00372E5F">
        <w:rPr>
          <w:rFonts w:asciiTheme="minorHAnsi" w:eastAsia="Calibri" w:hAnsiTheme="minorHAnsi" w:cstheme="minorHAnsi"/>
          <w:sz w:val="24"/>
          <w:szCs w:val="24"/>
        </w:rPr>
        <w:t>following principles are to be applied in administering this Act:</w:t>
      </w:r>
    </w:p>
    <w:p w14:paraId="5BC4682E" w14:textId="77777777" w:rsidR="00372E5F" w:rsidRDefault="000E59EC" w:rsidP="009664ED">
      <w:pPr>
        <w:pStyle w:val="ListParagraph"/>
        <w:numPr>
          <w:ilvl w:val="0"/>
          <w:numId w:val="29"/>
        </w:numPr>
        <w:spacing w:before="120" w:after="100" w:afterAutospacing="1"/>
        <w:ind w:left="714" w:hanging="357"/>
        <w:rPr>
          <w:rFonts w:asciiTheme="minorHAnsi" w:eastAsia="Calibri" w:hAnsiTheme="minorHAnsi" w:cstheme="minorHAnsi"/>
          <w:sz w:val="24"/>
          <w:szCs w:val="24"/>
        </w:rPr>
      </w:pPr>
      <w:r w:rsidRPr="00372E5F">
        <w:rPr>
          <w:rFonts w:asciiTheme="minorHAnsi" w:eastAsia="Calibri" w:hAnsiTheme="minorHAnsi" w:cstheme="minorHAnsi"/>
          <w:sz w:val="24"/>
          <w:szCs w:val="24"/>
        </w:rPr>
        <w:t xml:space="preserve">Aboriginal and Torres Strait Islander people should participate in the care and protection of their children and young people with as much </w:t>
      </w:r>
      <w:r w:rsidR="005264F5" w:rsidRPr="00372E5F">
        <w:rPr>
          <w:rFonts w:asciiTheme="minorHAnsi" w:eastAsia="Calibri" w:hAnsiTheme="minorHAnsi" w:cstheme="minorHAnsi"/>
          <w:sz w:val="24"/>
          <w:szCs w:val="24"/>
        </w:rPr>
        <w:t>self-determination</w:t>
      </w:r>
      <w:r w:rsidRPr="00372E5F">
        <w:rPr>
          <w:rFonts w:asciiTheme="minorHAnsi" w:eastAsia="Calibri" w:hAnsiTheme="minorHAnsi" w:cstheme="minorHAnsi"/>
          <w:sz w:val="24"/>
          <w:szCs w:val="24"/>
        </w:rPr>
        <w:t xml:space="preserve"> as possible</w:t>
      </w:r>
    </w:p>
    <w:p w14:paraId="517D68DE" w14:textId="5BE0D7D2" w:rsidR="000E59EC" w:rsidRPr="00372E5F" w:rsidRDefault="000E59EC" w:rsidP="009664ED">
      <w:pPr>
        <w:pStyle w:val="ListParagraph"/>
        <w:numPr>
          <w:ilvl w:val="0"/>
          <w:numId w:val="29"/>
        </w:numPr>
        <w:spacing w:before="120" w:after="100" w:afterAutospacing="1"/>
        <w:ind w:left="714" w:hanging="357"/>
        <w:rPr>
          <w:rFonts w:asciiTheme="minorHAnsi" w:eastAsia="Calibri" w:hAnsiTheme="minorHAnsi" w:cstheme="minorHAnsi"/>
          <w:sz w:val="24"/>
          <w:szCs w:val="24"/>
        </w:rPr>
      </w:pPr>
      <w:r w:rsidRPr="00372E5F">
        <w:rPr>
          <w:rFonts w:asciiTheme="minorHAnsi" w:eastAsia="Calibri" w:hAnsiTheme="minorHAnsi" w:cstheme="minorHAnsi"/>
          <w:sz w:val="24"/>
          <w:szCs w:val="24"/>
        </w:rPr>
        <w:t xml:space="preserve">that government has a responsibility to protect and promote Aboriginal and Torres Strait Islander children and young people’s cultural identity. </w:t>
      </w:r>
    </w:p>
    <w:p w14:paraId="67F6C9FE" w14:textId="11219C4A" w:rsidR="00D141DB" w:rsidRPr="00591C77"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591C77">
        <w:rPr>
          <w:rFonts w:asciiTheme="minorHAnsi" w:eastAsia="Calibri" w:hAnsiTheme="minorHAnsi" w:cstheme="minorHAnsi"/>
          <w:b/>
          <w:sz w:val="24"/>
          <w:szCs w:val="24"/>
        </w:rPr>
        <w:t>Clause 1</w:t>
      </w:r>
      <w:r w:rsidR="00D775A9">
        <w:rPr>
          <w:rFonts w:asciiTheme="minorHAnsi" w:eastAsia="Calibri" w:hAnsiTheme="minorHAnsi" w:cstheme="minorHAnsi"/>
          <w:b/>
          <w:sz w:val="24"/>
          <w:szCs w:val="24"/>
        </w:rPr>
        <w:t>1</w:t>
      </w:r>
      <w:r w:rsidRPr="00591C77">
        <w:rPr>
          <w:rFonts w:asciiTheme="minorHAnsi" w:eastAsia="Calibri" w:hAnsiTheme="minorHAnsi" w:cstheme="minorHAnsi"/>
          <w:b/>
          <w:sz w:val="24"/>
          <w:szCs w:val="24"/>
        </w:rPr>
        <w:t xml:space="preserve"> – </w:t>
      </w:r>
      <w:r w:rsidR="000E59EC" w:rsidRPr="00591C77">
        <w:rPr>
          <w:rFonts w:asciiTheme="minorHAnsi" w:eastAsia="Calibri" w:hAnsiTheme="minorHAnsi" w:cstheme="minorHAnsi"/>
          <w:b/>
          <w:sz w:val="24"/>
          <w:szCs w:val="24"/>
        </w:rPr>
        <w:t xml:space="preserve">Director-general’s functions Section 22 (1) (a) and (b) </w:t>
      </w:r>
    </w:p>
    <w:p w14:paraId="4DB7BBFB" w14:textId="5A1DACC5" w:rsidR="004545E2" w:rsidRPr="00591C77" w:rsidRDefault="004545E2"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w:t>
      </w:r>
      <w:r w:rsidR="000E59EC" w:rsidRPr="00591C77">
        <w:rPr>
          <w:rFonts w:asciiTheme="minorHAnsi" w:eastAsia="Calibri" w:hAnsiTheme="minorHAnsi" w:cstheme="minorHAnsi"/>
          <w:sz w:val="24"/>
          <w:szCs w:val="24"/>
          <w:lang w:eastAsia="en-AU"/>
        </w:rPr>
        <w:t xml:space="preserve"> substitutes clauses (a) and (b) in defining the director-general’s functions. It clarifies the move towards ‘safety, welfare and wellbeing’</w:t>
      </w:r>
      <w:r w:rsidR="00A25BAE">
        <w:rPr>
          <w:rFonts w:asciiTheme="minorHAnsi" w:eastAsia="Calibri" w:hAnsiTheme="minorHAnsi" w:cstheme="minorHAnsi"/>
          <w:sz w:val="24"/>
          <w:szCs w:val="24"/>
          <w:lang w:eastAsia="en-AU"/>
        </w:rPr>
        <w:t xml:space="preserve">. It also clarifies that </w:t>
      </w:r>
      <w:r w:rsidR="000E59EC" w:rsidRPr="00591C77">
        <w:rPr>
          <w:rFonts w:asciiTheme="minorHAnsi" w:eastAsia="Calibri" w:hAnsiTheme="minorHAnsi" w:cstheme="minorHAnsi"/>
          <w:sz w:val="24"/>
          <w:szCs w:val="24"/>
          <w:lang w:eastAsia="en-AU"/>
        </w:rPr>
        <w:t xml:space="preserve">the director-general must provide assistance to families in reducing the incidence of significant harm to children and young people and to protect children and young people where a risk of significant harm has been identified. </w:t>
      </w:r>
    </w:p>
    <w:p w14:paraId="01B00A64" w14:textId="2102C7D7" w:rsidR="00D141DB" w:rsidRPr="00591C77"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591C77">
        <w:rPr>
          <w:rFonts w:asciiTheme="minorHAnsi" w:eastAsia="Calibri" w:hAnsiTheme="minorHAnsi" w:cstheme="minorHAnsi"/>
          <w:b/>
          <w:sz w:val="24"/>
          <w:szCs w:val="24"/>
        </w:rPr>
        <w:t>Clause 1</w:t>
      </w:r>
      <w:r w:rsidR="00D775A9">
        <w:rPr>
          <w:rFonts w:asciiTheme="minorHAnsi" w:eastAsia="Calibri" w:hAnsiTheme="minorHAnsi" w:cstheme="minorHAnsi"/>
          <w:b/>
          <w:sz w:val="24"/>
          <w:szCs w:val="24"/>
        </w:rPr>
        <w:t>2</w:t>
      </w:r>
      <w:r w:rsidRPr="00591C77">
        <w:rPr>
          <w:rFonts w:asciiTheme="minorHAnsi" w:eastAsia="Calibri" w:hAnsiTheme="minorHAnsi" w:cstheme="minorHAnsi"/>
          <w:b/>
          <w:sz w:val="24"/>
          <w:szCs w:val="24"/>
        </w:rPr>
        <w:t xml:space="preserve"> – </w:t>
      </w:r>
      <w:r w:rsidR="001D3E7E" w:rsidRPr="00591C77">
        <w:rPr>
          <w:rFonts w:asciiTheme="minorHAnsi" w:eastAsia="Calibri" w:hAnsiTheme="minorHAnsi" w:cstheme="minorHAnsi"/>
          <w:b/>
          <w:sz w:val="24"/>
          <w:szCs w:val="24"/>
        </w:rPr>
        <w:t>Section 22 (1) (d) and (e)</w:t>
      </w:r>
    </w:p>
    <w:p w14:paraId="19B5DBFD" w14:textId="549A809D" w:rsidR="004545E2" w:rsidRPr="00591C77" w:rsidRDefault="004545E2"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w:t>
      </w:r>
      <w:r w:rsidR="001D3E7E" w:rsidRPr="00591C77">
        <w:rPr>
          <w:rFonts w:asciiTheme="minorHAnsi" w:eastAsia="Calibri" w:hAnsiTheme="minorHAnsi" w:cstheme="minorHAnsi"/>
          <w:sz w:val="24"/>
          <w:szCs w:val="24"/>
          <w:lang w:eastAsia="en-AU"/>
        </w:rPr>
        <w:t xml:space="preserve"> simplifies the reference to mandated reporters shifting towards assisting mandated reporters to perform their legal </w:t>
      </w:r>
      <w:r w:rsidR="00E14FB1" w:rsidRPr="00591C77">
        <w:rPr>
          <w:rFonts w:asciiTheme="minorHAnsi" w:eastAsia="Calibri" w:hAnsiTheme="minorHAnsi" w:cstheme="minorHAnsi"/>
          <w:sz w:val="24"/>
          <w:szCs w:val="24"/>
          <w:lang w:eastAsia="en-AU"/>
        </w:rPr>
        <w:t>obligations and</w:t>
      </w:r>
      <w:r w:rsidR="001D3E7E" w:rsidRPr="00591C77">
        <w:rPr>
          <w:rFonts w:asciiTheme="minorHAnsi" w:eastAsia="Calibri" w:hAnsiTheme="minorHAnsi" w:cstheme="minorHAnsi"/>
          <w:sz w:val="24"/>
          <w:szCs w:val="24"/>
          <w:lang w:eastAsia="en-AU"/>
        </w:rPr>
        <w:t xml:space="preserve"> clarifies the way in which work can be done alongside reporters throughout the reporting process. </w:t>
      </w:r>
    </w:p>
    <w:p w14:paraId="598B4E22" w14:textId="17C8B449" w:rsidR="00D141DB" w:rsidRPr="00591C77"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591C77">
        <w:rPr>
          <w:rFonts w:asciiTheme="minorHAnsi" w:eastAsia="Calibri" w:hAnsiTheme="minorHAnsi" w:cstheme="minorHAnsi"/>
          <w:b/>
          <w:sz w:val="24"/>
          <w:szCs w:val="24"/>
        </w:rPr>
        <w:t>Clause 1</w:t>
      </w:r>
      <w:r w:rsidR="00D775A9">
        <w:rPr>
          <w:rFonts w:asciiTheme="minorHAnsi" w:eastAsia="Calibri" w:hAnsiTheme="minorHAnsi" w:cstheme="minorHAnsi"/>
          <w:b/>
          <w:sz w:val="24"/>
          <w:szCs w:val="24"/>
        </w:rPr>
        <w:t>3</w:t>
      </w:r>
      <w:r w:rsidRPr="00591C77">
        <w:rPr>
          <w:rFonts w:asciiTheme="minorHAnsi" w:eastAsia="Calibri" w:hAnsiTheme="minorHAnsi" w:cstheme="minorHAnsi"/>
          <w:b/>
          <w:sz w:val="24"/>
          <w:szCs w:val="24"/>
        </w:rPr>
        <w:t xml:space="preserve"> – </w:t>
      </w:r>
      <w:r w:rsidR="001D3E7E" w:rsidRPr="00591C77">
        <w:rPr>
          <w:rFonts w:asciiTheme="minorHAnsi" w:eastAsia="Calibri" w:hAnsiTheme="minorHAnsi" w:cstheme="minorHAnsi"/>
          <w:b/>
          <w:sz w:val="24"/>
          <w:szCs w:val="24"/>
        </w:rPr>
        <w:t xml:space="preserve">What is </w:t>
      </w:r>
      <w:r w:rsidR="001D3E7E" w:rsidRPr="00591C77">
        <w:rPr>
          <w:rFonts w:asciiTheme="minorHAnsi" w:eastAsia="Calibri" w:hAnsiTheme="minorHAnsi" w:cstheme="minorHAnsi"/>
          <w:b/>
          <w:i/>
          <w:iCs/>
          <w:sz w:val="24"/>
          <w:szCs w:val="24"/>
        </w:rPr>
        <w:t xml:space="preserve">suitability information? </w:t>
      </w:r>
      <w:r w:rsidR="001D3E7E" w:rsidRPr="00591C77">
        <w:rPr>
          <w:rFonts w:asciiTheme="minorHAnsi" w:eastAsia="Calibri" w:hAnsiTheme="minorHAnsi" w:cstheme="minorHAnsi"/>
          <w:b/>
          <w:sz w:val="24"/>
          <w:szCs w:val="24"/>
        </w:rPr>
        <w:t xml:space="preserve">Section 65(1), definition of suitability information, paragraph (g) </w:t>
      </w:r>
    </w:p>
    <w:p w14:paraId="177F6DC7" w14:textId="05495DDA" w:rsidR="004545E2" w:rsidRPr="00591C77" w:rsidRDefault="004545E2"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w:t>
      </w:r>
      <w:r w:rsidR="001D3E7E" w:rsidRPr="00591C77">
        <w:rPr>
          <w:rFonts w:asciiTheme="minorHAnsi" w:eastAsia="Calibri" w:hAnsiTheme="minorHAnsi" w:cstheme="minorHAnsi"/>
          <w:sz w:val="24"/>
          <w:szCs w:val="24"/>
          <w:lang w:eastAsia="en-AU"/>
        </w:rPr>
        <w:t xml:space="preserve"> substitutes ‘child concern report’ for ‘voluntary report or mandatory report</w:t>
      </w:r>
      <w:r w:rsidR="00A25BAE">
        <w:rPr>
          <w:rFonts w:asciiTheme="minorHAnsi" w:eastAsia="Calibri" w:hAnsiTheme="minorHAnsi" w:cstheme="minorHAnsi"/>
          <w:sz w:val="24"/>
          <w:szCs w:val="24"/>
          <w:lang w:eastAsia="en-AU"/>
        </w:rPr>
        <w:t xml:space="preserve">’, aligned with </w:t>
      </w:r>
      <w:r w:rsidR="001D3E7E" w:rsidRPr="00591C77">
        <w:rPr>
          <w:rFonts w:asciiTheme="minorHAnsi" w:eastAsia="Calibri" w:hAnsiTheme="minorHAnsi" w:cstheme="minorHAnsi"/>
          <w:sz w:val="24"/>
          <w:szCs w:val="24"/>
          <w:lang w:eastAsia="en-AU"/>
        </w:rPr>
        <w:t xml:space="preserve">the reporting provisions throughout the Act. </w:t>
      </w:r>
    </w:p>
    <w:p w14:paraId="293951FF" w14:textId="1B0463D9" w:rsidR="001D3E7E" w:rsidRPr="00591C77"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591C77">
        <w:rPr>
          <w:rFonts w:asciiTheme="minorHAnsi" w:eastAsia="Calibri" w:hAnsiTheme="minorHAnsi" w:cstheme="minorHAnsi"/>
          <w:b/>
          <w:sz w:val="24"/>
          <w:szCs w:val="24"/>
        </w:rPr>
        <w:t>Clause 1</w:t>
      </w:r>
      <w:r w:rsidR="00D775A9">
        <w:rPr>
          <w:rFonts w:asciiTheme="minorHAnsi" w:eastAsia="Calibri" w:hAnsiTheme="minorHAnsi" w:cstheme="minorHAnsi"/>
          <w:b/>
          <w:sz w:val="24"/>
          <w:szCs w:val="24"/>
        </w:rPr>
        <w:t>4</w:t>
      </w:r>
      <w:r w:rsidRPr="00591C77">
        <w:rPr>
          <w:rFonts w:asciiTheme="minorHAnsi" w:eastAsia="Calibri" w:hAnsiTheme="minorHAnsi" w:cstheme="minorHAnsi"/>
          <w:b/>
          <w:sz w:val="24"/>
          <w:szCs w:val="24"/>
        </w:rPr>
        <w:t xml:space="preserve"> – </w:t>
      </w:r>
      <w:r w:rsidR="001D3E7E" w:rsidRPr="00591C77">
        <w:rPr>
          <w:rFonts w:asciiTheme="minorHAnsi" w:eastAsia="Calibri" w:hAnsiTheme="minorHAnsi" w:cstheme="minorHAnsi"/>
          <w:b/>
          <w:sz w:val="24"/>
          <w:szCs w:val="24"/>
        </w:rPr>
        <w:t>Family group conferences – criteria Section 80 (2), example 3</w:t>
      </w:r>
    </w:p>
    <w:p w14:paraId="2A71D5BF" w14:textId="509D93DC" w:rsidR="004545E2" w:rsidRPr="00591C77" w:rsidRDefault="004545E2"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w:t>
      </w:r>
      <w:r w:rsidR="001D3E7E" w:rsidRPr="00591C77">
        <w:rPr>
          <w:rFonts w:asciiTheme="minorHAnsi" w:eastAsia="Calibri" w:hAnsiTheme="minorHAnsi" w:cstheme="minorHAnsi"/>
          <w:sz w:val="24"/>
          <w:szCs w:val="24"/>
          <w:lang w:eastAsia="en-AU"/>
        </w:rPr>
        <w:t xml:space="preserve"> substitutes a reference to ‘substantiated abuse’ for where the director-general identifies a risk of significant harm. This is consistent with the introduction of significant harm to the Act. </w:t>
      </w:r>
      <w:r w:rsidRPr="00591C77">
        <w:rPr>
          <w:rFonts w:asciiTheme="minorHAnsi" w:eastAsia="Calibri" w:hAnsiTheme="minorHAnsi" w:cstheme="minorHAnsi"/>
          <w:sz w:val="24"/>
          <w:szCs w:val="24"/>
          <w:lang w:eastAsia="en-AU"/>
        </w:rPr>
        <w:t xml:space="preserve"> </w:t>
      </w:r>
    </w:p>
    <w:p w14:paraId="04B4F7B0" w14:textId="1DB5E536" w:rsidR="00D775A9"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591C77">
        <w:rPr>
          <w:rFonts w:asciiTheme="minorHAnsi" w:eastAsia="Calibri" w:hAnsiTheme="minorHAnsi" w:cstheme="minorHAnsi"/>
          <w:b/>
          <w:sz w:val="24"/>
          <w:szCs w:val="24"/>
        </w:rPr>
        <w:lastRenderedPageBreak/>
        <w:t>Clause 1</w:t>
      </w:r>
      <w:r w:rsidR="00D775A9">
        <w:rPr>
          <w:rFonts w:asciiTheme="minorHAnsi" w:eastAsia="Calibri" w:hAnsiTheme="minorHAnsi" w:cstheme="minorHAnsi"/>
          <w:b/>
          <w:sz w:val="24"/>
          <w:szCs w:val="24"/>
        </w:rPr>
        <w:t xml:space="preserve">5 </w:t>
      </w:r>
      <w:r w:rsidR="00D775A9" w:rsidRPr="00591C77">
        <w:rPr>
          <w:rFonts w:asciiTheme="minorHAnsi" w:eastAsia="Calibri" w:hAnsiTheme="minorHAnsi" w:cstheme="minorHAnsi"/>
          <w:b/>
          <w:sz w:val="24"/>
          <w:szCs w:val="24"/>
        </w:rPr>
        <w:t xml:space="preserve">– </w:t>
      </w:r>
      <w:r w:rsidR="00D775A9" w:rsidRPr="00D775A9">
        <w:rPr>
          <w:rFonts w:asciiTheme="minorHAnsi" w:eastAsia="Calibri" w:hAnsiTheme="minorHAnsi" w:cstheme="minorHAnsi"/>
          <w:b/>
          <w:sz w:val="24"/>
          <w:szCs w:val="24"/>
        </w:rPr>
        <w:t>Section 80 (2), example 3</w:t>
      </w:r>
    </w:p>
    <w:p w14:paraId="66270CCD" w14:textId="17D7CDB4" w:rsidR="00D775A9" w:rsidRPr="00D775A9" w:rsidRDefault="00D775A9" w:rsidP="000165E8">
      <w:pPr>
        <w:keepNext/>
        <w:spacing w:before="100" w:beforeAutospacing="1" w:after="100" w:afterAutospacing="1"/>
        <w:outlineLvl w:val="3"/>
        <w:rPr>
          <w:rFonts w:asciiTheme="minorHAnsi" w:eastAsia="Calibri" w:hAnsiTheme="minorHAnsi" w:cstheme="minorHAnsi"/>
          <w:bCs/>
          <w:sz w:val="24"/>
          <w:szCs w:val="24"/>
        </w:rPr>
      </w:pPr>
      <w:r w:rsidRPr="00D775A9">
        <w:rPr>
          <w:rFonts w:asciiTheme="minorHAnsi" w:eastAsia="Calibri" w:hAnsiTheme="minorHAnsi" w:cstheme="minorHAnsi"/>
          <w:bCs/>
          <w:sz w:val="24"/>
          <w:szCs w:val="24"/>
        </w:rPr>
        <w:t>This clause omits ‘substantiate</w:t>
      </w:r>
      <w:r>
        <w:rPr>
          <w:rFonts w:asciiTheme="minorHAnsi" w:eastAsia="Calibri" w:hAnsiTheme="minorHAnsi" w:cstheme="minorHAnsi"/>
          <w:bCs/>
          <w:sz w:val="24"/>
          <w:szCs w:val="24"/>
        </w:rPr>
        <w:t xml:space="preserve">s </w:t>
      </w:r>
      <w:r w:rsidRPr="00D775A9">
        <w:rPr>
          <w:rFonts w:asciiTheme="minorHAnsi" w:eastAsia="Calibri" w:hAnsiTheme="minorHAnsi" w:cstheme="minorHAnsi"/>
          <w:bCs/>
          <w:sz w:val="24"/>
          <w:szCs w:val="24"/>
        </w:rPr>
        <w:t>the abuse and subs</w:t>
      </w:r>
      <w:r>
        <w:rPr>
          <w:rFonts w:asciiTheme="minorHAnsi" w:eastAsia="Calibri" w:hAnsiTheme="minorHAnsi" w:cstheme="minorHAnsi"/>
          <w:bCs/>
          <w:sz w:val="24"/>
          <w:szCs w:val="24"/>
        </w:rPr>
        <w:t xml:space="preserve">titutes </w:t>
      </w:r>
      <w:r w:rsidRPr="00D775A9">
        <w:rPr>
          <w:rFonts w:asciiTheme="minorHAnsi" w:eastAsia="Calibri" w:hAnsiTheme="minorHAnsi" w:cstheme="minorHAnsi"/>
          <w:bCs/>
          <w:sz w:val="24"/>
          <w:szCs w:val="24"/>
        </w:rPr>
        <w:t>with ‘identifies a risk of significant harm</w:t>
      </w:r>
      <w:r>
        <w:rPr>
          <w:rFonts w:asciiTheme="minorHAnsi" w:eastAsia="Calibri" w:hAnsiTheme="minorHAnsi" w:cstheme="minorHAnsi"/>
          <w:bCs/>
          <w:sz w:val="24"/>
          <w:szCs w:val="24"/>
        </w:rPr>
        <w:t>.’</w:t>
      </w:r>
      <w:r w:rsidR="00A25BAE" w:rsidRPr="00A25BAE">
        <w:rPr>
          <w:rFonts w:asciiTheme="minorHAnsi" w:eastAsia="Calibri" w:hAnsiTheme="minorHAnsi" w:cstheme="minorHAnsi"/>
          <w:sz w:val="24"/>
          <w:szCs w:val="24"/>
          <w:lang w:eastAsia="en-AU"/>
        </w:rPr>
        <w:t xml:space="preserve"> </w:t>
      </w:r>
      <w:r w:rsidR="00A25BAE" w:rsidRPr="00591C77">
        <w:rPr>
          <w:rFonts w:asciiTheme="minorHAnsi" w:eastAsia="Calibri" w:hAnsiTheme="minorHAnsi" w:cstheme="minorHAnsi"/>
          <w:sz w:val="24"/>
          <w:szCs w:val="24"/>
          <w:lang w:eastAsia="en-AU"/>
        </w:rPr>
        <w:t xml:space="preserve">This is consistent with the introduction of significant harm to the Act.  </w:t>
      </w:r>
    </w:p>
    <w:p w14:paraId="60B348DD" w14:textId="6EABFDD7" w:rsidR="00D775A9" w:rsidRDefault="00D775A9" w:rsidP="000165E8">
      <w:pPr>
        <w:keepNext/>
        <w:spacing w:before="100" w:beforeAutospacing="1" w:after="100" w:afterAutospacing="1"/>
        <w:outlineLvl w:val="3"/>
        <w:rPr>
          <w:b/>
          <w:bCs/>
          <w:sz w:val="23"/>
          <w:szCs w:val="23"/>
        </w:rPr>
      </w:pPr>
      <w:r>
        <w:rPr>
          <w:rFonts w:asciiTheme="minorHAnsi" w:eastAsia="Calibri" w:hAnsiTheme="minorHAnsi" w:cstheme="minorHAnsi"/>
          <w:b/>
          <w:sz w:val="24"/>
          <w:szCs w:val="24"/>
        </w:rPr>
        <w:t>Clause 16</w:t>
      </w:r>
      <w:r w:rsidRPr="00D775A9">
        <w:rPr>
          <w:b/>
          <w:bCs/>
          <w:sz w:val="23"/>
          <w:szCs w:val="23"/>
        </w:rPr>
        <w:t xml:space="preserve"> </w:t>
      </w:r>
      <w:r w:rsidR="00A25BAE" w:rsidRPr="00591C77">
        <w:rPr>
          <w:rFonts w:asciiTheme="minorHAnsi" w:eastAsia="Calibri" w:hAnsiTheme="minorHAnsi" w:cstheme="minorHAnsi"/>
          <w:b/>
          <w:sz w:val="24"/>
          <w:szCs w:val="24"/>
        </w:rPr>
        <w:t xml:space="preserve">– </w:t>
      </w:r>
      <w:r w:rsidR="00A25BAE">
        <w:rPr>
          <w:rFonts w:asciiTheme="minorHAnsi" w:eastAsia="Calibri" w:hAnsiTheme="minorHAnsi" w:cstheme="minorHAnsi"/>
          <w:b/>
          <w:sz w:val="24"/>
          <w:szCs w:val="24"/>
        </w:rPr>
        <w:t>Application</w:t>
      </w:r>
      <w:r>
        <w:rPr>
          <w:b/>
          <w:bCs/>
          <w:sz w:val="23"/>
          <w:szCs w:val="23"/>
        </w:rPr>
        <w:t xml:space="preserve"> of care and protection chapters Part 10.1 heading, note, paragraph (c)</w:t>
      </w:r>
    </w:p>
    <w:p w14:paraId="2719BEFA" w14:textId="4FB78754" w:rsidR="00697A3C" w:rsidRPr="00697A3C" w:rsidRDefault="00697A3C" w:rsidP="000165E8">
      <w:pPr>
        <w:keepNext/>
        <w:spacing w:before="100" w:beforeAutospacing="1" w:after="100" w:afterAutospacing="1"/>
        <w:outlineLvl w:val="3"/>
        <w:rPr>
          <w:rFonts w:asciiTheme="minorHAnsi" w:eastAsia="Calibri" w:hAnsiTheme="minorHAnsi" w:cstheme="minorHAnsi"/>
          <w:bCs/>
          <w:sz w:val="24"/>
          <w:szCs w:val="24"/>
        </w:rPr>
      </w:pPr>
      <w:r w:rsidRPr="00D775A9">
        <w:rPr>
          <w:rFonts w:asciiTheme="minorHAnsi" w:eastAsia="Calibri" w:hAnsiTheme="minorHAnsi" w:cstheme="minorHAnsi"/>
          <w:bCs/>
          <w:sz w:val="24"/>
          <w:szCs w:val="24"/>
        </w:rPr>
        <w:t>This clause omits ‘substantiate</w:t>
      </w:r>
      <w:r>
        <w:rPr>
          <w:rFonts w:asciiTheme="minorHAnsi" w:eastAsia="Calibri" w:hAnsiTheme="minorHAnsi" w:cstheme="minorHAnsi"/>
          <w:bCs/>
          <w:sz w:val="24"/>
          <w:szCs w:val="24"/>
        </w:rPr>
        <w:t xml:space="preserve">s </w:t>
      </w:r>
      <w:r w:rsidRPr="00D775A9">
        <w:rPr>
          <w:rFonts w:asciiTheme="minorHAnsi" w:eastAsia="Calibri" w:hAnsiTheme="minorHAnsi" w:cstheme="minorHAnsi"/>
          <w:bCs/>
          <w:sz w:val="24"/>
          <w:szCs w:val="24"/>
        </w:rPr>
        <w:t>the abuse and subs</w:t>
      </w:r>
      <w:r>
        <w:rPr>
          <w:rFonts w:asciiTheme="minorHAnsi" w:eastAsia="Calibri" w:hAnsiTheme="minorHAnsi" w:cstheme="minorHAnsi"/>
          <w:bCs/>
          <w:sz w:val="24"/>
          <w:szCs w:val="24"/>
        </w:rPr>
        <w:t xml:space="preserve">titutes </w:t>
      </w:r>
      <w:r w:rsidRPr="00D775A9">
        <w:rPr>
          <w:rFonts w:asciiTheme="minorHAnsi" w:eastAsia="Calibri" w:hAnsiTheme="minorHAnsi" w:cstheme="minorHAnsi"/>
          <w:bCs/>
          <w:sz w:val="24"/>
          <w:szCs w:val="24"/>
        </w:rPr>
        <w:t>with ‘identifies a risk of significant harm</w:t>
      </w:r>
      <w:r>
        <w:rPr>
          <w:rFonts w:asciiTheme="minorHAnsi" w:eastAsia="Calibri" w:hAnsiTheme="minorHAnsi" w:cstheme="minorHAnsi"/>
          <w:bCs/>
          <w:sz w:val="24"/>
          <w:szCs w:val="24"/>
        </w:rPr>
        <w:t>.’</w:t>
      </w:r>
      <w:r w:rsidR="00A25BAE" w:rsidRPr="00A25BAE">
        <w:rPr>
          <w:rFonts w:asciiTheme="minorHAnsi" w:eastAsia="Calibri" w:hAnsiTheme="minorHAnsi" w:cstheme="minorHAnsi"/>
          <w:sz w:val="24"/>
          <w:szCs w:val="24"/>
          <w:lang w:eastAsia="en-AU"/>
        </w:rPr>
        <w:t xml:space="preserve"> </w:t>
      </w:r>
      <w:r w:rsidR="00A25BAE" w:rsidRPr="00591C77">
        <w:rPr>
          <w:rFonts w:asciiTheme="minorHAnsi" w:eastAsia="Calibri" w:hAnsiTheme="minorHAnsi" w:cstheme="minorHAnsi"/>
          <w:sz w:val="24"/>
          <w:szCs w:val="24"/>
          <w:lang w:eastAsia="en-AU"/>
        </w:rPr>
        <w:t xml:space="preserve">This is consistent with the introduction of significant harm to the Act.  </w:t>
      </w:r>
    </w:p>
    <w:p w14:paraId="5AF014EF" w14:textId="0F21B792" w:rsidR="00D775A9" w:rsidRDefault="00D775A9" w:rsidP="000165E8">
      <w:pPr>
        <w:keepNext/>
        <w:spacing w:before="100" w:beforeAutospacing="1" w:after="100" w:afterAutospacing="1"/>
        <w:outlineLvl w:val="3"/>
        <w:rPr>
          <w:b/>
          <w:bCs/>
          <w:sz w:val="23"/>
          <w:szCs w:val="23"/>
        </w:rPr>
      </w:pPr>
      <w:r w:rsidRPr="000E555E">
        <w:rPr>
          <w:rFonts w:asciiTheme="minorHAnsi" w:eastAsia="Calibri" w:hAnsiTheme="minorHAnsi" w:cstheme="minorHAnsi"/>
          <w:b/>
          <w:sz w:val="24"/>
          <w:szCs w:val="24"/>
        </w:rPr>
        <w:t>Clause 17 –</w:t>
      </w:r>
      <w:r w:rsidR="000E555E" w:rsidRPr="000E555E">
        <w:rPr>
          <w:b/>
          <w:bCs/>
          <w:sz w:val="23"/>
          <w:szCs w:val="23"/>
        </w:rPr>
        <w:t xml:space="preserve">What are the </w:t>
      </w:r>
      <w:r w:rsidR="000E555E" w:rsidRPr="000E555E">
        <w:rPr>
          <w:b/>
          <w:bCs/>
          <w:i/>
          <w:iCs/>
          <w:sz w:val="23"/>
          <w:szCs w:val="23"/>
        </w:rPr>
        <w:t>care and protection</w:t>
      </w:r>
      <w:r w:rsidR="000E555E">
        <w:rPr>
          <w:b/>
          <w:bCs/>
          <w:i/>
          <w:iCs/>
          <w:sz w:val="23"/>
          <w:szCs w:val="23"/>
        </w:rPr>
        <w:t xml:space="preserve"> chapters</w:t>
      </w:r>
      <w:r w:rsidR="000E555E">
        <w:rPr>
          <w:b/>
          <w:bCs/>
          <w:sz w:val="23"/>
          <w:szCs w:val="23"/>
        </w:rPr>
        <w:t xml:space="preserve">? Section 336, definition of </w:t>
      </w:r>
      <w:r w:rsidR="000E555E">
        <w:rPr>
          <w:b/>
          <w:bCs/>
          <w:i/>
          <w:iCs/>
          <w:sz w:val="23"/>
          <w:szCs w:val="23"/>
        </w:rPr>
        <w:t>care and protection chapters</w:t>
      </w:r>
      <w:r w:rsidR="000E555E">
        <w:rPr>
          <w:b/>
          <w:bCs/>
          <w:sz w:val="23"/>
          <w:szCs w:val="23"/>
        </w:rPr>
        <w:t>, paragraph (b)</w:t>
      </w:r>
    </w:p>
    <w:p w14:paraId="0C750BEE" w14:textId="4ECF876B" w:rsidR="000E555E" w:rsidRPr="000E555E" w:rsidRDefault="000E555E" w:rsidP="000165E8">
      <w:pPr>
        <w:keepNext/>
        <w:spacing w:before="100" w:beforeAutospacing="1" w:after="100" w:afterAutospacing="1"/>
        <w:outlineLvl w:val="3"/>
        <w:rPr>
          <w:rFonts w:asciiTheme="minorHAnsi" w:eastAsia="Calibri" w:hAnsiTheme="minorHAnsi" w:cstheme="minorHAnsi"/>
          <w:bCs/>
          <w:sz w:val="24"/>
          <w:szCs w:val="24"/>
        </w:rPr>
      </w:pPr>
      <w:r w:rsidRPr="000E555E">
        <w:rPr>
          <w:rFonts w:asciiTheme="minorHAnsi" w:eastAsia="Calibri" w:hAnsiTheme="minorHAnsi" w:cstheme="minorHAnsi"/>
          <w:bCs/>
          <w:sz w:val="24"/>
          <w:szCs w:val="24"/>
        </w:rPr>
        <w:t>This clause omits abuse an</w:t>
      </w:r>
      <w:r>
        <w:rPr>
          <w:rFonts w:asciiTheme="minorHAnsi" w:eastAsia="Calibri" w:hAnsiTheme="minorHAnsi" w:cstheme="minorHAnsi"/>
          <w:bCs/>
          <w:sz w:val="24"/>
          <w:szCs w:val="24"/>
        </w:rPr>
        <w:t>d</w:t>
      </w:r>
      <w:r w:rsidRPr="000E555E">
        <w:rPr>
          <w:rFonts w:asciiTheme="minorHAnsi" w:eastAsia="Calibri" w:hAnsiTheme="minorHAnsi" w:cstheme="minorHAnsi"/>
          <w:bCs/>
          <w:sz w:val="24"/>
          <w:szCs w:val="24"/>
        </w:rPr>
        <w:t xml:space="preserve"> neglect and substitutes with risk of significant harm. </w:t>
      </w:r>
      <w:r w:rsidR="00A25BAE" w:rsidRPr="00591C77">
        <w:rPr>
          <w:rFonts w:asciiTheme="minorHAnsi" w:eastAsia="Calibri" w:hAnsiTheme="minorHAnsi" w:cstheme="minorHAnsi"/>
          <w:sz w:val="24"/>
          <w:szCs w:val="24"/>
          <w:lang w:eastAsia="en-AU"/>
        </w:rPr>
        <w:t xml:space="preserve">This is consistent with the introduction of significant harm to the Act.  </w:t>
      </w:r>
    </w:p>
    <w:p w14:paraId="72D4AFF9" w14:textId="0671BA48" w:rsidR="00D141DB" w:rsidRPr="00591C77" w:rsidRDefault="00D775A9" w:rsidP="000165E8">
      <w:pPr>
        <w:keepNext/>
        <w:spacing w:before="100" w:beforeAutospacing="1" w:after="100" w:afterAutospacing="1"/>
        <w:outlineLvl w:val="3"/>
        <w:rPr>
          <w:rFonts w:asciiTheme="minorHAnsi" w:eastAsia="Calibri" w:hAnsiTheme="minorHAnsi" w:cstheme="minorHAnsi"/>
          <w:b/>
          <w:i/>
          <w:iCs/>
          <w:sz w:val="24"/>
          <w:szCs w:val="24"/>
        </w:rPr>
      </w:pPr>
      <w:r>
        <w:rPr>
          <w:rFonts w:asciiTheme="minorHAnsi" w:eastAsia="Calibri" w:hAnsiTheme="minorHAnsi" w:cstheme="minorHAnsi"/>
          <w:b/>
          <w:sz w:val="24"/>
          <w:szCs w:val="24"/>
        </w:rPr>
        <w:t xml:space="preserve">Clause 18 </w:t>
      </w:r>
      <w:r w:rsidR="00D141DB" w:rsidRPr="00591C77">
        <w:rPr>
          <w:rFonts w:asciiTheme="minorHAnsi" w:eastAsia="Calibri" w:hAnsiTheme="minorHAnsi" w:cstheme="minorHAnsi"/>
          <w:b/>
          <w:sz w:val="24"/>
          <w:szCs w:val="24"/>
        </w:rPr>
        <w:t xml:space="preserve">– </w:t>
      </w:r>
      <w:r w:rsidR="001D3E7E" w:rsidRPr="00591C77">
        <w:rPr>
          <w:rFonts w:asciiTheme="minorHAnsi" w:eastAsia="Calibri" w:hAnsiTheme="minorHAnsi" w:cstheme="minorHAnsi"/>
          <w:b/>
          <w:sz w:val="24"/>
          <w:szCs w:val="24"/>
        </w:rPr>
        <w:t xml:space="preserve">Definitions – care and protection chapters Section 341 (1), definitions of </w:t>
      </w:r>
      <w:r w:rsidR="001D3E7E" w:rsidRPr="00591C77">
        <w:rPr>
          <w:rFonts w:asciiTheme="minorHAnsi" w:eastAsia="Calibri" w:hAnsiTheme="minorHAnsi" w:cstheme="minorHAnsi"/>
          <w:b/>
          <w:i/>
          <w:iCs/>
          <w:sz w:val="24"/>
          <w:szCs w:val="24"/>
        </w:rPr>
        <w:t>abuse and neglect</w:t>
      </w:r>
    </w:p>
    <w:p w14:paraId="2EFCD37D" w14:textId="1B8C21BA" w:rsidR="004545E2" w:rsidRDefault="004545E2"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w:t>
      </w:r>
      <w:r w:rsidR="001D3E7E" w:rsidRPr="00591C77">
        <w:rPr>
          <w:rFonts w:asciiTheme="minorHAnsi" w:eastAsia="Calibri" w:hAnsiTheme="minorHAnsi" w:cstheme="minorHAnsi"/>
          <w:sz w:val="24"/>
          <w:szCs w:val="24"/>
          <w:lang w:eastAsia="en-AU"/>
        </w:rPr>
        <w:t xml:space="preserve"> is omitted. </w:t>
      </w:r>
    </w:p>
    <w:p w14:paraId="69F68D32" w14:textId="511C6912" w:rsidR="000E555E" w:rsidRDefault="000E555E" w:rsidP="000165E8">
      <w:pPr>
        <w:spacing w:before="100" w:beforeAutospacing="1" w:after="100" w:afterAutospacing="1"/>
        <w:rPr>
          <w:b/>
          <w:bCs/>
          <w:i/>
          <w:iCs/>
          <w:sz w:val="23"/>
          <w:szCs w:val="23"/>
        </w:rPr>
      </w:pPr>
      <w:r w:rsidRPr="000E555E">
        <w:rPr>
          <w:rFonts w:asciiTheme="minorHAnsi" w:eastAsia="Calibri" w:hAnsiTheme="minorHAnsi" w:cstheme="minorHAnsi"/>
          <w:b/>
          <w:sz w:val="24"/>
          <w:szCs w:val="24"/>
        </w:rPr>
        <w:t>Clause 19 – Se</w:t>
      </w:r>
      <w:r>
        <w:rPr>
          <w:b/>
          <w:bCs/>
          <w:sz w:val="23"/>
          <w:szCs w:val="23"/>
        </w:rPr>
        <w:t xml:space="preserve">ction 341 (1), new definition of </w:t>
      </w:r>
      <w:r>
        <w:rPr>
          <w:b/>
          <w:bCs/>
          <w:i/>
          <w:iCs/>
          <w:sz w:val="23"/>
          <w:szCs w:val="23"/>
        </w:rPr>
        <w:t>significant harm</w:t>
      </w:r>
    </w:p>
    <w:p w14:paraId="49F7A923" w14:textId="0A8AEEEA" w:rsidR="000E555E" w:rsidRPr="00591C77" w:rsidRDefault="000E555E" w:rsidP="000165E8">
      <w:pPr>
        <w:spacing w:before="100" w:beforeAutospacing="1" w:after="100" w:afterAutospacing="1"/>
        <w:rPr>
          <w:rFonts w:asciiTheme="minorHAnsi" w:eastAsia="Calibri" w:hAnsiTheme="minorHAnsi" w:cstheme="minorHAnsi"/>
          <w:sz w:val="24"/>
          <w:szCs w:val="24"/>
          <w:lang w:eastAsia="en-AU"/>
        </w:rPr>
      </w:pPr>
      <w:r w:rsidRPr="000E555E">
        <w:rPr>
          <w:rFonts w:asciiTheme="minorHAnsi" w:eastAsia="Calibri" w:hAnsiTheme="minorHAnsi" w:cstheme="minorHAnsi"/>
          <w:sz w:val="24"/>
          <w:szCs w:val="24"/>
          <w:lang w:eastAsia="en-AU"/>
        </w:rPr>
        <w:t>This clause inse</w:t>
      </w:r>
      <w:r w:rsidR="00A25BAE">
        <w:rPr>
          <w:rFonts w:asciiTheme="minorHAnsi" w:eastAsia="Calibri" w:hAnsiTheme="minorHAnsi" w:cstheme="minorHAnsi"/>
          <w:sz w:val="24"/>
          <w:szCs w:val="24"/>
          <w:lang w:eastAsia="en-AU"/>
        </w:rPr>
        <w:t>r</w:t>
      </w:r>
      <w:r w:rsidRPr="000E555E">
        <w:rPr>
          <w:rFonts w:asciiTheme="minorHAnsi" w:eastAsia="Calibri" w:hAnsiTheme="minorHAnsi" w:cstheme="minorHAnsi"/>
          <w:sz w:val="24"/>
          <w:szCs w:val="24"/>
          <w:lang w:eastAsia="en-AU"/>
        </w:rPr>
        <w:t>ts significant harm</w:t>
      </w:r>
      <w:r>
        <w:rPr>
          <w:rFonts w:asciiTheme="minorHAnsi" w:eastAsia="Calibri" w:hAnsiTheme="minorHAnsi" w:cstheme="minorHAnsi"/>
          <w:sz w:val="24"/>
          <w:szCs w:val="24"/>
          <w:lang w:eastAsia="en-AU"/>
        </w:rPr>
        <w:t>.</w:t>
      </w:r>
    </w:p>
    <w:p w14:paraId="3363BD62" w14:textId="1C57EC12" w:rsidR="00D141DB" w:rsidRPr="00591C77" w:rsidRDefault="00D141DB" w:rsidP="000165E8">
      <w:pPr>
        <w:keepNext/>
        <w:spacing w:before="100" w:beforeAutospacing="1" w:after="100" w:afterAutospacing="1"/>
        <w:outlineLvl w:val="3"/>
        <w:rPr>
          <w:rFonts w:asciiTheme="minorHAnsi" w:eastAsia="Calibri" w:hAnsiTheme="minorHAnsi" w:cstheme="minorHAnsi"/>
          <w:b/>
          <w:i/>
          <w:iCs/>
          <w:sz w:val="24"/>
          <w:szCs w:val="24"/>
        </w:rPr>
      </w:pPr>
      <w:r w:rsidRPr="00591C77">
        <w:rPr>
          <w:rFonts w:asciiTheme="minorHAnsi" w:eastAsia="Calibri" w:hAnsiTheme="minorHAnsi" w:cstheme="minorHAnsi"/>
          <w:b/>
          <w:sz w:val="24"/>
          <w:szCs w:val="24"/>
        </w:rPr>
        <w:t xml:space="preserve">Clause </w:t>
      </w:r>
      <w:r w:rsidR="000E555E">
        <w:rPr>
          <w:rFonts w:asciiTheme="minorHAnsi" w:eastAsia="Calibri" w:hAnsiTheme="minorHAnsi" w:cstheme="minorHAnsi"/>
          <w:b/>
          <w:sz w:val="24"/>
          <w:szCs w:val="24"/>
        </w:rPr>
        <w:t>20</w:t>
      </w:r>
      <w:r w:rsidRPr="00591C77">
        <w:rPr>
          <w:rFonts w:asciiTheme="minorHAnsi" w:eastAsia="Calibri" w:hAnsiTheme="minorHAnsi" w:cstheme="minorHAnsi"/>
          <w:b/>
          <w:sz w:val="24"/>
          <w:szCs w:val="24"/>
        </w:rPr>
        <w:t xml:space="preserve">– </w:t>
      </w:r>
      <w:r w:rsidR="001D3E7E" w:rsidRPr="00591C77">
        <w:rPr>
          <w:rFonts w:asciiTheme="minorHAnsi" w:eastAsia="Calibri" w:hAnsiTheme="minorHAnsi" w:cstheme="minorHAnsi"/>
          <w:b/>
          <w:sz w:val="24"/>
          <w:szCs w:val="24"/>
        </w:rPr>
        <w:t xml:space="preserve">Section 341 (2), definitions of </w:t>
      </w:r>
      <w:r w:rsidR="001D3E7E" w:rsidRPr="00591C77">
        <w:rPr>
          <w:rFonts w:asciiTheme="minorHAnsi" w:eastAsia="Calibri" w:hAnsiTheme="minorHAnsi" w:cstheme="minorHAnsi"/>
          <w:b/>
          <w:i/>
          <w:iCs/>
          <w:sz w:val="24"/>
          <w:szCs w:val="24"/>
        </w:rPr>
        <w:t xml:space="preserve">at risk of abuse or neglect </w:t>
      </w:r>
      <w:r w:rsidR="001D3E7E" w:rsidRPr="00591C77">
        <w:rPr>
          <w:rFonts w:asciiTheme="minorHAnsi" w:eastAsia="Calibri" w:hAnsiTheme="minorHAnsi" w:cstheme="minorHAnsi"/>
          <w:b/>
          <w:sz w:val="24"/>
          <w:szCs w:val="24"/>
        </w:rPr>
        <w:t xml:space="preserve">and </w:t>
      </w:r>
      <w:r w:rsidR="001D3E7E" w:rsidRPr="00591C77">
        <w:rPr>
          <w:rFonts w:asciiTheme="minorHAnsi" w:eastAsia="Calibri" w:hAnsiTheme="minorHAnsi" w:cstheme="minorHAnsi"/>
          <w:b/>
          <w:i/>
          <w:iCs/>
          <w:sz w:val="24"/>
          <w:szCs w:val="24"/>
        </w:rPr>
        <w:t xml:space="preserve">significant harm </w:t>
      </w:r>
    </w:p>
    <w:p w14:paraId="208102C5" w14:textId="491BB967" w:rsidR="004545E2" w:rsidRPr="00591C77" w:rsidRDefault="004545E2"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w:t>
      </w:r>
      <w:r w:rsidR="001D3E7E" w:rsidRPr="00591C77">
        <w:rPr>
          <w:rFonts w:asciiTheme="minorHAnsi" w:eastAsia="Calibri" w:hAnsiTheme="minorHAnsi" w:cstheme="minorHAnsi"/>
          <w:sz w:val="24"/>
          <w:szCs w:val="24"/>
          <w:lang w:eastAsia="en-AU"/>
        </w:rPr>
        <w:t xml:space="preserve"> is omitted. </w:t>
      </w:r>
    </w:p>
    <w:p w14:paraId="1465184B" w14:textId="26465E98" w:rsidR="00D141DB" w:rsidRPr="00591C77"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591C77">
        <w:rPr>
          <w:rFonts w:asciiTheme="minorHAnsi" w:eastAsia="Calibri" w:hAnsiTheme="minorHAnsi" w:cstheme="minorHAnsi"/>
          <w:b/>
          <w:sz w:val="24"/>
          <w:szCs w:val="24"/>
        </w:rPr>
        <w:t>Clause</w:t>
      </w:r>
      <w:r w:rsidR="000E555E">
        <w:rPr>
          <w:rFonts w:asciiTheme="minorHAnsi" w:eastAsia="Calibri" w:hAnsiTheme="minorHAnsi" w:cstheme="minorHAnsi"/>
          <w:b/>
          <w:sz w:val="24"/>
          <w:szCs w:val="24"/>
        </w:rPr>
        <w:t xml:space="preserve"> 21</w:t>
      </w:r>
      <w:r w:rsidRPr="00591C77">
        <w:rPr>
          <w:rFonts w:asciiTheme="minorHAnsi" w:eastAsia="Calibri" w:hAnsiTheme="minorHAnsi" w:cstheme="minorHAnsi"/>
          <w:b/>
          <w:sz w:val="24"/>
          <w:szCs w:val="24"/>
        </w:rPr>
        <w:t xml:space="preserve"> – </w:t>
      </w:r>
      <w:r w:rsidR="001D3E7E" w:rsidRPr="00591C77">
        <w:rPr>
          <w:rFonts w:asciiTheme="minorHAnsi" w:eastAsia="Calibri" w:hAnsiTheme="minorHAnsi" w:cstheme="minorHAnsi"/>
          <w:b/>
          <w:sz w:val="24"/>
          <w:szCs w:val="24"/>
        </w:rPr>
        <w:t xml:space="preserve">Sections 342 and </w:t>
      </w:r>
      <w:r w:rsidR="00CD5BCF" w:rsidRPr="00591C77">
        <w:rPr>
          <w:rFonts w:asciiTheme="minorHAnsi" w:eastAsia="Calibri" w:hAnsiTheme="minorHAnsi" w:cstheme="minorHAnsi"/>
          <w:b/>
          <w:sz w:val="24"/>
          <w:szCs w:val="24"/>
        </w:rPr>
        <w:t>343.</w:t>
      </w:r>
    </w:p>
    <w:p w14:paraId="27613B5F" w14:textId="22E84C40" w:rsidR="004545E2" w:rsidRPr="00591C77" w:rsidRDefault="004545E2"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w:t>
      </w:r>
      <w:r w:rsidR="00CD5BCF" w:rsidRPr="00591C77">
        <w:rPr>
          <w:rFonts w:asciiTheme="minorHAnsi" w:eastAsia="Calibri" w:hAnsiTheme="minorHAnsi" w:cstheme="minorHAnsi"/>
          <w:sz w:val="24"/>
          <w:szCs w:val="24"/>
          <w:lang w:eastAsia="en-AU"/>
        </w:rPr>
        <w:t xml:space="preserve"> is omitted. </w:t>
      </w:r>
    </w:p>
    <w:p w14:paraId="0561B7DC" w14:textId="5266B5DC" w:rsidR="00D141DB" w:rsidRPr="00591C77"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591C77">
        <w:rPr>
          <w:rFonts w:asciiTheme="minorHAnsi" w:eastAsia="Calibri" w:hAnsiTheme="minorHAnsi" w:cstheme="minorHAnsi"/>
          <w:b/>
          <w:sz w:val="24"/>
          <w:szCs w:val="24"/>
        </w:rPr>
        <w:t xml:space="preserve">Clause </w:t>
      </w:r>
      <w:r w:rsidR="000E555E">
        <w:rPr>
          <w:rFonts w:asciiTheme="minorHAnsi" w:eastAsia="Calibri" w:hAnsiTheme="minorHAnsi" w:cstheme="minorHAnsi"/>
          <w:b/>
          <w:sz w:val="24"/>
          <w:szCs w:val="24"/>
        </w:rPr>
        <w:t>22</w:t>
      </w:r>
      <w:r w:rsidRPr="00591C77">
        <w:rPr>
          <w:rFonts w:asciiTheme="minorHAnsi" w:eastAsia="Calibri" w:hAnsiTheme="minorHAnsi" w:cstheme="minorHAnsi"/>
          <w:b/>
          <w:sz w:val="24"/>
          <w:szCs w:val="24"/>
        </w:rPr>
        <w:t xml:space="preserve"> – </w:t>
      </w:r>
      <w:r w:rsidR="00CD5BCF" w:rsidRPr="00591C77">
        <w:rPr>
          <w:rFonts w:asciiTheme="minorHAnsi" w:eastAsia="Calibri" w:hAnsiTheme="minorHAnsi" w:cstheme="minorHAnsi"/>
          <w:b/>
          <w:sz w:val="24"/>
          <w:szCs w:val="24"/>
        </w:rPr>
        <w:t xml:space="preserve">Section 344 </w:t>
      </w:r>
    </w:p>
    <w:p w14:paraId="079E7A8C" w14:textId="4C681F0C" w:rsidR="00CD5BCF" w:rsidRPr="00591C77" w:rsidRDefault="00CD5BCF"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 introduces the definition and concepts of significant harm, replacing the concept of ‘abuse and neglect</w:t>
      </w:r>
      <w:r w:rsidR="00CD7ED7">
        <w:rPr>
          <w:rFonts w:asciiTheme="minorHAnsi" w:eastAsia="Calibri" w:hAnsiTheme="minorHAnsi" w:cstheme="minorHAnsi"/>
          <w:sz w:val="24"/>
          <w:szCs w:val="24"/>
          <w:lang w:eastAsia="en-AU"/>
        </w:rPr>
        <w:t>’</w:t>
      </w:r>
      <w:r w:rsidRPr="00591C77">
        <w:rPr>
          <w:rFonts w:asciiTheme="minorHAnsi" w:eastAsia="Calibri" w:hAnsiTheme="minorHAnsi" w:cstheme="minorHAnsi"/>
          <w:sz w:val="24"/>
          <w:szCs w:val="24"/>
          <w:lang w:eastAsia="en-AU"/>
        </w:rPr>
        <w:t xml:space="preserve">. </w:t>
      </w:r>
    </w:p>
    <w:p w14:paraId="4D74C3D8" w14:textId="7634ABDE" w:rsidR="00CD5BCF" w:rsidRDefault="00CD5BCF"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 xml:space="preserve">The clause defines significant harm to </w:t>
      </w:r>
      <w:r w:rsidR="007E73AE" w:rsidRPr="007E73AE">
        <w:rPr>
          <w:rFonts w:asciiTheme="minorHAnsi" w:eastAsia="Calibri" w:hAnsiTheme="minorHAnsi" w:cstheme="minorHAnsi"/>
          <w:sz w:val="24"/>
          <w:szCs w:val="24"/>
          <w:lang w:eastAsia="en-AU"/>
        </w:rPr>
        <w:t>mean</w:t>
      </w:r>
      <w:r w:rsidR="00993C79">
        <w:rPr>
          <w:rFonts w:asciiTheme="minorHAnsi" w:eastAsia="Calibri" w:hAnsiTheme="minorHAnsi" w:cstheme="minorHAnsi"/>
          <w:sz w:val="24"/>
          <w:szCs w:val="24"/>
          <w:lang w:eastAsia="en-AU"/>
        </w:rPr>
        <w:t xml:space="preserve"> ‘</w:t>
      </w:r>
      <w:r w:rsidR="007E73AE" w:rsidRPr="00993C79">
        <w:rPr>
          <w:rFonts w:asciiTheme="minorHAnsi" w:eastAsia="Calibri" w:hAnsiTheme="minorHAnsi" w:cstheme="minorHAnsi"/>
          <w:i/>
          <w:iCs/>
          <w:sz w:val="24"/>
          <w:szCs w:val="24"/>
          <w:lang w:eastAsia="en-AU"/>
        </w:rPr>
        <w:t>any detrimental effect of a significant nature on the safety, welfare or wellbeing of the child or young person</w:t>
      </w:r>
      <w:r w:rsidR="007E73AE" w:rsidRPr="007E73AE">
        <w:rPr>
          <w:rFonts w:asciiTheme="minorHAnsi" w:eastAsia="Calibri" w:hAnsiTheme="minorHAnsi" w:cstheme="minorHAnsi"/>
          <w:sz w:val="24"/>
          <w:szCs w:val="24"/>
          <w:lang w:eastAsia="en-AU"/>
        </w:rPr>
        <w:t>.</w:t>
      </w:r>
      <w:r w:rsidR="00993C79">
        <w:rPr>
          <w:rFonts w:asciiTheme="minorHAnsi" w:eastAsia="Calibri" w:hAnsiTheme="minorHAnsi" w:cstheme="minorHAnsi"/>
          <w:sz w:val="24"/>
          <w:szCs w:val="24"/>
          <w:lang w:eastAsia="en-AU"/>
        </w:rPr>
        <w:t>’</w:t>
      </w:r>
      <w:r w:rsidR="007E73AE">
        <w:rPr>
          <w:rFonts w:asciiTheme="minorHAnsi" w:eastAsia="Calibri" w:hAnsiTheme="minorHAnsi" w:cstheme="minorHAnsi"/>
          <w:sz w:val="24"/>
          <w:szCs w:val="24"/>
          <w:lang w:eastAsia="en-AU"/>
        </w:rPr>
        <w:t xml:space="preserve"> </w:t>
      </w:r>
      <w:r w:rsidR="00993C79">
        <w:rPr>
          <w:rFonts w:asciiTheme="minorHAnsi" w:eastAsia="Calibri" w:hAnsiTheme="minorHAnsi" w:cstheme="minorHAnsi"/>
          <w:sz w:val="24"/>
          <w:szCs w:val="24"/>
          <w:lang w:eastAsia="en-AU"/>
        </w:rPr>
        <w:t>At s</w:t>
      </w:r>
      <w:r w:rsidR="00A416F8">
        <w:rPr>
          <w:rFonts w:asciiTheme="minorHAnsi" w:eastAsia="Calibri" w:hAnsiTheme="minorHAnsi" w:cstheme="minorHAnsi"/>
          <w:sz w:val="24"/>
          <w:szCs w:val="24"/>
          <w:lang w:eastAsia="en-AU"/>
        </w:rPr>
        <w:t xml:space="preserve">ection </w:t>
      </w:r>
      <w:r w:rsidR="00993C79">
        <w:rPr>
          <w:rFonts w:asciiTheme="minorHAnsi" w:eastAsia="Calibri" w:hAnsiTheme="minorHAnsi" w:cstheme="minorHAnsi"/>
          <w:sz w:val="24"/>
          <w:szCs w:val="24"/>
          <w:lang w:eastAsia="en-AU"/>
        </w:rPr>
        <w:t>344 (2) sets out</w:t>
      </w:r>
      <w:r w:rsidRPr="00591C77">
        <w:rPr>
          <w:rFonts w:asciiTheme="minorHAnsi" w:eastAsia="Calibri" w:hAnsiTheme="minorHAnsi" w:cstheme="minorHAnsi"/>
          <w:sz w:val="24"/>
          <w:szCs w:val="24"/>
          <w:lang w:eastAsia="en-AU"/>
        </w:rPr>
        <w:t xml:space="preserve"> examples of significant harm as 1 or more of the following circumstances being either experienced:</w:t>
      </w:r>
    </w:p>
    <w:p w14:paraId="293131DC" w14:textId="5DCECE7D" w:rsidR="00CD5BCF" w:rsidRPr="00591C77" w:rsidRDefault="00CD5BCF" w:rsidP="009664ED">
      <w:pPr>
        <w:pStyle w:val="ListParagraph"/>
        <w:numPr>
          <w:ilvl w:val="0"/>
          <w:numId w:val="8"/>
        </w:numPr>
        <w:spacing w:before="120"/>
        <w:ind w:left="714" w:hanging="357"/>
        <w:rPr>
          <w:rFonts w:asciiTheme="minorHAnsi" w:eastAsia="Calibri" w:hAnsiTheme="minorHAnsi" w:cstheme="minorHAnsi"/>
          <w:sz w:val="24"/>
          <w:szCs w:val="24"/>
        </w:rPr>
      </w:pPr>
      <w:r w:rsidRPr="00591C77">
        <w:rPr>
          <w:rFonts w:asciiTheme="minorHAnsi" w:eastAsia="Calibri" w:hAnsiTheme="minorHAnsi" w:cstheme="minorHAnsi"/>
          <w:sz w:val="24"/>
          <w:szCs w:val="24"/>
        </w:rPr>
        <w:t>sexual abuse, grooming or sexual exploitation</w:t>
      </w:r>
      <w:r w:rsidR="00F05D1C">
        <w:rPr>
          <w:rFonts w:asciiTheme="minorHAnsi" w:eastAsia="Calibri" w:hAnsiTheme="minorHAnsi" w:cstheme="minorHAnsi"/>
          <w:sz w:val="24"/>
          <w:szCs w:val="24"/>
        </w:rPr>
        <w:t>; or</w:t>
      </w:r>
    </w:p>
    <w:p w14:paraId="5C575882" w14:textId="2DB5E154" w:rsidR="00CD5BCF" w:rsidRPr="00591C77" w:rsidRDefault="00CD5BCF" w:rsidP="009664ED">
      <w:pPr>
        <w:pStyle w:val="ListParagraph"/>
        <w:numPr>
          <w:ilvl w:val="0"/>
          <w:numId w:val="8"/>
        </w:numPr>
        <w:spacing w:before="120"/>
        <w:ind w:left="714" w:hanging="357"/>
        <w:rPr>
          <w:rFonts w:asciiTheme="minorHAnsi" w:eastAsia="Calibri" w:hAnsiTheme="minorHAnsi" w:cstheme="minorHAnsi"/>
          <w:sz w:val="24"/>
          <w:szCs w:val="24"/>
        </w:rPr>
      </w:pPr>
      <w:r w:rsidRPr="00591C77">
        <w:rPr>
          <w:rFonts w:asciiTheme="minorHAnsi" w:eastAsia="Calibri" w:hAnsiTheme="minorHAnsi" w:cstheme="minorHAnsi"/>
          <w:sz w:val="24"/>
          <w:szCs w:val="24"/>
        </w:rPr>
        <w:lastRenderedPageBreak/>
        <w:t>physical or emotional abuse</w:t>
      </w:r>
      <w:r w:rsidR="00F05D1C">
        <w:rPr>
          <w:rFonts w:asciiTheme="minorHAnsi" w:eastAsia="Calibri" w:hAnsiTheme="minorHAnsi" w:cstheme="minorHAnsi"/>
          <w:sz w:val="24"/>
          <w:szCs w:val="24"/>
        </w:rPr>
        <w:t xml:space="preserve">; </w:t>
      </w:r>
    </w:p>
    <w:p w14:paraId="1280A285" w14:textId="72FB4A34" w:rsidR="00CD5BCF" w:rsidRPr="00591C77" w:rsidRDefault="00CD5BCF" w:rsidP="009664ED">
      <w:pPr>
        <w:pStyle w:val="ListParagraph"/>
        <w:numPr>
          <w:ilvl w:val="0"/>
          <w:numId w:val="8"/>
        </w:numPr>
        <w:spacing w:before="120"/>
        <w:ind w:left="714" w:hanging="357"/>
        <w:rPr>
          <w:rFonts w:asciiTheme="minorHAnsi" w:eastAsia="Calibri" w:hAnsiTheme="minorHAnsi" w:cstheme="minorHAnsi"/>
          <w:sz w:val="24"/>
          <w:szCs w:val="24"/>
        </w:rPr>
      </w:pPr>
      <w:r w:rsidRPr="00591C77">
        <w:rPr>
          <w:rFonts w:asciiTheme="minorHAnsi" w:eastAsia="Calibri" w:hAnsiTheme="minorHAnsi" w:cstheme="minorHAnsi"/>
          <w:sz w:val="24"/>
          <w:szCs w:val="24"/>
        </w:rPr>
        <w:t>the child or young person’s basic physical, emotional, developmental or psychological needs are not being met</w:t>
      </w:r>
    </w:p>
    <w:p w14:paraId="2D5A97E4" w14:textId="7E4F09E6" w:rsidR="00CD5BCF" w:rsidRPr="00591C77" w:rsidRDefault="00CD5BCF" w:rsidP="009664ED">
      <w:pPr>
        <w:pStyle w:val="ListParagraph"/>
        <w:numPr>
          <w:ilvl w:val="0"/>
          <w:numId w:val="8"/>
        </w:numPr>
        <w:spacing w:before="120"/>
        <w:ind w:left="714" w:hanging="357"/>
        <w:rPr>
          <w:rFonts w:asciiTheme="minorHAnsi" w:eastAsia="Calibri" w:hAnsiTheme="minorHAnsi" w:cstheme="minorHAnsi"/>
          <w:sz w:val="24"/>
          <w:szCs w:val="24"/>
        </w:rPr>
      </w:pPr>
      <w:r w:rsidRPr="00591C77">
        <w:rPr>
          <w:rFonts w:asciiTheme="minorHAnsi" w:eastAsia="Calibri" w:hAnsiTheme="minorHAnsi" w:cstheme="minorHAnsi"/>
          <w:sz w:val="24"/>
          <w:szCs w:val="24"/>
        </w:rPr>
        <w:t>the child or young person is being exposed to family violence</w:t>
      </w:r>
      <w:r w:rsidR="00993C79">
        <w:rPr>
          <w:rFonts w:asciiTheme="minorHAnsi" w:eastAsia="Calibri" w:hAnsiTheme="minorHAnsi" w:cstheme="minorHAnsi"/>
          <w:sz w:val="24"/>
          <w:szCs w:val="24"/>
        </w:rPr>
        <w:t xml:space="preserve"> as defined at s</w:t>
      </w:r>
      <w:r w:rsidR="00A416F8">
        <w:rPr>
          <w:rFonts w:asciiTheme="minorHAnsi" w:eastAsia="Calibri" w:hAnsiTheme="minorHAnsi" w:cstheme="minorHAnsi"/>
          <w:sz w:val="24"/>
          <w:szCs w:val="24"/>
        </w:rPr>
        <w:t xml:space="preserve">ection </w:t>
      </w:r>
      <w:r w:rsidR="00993C79">
        <w:rPr>
          <w:rFonts w:asciiTheme="minorHAnsi" w:eastAsia="Calibri" w:hAnsiTheme="minorHAnsi" w:cstheme="minorHAnsi"/>
          <w:sz w:val="24"/>
          <w:szCs w:val="24"/>
        </w:rPr>
        <w:t>344(4).</w:t>
      </w:r>
    </w:p>
    <w:p w14:paraId="349DCF69" w14:textId="6045CFD3" w:rsidR="00964042" w:rsidRPr="00964042" w:rsidRDefault="00993C79" w:rsidP="00964042">
      <w:pPr>
        <w:spacing w:before="100" w:beforeAutospacing="1" w:after="100" w:afterAutospacing="1"/>
        <w:rPr>
          <w:rFonts w:asciiTheme="minorHAnsi" w:eastAsia="Calibri" w:hAnsiTheme="minorHAnsi" w:cstheme="minorHAnsi"/>
          <w:sz w:val="24"/>
          <w:szCs w:val="24"/>
        </w:rPr>
      </w:pPr>
      <w:r>
        <w:rPr>
          <w:rFonts w:asciiTheme="minorHAnsi" w:eastAsia="Calibri" w:hAnsiTheme="minorHAnsi" w:cstheme="minorHAnsi"/>
          <w:sz w:val="24"/>
          <w:szCs w:val="24"/>
        </w:rPr>
        <w:t>Section 344(3) set out that t</w:t>
      </w:r>
      <w:r w:rsidR="00CD5BCF" w:rsidRPr="00591C77">
        <w:rPr>
          <w:rFonts w:asciiTheme="minorHAnsi" w:eastAsia="Calibri" w:hAnsiTheme="minorHAnsi" w:cstheme="minorHAnsi"/>
          <w:sz w:val="24"/>
          <w:szCs w:val="24"/>
        </w:rPr>
        <w:t>he above may relate to a single act</w:t>
      </w:r>
      <w:r w:rsidR="006E35AD" w:rsidRPr="00591C77">
        <w:rPr>
          <w:rFonts w:asciiTheme="minorHAnsi" w:eastAsia="Calibri" w:hAnsiTheme="minorHAnsi" w:cstheme="minorHAnsi"/>
          <w:sz w:val="24"/>
          <w:szCs w:val="24"/>
        </w:rPr>
        <w:t>,</w:t>
      </w:r>
      <w:r w:rsidR="00CD5BCF" w:rsidRPr="00591C77">
        <w:rPr>
          <w:rFonts w:asciiTheme="minorHAnsi" w:eastAsia="Calibri" w:hAnsiTheme="minorHAnsi" w:cstheme="minorHAnsi"/>
          <w:sz w:val="24"/>
          <w:szCs w:val="24"/>
        </w:rPr>
        <w:t xml:space="preserve"> omission</w:t>
      </w:r>
      <w:r w:rsidR="006E35AD" w:rsidRPr="00591C77">
        <w:rPr>
          <w:rFonts w:asciiTheme="minorHAnsi" w:eastAsia="Calibri" w:hAnsiTheme="minorHAnsi" w:cstheme="minorHAnsi"/>
          <w:sz w:val="24"/>
          <w:szCs w:val="24"/>
        </w:rPr>
        <w:t xml:space="preserve"> or circumstance</w:t>
      </w:r>
      <w:r w:rsidR="00CD5BCF" w:rsidRPr="00591C77">
        <w:rPr>
          <w:rFonts w:asciiTheme="minorHAnsi" w:eastAsia="Calibri" w:hAnsiTheme="minorHAnsi" w:cstheme="minorHAnsi"/>
          <w:sz w:val="24"/>
          <w:szCs w:val="24"/>
        </w:rPr>
        <w:t xml:space="preserve">, or a </w:t>
      </w:r>
      <w:r w:rsidR="00964042" w:rsidRPr="00964042">
        <w:rPr>
          <w:rFonts w:asciiTheme="minorHAnsi" w:eastAsia="Calibri" w:hAnsiTheme="minorHAnsi" w:cstheme="minorHAnsi"/>
          <w:sz w:val="24"/>
          <w:szCs w:val="24"/>
        </w:rPr>
        <w:t>combination or accumulation of acts, omissions or</w:t>
      </w:r>
      <w:r w:rsidR="00964042">
        <w:rPr>
          <w:rFonts w:asciiTheme="minorHAnsi" w:eastAsia="Calibri" w:hAnsiTheme="minorHAnsi" w:cstheme="minorHAnsi"/>
          <w:sz w:val="24"/>
          <w:szCs w:val="24"/>
        </w:rPr>
        <w:t xml:space="preserve"> circumstances. </w:t>
      </w:r>
    </w:p>
    <w:p w14:paraId="10D738C2" w14:textId="59A22A0D" w:rsidR="00D141DB" w:rsidRPr="00591C77"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591C77">
        <w:rPr>
          <w:rFonts w:asciiTheme="minorHAnsi" w:eastAsia="Calibri" w:hAnsiTheme="minorHAnsi" w:cstheme="minorHAnsi"/>
          <w:b/>
          <w:sz w:val="24"/>
          <w:szCs w:val="24"/>
        </w:rPr>
        <w:t xml:space="preserve">Clause </w:t>
      </w:r>
      <w:r w:rsidR="000E555E">
        <w:rPr>
          <w:rFonts w:asciiTheme="minorHAnsi" w:eastAsia="Calibri" w:hAnsiTheme="minorHAnsi" w:cstheme="minorHAnsi"/>
          <w:b/>
          <w:sz w:val="24"/>
          <w:szCs w:val="24"/>
        </w:rPr>
        <w:t xml:space="preserve">23 </w:t>
      </w:r>
      <w:r w:rsidRPr="00591C77">
        <w:rPr>
          <w:rFonts w:asciiTheme="minorHAnsi" w:eastAsia="Calibri" w:hAnsiTheme="minorHAnsi" w:cstheme="minorHAnsi"/>
          <w:b/>
          <w:sz w:val="24"/>
          <w:szCs w:val="24"/>
        </w:rPr>
        <w:t xml:space="preserve">– </w:t>
      </w:r>
      <w:r w:rsidR="00CD5BCF" w:rsidRPr="00591C77">
        <w:rPr>
          <w:rFonts w:asciiTheme="minorHAnsi" w:eastAsia="Calibri" w:hAnsiTheme="minorHAnsi" w:cstheme="minorHAnsi"/>
          <w:b/>
          <w:sz w:val="24"/>
          <w:szCs w:val="24"/>
        </w:rPr>
        <w:t>When are children and young people in need of care and protection? Section 345(1)</w:t>
      </w:r>
    </w:p>
    <w:p w14:paraId="75177287" w14:textId="0C3D86F5" w:rsidR="00CD5BCF" w:rsidRPr="00591C77" w:rsidRDefault="00CD5BCF"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 xml:space="preserve">This clause substitutes the concept of significant harm into relevant provisions, where a child is in need of care and protection where they are at risk of significant harm, and the person/s with parental responsibility are not willing and able to protect them. </w:t>
      </w:r>
    </w:p>
    <w:p w14:paraId="2BA9290B" w14:textId="2EFF7028" w:rsidR="00D141DB" w:rsidRPr="00591C77"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591C77">
        <w:rPr>
          <w:rFonts w:asciiTheme="minorHAnsi" w:eastAsia="Calibri" w:hAnsiTheme="minorHAnsi" w:cstheme="minorHAnsi"/>
          <w:b/>
          <w:sz w:val="24"/>
          <w:szCs w:val="24"/>
        </w:rPr>
        <w:t xml:space="preserve">Clause </w:t>
      </w:r>
      <w:r w:rsidR="000E555E">
        <w:rPr>
          <w:rFonts w:asciiTheme="minorHAnsi" w:eastAsia="Calibri" w:hAnsiTheme="minorHAnsi" w:cstheme="minorHAnsi"/>
          <w:b/>
          <w:sz w:val="24"/>
          <w:szCs w:val="24"/>
        </w:rPr>
        <w:t>24</w:t>
      </w:r>
      <w:r w:rsidRPr="00591C77">
        <w:rPr>
          <w:rFonts w:asciiTheme="minorHAnsi" w:eastAsia="Calibri" w:hAnsiTheme="minorHAnsi" w:cstheme="minorHAnsi"/>
          <w:b/>
          <w:sz w:val="24"/>
          <w:szCs w:val="24"/>
        </w:rPr>
        <w:t xml:space="preserve"> – </w:t>
      </w:r>
      <w:r w:rsidR="00CD5BCF" w:rsidRPr="00591C77">
        <w:rPr>
          <w:rFonts w:asciiTheme="minorHAnsi" w:eastAsia="Calibri" w:hAnsiTheme="minorHAnsi" w:cstheme="minorHAnsi"/>
          <w:b/>
          <w:sz w:val="24"/>
          <w:szCs w:val="24"/>
        </w:rPr>
        <w:t>Section 346</w:t>
      </w:r>
    </w:p>
    <w:p w14:paraId="47268769" w14:textId="4CACEACE" w:rsidR="00CD5BCF" w:rsidRPr="00591C77" w:rsidRDefault="00CD5BCF"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 xml:space="preserve">This clause collapses section 346, specifying that for the care and protection chapters, the circumstances may have arisen wholly or partly outside the ACT where a belief or suspicion arises that a child is at risk of significant harm. </w:t>
      </w:r>
    </w:p>
    <w:p w14:paraId="1398582D" w14:textId="4173F3A4" w:rsidR="00D141DB" w:rsidRPr="00591C77" w:rsidRDefault="00D141DB" w:rsidP="000165E8">
      <w:pPr>
        <w:keepNext/>
        <w:spacing w:before="100" w:beforeAutospacing="1" w:after="100" w:afterAutospacing="1"/>
        <w:outlineLvl w:val="3"/>
        <w:rPr>
          <w:rFonts w:asciiTheme="minorHAnsi" w:eastAsia="Calibri" w:hAnsiTheme="minorHAnsi" w:cstheme="minorHAnsi"/>
          <w:b/>
          <w:sz w:val="24"/>
          <w:szCs w:val="24"/>
        </w:rPr>
      </w:pPr>
      <w:r w:rsidRPr="00591C77">
        <w:rPr>
          <w:rFonts w:asciiTheme="minorHAnsi" w:eastAsia="Calibri" w:hAnsiTheme="minorHAnsi" w:cstheme="minorHAnsi"/>
          <w:b/>
          <w:sz w:val="24"/>
          <w:szCs w:val="24"/>
        </w:rPr>
        <w:t>Clause 2</w:t>
      </w:r>
      <w:r w:rsidR="00DD1CA9">
        <w:rPr>
          <w:rFonts w:asciiTheme="minorHAnsi" w:eastAsia="Calibri" w:hAnsiTheme="minorHAnsi" w:cstheme="minorHAnsi"/>
          <w:b/>
          <w:sz w:val="24"/>
          <w:szCs w:val="24"/>
        </w:rPr>
        <w:t>5</w:t>
      </w:r>
      <w:r w:rsidRPr="00591C77">
        <w:rPr>
          <w:rFonts w:asciiTheme="minorHAnsi" w:eastAsia="Calibri" w:hAnsiTheme="minorHAnsi" w:cstheme="minorHAnsi"/>
          <w:b/>
          <w:sz w:val="24"/>
          <w:szCs w:val="24"/>
        </w:rPr>
        <w:t xml:space="preserve"> – </w:t>
      </w:r>
      <w:r w:rsidR="00CD5BCF" w:rsidRPr="00591C77">
        <w:rPr>
          <w:rFonts w:asciiTheme="minorHAnsi" w:eastAsia="Calibri" w:hAnsiTheme="minorHAnsi" w:cstheme="minorHAnsi"/>
          <w:b/>
          <w:sz w:val="24"/>
          <w:szCs w:val="24"/>
        </w:rPr>
        <w:t>Section 349</w:t>
      </w:r>
      <w:r w:rsidR="000E555E">
        <w:rPr>
          <w:rFonts w:asciiTheme="minorHAnsi" w:eastAsia="Calibri" w:hAnsiTheme="minorHAnsi" w:cstheme="minorHAnsi"/>
          <w:b/>
          <w:sz w:val="24"/>
          <w:szCs w:val="24"/>
        </w:rPr>
        <w:t xml:space="preserve"> </w:t>
      </w:r>
      <w:r w:rsidR="000E555E">
        <w:rPr>
          <w:b/>
          <w:bCs/>
          <w:sz w:val="23"/>
          <w:szCs w:val="23"/>
        </w:rPr>
        <w:t>What is in best interests of child or young person? Section 349 (1) and (2)</w:t>
      </w:r>
    </w:p>
    <w:p w14:paraId="352CADBD" w14:textId="1BA410E8" w:rsidR="00CD5BCF" w:rsidRPr="002B70F5" w:rsidRDefault="00CD5BCF" w:rsidP="00CD5BCF">
      <w:pPr>
        <w:spacing w:before="240" w:after="120"/>
        <w:rPr>
          <w:rFonts w:asciiTheme="minorHAnsi" w:eastAsia="Calibri" w:hAnsiTheme="minorHAnsi" w:cstheme="minorHAnsi"/>
          <w:sz w:val="24"/>
          <w:szCs w:val="24"/>
          <w:lang w:eastAsia="en-AU"/>
        </w:rPr>
      </w:pPr>
      <w:r w:rsidRPr="002B70F5">
        <w:rPr>
          <w:rFonts w:asciiTheme="minorHAnsi" w:eastAsia="Calibri" w:hAnsiTheme="minorHAnsi" w:cstheme="minorHAnsi"/>
          <w:sz w:val="24"/>
          <w:szCs w:val="24"/>
          <w:lang w:eastAsia="en-AU"/>
        </w:rPr>
        <w:t>Section 349 outlines the matters that a relevant to the ‘best interest’ of a child or young person.</w:t>
      </w:r>
      <w:r w:rsidR="002B70F5" w:rsidRPr="002B70F5">
        <w:t xml:space="preserve"> </w:t>
      </w:r>
    </w:p>
    <w:p w14:paraId="4CFFF91E" w14:textId="34D914DD" w:rsidR="00CD5BCF" w:rsidRPr="00591C77" w:rsidRDefault="00CD5BCF" w:rsidP="00CD5BCF">
      <w:pPr>
        <w:spacing w:before="240" w:after="120"/>
        <w:rPr>
          <w:rFonts w:asciiTheme="minorHAnsi" w:eastAsia="Calibri" w:hAnsiTheme="minorHAnsi" w:cstheme="minorHAnsi"/>
          <w:sz w:val="24"/>
          <w:szCs w:val="24"/>
          <w:lang w:eastAsia="en-AU"/>
        </w:rPr>
      </w:pPr>
      <w:r w:rsidRPr="002B70F5">
        <w:rPr>
          <w:rFonts w:asciiTheme="minorHAnsi" w:eastAsia="Calibri" w:hAnsiTheme="minorHAnsi" w:cstheme="minorHAnsi"/>
          <w:sz w:val="24"/>
          <w:szCs w:val="24"/>
          <w:lang w:eastAsia="en-AU"/>
        </w:rPr>
        <w:t xml:space="preserve">This amendment clarifies that </w:t>
      </w:r>
      <w:r w:rsidR="002B70F5" w:rsidRPr="002B70F5">
        <w:rPr>
          <w:rFonts w:asciiTheme="minorHAnsi" w:eastAsia="Calibri" w:hAnsiTheme="minorHAnsi" w:cstheme="minorHAnsi"/>
          <w:sz w:val="24"/>
          <w:szCs w:val="24"/>
          <w:lang w:eastAsia="en-AU"/>
        </w:rPr>
        <w:t>in deciding what is in the best interests of a child or young person, the need to ensure the child or young person is not at risk of significant harm must always be considered.</w:t>
      </w:r>
    </w:p>
    <w:p w14:paraId="01AA4B7D" w14:textId="3ADD10EF" w:rsidR="00DD1CA9" w:rsidRDefault="00DD1CA9" w:rsidP="000165E8">
      <w:pPr>
        <w:keepNext/>
        <w:spacing w:before="100" w:beforeAutospacing="1" w:after="100" w:afterAutospacing="1"/>
        <w:outlineLvl w:val="3"/>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w:t>
      </w:r>
      <w:r>
        <w:rPr>
          <w:rFonts w:asciiTheme="minorHAnsi" w:eastAsia="Calibri" w:hAnsiTheme="minorHAnsi" w:cstheme="minorHAnsi"/>
          <w:sz w:val="24"/>
          <w:szCs w:val="24"/>
          <w:lang w:eastAsia="en-AU"/>
        </w:rPr>
        <w:t xml:space="preserve"> revises the best interest principles as: </w:t>
      </w:r>
    </w:p>
    <w:p w14:paraId="3F7727A6" w14:textId="78B8C7D6" w:rsidR="00DD1CA9" w:rsidRPr="00DD1CA9" w:rsidRDefault="00DD1CA9" w:rsidP="009664ED">
      <w:pPr>
        <w:pStyle w:val="ListParagraph"/>
        <w:numPr>
          <w:ilvl w:val="0"/>
          <w:numId w:val="22"/>
        </w:numPr>
        <w:spacing w:before="120"/>
        <w:ind w:left="714" w:hanging="357"/>
        <w:rPr>
          <w:rFonts w:asciiTheme="minorHAnsi" w:eastAsia="Calibri" w:hAnsiTheme="minorHAnsi" w:cstheme="minorHAnsi"/>
          <w:sz w:val="24"/>
          <w:szCs w:val="24"/>
        </w:rPr>
      </w:pPr>
      <w:r>
        <w:rPr>
          <w:rFonts w:asciiTheme="minorHAnsi" w:eastAsia="Calibri" w:hAnsiTheme="minorHAnsi" w:cstheme="minorHAnsi"/>
          <w:sz w:val="24"/>
          <w:szCs w:val="24"/>
        </w:rPr>
        <w:t>For t</w:t>
      </w:r>
      <w:r w:rsidRPr="00DD1CA9">
        <w:rPr>
          <w:rFonts w:asciiTheme="minorHAnsi" w:eastAsia="Calibri" w:hAnsiTheme="minorHAnsi" w:cstheme="minorHAnsi"/>
          <w:sz w:val="24"/>
          <w:szCs w:val="24"/>
        </w:rPr>
        <w:t>he care and protection chapters, in deciding what is in the best interests of a child or young person, the need to ensure the child or young person is not at risk of significant harm must always be considered.</w:t>
      </w:r>
    </w:p>
    <w:p w14:paraId="10F6C216" w14:textId="77777777" w:rsidR="00A25BAE" w:rsidRDefault="00DD1CA9" w:rsidP="009664ED">
      <w:pPr>
        <w:pStyle w:val="ListParagraph"/>
        <w:numPr>
          <w:ilvl w:val="0"/>
          <w:numId w:val="22"/>
        </w:numPr>
        <w:spacing w:before="120"/>
        <w:ind w:left="714" w:hanging="357"/>
        <w:rPr>
          <w:rFonts w:asciiTheme="minorHAnsi" w:eastAsia="Calibri" w:hAnsiTheme="minorHAnsi" w:cstheme="minorHAnsi"/>
          <w:sz w:val="24"/>
          <w:szCs w:val="24"/>
        </w:rPr>
      </w:pPr>
      <w:r w:rsidRPr="00DD1CA9">
        <w:rPr>
          <w:rFonts w:asciiTheme="minorHAnsi" w:eastAsia="Calibri" w:hAnsiTheme="minorHAnsi" w:cstheme="minorHAnsi"/>
          <w:sz w:val="24"/>
          <w:szCs w:val="24"/>
        </w:rPr>
        <w:t>The decision-maker must also consider each of the following matters that are relevant to the child or young person:</w:t>
      </w:r>
    </w:p>
    <w:p w14:paraId="3A7BD1F0" w14:textId="77777777" w:rsidR="00A25BAE" w:rsidRDefault="00DD1CA9" w:rsidP="009664ED">
      <w:pPr>
        <w:pStyle w:val="ListParagraph"/>
        <w:numPr>
          <w:ilvl w:val="0"/>
          <w:numId w:val="24"/>
        </w:numPr>
        <w:spacing w:before="120"/>
        <w:ind w:left="1276" w:hanging="357"/>
        <w:rPr>
          <w:rFonts w:asciiTheme="minorHAnsi" w:eastAsia="Calibri" w:hAnsiTheme="minorHAnsi" w:cstheme="minorHAnsi"/>
          <w:sz w:val="24"/>
          <w:szCs w:val="24"/>
        </w:rPr>
      </w:pPr>
      <w:r w:rsidRPr="00A25BAE">
        <w:rPr>
          <w:rFonts w:asciiTheme="minorHAnsi" w:eastAsia="Calibri" w:hAnsiTheme="minorHAnsi" w:cstheme="minorHAnsi"/>
          <w:sz w:val="24"/>
          <w:szCs w:val="24"/>
        </w:rPr>
        <w:t>any views or wishes expressed by the child or young person;</w:t>
      </w:r>
    </w:p>
    <w:p w14:paraId="4FEC0811" w14:textId="77777777" w:rsidR="00A25BAE" w:rsidRDefault="00DD1CA9" w:rsidP="009664ED">
      <w:pPr>
        <w:pStyle w:val="ListParagraph"/>
        <w:numPr>
          <w:ilvl w:val="0"/>
          <w:numId w:val="24"/>
        </w:numPr>
        <w:spacing w:before="120"/>
        <w:ind w:left="1276" w:hanging="357"/>
        <w:rPr>
          <w:rFonts w:asciiTheme="minorHAnsi" w:eastAsia="Calibri" w:hAnsiTheme="minorHAnsi" w:cstheme="minorHAnsi"/>
          <w:sz w:val="24"/>
          <w:szCs w:val="24"/>
        </w:rPr>
      </w:pPr>
      <w:r w:rsidRPr="00A25BAE">
        <w:rPr>
          <w:rFonts w:asciiTheme="minorHAnsi" w:eastAsia="Calibri" w:hAnsiTheme="minorHAnsi" w:cstheme="minorHAnsi"/>
          <w:sz w:val="24"/>
          <w:szCs w:val="24"/>
        </w:rPr>
        <w:t>the nature of the child’s or young person’s relationship with each parent and anyone else;</w:t>
      </w:r>
    </w:p>
    <w:p w14:paraId="741BA458" w14:textId="77777777" w:rsidR="00A25BAE" w:rsidRDefault="00DD1CA9" w:rsidP="009664ED">
      <w:pPr>
        <w:pStyle w:val="ListParagraph"/>
        <w:numPr>
          <w:ilvl w:val="0"/>
          <w:numId w:val="24"/>
        </w:numPr>
        <w:spacing w:before="120"/>
        <w:ind w:left="1276" w:hanging="357"/>
        <w:rPr>
          <w:rFonts w:asciiTheme="minorHAnsi" w:eastAsia="Calibri" w:hAnsiTheme="minorHAnsi" w:cstheme="minorHAnsi"/>
          <w:sz w:val="24"/>
          <w:szCs w:val="24"/>
        </w:rPr>
      </w:pPr>
      <w:r w:rsidRPr="00A25BAE">
        <w:rPr>
          <w:rFonts w:asciiTheme="minorHAnsi" w:eastAsia="Calibri" w:hAnsiTheme="minorHAnsi" w:cstheme="minorHAnsi"/>
          <w:sz w:val="24"/>
          <w:szCs w:val="24"/>
        </w:rPr>
        <w:lastRenderedPageBreak/>
        <w:t>the likely effect on the child or young person of changes to the child’s or young person’s circumstances, including separation from a parent or anyone else with whom the child or young person has been living;</w:t>
      </w:r>
    </w:p>
    <w:p w14:paraId="751B5081" w14:textId="77777777" w:rsidR="00A25BAE" w:rsidRDefault="00DD1CA9" w:rsidP="009664ED">
      <w:pPr>
        <w:pStyle w:val="ListParagraph"/>
        <w:numPr>
          <w:ilvl w:val="0"/>
          <w:numId w:val="24"/>
        </w:numPr>
        <w:spacing w:before="120"/>
        <w:ind w:left="1276" w:hanging="357"/>
        <w:rPr>
          <w:rFonts w:asciiTheme="minorHAnsi" w:eastAsia="Calibri" w:hAnsiTheme="minorHAnsi" w:cstheme="minorHAnsi"/>
          <w:sz w:val="24"/>
          <w:szCs w:val="24"/>
        </w:rPr>
      </w:pPr>
      <w:r w:rsidRPr="00A25BAE">
        <w:rPr>
          <w:rFonts w:asciiTheme="minorHAnsi" w:eastAsia="Calibri" w:hAnsiTheme="minorHAnsi" w:cstheme="minorHAnsi"/>
          <w:sz w:val="24"/>
          <w:szCs w:val="24"/>
        </w:rPr>
        <w:t>the practicalities of the child or young person maintaining contact with each parent and anyone else with whom the child or young person has been living or with whom the child or young person has been having substantial contact;</w:t>
      </w:r>
    </w:p>
    <w:p w14:paraId="6C648BBB" w14:textId="77777777" w:rsidR="00A25BAE" w:rsidRDefault="00DD1CA9" w:rsidP="009664ED">
      <w:pPr>
        <w:pStyle w:val="ListParagraph"/>
        <w:numPr>
          <w:ilvl w:val="0"/>
          <w:numId w:val="24"/>
        </w:numPr>
        <w:spacing w:before="120"/>
        <w:ind w:left="1276" w:hanging="357"/>
        <w:rPr>
          <w:rFonts w:asciiTheme="minorHAnsi" w:eastAsia="Calibri" w:hAnsiTheme="minorHAnsi" w:cstheme="minorHAnsi"/>
          <w:sz w:val="24"/>
          <w:szCs w:val="24"/>
        </w:rPr>
      </w:pPr>
      <w:r w:rsidRPr="00A25BAE">
        <w:rPr>
          <w:rFonts w:asciiTheme="minorHAnsi" w:eastAsia="Calibri" w:hAnsiTheme="minorHAnsi" w:cstheme="minorHAnsi"/>
          <w:sz w:val="24"/>
          <w:szCs w:val="24"/>
        </w:rPr>
        <w:t>the capacity of the child’s or young person’s parents, or anyone else, to provide for the child’s or young person’s needs including emotional and intellectual needs;</w:t>
      </w:r>
    </w:p>
    <w:p w14:paraId="07D869FA" w14:textId="77777777" w:rsidR="00A25BAE" w:rsidRDefault="00DD1CA9" w:rsidP="009664ED">
      <w:pPr>
        <w:pStyle w:val="ListParagraph"/>
        <w:numPr>
          <w:ilvl w:val="0"/>
          <w:numId w:val="24"/>
        </w:numPr>
        <w:spacing w:before="120"/>
        <w:ind w:left="1276" w:hanging="357"/>
        <w:rPr>
          <w:rFonts w:asciiTheme="minorHAnsi" w:eastAsia="Calibri" w:hAnsiTheme="minorHAnsi" w:cstheme="minorHAnsi"/>
          <w:sz w:val="24"/>
          <w:szCs w:val="24"/>
        </w:rPr>
      </w:pPr>
      <w:r w:rsidRPr="00A25BAE">
        <w:rPr>
          <w:rFonts w:asciiTheme="minorHAnsi" w:eastAsia="Calibri" w:hAnsiTheme="minorHAnsi" w:cstheme="minorHAnsi"/>
          <w:sz w:val="24"/>
          <w:szCs w:val="24"/>
        </w:rPr>
        <w:t>for an Aboriginal or Torres Strait Islander child or young person—the Aboriginal and Torres Strait Islander children and young people placement principles set out in section 10;</w:t>
      </w:r>
    </w:p>
    <w:p w14:paraId="3D3D0700" w14:textId="77777777" w:rsidR="00A25BAE" w:rsidRDefault="00DD1CA9" w:rsidP="009664ED">
      <w:pPr>
        <w:pStyle w:val="ListParagraph"/>
        <w:numPr>
          <w:ilvl w:val="0"/>
          <w:numId w:val="24"/>
        </w:numPr>
        <w:spacing w:before="120"/>
        <w:ind w:left="1276" w:hanging="357"/>
        <w:rPr>
          <w:rFonts w:asciiTheme="minorHAnsi" w:eastAsia="Calibri" w:hAnsiTheme="minorHAnsi" w:cstheme="minorHAnsi"/>
          <w:sz w:val="24"/>
          <w:szCs w:val="24"/>
        </w:rPr>
      </w:pPr>
      <w:r w:rsidRPr="00A25BAE">
        <w:rPr>
          <w:rFonts w:asciiTheme="minorHAnsi" w:eastAsia="Calibri" w:hAnsiTheme="minorHAnsi" w:cstheme="minorHAnsi"/>
          <w:sz w:val="24"/>
          <w:szCs w:val="24"/>
        </w:rPr>
        <w:t>that it is important for the child or young person to have settled, stable and permanent living arrangements;</w:t>
      </w:r>
    </w:p>
    <w:p w14:paraId="7C915BAB" w14:textId="77777777" w:rsidR="00A25BAE" w:rsidRDefault="00DD1CA9" w:rsidP="009664ED">
      <w:pPr>
        <w:pStyle w:val="ListParagraph"/>
        <w:numPr>
          <w:ilvl w:val="0"/>
          <w:numId w:val="24"/>
        </w:numPr>
        <w:spacing w:before="120"/>
        <w:ind w:left="1276" w:hanging="357"/>
        <w:rPr>
          <w:rFonts w:asciiTheme="minorHAnsi" w:eastAsia="Calibri" w:hAnsiTheme="minorHAnsi" w:cstheme="minorHAnsi"/>
          <w:sz w:val="24"/>
          <w:szCs w:val="24"/>
        </w:rPr>
      </w:pPr>
      <w:r w:rsidRPr="00A25BAE">
        <w:rPr>
          <w:rFonts w:asciiTheme="minorHAnsi" w:eastAsia="Calibri" w:hAnsiTheme="minorHAnsi" w:cstheme="minorHAnsi"/>
          <w:sz w:val="24"/>
          <w:szCs w:val="24"/>
        </w:rPr>
        <w:t>for decisions about placement of a child or young person—the need to ensure that the earliest possible decisions are made about a safe, supportive and stable placement;</w:t>
      </w:r>
    </w:p>
    <w:p w14:paraId="6AE3D28D" w14:textId="77777777" w:rsidR="00A25BAE" w:rsidRDefault="00DD1CA9" w:rsidP="009664ED">
      <w:pPr>
        <w:pStyle w:val="ListParagraph"/>
        <w:numPr>
          <w:ilvl w:val="0"/>
          <w:numId w:val="24"/>
        </w:numPr>
        <w:spacing w:before="120"/>
        <w:ind w:left="1276" w:hanging="357"/>
        <w:rPr>
          <w:rFonts w:asciiTheme="minorHAnsi" w:eastAsia="Calibri" w:hAnsiTheme="minorHAnsi" w:cstheme="minorHAnsi"/>
          <w:sz w:val="24"/>
          <w:szCs w:val="24"/>
        </w:rPr>
      </w:pPr>
      <w:r w:rsidRPr="00A25BAE">
        <w:rPr>
          <w:rFonts w:asciiTheme="minorHAnsi" w:eastAsia="Calibri" w:hAnsiTheme="minorHAnsi" w:cstheme="minorHAnsi"/>
          <w:sz w:val="24"/>
          <w:szCs w:val="24"/>
        </w:rPr>
        <w:t>the attitude to the child or young person, and to parental responsibilities, demonstrated by each of the child’s or young person’s parents or anyone else;</w:t>
      </w:r>
    </w:p>
    <w:p w14:paraId="1D7F328E" w14:textId="77777777" w:rsidR="00A25BAE" w:rsidRDefault="00DD1CA9" w:rsidP="009664ED">
      <w:pPr>
        <w:pStyle w:val="ListParagraph"/>
        <w:numPr>
          <w:ilvl w:val="0"/>
          <w:numId w:val="24"/>
        </w:numPr>
        <w:spacing w:before="120"/>
        <w:ind w:left="1276" w:hanging="357"/>
        <w:rPr>
          <w:rFonts w:asciiTheme="minorHAnsi" w:eastAsia="Calibri" w:hAnsiTheme="minorHAnsi" w:cstheme="minorHAnsi"/>
          <w:sz w:val="24"/>
          <w:szCs w:val="24"/>
        </w:rPr>
      </w:pPr>
      <w:r w:rsidRPr="00A25BAE">
        <w:rPr>
          <w:rFonts w:asciiTheme="minorHAnsi" w:eastAsia="Calibri" w:hAnsiTheme="minorHAnsi" w:cstheme="minorHAnsi"/>
          <w:sz w:val="24"/>
          <w:szCs w:val="24"/>
        </w:rPr>
        <w:t>any significant harm to the child or young person, or a family member of the child or young person;</w:t>
      </w:r>
    </w:p>
    <w:p w14:paraId="68B118CB" w14:textId="77777777" w:rsidR="000366D1" w:rsidRDefault="00DD1CA9" w:rsidP="009664ED">
      <w:pPr>
        <w:pStyle w:val="ListParagraph"/>
        <w:numPr>
          <w:ilvl w:val="0"/>
          <w:numId w:val="24"/>
        </w:numPr>
        <w:spacing w:before="120"/>
        <w:ind w:left="1276" w:hanging="357"/>
        <w:rPr>
          <w:rFonts w:asciiTheme="minorHAnsi" w:eastAsia="Calibri" w:hAnsiTheme="minorHAnsi" w:cstheme="minorHAnsi"/>
          <w:sz w:val="24"/>
          <w:szCs w:val="24"/>
        </w:rPr>
      </w:pPr>
      <w:r w:rsidRPr="00A25BAE">
        <w:rPr>
          <w:rFonts w:asciiTheme="minorHAnsi" w:eastAsia="Calibri" w:hAnsiTheme="minorHAnsi" w:cstheme="minorHAnsi"/>
          <w:sz w:val="24"/>
          <w:szCs w:val="24"/>
        </w:rPr>
        <w:t>any court order that applies to the child or young person, or a family member of the child or young person.</w:t>
      </w:r>
    </w:p>
    <w:p w14:paraId="58EFA6CD" w14:textId="4DAFB49F" w:rsidR="00964042" w:rsidRPr="000366D1" w:rsidRDefault="000366D1" w:rsidP="009664ED">
      <w:pPr>
        <w:pStyle w:val="ListParagraph"/>
        <w:numPr>
          <w:ilvl w:val="0"/>
          <w:numId w:val="22"/>
        </w:numPr>
        <w:spacing w:before="120"/>
        <w:ind w:left="714" w:hanging="357"/>
        <w:rPr>
          <w:rFonts w:asciiTheme="minorHAnsi" w:eastAsia="Calibri" w:hAnsiTheme="minorHAnsi" w:cstheme="minorHAnsi"/>
          <w:sz w:val="24"/>
          <w:szCs w:val="24"/>
        </w:rPr>
      </w:pPr>
      <w:r w:rsidRPr="000366D1">
        <w:rPr>
          <w:rFonts w:asciiTheme="minorHAnsi" w:eastAsia="Calibri" w:hAnsiTheme="minorHAnsi" w:cstheme="minorHAnsi"/>
          <w:sz w:val="24"/>
          <w:szCs w:val="24"/>
        </w:rPr>
        <w:t>The decision-maker may also consider any other fact or circumstance the decision-maker considers relevant.</w:t>
      </w:r>
    </w:p>
    <w:p w14:paraId="60CFAE27" w14:textId="79631389" w:rsidR="009268B5" w:rsidRPr="009268B5" w:rsidRDefault="009268B5" w:rsidP="000165E8">
      <w:pPr>
        <w:spacing w:before="100" w:beforeAutospacing="1" w:after="100" w:afterAutospacing="1"/>
        <w:rPr>
          <w:rFonts w:asciiTheme="minorHAnsi" w:eastAsia="Calibri" w:hAnsiTheme="minorHAnsi" w:cstheme="minorHAnsi"/>
          <w:sz w:val="24"/>
          <w:szCs w:val="24"/>
        </w:rPr>
      </w:pPr>
      <w:r w:rsidRPr="009268B5">
        <w:rPr>
          <w:rFonts w:asciiTheme="minorHAnsi" w:eastAsia="Calibri" w:hAnsiTheme="minorHAnsi" w:cstheme="minorHAnsi"/>
          <w:sz w:val="24"/>
          <w:szCs w:val="24"/>
        </w:rPr>
        <w:t>Section 349(f)</w:t>
      </w:r>
      <w:r w:rsidR="000366D1">
        <w:rPr>
          <w:rFonts w:asciiTheme="minorHAnsi" w:eastAsia="Calibri" w:hAnsiTheme="minorHAnsi" w:cstheme="minorHAnsi"/>
          <w:sz w:val="24"/>
          <w:szCs w:val="24"/>
        </w:rPr>
        <w:t>:</w:t>
      </w:r>
      <w:r w:rsidRPr="009268B5">
        <w:rPr>
          <w:rFonts w:asciiTheme="minorHAnsi" w:eastAsia="Calibri" w:hAnsiTheme="minorHAnsi" w:cstheme="minorHAnsi"/>
          <w:sz w:val="24"/>
          <w:szCs w:val="24"/>
        </w:rPr>
        <w:t xml:space="preserve"> This clause provides that the placement principles set out in section 10 are in the best interest of an Aboriginal or Torres Strait Islander child or young person.</w:t>
      </w:r>
    </w:p>
    <w:p w14:paraId="57CDA4F8" w14:textId="0762E2DF" w:rsidR="00DD1CA9" w:rsidRDefault="00DD1CA9" w:rsidP="000165E8">
      <w:pPr>
        <w:keepNext/>
        <w:spacing w:before="100" w:beforeAutospacing="1" w:after="100" w:afterAutospacing="1"/>
        <w:outlineLvl w:val="3"/>
        <w:rPr>
          <w:b/>
          <w:bCs/>
          <w:sz w:val="23"/>
          <w:szCs w:val="23"/>
        </w:rPr>
      </w:pPr>
      <w:r w:rsidRPr="00591C77">
        <w:rPr>
          <w:rFonts w:asciiTheme="minorHAnsi" w:eastAsia="Calibri" w:hAnsiTheme="minorHAnsi" w:cstheme="minorHAnsi"/>
          <w:b/>
          <w:sz w:val="24"/>
          <w:szCs w:val="24"/>
        </w:rPr>
        <w:t>Clause 2</w:t>
      </w:r>
      <w:r>
        <w:rPr>
          <w:rFonts w:asciiTheme="minorHAnsi" w:eastAsia="Calibri" w:hAnsiTheme="minorHAnsi" w:cstheme="minorHAnsi"/>
          <w:b/>
          <w:sz w:val="24"/>
          <w:szCs w:val="24"/>
        </w:rPr>
        <w:t>6</w:t>
      </w:r>
      <w:r w:rsidRPr="00591C77">
        <w:rPr>
          <w:rFonts w:asciiTheme="minorHAnsi" w:eastAsia="Calibri" w:hAnsiTheme="minorHAnsi" w:cstheme="minorHAnsi"/>
          <w:b/>
          <w:sz w:val="24"/>
          <w:szCs w:val="24"/>
        </w:rPr>
        <w:t xml:space="preserve"> –</w:t>
      </w:r>
      <w:r>
        <w:rPr>
          <w:rFonts w:asciiTheme="minorHAnsi" w:eastAsia="Calibri" w:hAnsiTheme="minorHAnsi" w:cstheme="minorHAnsi"/>
          <w:b/>
          <w:sz w:val="24"/>
          <w:szCs w:val="24"/>
        </w:rPr>
        <w:t xml:space="preserve"> </w:t>
      </w:r>
      <w:r>
        <w:rPr>
          <w:b/>
          <w:bCs/>
          <w:sz w:val="23"/>
          <w:szCs w:val="23"/>
        </w:rPr>
        <w:t>Care and protection principles Section 350 (1) (b)</w:t>
      </w:r>
    </w:p>
    <w:p w14:paraId="77A64440" w14:textId="3171AFF2" w:rsidR="00DD1CA9" w:rsidRDefault="00DD1CA9"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 xml:space="preserve">This clause omits the reference to </w:t>
      </w:r>
      <w:r w:rsidR="00A25BAE">
        <w:rPr>
          <w:rFonts w:asciiTheme="minorHAnsi" w:eastAsia="Calibri" w:hAnsiTheme="minorHAnsi" w:cstheme="minorHAnsi"/>
          <w:sz w:val="24"/>
          <w:szCs w:val="24"/>
          <w:lang w:eastAsia="en-AU"/>
        </w:rPr>
        <w:t>‘</w:t>
      </w:r>
      <w:r w:rsidRPr="00591C77">
        <w:rPr>
          <w:rFonts w:asciiTheme="minorHAnsi" w:eastAsia="Calibri" w:hAnsiTheme="minorHAnsi" w:cstheme="minorHAnsi"/>
          <w:sz w:val="24"/>
          <w:szCs w:val="24"/>
          <w:lang w:eastAsia="en-AU"/>
        </w:rPr>
        <w:t>wellbeing, care and protection</w:t>
      </w:r>
      <w:r w:rsidR="00A25BAE">
        <w:rPr>
          <w:rFonts w:asciiTheme="minorHAnsi" w:eastAsia="Calibri" w:hAnsiTheme="minorHAnsi" w:cstheme="minorHAnsi"/>
          <w:sz w:val="24"/>
          <w:szCs w:val="24"/>
          <w:lang w:eastAsia="en-AU"/>
        </w:rPr>
        <w:t>’</w:t>
      </w:r>
      <w:r w:rsidRPr="00591C77">
        <w:rPr>
          <w:rFonts w:asciiTheme="minorHAnsi" w:eastAsia="Calibri" w:hAnsiTheme="minorHAnsi" w:cstheme="minorHAnsi"/>
          <w:sz w:val="24"/>
          <w:szCs w:val="24"/>
          <w:lang w:eastAsia="en-AU"/>
        </w:rPr>
        <w:t xml:space="preserve"> and substitutes a reference to </w:t>
      </w:r>
      <w:r w:rsidR="00A25BAE">
        <w:rPr>
          <w:rFonts w:asciiTheme="minorHAnsi" w:eastAsia="Calibri" w:hAnsiTheme="minorHAnsi" w:cstheme="minorHAnsi"/>
          <w:sz w:val="24"/>
          <w:szCs w:val="24"/>
          <w:lang w:eastAsia="en-AU"/>
        </w:rPr>
        <w:t>‘</w:t>
      </w:r>
      <w:r w:rsidRPr="00591C77">
        <w:rPr>
          <w:rFonts w:asciiTheme="minorHAnsi" w:eastAsia="Calibri" w:hAnsiTheme="minorHAnsi" w:cstheme="minorHAnsi"/>
          <w:sz w:val="24"/>
          <w:szCs w:val="24"/>
          <w:lang w:eastAsia="en-AU"/>
        </w:rPr>
        <w:t>safety, welfare and wellbeing.</w:t>
      </w:r>
      <w:r w:rsidR="00A25BAE">
        <w:rPr>
          <w:rFonts w:asciiTheme="minorHAnsi" w:eastAsia="Calibri" w:hAnsiTheme="minorHAnsi" w:cstheme="minorHAnsi"/>
          <w:sz w:val="24"/>
          <w:szCs w:val="24"/>
          <w:lang w:eastAsia="en-AU"/>
        </w:rPr>
        <w:t>’</w:t>
      </w:r>
      <w:r w:rsidRPr="00591C77">
        <w:rPr>
          <w:rFonts w:asciiTheme="minorHAnsi" w:eastAsia="Calibri" w:hAnsiTheme="minorHAnsi" w:cstheme="minorHAnsi"/>
          <w:sz w:val="24"/>
          <w:szCs w:val="24"/>
          <w:lang w:eastAsia="en-AU"/>
        </w:rPr>
        <w:t xml:space="preserve"> This is consistent with other changes to the legislation in a move towards protecting children and young people’s ‘safety, welfare and wellbeing’. </w:t>
      </w:r>
    </w:p>
    <w:p w14:paraId="665601F0" w14:textId="16316E08" w:rsidR="00DD1CA9" w:rsidRDefault="00DD1CA9" w:rsidP="000165E8">
      <w:pPr>
        <w:spacing w:before="100" w:beforeAutospacing="1" w:after="100" w:afterAutospacing="1"/>
        <w:rPr>
          <w:rFonts w:asciiTheme="minorHAnsi" w:eastAsia="Calibri" w:hAnsiTheme="minorHAnsi" w:cstheme="minorHAnsi"/>
          <w:b/>
          <w:sz w:val="24"/>
          <w:szCs w:val="24"/>
        </w:rPr>
      </w:pPr>
      <w:r w:rsidRPr="00591C77">
        <w:rPr>
          <w:rFonts w:asciiTheme="minorHAnsi" w:eastAsia="Calibri" w:hAnsiTheme="minorHAnsi" w:cstheme="minorHAnsi"/>
          <w:b/>
          <w:sz w:val="24"/>
          <w:szCs w:val="24"/>
        </w:rPr>
        <w:t>Clause 2</w:t>
      </w:r>
      <w:r>
        <w:rPr>
          <w:rFonts w:asciiTheme="minorHAnsi" w:eastAsia="Calibri" w:hAnsiTheme="minorHAnsi" w:cstheme="minorHAnsi"/>
          <w:b/>
          <w:sz w:val="24"/>
          <w:szCs w:val="24"/>
        </w:rPr>
        <w:t>7</w:t>
      </w:r>
      <w:r w:rsidRPr="00591C77">
        <w:rPr>
          <w:rFonts w:asciiTheme="minorHAnsi" w:eastAsia="Calibri" w:hAnsiTheme="minorHAnsi" w:cstheme="minorHAnsi"/>
          <w:b/>
          <w:sz w:val="24"/>
          <w:szCs w:val="24"/>
        </w:rPr>
        <w:t xml:space="preserve"> –</w:t>
      </w:r>
      <w:r w:rsidRPr="00DD1CA9">
        <w:t xml:space="preserve"> </w:t>
      </w:r>
      <w:r w:rsidRPr="00DD1CA9">
        <w:rPr>
          <w:rFonts w:asciiTheme="minorHAnsi" w:eastAsia="Calibri" w:hAnsiTheme="minorHAnsi" w:cstheme="minorHAnsi"/>
          <w:b/>
          <w:sz w:val="24"/>
          <w:szCs w:val="24"/>
        </w:rPr>
        <w:t>Section 350 (2)</w:t>
      </w:r>
    </w:p>
    <w:p w14:paraId="0156E2D4" w14:textId="6DCFD42F" w:rsidR="00DD1CA9" w:rsidRDefault="00DD1CA9" w:rsidP="000165E8">
      <w:pPr>
        <w:spacing w:before="100" w:beforeAutospacing="1" w:after="100" w:afterAutospacing="1"/>
        <w:rPr>
          <w:bCs/>
          <w:sz w:val="23"/>
          <w:szCs w:val="23"/>
        </w:rPr>
      </w:pPr>
      <w:r w:rsidRPr="00DD1CA9">
        <w:rPr>
          <w:rFonts w:asciiTheme="minorHAnsi" w:eastAsia="Calibri" w:hAnsiTheme="minorHAnsi" w:cstheme="minorHAnsi"/>
          <w:bCs/>
          <w:sz w:val="24"/>
          <w:szCs w:val="24"/>
        </w:rPr>
        <w:t xml:space="preserve">This clause revises wording from </w:t>
      </w:r>
      <w:r>
        <w:rPr>
          <w:rFonts w:asciiTheme="minorHAnsi" w:eastAsia="Calibri" w:hAnsiTheme="minorHAnsi" w:cstheme="minorHAnsi"/>
          <w:bCs/>
          <w:sz w:val="24"/>
          <w:szCs w:val="24"/>
        </w:rPr>
        <w:t>‘</w:t>
      </w:r>
      <w:r w:rsidRPr="00DD1CA9">
        <w:rPr>
          <w:bCs/>
          <w:sz w:val="23"/>
          <w:szCs w:val="23"/>
        </w:rPr>
        <w:t>section 10 (Aboriginal and Torres Strait Islander children and young people principle)</w:t>
      </w:r>
      <w:r>
        <w:rPr>
          <w:bCs/>
          <w:sz w:val="23"/>
          <w:szCs w:val="23"/>
        </w:rPr>
        <w:t>’</w:t>
      </w:r>
      <w:r w:rsidRPr="00DD1CA9">
        <w:rPr>
          <w:bCs/>
          <w:sz w:val="23"/>
          <w:szCs w:val="23"/>
        </w:rPr>
        <w:t xml:space="preserve"> to </w:t>
      </w:r>
      <w:r>
        <w:rPr>
          <w:bCs/>
          <w:sz w:val="23"/>
          <w:szCs w:val="23"/>
        </w:rPr>
        <w:t>‘</w:t>
      </w:r>
      <w:r w:rsidRPr="00DD1CA9">
        <w:rPr>
          <w:bCs/>
          <w:sz w:val="23"/>
          <w:szCs w:val="23"/>
        </w:rPr>
        <w:t>section 10 (Aboriginal and Torres Strait Islander children and young people—placement principles)</w:t>
      </w:r>
      <w:r>
        <w:rPr>
          <w:bCs/>
          <w:sz w:val="23"/>
          <w:szCs w:val="23"/>
        </w:rPr>
        <w:t>’</w:t>
      </w:r>
      <w:r w:rsidRPr="00DD1CA9">
        <w:rPr>
          <w:bCs/>
          <w:sz w:val="23"/>
          <w:szCs w:val="23"/>
        </w:rPr>
        <w:t>.</w:t>
      </w:r>
    </w:p>
    <w:p w14:paraId="0AF22BFE" w14:textId="77777777" w:rsidR="009664ED" w:rsidRDefault="009664ED">
      <w:pPr>
        <w:spacing w:after="160" w:line="259" w:lineRule="auto"/>
        <w:rPr>
          <w:rFonts w:asciiTheme="minorHAnsi" w:eastAsia="Calibri" w:hAnsiTheme="minorHAnsi" w:cstheme="minorHAnsi"/>
          <w:b/>
          <w:sz w:val="24"/>
          <w:szCs w:val="24"/>
        </w:rPr>
      </w:pPr>
      <w:r>
        <w:rPr>
          <w:rFonts w:asciiTheme="minorHAnsi" w:eastAsia="Calibri" w:hAnsiTheme="minorHAnsi" w:cstheme="minorHAnsi"/>
          <w:b/>
          <w:sz w:val="24"/>
          <w:szCs w:val="24"/>
        </w:rPr>
        <w:br w:type="page"/>
      </w:r>
    </w:p>
    <w:p w14:paraId="590C00BD" w14:textId="5B4897BE" w:rsidR="00DD1CA9" w:rsidRDefault="00DD1CA9" w:rsidP="000165E8">
      <w:pPr>
        <w:spacing w:before="100" w:beforeAutospacing="1" w:after="100" w:afterAutospacing="1"/>
        <w:rPr>
          <w:rFonts w:asciiTheme="minorHAnsi" w:eastAsia="Calibri" w:hAnsiTheme="minorHAnsi" w:cstheme="minorHAnsi"/>
          <w:b/>
          <w:sz w:val="24"/>
          <w:szCs w:val="24"/>
        </w:rPr>
      </w:pPr>
      <w:r w:rsidRPr="00DD1CA9">
        <w:rPr>
          <w:rFonts w:asciiTheme="minorHAnsi" w:eastAsia="Calibri" w:hAnsiTheme="minorHAnsi" w:cstheme="minorHAnsi"/>
          <w:b/>
          <w:sz w:val="24"/>
          <w:szCs w:val="24"/>
        </w:rPr>
        <w:lastRenderedPageBreak/>
        <w:t xml:space="preserve">Clause 28 </w:t>
      </w:r>
      <w:r w:rsidRPr="00591C77">
        <w:rPr>
          <w:rFonts w:asciiTheme="minorHAnsi" w:eastAsia="Calibri" w:hAnsiTheme="minorHAnsi" w:cstheme="minorHAnsi"/>
          <w:b/>
          <w:sz w:val="24"/>
          <w:szCs w:val="24"/>
        </w:rPr>
        <w:t>–</w:t>
      </w:r>
      <w:r w:rsidRPr="00DD1CA9">
        <w:rPr>
          <w:rFonts w:asciiTheme="minorHAnsi" w:eastAsia="Calibri" w:hAnsiTheme="minorHAnsi" w:cstheme="minorHAnsi"/>
          <w:b/>
          <w:sz w:val="24"/>
          <w:szCs w:val="24"/>
        </w:rPr>
        <w:t xml:space="preserve"> Chapter 11 heading</w:t>
      </w:r>
    </w:p>
    <w:p w14:paraId="33FE4F17" w14:textId="3A932BC6" w:rsidR="00DD1CA9" w:rsidRDefault="00DD1CA9" w:rsidP="000165E8">
      <w:pPr>
        <w:spacing w:before="100" w:beforeAutospacing="1" w:after="100" w:afterAutospacing="1"/>
        <w:rPr>
          <w:bCs/>
          <w:sz w:val="23"/>
          <w:szCs w:val="23"/>
        </w:rPr>
      </w:pPr>
      <w:r w:rsidRPr="003806BC">
        <w:rPr>
          <w:bCs/>
          <w:sz w:val="23"/>
          <w:szCs w:val="23"/>
        </w:rPr>
        <w:t xml:space="preserve">This clause revises the </w:t>
      </w:r>
      <w:r w:rsidR="003806BC">
        <w:rPr>
          <w:bCs/>
          <w:sz w:val="23"/>
          <w:szCs w:val="23"/>
        </w:rPr>
        <w:t xml:space="preserve">heading </w:t>
      </w:r>
      <w:r w:rsidRPr="003806BC">
        <w:rPr>
          <w:bCs/>
          <w:sz w:val="23"/>
          <w:szCs w:val="23"/>
        </w:rPr>
        <w:t xml:space="preserve">to </w:t>
      </w:r>
      <w:r w:rsidR="003806BC">
        <w:rPr>
          <w:bCs/>
          <w:sz w:val="23"/>
          <w:szCs w:val="23"/>
        </w:rPr>
        <w:t>‘</w:t>
      </w:r>
      <w:r w:rsidR="00300D84">
        <w:rPr>
          <w:bCs/>
          <w:sz w:val="23"/>
          <w:szCs w:val="23"/>
        </w:rPr>
        <w:t>c</w:t>
      </w:r>
      <w:r w:rsidR="003806BC" w:rsidRPr="003806BC">
        <w:rPr>
          <w:bCs/>
          <w:sz w:val="23"/>
          <w:szCs w:val="23"/>
        </w:rPr>
        <w:t>are and protection—reporting and assessing risk of significant harm</w:t>
      </w:r>
      <w:r w:rsidR="003806BC">
        <w:rPr>
          <w:bCs/>
          <w:sz w:val="23"/>
          <w:szCs w:val="23"/>
        </w:rPr>
        <w:t>’</w:t>
      </w:r>
      <w:r w:rsidR="003806BC" w:rsidRPr="003806BC">
        <w:rPr>
          <w:bCs/>
          <w:sz w:val="23"/>
          <w:szCs w:val="23"/>
        </w:rPr>
        <w:t xml:space="preserve">. </w:t>
      </w:r>
      <w:r w:rsidR="00A25BAE" w:rsidRPr="00591C77">
        <w:rPr>
          <w:rFonts w:asciiTheme="minorHAnsi" w:eastAsia="Calibri" w:hAnsiTheme="minorHAnsi" w:cstheme="minorHAnsi"/>
          <w:sz w:val="24"/>
          <w:szCs w:val="24"/>
          <w:lang w:eastAsia="en-AU"/>
        </w:rPr>
        <w:t xml:space="preserve">This is consistent with the introduction of significant harm to the Act.  </w:t>
      </w:r>
    </w:p>
    <w:p w14:paraId="4A786DBE" w14:textId="1F9FDDC5" w:rsidR="003806BC" w:rsidRPr="003806BC" w:rsidRDefault="003806BC" w:rsidP="000165E8">
      <w:pPr>
        <w:spacing w:before="100" w:beforeAutospacing="1" w:after="100" w:afterAutospacing="1"/>
        <w:rPr>
          <w:rFonts w:asciiTheme="minorHAnsi" w:eastAsia="Calibri" w:hAnsiTheme="minorHAnsi" w:cstheme="minorHAnsi"/>
          <w:b/>
          <w:sz w:val="24"/>
          <w:szCs w:val="24"/>
        </w:rPr>
      </w:pPr>
      <w:r w:rsidRPr="00DD1CA9">
        <w:rPr>
          <w:rFonts w:asciiTheme="minorHAnsi" w:eastAsia="Calibri" w:hAnsiTheme="minorHAnsi" w:cstheme="minorHAnsi"/>
          <w:b/>
          <w:sz w:val="24"/>
          <w:szCs w:val="24"/>
        </w:rPr>
        <w:t>Clause 2</w:t>
      </w:r>
      <w:r>
        <w:rPr>
          <w:rFonts w:asciiTheme="minorHAnsi" w:eastAsia="Calibri" w:hAnsiTheme="minorHAnsi" w:cstheme="minorHAnsi"/>
          <w:b/>
          <w:sz w:val="24"/>
          <w:szCs w:val="24"/>
        </w:rPr>
        <w:t>9</w:t>
      </w:r>
      <w:r w:rsidRPr="00DD1CA9">
        <w:rPr>
          <w:rFonts w:asciiTheme="minorHAnsi" w:eastAsia="Calibri" w:hAnsiTheme="minorHAnsi" w:cstheme="minorHAnsi"/>
          <w:b/>
          <w:sz w:val="24"/>
          <w:szCs w:val="24"/>
        </w:rPr>
        <w:t xml:space="preserve"> </w:t>
      </w:r>
      <w:r w:rsidRPr="00591C77">
        <w:rPr>
          <w:rFonts w:asciiTheme="minorHAnsi" w:eastAsia="Calibri" w:hAnsiTheme="minorHAnsi" w:cstheme="minorHAnsi"/>
          <w:b/>
          <w:sz w:val="24"/>
          <w:szCs w:val="24"/>
        </w:rPr>
        <w:t>–</w:t>
      </w:r>
      <w:r w:rsidRPr="00DD1CA9">
        <w:rPr>
          <w:rFonts w:asciiTheme="minorHAnsi" w:eastAsia="Calibri" w:hAnsiTheme="minorHAnsi" w:cstheme="minorHAnsi"/>
          <w:b/>
          <w:sz w:val="24"/>
          <w:szCs w:val="24"/>
        </w:rPr>
        <w:t xml:space="preserve"> </w:t>
      </w:r>
      <w:r w:rsidRPr="003806BC">
        <w:rPr>
          <w:rFonts w:asciiTheme="minorHAnsi" w:eastAsia="Calibri" w:hAnsiTheme="minorHAnsi" w:cstheme="minorHAnsi"/>
          <w:b/>
          <w:sz w:val="24"/>
          <w:szCs w:val="24"/>
        </w:rPr>
        <w:t>Part 11.1 heading</w:t>
      </w:r>
    </w:p>
    <w:p w14:paraId="31890B69" w14:textId="5FFEBB29" w:rsidR="003806BC" w:rsidRPr="003806BC" w:rsidRDefault="003806BC" w:rsidP="000165E8">
      <w:pPr>
        <w:spacing w:before="100" w:beforeAutospacing="1" w:after="100" w:afterAutospacing="1"/>
        <w:rPr>
          <w:bCs/>
          <w:sz w:val="23"/>
          <w:szCs w:val="23"/>
        </w:rPr>
      </w:pPr>
      <w:r w:rsidRPr="003806BC">
        <w:rPr>
          <w:bCs/>
          <w:sz w:val="23"/>
          <w:szCs w:val="23"/>
        </w:rPr>
        <w:t xml:space="preserve">This clause revises the </w:t>
      </w:r>
      <w:r>
        <w:rPr>
          <w:bCs/>
          <w:sz w:val="23"/>
          <w:szCs w:val="23"/>
        </w:rPr>
        <w:t xml:space="preserve">heading </w:t>
      </w:r>
      <w:r w:rsidRPr="003806BC">
        <w:rPr>
          <w:bCs/>
          <w:sz w:val="23"/>
          <w:szCs w:val="23"/>
        </w:rPr>
        <w:t xml:space="preserve">to </w:t>
      </w:r>
      <w:r>
        <w:rPr>
          <w:bCs/>
          <w:sz w:val="23"/>
          <w:szCs w:val="23"/>
        </w:rPr>
        <w:t>‘</w:t>
      </w:r>
      <w:r w:rsidR="00300D84">
        <w:rPr>
          <w:bCs/>
          <w:sz w:val="23"/>
          <w:szCs w:val="23"/>
        </w:rPr>
        <w:t>c</w:t>
      </w:r>
      <w:r w:rsidRPr="003806BC">
        <w:rPr>
          <w:bCs/>
          <w:sz w:val="23"/>
          <w:szCs w:val="23"/>
        </w:rPr>
        <w:t>are and protection—reporting of significant harm</w:t>
      </w:r>
      <w:r>
        <w:rPr>
          <w:bCs/>
          <w:sz w:val="23"/>
          <w:szCs w:val="23"/>
        </w:rPr>
        <w:t>’</w:t>
      </w:r>
      <w:r w:rsidRPr="003806BC">
        <w:rPr>
          <w:bCs/>
          <w:sz w:val="23"/>
          <w:szCs w:val="23"/>
        </w:rPr>
        <w:t>.</w:t>
      </w:r>
      <w:r w:rsidR="00A25BAE" w:rsidRPr="00A25BAE">
        <w:rPr>
          <w:rFonts w:asciiTheme="minorHAnsi" w:eastAsia="Calibri" w:hAnsiTheme="minorHAnsi" w:cstheme="minorHAnsi"/>
          <w:sz w:val="24"/>
          <w:szCs w:val="24"/>
          <w:lang w:eastAsia="en-AU"/>
        </w:rPr>
        <w:t xml:space="preserve"> </w:t>
      </w:r>
      <w:r w:rsidR="00A25BAE" w:rsidRPr="00591C77">
        <w:rPr>
          <w:rFonts w:asciiTheme="minorHAnsi" w:eastAsia="Calibri" w:hAnsiTheme="minorHAnsi" w:cstheme="minorHAnsi"/>
          <w:sz w:val="24"/>
          <w:szCs w:val="24"/>
          <w:lang w:eastAsia="en-AU"/>
        </w:rPr>
        <w:t xml:space="preserve">This is consistent with the introduction of significant harm to the Act.  </w:t>
      </w:r>
    </w:p>
    <w:p w14:paraId="50844502" w14:textId="53AB365E" w:rsidR="003806BC" w:rsidRDefault="003806BC" w:rsidP="000165E8">
      <w:pPr>
        <w:keepNext/>
        <w:spacing w:before="100" w:beforeAutospacing="1" w:after="100" w:afterAutospacing="1"/>
        <w:outlineLvl w:val="3"/>
        <w:rPr>
          <w:b/>
          <w:bCs/>
          <w:i/>
          <w:iCs/>
          <w:sz w:val="23"/>
          <w:szCs w:val="23"/>
        </w:rPr>
      </w:pPr>
      <w:r w:rsidRPr="00591C77">
        <w:rPr>
          <w:rFonts w:asciiTheme="minorHAnsi" w:eastAsia="Calibri" w:hAnsiTheme="minorHAnsi" w:cstheme="minorHAnsi"/>
          <w:b/>
          <w:sz w:val="24"/>
          <w:szCs w:val="24"/>
        </w:rPr>
        <w:t xml:space="preserve">Clause </w:t>
      </w:r>
      <w:r>
        <w:rPr>
          <w:rFonts w:asciiTheme="minorHAnsi" w:eastAsia="Calibri" w:hAnsiTheme="minorHAnsi" w:cstheme="minorHAnsi"/>
          <w:b/>
          <w:sz w:val="24"/>
          <w:szCs w:val="24"/>
        </w:rPr>
        <w:t>30</w:t>
      </w:r>
      <w:r w:rsidRPr="00591C77">
        <w:rPr>
          <w:rFonts w:asciiTheme="minorHAnsi" w:eastAsia="Calibri" w:hAnsiTheme="minorHAnsi" w:cstheme="minorHAnsi"/>
          <w:b/>
          <w:sz w:val="24"/>
          <w:szCs w:val="24"/>
        </w:rPr>
        <w:t xml:space="preserve"> – </w:t>
      </w:r>
      <w:r>
        <w:rPr>
          <w:b/>
          <w:bCs/>
          <w:sz w:val="23"/>
          <w:szCs w:val="23"/>
        </w:rPr>
        <w:t xml:space="preserve">Definitions—Act Section 353, definition of </w:t>
      </w:r>
      <w:r>
        <w:rPr>
          <w:b/>
          <w:bCs/>
          <w:i/>
          <w:iCs/>
          <w:sz w:val="23"/>
          <w:szCs w:val="23"/>
        </w:rPr>
        <w:t>child concern report</w:t>
      </w:r>
    </w:p>
    <w:p w14:paraId="6A519C39" w14:textId="3EB668BF" w:rsidR="003806BC" w:rsidRPr="003806BC" w:rsidRDefault="003806BC"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 xml:space="preserve">This clause is omitted. </w:t>
      </w:r>
    </w:p>
    <w:p w14:paraId="0B01F32C" w14:textId="6B9800AD" w:rsidR="003806BC" w:rsidRDefault="003806BC" w:rsidP="000165E8">
      <w:pPr>
        <w:keepNext/>
        <w:spacing w:before="100" w:beforeAutospacing="1" w:after="100" w:afterAutospacing="1"/>
        <w:outlineLvl w:val="3"/>
        <w:rPr>
          <w:b/>
          <w:bCs/>
          <w:i/>
          <w:iCs/>
          <w:sz w:val="23"/>
          <w:szCs w:val="23"/>
        </w:rPr>
      </w:pPr>
      <w:r w:rsidRPr="00591C77">
        <w:rPr>
          <w:rFonts w:asciiTheme="minorHAnsi" w:eastAsia="Calibri" w:hAnsiTheme="minorHAnsi" w:cstheme="minorHAnsi"/>
          <w:b/>
          <w:sz w:val="24"/>
          <w:szCs w:val="24"/>
        </w:rPr>
        <w:t xml:space="preserve">Clause </w:t>
      </w:r>
      <w:r>
        <w:rPr>
          <w:rFonts w:asciiTheme="minorHAnsi" w:eastAsia="Calibri" w:hAnsiTheme="minorHAnsi" w:cstheme="minorHAnsi"/>
          <w:b/>
          <w:sz w:val="24"/>
          <w:szCs w:val="24"/>
        </w:rPr>
        <w:t>31</w:t>
      </w:r>
      <w:r w:rsidRPr="00591C77">
        <w:rPr>
          <w:rFonts w:asciiTheme="minorHAnsi" w:eastAsia="Calibri" w:hAnsiTheme="minorHAnsi" w:cstheme="minorHAnsi"/>
          <w:b/>
          <w:sz w:val="24"/>
          <w:szCs w:val="24"/>
        </w:rPr>
        <w:t xml:space="preserve"> – </w:t>
      </w:r>
      <w:r w:rsidRPr="003806BC">
        <w:rPr>
          <w:rFonts w:asciiTheme="minorHAnsi" w:eastAsia="Calibri" w:hAnsiTheme="minorHAnsi" w:cstheme="minorHAnsi"/>
          <w:b/>
          <w:sz w:val="24"/>
          <w:szCs w:val="24"/>
        </w:rPr>
        <w:t>Division 11.1.2 heading</w:t>
      </w:r>
    </w:p>
    <w:p w14:paraId="29FDDC87" w14:textId="02AE7618" w:rsidR="003806BC" w:rsidRDefault="003806BC" w:rsidP="000165E8">
      <w:pPr>
        <w:keepNext/>
        <w:spacing w:before="100" w:beforeAutospacing="1" w:after="100" w:afterAutospacing="1"/>
        <w:outlineLvl w:val="3"/>
        <w:rPr>
          <w:bCs/>
          <w:sz w:val="23"/>
          <w:szCs w:val="23"/>
        </w:rPr>
      </w:pPr>
      <w:r w:rsidRPr="003806BC">
        <w:rPr>
          <w:bCs/>
          <w:sz w:val="23"/>
          <w:szCs w:val="23"/>
        </w:rPr>
        <w:t xml:space="preserve">This clause revises the </w:t>
      </w:r>
      <w:r>
        <w:rPr>
          <w:bCs/>
          <w:sz w:val="23"/>
          <w:szCs w:val="23"/>
        </w:rPr>
        <w:t xml:space="preserve">heading </w:t>
      </w:r>
      <w:r w:rsidRPr="003806BC">
        <w:rPr>
          <w:bCs/>
          <w:sz w:val="23"/>
          <w:szCs w:val="23"/>
        </w:rPr>
        <w:t>to</w:t>
      </w:r>
      <w:r w:rsidRPr="003806BC">
        <w:t xml:space="preserve"> </w:t>
      </w:r>
      <w:r>
        <w:t>‘</w:t>
      </w:r>
      <w:r w:rsidR="00300D84">
        <w:rPr>
          <w:bCs/>
          <w:sz w:val="23"/>
          <w:szCs w:val="23"/>
        </w:rPr>
        <w:t>r</w:t>
      </w:r>
      <w:r w:rsidRPr="003806BC">
        <w:rPr>
          <w:bCs/>
          <w:sz w:val="23"/>
          <w:szCs w:val="23"/>
        </w:rPr>
        <w:t>eporting risk of significant harm to children and young people</w:t>
      </w:r>
      <w:r>
        <w:rPr>
          <w:bCs/>
          <w:sz w:val="23"/>
          <w:szCs w:val="23"/>
        </w:rPr>
        <w:t>’.</w:t>
      </w:r>
      <w:r w:rsidR="00A25BAE" w:rsidRPr="00A25BAE">
        <w:rPr>
          <w:rFonts w:asciiTheme="minorHAnsi" w:eastAsia="Calibri" w:hAnsiTheme="minorHAnsi" w:cstheme="minorHAnsi"/>
          <w:sz w:val="24"/>
          <w:szCs w:val="24"/>
          <w:lang w:eastAsia="en-AU"/>
        </w:rPr>
        <w:t xml:space="preserve"> </w:t>
      </w:r>
      <w:r w:rsidR="00A25BAE" w:rsidRPr="00591C77">
        <w:rPr>
          <w:rFonts w:asciiTheme="minorHAnsi" w:eastAsia="Calibri" w:hAnsiTheme="minorHAnsi" w:cstheme="minorHAnsi"/>
          <w:sz w:val="24"/>
          <w:szCs w:val="24"/>
          <w:lang w:eastAsia="en-AU"/>
        </w:rPr>
        <w:t xml:space="preserve">This is consistent with the introduction of significant harm to the Act.  </w:t>
      </w:r>
    </w:p>
    <w:p w14:paraId="18EFF899" w14:textId="4ED2A811" w:rsidR="003806BC" w:rsidRDefault="003806BC" w:rsidP="000165E8">
      <w:pPr>
        <w:keepNext/>
        <w:spacing w:before="100" w:beforeAutospacing="1" w:after="100" w:afterAutospacing="1"/>
        <w:outlineLvl w:val="3"/>
        <w:rPr>
          <w:rFonts w:asciiTheme="minorHAnsi" w:eastAsia="Calibri" w:hAnsiTheme="minorHAnsi" w:cstheme="minorHAnsi"/>
          <w:b/>
          <w:sz w:val="24"/>
          <w:szCs w:val="24"/>
        </w:rPr>
      </w:pPr>
      <w:r w:rsidRPr="003806BC">
        <w:rPr>
          <w:rFonts w:asciiTheme="minorHAnsi" w:eastAsia="Calibri" w:hAnsiTheme="minorHAnsi" w:cstheme="minorHAnsi"/>
          <w:b/>
          <w:sz w:val="24"/>
          <w:szCs w:val="24"/>
        </w:rPr>
        <w:t xml:space="preserve">Clause 32 </w:t>
      </w:r>
      <w:r w:rsidRPr="00591C77">
        <w:rPr>
          <w:rFonts w:asciiTheme="minorHAnsi" w:eastAsia="Calibri" w:hAnsiTheme="minorHAnsi" w:cstheme="minorHAnsi"/>
          <w:b/>
          <w:sz w:val="24"/>
          <w:szCs w:val="24"/>
        </w:rPr>
        <w:t xml:space="preserve">– </w:t>
      </w:r>
      <w:r w:rsidRPr="003806BC">
        <w:rPr>
          <w:rFonts w:asciiTheme="minorHAnsi" w:eastAsia="Calibri" w:hAnsiTheme="minorHAnsi" w:cstheme="minorHAnsi"/>
          <w:b/>
          <w:sz w:val="24"/>
          <w:szCs w:val="24"/>
        </w:rPr>
        <w:t>Section 354 heading</w:t>
      </w:r>
    </w:p>
    <w:p w14:paraId="02867AD5" w14:textId="2439DABC" w:rsidR="003806BC" w:rsidRDefault="003806BC" w:rsidP="000165E8">
      <w:pPr>
        <w:keepNext/>
        <w:spacing w:before="100" w:beforeAutospacing="1" w:after="100" w:afterAutospacing="1"/>
        <w:outlineLvl w:val="3"/>
        <w:rPr>
          <w:b/>
          <w:bCs/>
          <w:sz w:val="23"/>
          <w:szCs w:val="23"/>
        </w:rPr>
      </w:pPr>
      <w:r w:rsidRPr="00591C77">
        <w:rPr>
          <w:rFonts w:asciiTheme="minorHAnsi" w:eastAsia="Calibri" w:hAnsiTheme="minorHAnsi" w:cstheme="minorHAnsi"/>
          <w:sz w:val="24"/>
          <w:szCs w:val="24"/>
          <w:lang w:eastAsia="en-AU"/>
        </w:rPr>
        <w:t xml:space="preserve">This clause omits the reference to </w:t>
      </w:r>
      <w:r>
        <w:rPr>
          <w:rFonts w:asciiTheme="minorHAnsi" w:eastAsia="Calibri" w:hAnsiTheme="minorHAnsi" w:cstheme="minorHAnsi"/>
          <w:sz w:val="24"/>
          <w:szCs w:val="24"/>
          <w:lang w:eastAsia="en-AU"/>
        </w:rPr>
        <w:t xml:space="preserve">abuse </w:t>
      </w:r>
      <w:r w:rsidRPr="00591C77">
        <w:rPr>
          <w:rFonts w:asciiTheme="minorHAnsi" w:eastAsia="Calibri" w:hAnsiTheme="minorHAnsi" w:cstheme="minorHAnsi"/>
          <w:sz w:val="24"/>
          <w:szCs w:val="24"/>
          <w:lang w:eastAsia="en-AU"/>
        </w:rPr>
        <w:t>and</w:t>
      </w:r>
      <w:r>
        <w:rPr>
          <w:rFonts w:asciiTheme="minorHAnsi" w:eastAsia="Calibri" w:hAnsiTheme="minorHAnsi" w:cstheme="minorHAnsi"/>
          <w:sz w:val="24"/>
          <w:szCs w:val="24"/>
          <w:lang w:eastAsia="en-AU"/>
        </w:rPr>
        <w:t xml:space="preserve"> neglect</w:t>
      </w:r>
      <w:r w:rsidRPr="00591C77">
        <w:rPr>
          <w:rFonts w:asciiTheme="minorHAnsi" w:eastAsia="Calibri" w:hAnsiTheme="minorHAnsi" w:cstheme="minorHAnsi"/>
          <w:sz w:val="24"/>
          <w:szCs w:val="24"/>
          <w:lang w:eastAsia="en-AU"/>
        </w:rPr>
        <w:t xml:space="preserve"> substitutes</w:t>
      </w:r>
      <w:r w:rsidRPr="003806BC">
        <w:rPr>
          <w:b/>
          <w:bCs/>
          <w:sz w:val="23"/>
          <w:szCs w:val="23"/>
        </w:rPr>
        <w:t xml:space="preserve"> </w:t>
      </w:r>
      <w:r w:rsidRPr="003806BC">
        <w:rPr>
          <w:rFonts w:asciiTheme="minorHAnsi" w:eastAsia="Calibri" w:hAnsiTheme="minorHAnsi" w:cstheme="minorHAnsi"/>
          <w:sz w:val="24"/>
          <w:szCs w:val="24"/>
          <w:lang w:eastAsia="en-AU"/>
        </w:rPr>
        <w:t>risk of significant harm.</w:t>
      </w:r>
      <w:r>
        <w:rPr>
          <w:b/>
          <w:bCs/>
          <w:sz w:val="23"/>
          <w:szCs w:val="23"/>
        </w:rPr>
        <w:t xml:space="preserve"> </w:t>
      </w:r>
      <w:r w:rsidR="00A25BAE" w:rsidRPr="00591C77">
        <w:rPr>
          <w:rFonts w:asciiTheme="minorHAnsi" w:eastAsia="Calibri" w:hAnsiTheme="minorHAnsi" w:cstheme="minorHAnsi"/>
          <w:sz w:val="24"/>
          <w:szCs w:val="24"/>
          <w:lang w:eastAsia="en-AU"/>
        </w:rPr>
        <w:t xml:space="preserve">This is consistent with the introduction of significant harm to the Act.  </w:t>
      </w:r>
    </w:p>
    <w:p w14:paraId="3F25AA98" w14:textId="35CCF3F2" w:rsidR="003806BC" w:rsidRDefault="003806BC" w:rsidP="000165E8">
      <w:pPr>
        <w:keepNext/>
        <w:spacing w:before="100" w:beforeAutospacing="1" w:after="100" w:afterAutospacing="1"/>
        <w:outlineLvl w:val="3"/>
        <w:rPr>
          <w:rFonts w:asciiTheme="minorHAnsi" w:eastAsia="Calibri" w:hAnsiTheme="minorHAnsi" w:cstheme="minorHAnsi"/>
          <w:b/>
          <w:sz w:val="24"/>
          <w:szCs w:val="24"/>
        </w:rPr>
      </w:pPr>
      <w:r w:rsidRPr="003806BC">
        <w:rPr>
          <w:rFonts w:asciiTheme="minorHAnsi" w:eastAsia="Calibri" w:hAnsiTheme="minorHAnsi" w:cstheme="minorHAnsi"/>
          <w:b/>
          <w:sz w:val="24"/>
          <w:szCs w:val="24"/>
        </w:rPr>
        <w:t>Clause 3</w:t>
      </w:r>
      <w:r>
        <w:rPr>
          <w:rFonts w:asciiTheme="minorHAnsi" w:eastAsia="Calibri" w:hAnsiTheme="minorHAnsi" w:cstheme="minorHAnsi"/>
          <w:b/>
          <w:sz w:val="24"/>
          <w:szCs w:val="24"/>
        </w:rPr>
        <w:t>3</w:t>
      </w:r>
      <w:r w:rsidRPr="003806BC">
        <w:rPr>
          <w:rFonts w:asciiTheme="minorHAnsi" w:eastAsia="Calibri" w:hAnsiTheme="minorHAnsi" w:cstheme="minorHAnsi"/>
          <w:b/>
          <w:sz w:val="24"/>
          <w:szCs w:val="24"/>
        </w:rPr>
        <w:t xml:space="preserve"> </w:t>
      </w:r>
      <w:r w:rsidRPr="00591C77">
        <w:rPr>
          <w:rFonts w:asciiTheme="minorHAnsi" w:eastAsia="Calibri" w:hAnsiTheme="minorHAnsi" w:cstheme="minorHAnsi"/>
          <w:b/>
          <w:sz w:val="24"/>
          <w:szCs w:val="24"/>
        </w:rPr>
        <w:t xml:space="preserve">– </w:t>
      </w:r>
      <w:r w:rsidRPr="003806BC">
        <w:rPr>
          <w:rFonts w:asciiTheme="minorHAnsi" w:eastAsia="Calibri" w:hAnsiTheme="minorHAnsi" w:cstheme="minorHAnsi"/>
          <w:b/>
          <w:sz w:val="24"/>
          <w:szCs w:val="24"/>
        </w:rPr>
        <w:t>Section 354 (1)</w:t>
      </w:r>
    </w:p>
    <w:p w14:paraId="032756BC" w14:textId="18310357" w:rsidR="009268B5" w:rsidRDefault="009268B5" w:rsidP="000165E8">
      <w:pPr>
        <w:keepNext/>
        <w:spacing w:before="100" w:beforeAutospacing="1" w:after="100" w:afterAutospacing="1"/>
        <w:outlineLvl w:val="3"/>
        <w:rPr>
          <w:b/>
          <w:bCs/>
          <w:sz w:val="23"/>
          <w:szCs w:val="23"/>
        </w:rPr>
      </w:pPr>
      <w:r w:rsidRPr="00591C77">
        <w:rPr>
          <w:rFonts w:asciiTheme="minorHAnsi" w:eastAsia="Calibri" w:hAnsiTheme="minorHAnsi" w:cstheme="minorHAnsi"/>
          <w:sz w:val="24"/>
          <w:szCs w:val="24"/>
          <w:lang w:eastAsia="en-AU"/>
        </w:rPr>
        <w:t xml:space="preserve">This clause omits the reference to </w:t>
      </w:r>
      <w:r>
        <w:rPr>
          <w:rFonts w:asciiTheme="minorHAnsi" w:eastAsia="Calibri" w:hAnsiTheme="minorHAnsi" w:cstheme="minorHAnsi"/>
          <w:sz w:val="24"/>
          <w:szCs w:val="24"/>
          <w:lang w:eastAsia="en-AU"/>
        </w:rPr>
        <w:t xml:space="preserve">abuse </w:t>
      </w:r>
      <w:r w:rsidRPr="00591C77">
        <w:rPr>
          <w:rFonts w:asciiTheme="minorHAnsi" w:eastAsia="Calibri" w:hAnsiTheme="minorHAnsi" w:cstheme="minorHAnsi"/>
          <w:sz w:val="24"/>
          <w:szCs w:val="24"/>
          <w:lang w:eastAsia="en-AU"/>
        </w:rPr>
        <w:t>and</w:t>
      </w:r>
      <w:r>
        <w:rPr>
          <w:rFonts w:asciiTheme="minorHAnsi" w:eastAsia="Calibri" w:hAnsiTheme="minorHAnsi" w:cstheme="minorHAnsi"/>
          <w:sz w:val="24"/>
          <w:szCs w:val="24"/>
          <w:lang w:eastAsia="en-AU"/>
        </w:rPr>
        <w:t xml:space="preserve"> neglect</w:t>
      </w:r>
      <w:r w:rsidRPr="00591C77">
        <w:rPr>
          <w:rFonts w:asciiTheme="minorHAnsi" w:eastAsia="Calibri" w:hAnsiTheme="minorHAnsi" w:cstheme="minorHAnsi"/>
          <w:sz w:val="24"/>
          <w:szCs w:val="24"/>
          <w:lang w:eastAsia="en-AU"/>
        </w:rPr>
        <w:t xml:space="preserve"> substitutes</w:t>
      </w:r>
      <w:r w:rsidRPr="003806BC">
        <w:rPr>
          <w:b/>
          <w:bCs/>
          <w:sz w:val="23"/>
          <w:szCs w:val="23"/>
        </w:rPr>
        <w:t xml:space="preserve"> </w:t>
      </w:r>
      <w:r w:rsidRPr="003806BC">
        <w:rPr>
          <w:rFonts w:asciiTheme="minorHAnsi" w:eastAsia="Calibri" w:hAnsiTheme="minorHAnsi" w:cstheme="minorHAnsi"/>
          <w:sz w:val="24"/>
          <w:szCs w:val="24"/>
          <w:lang w:eastAsia="en-AU"/>
        </w:rPr>
        <w:t>risk of significant harm.</w:t>
      </w:r>
      <w:r>
        <w:rPr>
          <w:b/>
          <w:bCs/>
          <w:sz w:val="23"/>
          <w:szCs w:val="23"/>
        </w:rPr>
        <w:t xml:space="preserve"> </w:t>
      </w:r>
      <w:r w:rsidR="00A25BAE" w:rsidRPr="00591C77">
        <w:rPr>
          <w:rFonts w:asciiTheme="minorHAnsi" w:eastAsia="Calibri" w:hAnsiTheme="minorHAnsi" w:cstheme="minorHAnsi"/>
          <w:sz w:val="24"/>
          <w:szCs w:val="24"/>
          <w:lang w:eastAsia="en-AU"/>
        </w:rPr>
        <w:t xml:space="preserve">This is consistent with the introduction of significant harm to the Act.  </w:t>
      </w:r>
    </w:p>
    <w:p w14:paraId="10A41099" w14:textId="51A4346E" w:rsidR="003806BC" w:rsidRDefault="003806BC" w:rsidP="000165E8">
      <w:pPr>
        <w:keepNext/>
        <w:spacing w:before="100" w:beforeAutospacing="1" w:after="100" w:afterAutospacing="1"/>
        <w:outlineLvl w:val="3"/>
        <w:rPr>
          <w:rFonts w:asciiTheme="minorHAnsi" w:eastAsia="Calibri" w:hAnsiTheme="minorHAnsi" w:cstheme="minorHAnsi"/>
          <w:b/>
          <w:sz w:val="24"/>
          <w:szCs w:val="24"/>
        </w:rPr>
      </w:pPr>
      <w:r w:rsidRPr="003806BC">
        <w:rPr>
          <w:rFonts w:asciiTheme="minorHAnsi" w:eastAsia="Calibri" w:hAnsiTheme="minorHAnsi" w:cstheme="minorHAnsi"/>
          <w:b/>
          <w:sz w:val="24"/>
          <w:szCs w:val="24"/>
        </w:rPr>
        <w:t>Clause 3</w:t>
      </w:r>
      <w:r>
        <w:rPr>
          <w:rFonts w:asciiTheme="minorHAnsi" w:eastAsia="Calibri" w:hAnsiTheme="minorHAnsi" w:cstheme="minorHAnsi"/>
          <w:b/>
          <w:sz w:val="24"/>
          <w:szCs w:val="24"/>
        </w:rPr>
        <w:t>4</w:t>
      </w:r>
      <w:r w:rsidRPr="003806BC">
        <w:rPr>
          <w:rFonts w:asciiTheme="minorHAnsi" w:eastAsia="Calibri" w:hAnsiTheme="minorHAnsi" w:cstheme="minorHAnsi"/>
          <w:b/>
          <w:sz w:val="24"/>
          <w:szCs w:val="24"/>
        </w:rPr>
        <w:t xml:space="preserve"> </w:t>
      </w:r>
      <w:r w:rsidRPr="00591C77">
        <w:rPr>
          <w:rFonts w:asciiTheme="minorHAnsi" w:eastAsia="Calibri" w:hAnsiTheme="minorHAnsi" w:cstheme="minorHAnsi"/>
          <w:b/>
          <w:sz w:val="24"/>
          <w:szCs w:val="24"/>
        </w:rPr>
        <w:t xml:space="preserve">– </w:t>
      </w:r>
      <w:r w:rsidRPr="003806BC">
        <w:rPr>
          <w:rFonts w:asciiTheme="minorHAnsi" w:eastAsia="Calibri" w:hAnsiTheme="minorHAnsi" w:cstheme="minorHAnsi"/>
          <w:b/>
          <w:sz w:val="24"/>
          <w:szCs w:val="24"/>
        </w:rPr>
        <w:t>Section 356 heading</w:t>
      </w:r>
    </w:p>
    <w:p w14:paraId="5A5363C2" w14:textId="4833F0CC" w:rsidR="003806BC" w:rsidRPr="009268B5" w:rsidRDefault="009268B5" w:rsidP="000165E8">
      <w:pPr>
        <w:keepNext/>
        <w:spacing w:before="100" w:beforeAutospacing="1" w:after="100" w:afterAutospacing="1"/>
        <w:outlineLvl w:val="3"/>
        <w:rPr>
          <w:b/>
          <w:bCs/>
          <w:sz w:val="23"/>
          <w:szCs w:val="23"/>
        </w:rPr>
      </w:pPr>
      <w:r w:rsidRPr="00591C77">
        <w:rPr>
          <w:rFonts w:asciiTheme="minorHAnsi" w:eastAsia="Calibri" w:hAnsiTheme="minorHAnsi" w:cstheme="minorHAnsi"/>
          <w:sz w:val="24"/>
          <w:szCs w:val="24"/>
          <w:lang w:eastAsia="en-AU"/>
        </w:rPr>
        <w:t xml:space="preserve">This clause omits the reference to </w:t>
      </w:r>
      <w:r>
        <w:rPr>
          <w:rFonts w:asciiTheme="minorHAnsi" w:eastAsia="Calibri" w:hAnsiTheme="minorHAnsi" w:cstheme="minorHAnsi"/>
          <w:sz w:val="24"/>
          <w:szCs w:val="24"/>
          <w:lang w:eastAsia="en-AU"/>
        </w:rPr>
        <w:t xml:space="preserve">abuse </w:t>
      </w:r>
      <w:r w:rsidRPr="00591C77">
        <w:rPr>
          <w:rFonts w:asciiTheme="minorHAnsi" w:eastAsia="Calibri" w:hAnsiTheme="minorHAnsi" w:cstheme="minorHAnsi"/>
          <w:sz w:val="24"/>
          <w:szCs w:val="24"/>
          <w:lang w:eastAsia="en-AU"/>
        </w:rPr>
        <w:t>and</w:t>
      </w:r>
      <w:r>
        <w:rPr>
          <w:rFonts w:asciiTheme="minorHAnsi" w:eastAsia="Calibri" w:hAnsiTheme="minorHAnsi" w:cstheme="minorHAnsi"/>
          <w:sz w:val="24"/>
          <w:szCs w:val="24"/>
          <w:lang w:eastAsia="en-AU"/>
        </w:rPr>
        <w:t xml:space="preserve"> neglect</w:t>
      </w:r>
      <w:r w:rsidRPr="00591C77">
        <w:rPr>
          <w:rFonts w:asciiTheme="minorHAnsi" w:eastAsia="Calibri" w:hAnsiTheme="minorHAnsi" w:cstheme="minorHAnsi"/>
          <w:sz w:val="24"/>
          <w:szCs w:val="24"/>
          <w:lang w:eastAsia="en-AU"/>
        </w:rPr>
        <w:t xml:space="preserve"> substitutes</w:t>
      </w:r>
      <w:r w:rsidRPr="003806BC">
        <w:rPr>
          <w:b/>
          <w:bCs/>
          <w:sz w:val="23"/>
          <w:szCs w:val="23"/>
        </w:rPr>
        <w:t xml:space="preserve"> </w:t>
      </w:r>
      <w:r w:rsidRPr="003806BC">
        <w:rPr>
          <w:rFonts w:asciiTheme="minorHAnsi" w:eastAsia="Calibri" w:hAnsiTheme="minorHAnsi" w:cstheme="minorHAnsi"/>
          <w:sz w:val="24"/>
          <w:szCs w:val="24"/>
          <w:lang w:eastAsia="en-AU"/>
        </w:rPr>
        <w:t>risk of significant harm.</w:t>
      </w:r>
      <w:r>
        <w:rPr>
          <w:b/>
          <w:bCs/>
          <w:sz w:val="23"/>
          <w:szCs w:val="23"/>
        </w:rPr>
        <w:t xml:space="preserve"> </w:t>
      </w:r>
      <w:r w:rsidR="00A25BAE" w:rsidRPr="00591C77">
        <w:rPr>
          <w:rFonts w:asciiTheme="minorHAnsi" w:eastAsia="Calibri" w:hAnsiTheme="minorHAnsi" w:cstheme="minorHAnsi"/>
          <w:sz w:val="24"/>
          <w:szCs w:val="24"/>
          <w:lang w:eastAsia="en-AU"/>
        </w:rPr>
        <w:t xml:space="preserve">This is consistent with the introduction of significant harm to the Act.  </w:t>
      </w:r>
    </w:p>
    <w:p w14:paraId="3025A268" w14:textId="7BD78082" w:rsidR="006039AB" w:rsidRPr="00591C77" w:rsidRDefault="006039AB" w:rsidP="000165E8">
      <w:pPr>
        <w:spacing w:before="100" w:beforeAutospacing="1" w:after="100" w:afterAutospacing="1"/>
        <w:rPr>
          <w:rFonts w:asciiTheme="minorHAnsi" w:hAnsiTheme="minorHAnsi" w:cstheme="minorHAnsi"/>
          <w:sz w:val="24"/>
          <w:szCs w:val="24"/>
        </w:rPr>
      </w:pPr>
      <w:r w:rsidRPr="00591C77">
        <w:rPr>
          <w:rFonts w:asciiTheme="minorHAnsi" w:eastAsia="Calibri" w:hAnsiTheme="minorHAnsi" w:cstheme="minorHAnsi"/>
          <w:b/>
          <w:sz w:val="24"/>
          <w:szCs w:val="24"/>
        </w:rPr>
        <w:t xml:space="preserve">Clause </w:t>
      </w:r>
      <w:r w:rsidR="009268B5">
        <w:rPr>
          <w:rFonts w:asciiTheme="minorHAnsi" w:eastAsia="Calibri" w:hAnsiTheme="minorHAnsi" w:cstheme="minorHAnsi"/>
          <w:b/>
          <w:sz w:val="24"/>
          <w:szCs w:val="24"/>
        </w:rPr>
        <w:t>35</w:t>
      </w:r>
      <w:r w:rsidRPr="00591C77">
        <w:rPr>
          <w:rFonts w:asciiTheme="minorHAnsi" w:eastAsia="Calibri" w:hAnsiTheme="minorHAnsi" w:cstheme="minorHAnsi"/>
          <w:b/>
          <w:sz w:val="24"/>
          <w:szCs w:val="24"/>
        </w:rPr>
        <w:t xml:space="preserve"> – Reports made to public advocate or Aboriginal and Torres Strait Islander children and young people commissioner Section 359 (1) (a) </w:t>
      </w:r>
    </w:p>
    <w:p w14:paraId="216DA4AC" w14:textId="28447C6D" w:rsidR="001177EF" w:rsidRPr="00591C77" w:rsidRDefault="006039AB"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 s</w:t>
      </w:r>
      <w:r w:rsidR="008C7056" w:rsidRPr="00591C77">
        <w:rPr>
          <w:rFonts w:asciiTheme="minorHAnsi" w:eastAsia="Calibri" w:hAnsiTheme="minorHAnsi" w:cstheme="minorHAnsi"/>
          <w:sz w:val="24"/>
          <w:szCs w:val="24"/>
          <w:lang w:eastAsia="en-AU"/>
        </w:rPr>
        <w:t xml:space="preserve">ubstitutes clause (a) providing for where a person believes or suspects that a child or young person is at risk of significant harm. </w:t>
      </w:r>
      <w:r w:rsidR="00A25BAE" w:rsidRPr="00591C77">
        <w:rPr>
          <w:rFonts w:asciiTheme="minorHAnsi" w:eastAsia="Calibri" w:hAnsiTheme="minorHAnsi" w:cstheme="minorHAnsi"/>
          <w:sz w:val="24"/>
          <w:szCs w:val="24"/>
          <w:lang w:eastAsia="en-AU"/>
        </w:rPr>
        <w:t xml:space="preserve">This is consistent with the introduction of significant harm to the Act.  </w:t>
      </w:r>
    </w:p>
    <w:p w14:paraId="7DD96120" w14:textId="77777777" w:rsidR="009664ED" w:rsidRDefault="009664ED">
      <w:pPr>
        <w:spacing w:after="160" w:line="259" w:lineRule="auto"/>
        <w:rPr>
          <w:rFonts w:asciiTheme="minorHAnsi" w:eastAsia="Calibri" w:hAnsiTheme="minorHAnsi" w:cstheme="minorHAnsi"/>
          <w:b/>
          <w:sz w:val="24"/>
          <w:szCs w:val="24"/>
        </w:rPr>
      </w:pPr>
      <w:r>
        <w:rPr>
          <w:rFonts w:asciiTheme="minorHAnsi" w:eastAsia="Calibri" w:hAnsiTheme="minorHAnsi" w:cstheme="minorHAnsi"/>
          <w:b/>
          <w:sz w:val="24"/>
          <w:szCs w:val="24"/>
        </w:rPr>
        <w:br w:type="page"/>
      </w:r>
    </w:p>
    <w:p w14:paraId="27935471" w14:textId="078E6C32" w:rsidR="007929E8" w:rsidRPr="00591C77" w:rsidRDefault="007929E8" w:rsidP="000165E8">
      <w:pPr>
        <w:spacing w:before="100" w:beforeAutospacing="1" w:after="100" w:afterAutospacing="1"/>
        <w:rPr>
          <w:rFonts w:asciiTheme="minorHAnsi" w:eastAsia="Calibri" w:hAnsiTheme="minorHAnsi" w:cstheme="minorHAnsi"/>
          <w:b/>
          <w:sz w:val="24"/>
          <w:szCs w:val="24"/>
        </w:rPr>
      </w:pPr>
      <w:r w:rsidRPr="00591C77">
        <w:rPr>
          <w:rFonts w:asciiTheme="minorHAnsi" w:eastAsia="Calibri" w:hAnsiTheme="minorHAnsi" w:cstheme="minorHAnsi"/>
          <w:b/>
          <w:sz w:val="24"/>
          <w:szCs w:val="24"/>
        </w:rPr>
        <w:lastRenderedPageBreak/>
        <w:t>Clause 3</w:t>
      </w:r>
      <w:r w:rsidR="009268B5">
        <w:rPr>
          <w:rFonts w:asciiTheme="minorHAnsi" w:eastAsia="Calibri" w:hAnsiTheme="minorHAnsi" w:cstheme="minorHAnsi"/>
          <w:b/>
          <w:sz w:val="24"/>
          <w:szCs w:val="24"/>
        </w:rPr>
        <w:t>6</w:t>
      </w:r>
      <w:r w:rsidRPr="00591C77">
        <w:rPr>
          <w:rFonts w:asciiTheme="minorHAnsi" w:eastAsia="Calibri" w:hAnsiTheme="minorHAnsi" w:cstheme="minorHAnsi"/>
          <w:b/>
          <w:sz w:val="24"/>
          <w:szCs w:val="24"/>
        </w:rPr>
        <w:t xml:space="preserve"> – Sections 360 and 361</w:t>
      </w:r>
    </w:p>
    <w:p w14:paraId="61A3B2F3" w14:textId="13EE0FAA" w:rsidR="00A26063" w:rsidRPr="00591C77" w:rsidRDefault="007929E8"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This clause substitutes current s</w:t>
      </w:r>
      <w:r w:rsidR="00C62B89" w:rsidRPr="00591C77">
        <w:rPr>
          <w:rFonts w:asciiTheme="minorHAnsi" w:hAnsiTheme="minorHAnsi" w:cstheme="minorHAnsi"/>
          <w:sz w:val="24"/>
          <w:szCs w:val="24"/>
        </w:rPr>
        <w:t>ection</w:t>
      </w:r>
      <w:r w:rsidRPr="00591C77">
        <w:rPr>
          <w:rFonts w:asciiTheme="minorHAnsi" w:hAnsiTheme="minorHAnsi" w:cstheme="minorHAnsi"/>
          <w:sz w:val="24"/>
          <w:szCs w:val="24"/>
        </w:rPr>
        <w:t xml:space="preserve"> 360 and 361 to require and empower the director-general to undertake specific actions in assessing risk of significant harm to a child or young person. </w:t>
      </w:r>
    </w:p>
    <w:p w14:paraId="5FE0EC5C" w14:textId="6791F5E7" w:rsidR="007929E8" w:rsidRPr="00591C77" w:rsidRDefault="007929E8"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At present, s</w:t>
      </w:r>
      <w:r w:rsidR="00C62B89" w:rsidRPr="00591C77">
        <w:rPr>
          <w:rFonts w:asciiTheme="minorHAnsi" w:hAnsiTheme="minorHAnsi" w:cstheme="minorHAnsi"/>
          <w:sz w:val="24"/>
          <w:szCs w:val="24"/>
        </w:rPr>
        <w:t>ection</w:t>
      </w:r>
      <w:r w:rsidRPr="00591C77">
        <w:rPr>
          <w:rFonts w:asciiTheme="minorHAnsi" w:hAnsiTheme="minorHAnsi" w:cstheme="minorHAnsi"/>
          <w:sz w:val="24"/>
          <w:szCs w:val="24"/>
        </w:rPr>
        <w:t xml:space="preserve"> 360 applies if the director</w:t>
      </w:r>
      <w:r w:rsidRPr="00591C77">
        <w:rPr>
          <w:rFonts w:ascii="Cambria Math" w:hAnsi="Cambria Math" w:cs="Cambria Math"/>
          <w:sz w:val="24"/>
          <w:szCs w:val="24"/>
        </w:rPr>
        <w:t>‑</w:t>
      </w:r>
      <w:r w:rsidRPr="00591C77">
        <w:rPr>
          <w:rFonts w:asciiTheme="minorHAnsi" w:hAnsiTheme="minorHAnsi" w:cstheme="minorHAnsi"/>
          <w:sz w:val="24"/>
          <w:szCs w:val="24"/>
        </w:rPr>
        <w:t>general receives a child concern report about a child or young person. At present s</w:t>
      </w:r>
      <w:r w:rsidR="00C62B89" w:rsidRPr="00591C77">
        <w:rPr>
          <w:rFonts w:asciiTheme="minorHAnsi" w:hAnsiTheme="minorHAnsi" w:cstheme="minorHAnsi"/>
          <w:sz w:val="24"/>
          <w:szCs w:val="24"/>
        </w:rPr>
        <w:t>ection</w:t>
      </w:r>
      <w:r w:rsidRPr="00591C77">
        <w:rPr>
          <w:rFonts w:asciiTheme="minorHAnsi" w:hAnsiTheme="minorHAnsi" w:cstheme="minorHAnsi"/>
          <w:sz w:val="24"/>
          <w:szCs w:val="24"/>
        </w:rPr>
        <w:t xml:space="preserve"> 361 describes the actions the director-general must take if the director</w:t>
      </w:r>
      <w:r w:rsidRPr="00591C77">
        <w:rPr>
          <w:rFonts w:ascii="Cambria Math" w:hAnsi="Cambria Math" w:cs="Cambria Math"/>
          <w:sz w:val="24"/>
          <w:szCs w:val="24"/>
        </w:rPr>
        <w:t>‑</w:t>
      </w:r>
      <w:r w:rsidRPr="00591C77">
        <w:rPr>
          <w:rFonts w:asciiTheme="minorHAnsi" w:hAnsiTheme="minorHAnsi" w:cstheme="minorHAnsi"/>
          <w:sz w:val="24"/>
          <w:szCs w:val="24"/>
        </w:rPr>
        <w:t>general decides that a child concern report is a child protection report.</w:t>
      </w:r>
    </w:p>
    <w:p w14:paraId="52D861BC" w14:textId="77777777" w:rsidR="007929E8" w:rsidRPr="00591C77" w:rsidRDefault="007929E8"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This clause includes the provision for the director-general to assess risk of significant harm where a person believes or suspects that a child or young person is at risk of significant harm (s 360 (1)(b)), not just when the director</w:t>
      </w:r>
      <w:r w:rsidRPr="00591C77">
        <w:rPr>
          <w:rFonts w:asciiTheme="minorHAnsi" w:hAnsiTheme="minorHAnsi" w:cstheme="minorHAnsi"/>
          <w:sz w:val="24"/>
          <w:szCs w:val="24"/>
        </w:rPr>
        <w:noBreakHyphen/>
        <w:t>general receives a child concern report about a child or young person.</w:t>
      </w:r>
    </w:p>
    <w:p w14:paraId="522A3ABE" w14:textId="77777777" w:rsidR="007929E8" w:rsidRPr="00591C77" w:rsidRDefault="007929E8"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Section 360 (2) requires the director-general to carry out the assessment the director-general considers necessary to decide whether the child or young person is at risk of significant harm.</w:t>
      </w:r>
    </w:p>
    <w:p w14:paraId="391C75DF" w14:textId="77777777" w:rsidR="007929E8" w:rsidRPr="00CD7ED7" w:rsidRDefault="007929E8"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 xml:space="preserve">Section 360 (3) enables the director general, carrying out the assessment, to provide, or assist in providing, services to strengthen and support the safety, welfare and wellbeing of </w:t>
      </w:r>
      <w:r w:rsidRPr="00CD7ED7">
        <w:rPr>
          <w:rFonts w:asciiTheme="minorHAnsi" w:hAnsiTheme="minorHAnsi" w:cstheme="minorHAnsi"/>
          <w:sz w:val="24"/>
          <w:szCs w:val="24"/>
        </w:rPr>
        <w:t>the child or young person and their family.</w:t>
      </w:r>
    </w:p>
    <w:p w14:paraId="0A174C01" w14:textId="153F2782" w:rsidR="00372E5F" w:rsidRDefault="007929E8" w:rsidP="00372E5F">
      <w:pPr>
        <w:spacing w:before="100" w:beforeAutospacing="1" w:after="100" w:afterAutospacing="1"/>
        <w:rPr>
          <w:rFonts w:asciiTheme="minorHAnsi" w:hAnsiTheme="minorHAnsi" w:cstheme="minorHAnsi"/>
          <w:sz w:val="24"/>
          <w:szCs w:val="24"/>
        </w:rPr>
      </w:pPr>
      <w:r w:rsidRPr="00CD7ED7">
        <w:rPr>
          <w:rFonts w:asciiTheme="minorHAnsi" w:hAnsiTheme="minorHAnsi" w:cstheme="minorHAnsi"/>
          <w:sz w:val="24"/>
          <w:szCs w:val="24"/>
        </w:rPr>
        <w:t xml:space="preserve">Section 360 (4) requires the director-general </w:t>
      </w:r>
      <w:r w:rsidR="00372E5F" w:rsidRPr="00372E5F">
        <w:rPr>
          <w:rFonts w:asciiTheme="minorHAnsi" w:hAnsiTheme="minorHAnsi" w:cstheme="minorHAnsi"/>
          <w:sz w:val="24"/>
          <w:szCs w:val="24"/>
        </w:rPr>
        <w:t xml:space="preserve">as soon as practicable, </w:t>
      </w:r>
      <w:r w:rsidR="00372E5F">
        <w:rPr>
          <w:rFonts w:asciiTheme="minorHAnsi" w:hAnsiTheme="minorHAnsi" w:cstheme="minorHAnsi"/>
          <w:sz w:val="24"/>
          <w:szCs w:val="24"/>
        </w:rPr>
        <w:t xml:space="preserve">must </w:t>
      </w:r>
      <w:r w:rsidR="00372E5F" w:rsidRPr="00372E5F">
        <w:rPr>
          <w:rFonts w:asciiTheme="minorHAnsi" w:hAnsiTheme="minorHAnsi" w:cstheme="minorHAnsi"/>
          <w:sz w:val="24"/>
          <w:szCs w:val="24"/>
        </w:rPr>
        <w:t>attempt to identify</w:t>
      </w:r>
      <w:r w:rsidR="00372E5F">
        <w:rPr>
          <w:rFonts w:asciiTheme="minorHAnsi" w:hAnsiTheme="minorHAnsi" w:cstheme="minorHAnsi"/>
          <w:sz w:val="24"/>
          <w:szCs w:val="24"/>
        </w:rPr>
        <w:t xml:space="preserve"> </w:t>
      </w:r>
      <w:r w:rsidR="00372E5F" w:rsidRPr="00372E5F">
        <w:rPr>
          <w:rFonts w:asciiTheme="minorHAnsi" w:hAnsiTheme="minorHAnsi" w:cstheme="minorHAnsi"/>
          <w:sz w:val="24"/>
          <w:szCs w:val="24"/>
        </w:rPr>
        <w:t>whether the child is an Aboriginal or Torres Strait Islander child or</w:t>
      </w:r>
      <w:r w:rsidR="00372E5F">
        <w:rPr>
          <w:rFonts w:asciiTheme="minorHAnsi" w:hAnsiTheme="minorHAnsi" w:cstheme="minorHAnsi"/>
          <w:sz w:val="24"/>
          <w:szCs w:val="24"/>
        </w:rPr>
        <w:t xml:space="preserve"> </w:t>
      </w:r>
      <w:r w:rsidR="00372E5F" w:rsidRPr="00372E5F">
        <w:rPr>
          <w:rFonts w:asciiTheme="minorHAnsi" w:hAnsiTheme="minorHAnsi" w:cstheme="minorHAnsi"/>
          <w:sz w:val="24"/>
          <w:szCs w:val="24"/>
        </w:rPr>
        <w:t>young person.</w:t>
      </w:r>
    </w:p>
    <w:p w14:paraId="7DE9CC92" w14:textId="72449662" w:rsidR="007929E8" w:rsidRDefault="007929E8"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Section 360 (5) enables the director-general to refer a matter to the chief police officer if the director-general suspects that it relates to a criminal offence.</w:t>
      </w:r>
    </w:p>
    <w:p w14:paraId="4C4A23FD" w14:textId="1B2CEDF6" w:rsidR="009268B5" w:rsidRPr="009268B5" w:rsidRDefault="009268B5" w:rsidP="000165E8">
      <w:pPr>
        <w:spacing w:before="100" w:beforeAutospacing="1" w:after="100" w:afterAutospacing="1"/>
        <w:rPr>
          <w:rFonts w:asciiTheme="minorHAnsi" w:eastAsia="Calibri" w:hAnsiTheme="minorHAnsi" w:cstheme="minorHAnsi"/>
          <w:b/>
          <w:sz w:val="24"/>
          <w:szCs w:val="24"/>
        </w:rPr>
      </w:pPr>
      <w:r w:rsidRPr="009268B5">
        <w:rPr>
          <w:rFonts w:asciiTheme="minorHAnsi" w:eastAsia="Calibri" w:hAnsiTheme="minorHAnsi" w:cstheme="minorHAnsi"/>
          <w:b/>
          <w:sz w:val="24"/>
          <w:szCs w:val="24"/>
        </w:rPr>
        <w:t xml:space="preserve">Clause 37 </w:t>
      </w:r>
      <w:r w:rsidRPr="00591C77">
        <w:rPr>
          <w:rFonts w:asciiTheme="minorHAnsi" w:eastAsia="Calibri" w:hAnsiTheme="minorHAnsi" w:cstheme="minorHAnsi"/>
          <w:b/>
          <w:sz w:val="24"/>
          <w:szCs w:val="24"/>
        </w:rPr>
        <w:t>–</w:t>
      </w:r>
      <w:r>
        <w:rPr>
          <w:rFonts w:asciiTheme="minorHAnsi" w:eastAsia="Calibri" w:hAnsiTheme="minorHAnsi" w:cstheme="minorHAnsi"/>
          <w:b/>
          <w:sz w:val="24"/>
          <w:szCs w:val="24"/>
        </w:rPr>
        <w:t xml:space="preserve"> </w:t>
      </w:r>
      <w:r w:rsidRPr="009268B5">
        <w:rPr>
          <w:rFonts w:asciiTheme="minorHAnsi" w:eastAsia="Calibri" w:hAnsiTheme="minorHAnsi" w:cstheme="minorHAnsi"/>
          <w:b/>
          <w:sz w:val="24"/>
          <w:szCs w:val="24"/>
        </w:rPr>
        <w:t>Division 11.1.3 heading</w:t>
      </w:r>
    </w:p>
    <w:p w14:paraId="7920074F" w14:textId="392E635B" w:rsidR="009268B5" w:rsidRDefault="009268B5" w:rsidP="000165E8">
      <w:pPr>
        <w:spacing w:before="100" w:beforeAutospacing="1" w:after="100" w:afterAutospacing="1"/>
        <w:rPr>
          <w:bCs/>
          <w:sz w:val="23"/>
          <w:szCs w:val="23"/>
        </w:rPr>
      </w:pPr>
      <w:r w:rsidRPr="003806BC">
        <w:rPr>
          <w:bCs/>
          <w:sz w:val="23"/>
          <w:szCs w:val="23"/>
        </w:rPr>
        <w:t xml:space="preserve">This clause revises the </w:t>
      </w:r>
      <w:r>
        <w:rPr>
          <w:bCs/>
          <w:sz w:val="23"/>
          <w:szCs w:val="23"/>
        </w:rPr>
        <w:t xml:space="preserve">heading </w:t>
      </w:r>
      <w:r w:rsidRPr="003806BC">
        <w:rPr>
          <w:bCs/>
          <w:sz w:val="23"/>
          <w:szCs w:val="23"/>
        </w:rPr>
        <w:t xml:space="preserve">to </w:t>
      </w:r>
      <w:r>
        <w:rPr>
          <w:bCs/>
          <w:sz w:val="23"/>
          <w:szCs w:val="23"/>
        </w:rPr>
        <w:t>‘</w:t>
      </w:r>
      <w:r w:rsidR="00300D84">
        <w:rPr>
          <w:bCs/>
          <w:sz w:val="23"/>
          <w:szCs w:val="23"/>
        </w:rPr>
        <w:t>p</w:t>
      </w:r>
      <w:r w:rsidRPr="009268B5">
        <w:rPr>
          <w:bCs/>
          <w:sz w:val="23"/>
          <w:szCs w:val="23"/>
        </w:rPr>
        <w:t>renatal reporting of anticipated risk of significant harm</w:t>
      </w:r>
      <w:r>
        <w:rPr>
          <w:bCs/>
          <w:sz w:val="23"/>
          <w:szCs w:val="23"/>
        </w:rPr>
        <w:t>.’</w:t>
      </w:r>
      <w:r w:rsidR="00A25BAE" w:rsidRPr="00A25BAE">
        <w:rPr>
          <w:rFonts w:asciiTheme="minorHAnsi" w:eastAsia="Calibri" w:hAnsiTheme="minorHAnsi" w:cstheme="minorHAnsi"/>
          <w:sz w:val="24"/>
          <w:szCs w:val="24"/>
          <w:lang w:eastAsia="en-AU"/>
        </w:rPr>
        <w:t xml:space="preserve"> </w:t>
      </w:r>
      <w:r w:rsidR="00A25BAE" w:rsidRPr="00591C77">
        <w:rPr>
          <w:rFonts w:asciiTheme="minorHAnsi" w:eastAsia="Calibri" w:hAnsiTheme="minorHAnsi" w:cstheme="minorHAnsi"/>
          <w:sz w:val="24"/>
          <w:szCs w:val="24"/>
          <w:lang w:eastAsia="en-AU"/>
        </w:rPr>
        <w:t xml:space="preserve">This is consistent with the introduction of significant harm to the Act.  </w:t>
      </w:r>
    </w:p>
    <w:p w14:paraId="07BABEBC" w14:textId="3C0E2E16" w:rsidR="009268B5" w:rsidRPr="009268B5" w:rsidRDefault="009268B5" w:rsidP="000165E8">
      <w:pPr>
        <w:spacing w:before="100" w:beforeAutospacing="1" w:after="100" w:afterAutospacing="1"/>
        <w:rPr>
          <w:rFonts w:asciiTheme="minorHAnsi" w:eastAsia="Calibri" w:hAnsiTheme="minorHAnsi" w:cstheme="minorHAnsi"/>
          <w:b/>
          <w:sz w:val="24"/>
          <w:szCs w:val="24"/>
        </w:rPr>
      </w:pPr>
      <w:r w:rsidRPr="009268B5">
        <w:rPr>
          <w:rFonts w:asciiTheme="minorHAnsi" w:eastAsia="Calibri" w:hAnsiTheme="minorHAnsi" w:cstheme="minorHAnsi"/>
          <w:b/>
          <w:sz w:val="24"/>
          <w:szCs w:val="24"/>
        </w:rPr>
        <w:t>Clause 39 – Section 362 heading</w:t>
      </w:r>
    </w:p>
    <w:p w14:paraId="3EEC3BB1" w14:textId="4FD8F563" w:rsidR="009268B5" w:rsidRPr="009268B5" w:rsidRDefault="009268B5" w:rsidP="000165E8">
      <w:pPr>
        <w:spacing w:before="100" w:beforeAutospacing="1" w:after="100" w:afterAutospacing="1"/>
        <w:rPr>
          <w:bCs/>
          <w:sz w:val="23"/>
          <w:szCs w:val="23"/>
        </w:rPr>
      </w:pPr>
      <w:r w:rsidRPr="003806BC">
        <w:rPr>
          <w:bCs/>
          <w:sz w:val="23"/>
          <w:szCs w:val="23"/>
        </w:rPr>
        <w:t xml:space="preserve">This clause revises the </w:t>
      </w:r>
      <w:r>
        <w:rPr>
          <w:bCs/>
          <w:sz w:val="23"/>
          <w:szCs w:val="23"/>
        </w:rPr>
        <w:t xml:space="preserve">heading </w:t>
      </w:r>
      <w:r w:rsidRPr="003806BC">
        <w:rPr>
          <w:bCs/>
          <w:sz w:val="23"/>
          <w:szCs w:val="23"/>
        </w:rPr>
        <w:t xml:space="preserve">to </w:t>
      </w:r>
      <w:r>
        <w:rPr>
          <w:bCs/>
          <w:sz w:val="23"/>
          <w:szCs w:val="23"/>
        </w:rPr>
        <w:t>‘</w:t>
      </w:r>
      <w:r w:rsidR="00300D84">
        <w:rPr>
          <w:bCs/>
          <w:sz w:val="23"/>
          <w:szCs w:val="23"/>
        </w:rPr>
        <w:t>p</w:t>
      </w:r>
      <w:r w:rsidRPr="009268B5">
        <w:rPr>
          <w:bCs/>
          <w:sz w:val="23"/>
          <w:szCs w:val="23"/>
        </w:rPr>
        <w:t xml:space="preserve">renatal reporting </w:t>
      </w:r>
      <w:r w:rsidR="00F26B11">
        <w:rPr>
          <w:bCs/>
          <w:sz w:val="23"/>
          <w:szCs w:val="23"/>
        </w:rPr>
        <w:t xml:space="preserve">- </w:t>
      </w:r>
      <w:r w:rsidR="00F26B11" w:rsidRPr="009268B5">
        <w:rPr>
          <w:bCs/>
          <w:sz w:val="23"/>
          <w:szCs w:val="23"/>
        </w:rPr>
        <w:t>anticipated</w:t>
      </w:r>
      <w:r w:rsidRPr="009268B5">
        <w:rPr>
          <w:bCs/>
          <w:sz w:val="23"/>
          <w:szCs w:val="23"/>
        </w:rPr>
        <w:t xml:space="preserve"> risk of significant harm</w:t>
      </w:r>
      <w:r>
        <w:rPr>
          <w:bCs/>
          <w:sz w:val="23"/>
          <w:szCs w:val="23"/>
        </w:rPr>
        <w:t>.’</w:t>
      </w:r>
      <w:r w:rsidR="00A25BAE" w:rsidRPr="00A25BAE">
        <w:rPr>
          <w:rFonts w:asciiTheme="minorHAnsi" w:eastAsia="Calibri" w:hAnsiTheme="minorHAnsi" w:cstheme="minorHAnsi"/>
          <w:sz w:val="24"/>
          <w:szCs w:val="24"/>
          <w:lang w:eastAsia="en-AU"/>
        </w:rPr>
        <w:t xml:space="preserve"> </w:t>
      </w:r>
      <w:r w:rsidR="00A25BAE" w:rsidRPr="00591C77">
        <w:rPr>
          <w:rFonts w:asciiTheme="minorHAnsi" w:eastAsia="Calibri" w:hAnsiTheme="minorHAnsi" w:cstheme="minorHAnsi"/>
          <w:sz w:val="24"/>
          <w:szCs w:val="24"/>
          <w:lang w:eastAsia="en-AU"/>
        </w:rPr>
        <w:t xml:space="preserve">This is consistent with the introduction of significant harm to the Act.  </w:t>
      </w:r>
    </w:p>
    <w:p w14:paraId="39B8FC4B" w14:textId="08B39C6C" w:rsidR="009268B5" w:rsidRDefault="009268B5" w:rsidP="000165E8">
      <w:pPr>
        <w:spacing w:before="100" w:beforeAutospacing="1" w:after="100" w:afterAutospacing="1"/>
        <w:rPr>
          <w:rFonts w:asciiTheme="minorHAnsi" w:eastAsia="Calibri" w:hAnsiTheme="minorHAnsi" w:cstheme="minorHAnsi"/>
          <w:b/>
          <w:sz w:val="24"/>
          <w:szCs w:val="24"/>
        </w:rPr>
      </w:pPr>
      <w:r w:rsidRPr="009268B5">
        <w:rPr>
          <w:rFonts w:asciiTheme="minorHAnsi" w:eastAsia="Calibri" w:hAnsiTheme="minorHAnsi" w:cstheme="minorHAnsi"/>
          <w:b/>
          <w:sz w:val="24"/>
          <w:szCs w:val="24"/>
        </w:rPr>
        <w:t>Clause 3</w:t>
      </w:r>
      <w:r>
        <w:rPr>
          <w:rFonts w:asciiTheme="minorHAnsi" w:eastAsia="Calibri" w:hAnsiTheme="minorHAnsi" w:cstheme="minorHAnsi"/>
          <w:b/>
          <w:sz w:val="24"/>
          <w:szCs w:val="24"/>
        </w:rPr>
        <w:t>9</w:t>
      </w:r>
      <w:r w:rsidRPr="009268B5">
        <w:rPr>
          <w:rFonts w:asciiTheme="minorHAnsi" w:eastAsia="Calibri" w:hAnsiTheme="minorHAnsi" w:cstheme="minorHAnsi"/>
          <w:b/>
          <w:sz w:val="24"/>
          <w:szCs w:val="24"/>
        </w:rPr>
        <w:t xml:space="preserve"> </w:t>
      </w:r>
      <w:r w:rsidRPr="00591C77">
        <w:rPr>
          <w:rFonts w:asciiTheme="minorHAnsi" w:eastAsia="Calibri" w:hAnsiTheme="minorHAnsi" w:cstheme="minorHAnsi"/>
          <w:b/>
          <w:sz w:val="24"/>
          <w:szCs w:val="24"/>
        </w:rPr>
        <w:t>–</w:t>
      </w:r>
      <w:r>
        <w:rPr>
          <w:rFonts w:asciiTheme="minorHAnsi" w:eastAsia="Calibri" w:hAnsiTheme="minorHAnsi" w:cstheme="minorHAnsi"/>
          <w:b/>
          <w:sz w:val="24"/>
          <w:szCs w:val="24"/>
        </w:rPr>
        <w:t xml:space="preserve"> </w:t>
      </w:r>
      <w:r w:rsidRPr="009268B5">
        <w:rPr>
          <w:rFonts w:asciiTheme="minorHAnsi" w:eastAsia="Calibri" w:hAnsiTheme="minorHAnsi" w:cstheme="minorHAnsi"/>
          <w:b/>
          <w:sz w:val="24"/>
          <w:szCs w:val="24"/>
        </w:rPr>
        <w:t xml:space="preserve">Section 362 </w:t>
      </w:r>
      <w:r>
        <w:rPr>
          <w:rFonts w:asciiTheme="minorHAnsi" w:eastAsia="Calibri" w:hAnsiTheme="minorHAnsi" w:cstheme="minorHAnsi"/>
          <w:b/>
          <w:sz w:val="24"/>
          <w:szCs w:val="24"/>
        </w:rPr>
        <w:t>(1)</w:t>
      </w:r>
    </w:p>
    <w:p w14:paraId="0F3606E2" w14:textId="4A2F0609" w:rsidR="009268B5" w:rsidRPr="00A25BAE" w:rsidRDefault="009268B5" w:rsidP="000165E8">
      <w:pPr>
        <w:pStyle w:val="Default"/>
        <w:spacing w:before="100" w:beforeAutospacing="1" w:after="100" w:afterAutospacing="1"/>
        <w:rPr>
          <w:rFonts w:asciiTheme="minorHAnsi" w:eastAsia="Calibri" w:hAnsiTheme="minorHAnsi" w:cstheme="minorHAnsi"/>
          <w:lang w:eastAsia="en-AU"/>
        </w:rPr>
      </w:pPr>
      <w:r w:rsidRPr="00A25BAE">
        <w:rPr>
          <w:rFonts w:asciiTheme="minorHAnsi" w:eastAsia="Calibri" w:hAnsiTheme="minorHAnsi" w:cstheme="minorHAnsi"/>
          <w:lang w:eastAsia="en-AU"/>
        </w:rPr>
        <w:t>This clause omits ‘in need of care and protection’ substitutes with ‘at risk of significant harm after the child is born.’</w:t>
      </w:r>
      <w:r w:rsidR="00A25BAE" w:rsidRPr="00A25BAE">
        <w:rPr>
          <w:rFonts w:asciiTheme="minorHAnsi" w:eastAsia="Calibri" w:hAnsiTheme="minorHAnsi" w:cstheme="minorHAnsi"/>
          <w:lang w:eastAsia="en-AU"/>
        </w:rPr>
        <w:t xml:space="preserve"> </w:t>
      </w:r>
      <w:r w:rsidR="00A25BAE" w:rsidRPr="00591C77">
        <w:rPr>
          <w:rFonts w:asciiTheme="minorHAnsi" w:eastAsia="Calibri" w:hAnsiTheme="minorHAnsi" w:cstheme="minorHAnsi"/>
          <w:lang w:eastAsia="en-AU"/>
        </w:rPr>
        <w:t xml:space="preserve">This is consistent with the introduction of significant harm to the Act.  </w:t>
      </w:r>
    </w:p>
    <w:p w14:paraId="316F6DD2" w14:textId="0C30B4A9" w:rsidR="009268B5" w:rsidRDefault="009268B5" w:rsidP="000165E8">
      <w:pPr>
        <w:spacing w:before="100" w:beforeAutospacing="1" w:after="100" w:afterAutospacing="1"/>
        <w:rPr>
          <w:b/>
          <w:bCs/>
          <w:sz w:val="23"/>
          <w:szCs w:val="23"/>
        </w:rPr>
      </w:pPr>
      <w:r w:rsidRPr="00591C77">
        <w:rPr>
          <w:rFonts w:asciiTheme="minorHAnsi" w:eastAsia="Calibri" w:hAnsiTheme="minorHAnsi" w:cstheme="minorHAnsi"/>
          <w:b/>
          <w:sz w:val="24"/>
          <w:szCs w:val="24"/>
        </w:rPr>
        <w:lastRenderedPageBreak/>
        <w:t xml:space="preserve">Clause </w:t>
      </w:r>
      <w:r>
        <w:rPr>
          <w:rFonts w:asciiTheme="minorHAnsi" w:eastAsia="Calibri" w:hAnsiTheme="minorHAnsi" w:cstheme="minorHAnsi"/>
          <w:b/>
          <w:sz w:val="24"/>
          <w:szCs w:val="24"/>
        </w:rPr>
        <w:t xml:space="preserve">40 </w:t>
      </w:r>
      <w:r w:rsidRPr="00591C77">
        <w:rPr>
          <w:rFonts w:asciiTheme="minorHAnsi" w:eastAsia="Calibri" w:hAnsiTheme="minorHAnsi" w:cstheme="minorHAnsi"/>
          <w:b/>
          <w:sz w:val="24"/>
          <w:szCs w:val="24"/>
        </w:rPr>
        <w:t xml:space="preserve">– </w:t>
      </w:r>
      <w:r>
        <w:rPr>
          <w:b/>
          <w:bCs/>
          <w:sz w:val="23"/>
          <w:szCs w:val="23"/>
        </w:rPr>
        <w:t>How prenatal reports may be used in evidence Section 364 (2) (b)</w:t>
      </w:r>
    </w:p>
    <w:p w14:paraId="438F62DA" w14:textId="0978E632" w:rsidR="004D065D" w:rsidRDefault="004D065D" w:rsidP="000165E8">
      <w:pPr>
        <w:keepNext/>
        <w:spacing w:before="100" w:beforeAutospacing="1" w:after="100" w:afterAutospacing="1"/>
        <w:outlineLvl w:val="3"/>
        <w:rPr>
          <w:sz w:val="23"/>
          <w:szCs w:val="23"/>
        </w:rPr>
      </w:pPr>
      <w:r w:rsidRPr="00591C77">
        <w:rPr>
          <w:rFonts w:asciiTheme="minorHAnsi" w:eastAsia="Calibri" w:hAnsiTheme="minorHAnsi" w:cstheme="minorHAnsi"/>
          <w:sz w:val="24"/>
          <w:szCs w:val="24"/>
          <w:lang w:eastAsia="en-AU"/>
        </w:rPr>
        <w:t xml:space="preserve">This clause omits the reference </w:t>
      </w:r>
      <w:r>
        <w:rPr>
          <w:sz w:val="23"/>
          <w:szCs w:val="23"/>
        </w:rPr>
        <w:t xml:space="preserve">‘reporting, investigating and appraising abuse and neglect and </w:t>
      </w:r>
      <w:r w:rsidRPr="00591C77">
        <w:rPr>
          <w:rFonts w:asciiTheme="minorHAnsi" w:eastAsia="Calibri" w:hAnsiTheme="minorHAnsi" w:cstheme="minorHAnsi"/>
          <w:sz w:val="24"/>
          <w:szCs w:val="24"/>
          <w:lang w:eastAsia="en-AU"/>
        </w:rPr>
        <w:t>substitutes</w:t>
      </w:r>
      <w:r w:rsidRPr="003806BC">
        <w:rPr>
          <w:b/>
          <w:bCs/>
          <w:sz w:val="23"/>
          <w:szCs w:val="23"/>
        </w:rPr>
        <w:t xml:space="preserve"> </w:t>
      </w:r>
      <w:r w:rsidRPr="003806BC">
        <w:rPr>
          <w:rFonts w:asciiTheme="minorHAnsi" w:eastAsia="Calibri" w:hAnsiTheme="minorHAnsi" w:cstheme="minorHAnsi"/>
          <w:sz w:val="24"/>
          <w:szCs w:val="24"/>
          <w:lang w:eastAsia="en-AU"/>
        </w:rPr>
        <w:t>risk of significant harm</w:t>
      </w:r>
      <w:r>
        <w:rPr>
          <w:rFonts w:asciiTheme="minorHAnsi" w:eastAsia="Calibri" w:hAnsiTheme="minorHAnsi" w:cstheme="minorHAnsi"/>
          <w:sz w:val="24"/>
          <w:szCs w:val="24"/>
          <w:lang w:eastAsia="en-AU"/>
        </w:rPr>
        <w:t xml:space="preserve"> ‘</w:t>
      </w:r>
      <w:r>
        <w:rPr>
          <w:sz w:val="23"/>
          <w:szCs w:val="23"/>
        </w:rPr>
        <w:t>reporting and assessing risk of significant harm.’</w:t>
      </w:r>
      <w:r w:rsidR="00A25BAE" w:rsidRPr="00A25BAE">
        <w:rPr>
          <w:rFonts w:asciiTheme="minorHAnsi" w:eastAsia="Calibri" w:hAnsiTheme="minorHAnsi" w:cstheme="minorHAnsi"/>
          <w:sz w:val="24"/>
          <w:szCs w:val="24"/>
          <w:lang w:eastAsia="en-AU"/>
        </w:rPr>
        <w:t xml:space="preserve"> </w:t>
      </w:r>
      <w:r w:rsidR="00A25BAE" w:rsidRPr="00591C77">
        <w:rPr>
          <w:rFonts w:asciiTheme="minorHAnsi" w:eastAsia="Calibri" w:hAnsiTheme="minorHAnsi" w:cstheme="minorHAnsi"/>
          <w:sz w:val="24"/>
          <w:szCs w:val="24"/>
          <w:lang w:eastAsia="en-AU"/>
        </w:rPr>
        <w:t xml:space="preserve">This is consistent with the introduction of significant harm to the Act.  </w:t>
      </w:r>
    </w:p>
    <w:p w14:paraId="7DF1DEC2" w14:textId="46E34144" w:rsidR="00C77D67" w:rsidRDefault="00F26B11" w:rsidP="000165E8">
      <w:pPr>
        <w:keepNext/>
        <w:spacing w:before="100" w:beforeAutospacing="1" w:after="100" w:afterAutospacing="1"/>
        <w:outlineLvl w:val="3"/>
        <w:rPr>
          <w:b/>
          <w:bCs/>
          <w:sz w:val="23"/>
          <w:szCs w:val="23"/>
        </w:rPr>
      </w:pPr>
      <w:r w:rsidRPr="00591C77">
        <w:rPr>
          <w:rFonts w:asciiTheme="minorHAnsi" w:eastAsia="Calibri" w:hAnsiTheme="minorHAnsi" w:cstheme="minorHAnsi"/>
          <w:b/>
          <w:sz w:val="24"/>
          <w:szCs w:val="24"/>
        </w:rPr>
        <w:t xml:space="preserve">Clause </w:t>
      </w:r>
      <w:r>
        <w:rPr>
          <w:rFonts w:asciiTheme="minorHAnsi" w:eastAsia="Calibri" w:hAnsiTheme="minorHAnsi" w:cstheme="minorHAnsi"/>
          <w:b/>
          <w:sz w:val="24"/>
          <w:szCs w:val="24"/>
        </w:rPr>
        <w:t xml:space="preserve">41 </w:t>
      </w:r>
      <w:r w:rsidRPr="00591C77">
        <w:rPr>
          <w:rFonts w:asciiTheme="minorHAnsi" w:eastAsia="Calibri" w:hAnsiTheme="minorHAnsi" w:cstheme="minorHAnsi"/>
          <w:b/>
          <w:sz w:val="24"/>
          <w:szCs w:val="24"/>
        </w:rPr>
        <w:t>–</w:t>
      </w:r>
      <w:r w:rsidRPr="00F26B11">
        <w:rPr>
          <w:b/>
          <w:bCs/>
          <w:sz w:val="23"/>
          <w:szCs w:val="23"/>
        </w:rPr>
        <w:t xml:space="preserve"> </w:t>
      </w:r>
      <w:r>
        <w:rPr>
          <w:b/>
          <w:bCs/>
          <w:sz w:val="23"/>
          <w:szCs w:val="23"/>
        </w:rPr>
        <w:t>Care and protection appraisal—power to carry out Section 368 (1) and note</w:t>
      </w:r>
    </w:p>
    <w:p w14:paraId="7EB24FEF" w14:textId="3F084AE5" w:rsidR="00F26B11" w:rsidRDefault="00F26B11" w:rsidP="000165E8">
      <w:pPr>
        <w:keepNext/>
        <w:spacing w:before="100" w:beforeAutospacing="1" w:after="100" w:afterAutospacing="1"/>
        <w:outlineLvl w:val="3"/>
        <w:rPr>
          <w:rFonts w:asciiTheme="minorHAnsi" w:eastAsia="Calibri" w:hAnsiTheme="minorHAnsi" w:cstheme="minorHAnsi"/>
          <w:b/>
          <w:sz w:val="24"/>
          <w:szCs w:val="24"/>
        </w:rPr>
      </w:pPr>
      <w:r w:rsidRPr="00F26B11">
        <w:rPr>
          <w:sz w:val="23"/>
          <w:szCs w:val="23"/>
        </w:rPr>
        <w:t xml:space="preserve">This clause clarifies that </w:t>
      </w:r>
      <w:r>
        <w:rPr>
          <w:sz w:val="23"/>
          <w:szCs w:val="23"/>
        </w:rPr>
        <w:t>the director-general may carry out a care and protection appraisal of a child or young person if, after considering a voluntary report or a mandatory report about the child or young person, the director-general believes the child or young person may be at risk of significant harm.</w:t>
      </w:r>
      <w:r w:rsidR="00A25BAE" w:rsidRPr="00A25BAE">
        <w:rPr>
          <w:rFonts w:asciiTheme="minorHAnsi" w:eastAsia="Calibri" w:hAnsiTheme="minorHAnsi" w:cstheme="minorHAnsi"/>
          <w:sz w:val="24"/>
          <w:szCs w:val="24"/>
          <w:lang w:eastAsia="en-AU"/>
        </w:rPr>
        <w:t xml:space="preserve"> </w:t>
      </w:r>
      <w:r w:rsidR="00A25BAE" w:rsidRPr="00591C77">
        <w:rPr>
          <w:rFonts w:asciiTheme="minorHAnsi" w:eastAsia="Calibri" w:hAnsiTheme="minorHAnsi" w:cstheme="minorHAnsi"/>
          <w:sz w:val="24"/>
          <w:szCs w:val="24"/>
          <w:lang w:eastAsia="en-AU"/>
        </w:rPr>
        <w:t xml:space="preserve">This is consistent with the introduction of significant harm to the Act.  </w:t>
      </w:r>
    </w:p>
    <w:p w14:paraId="34FC116B" w14:textId="2B9D09A6" w:rsidR="00F26B11" w:rsidRPr="00F26B11" w:rsidRDefault="00F26B11" w:rsidP="000165E8">
      <w:pPr>
        <w:keepNext/>
        <w:spacing w:before="100" w:beforeAutospacing="1" w:after="100" w:afterAutospacing="1"/>
        <w:outlineLvl w:val="3"/>
        <w:rPr>
          <w:rFonts w:asciiTheme="minorHAnsi" w:eastAsia="Calibri" w:hAnsiTheme="minorHAnsi" w:cstheme="minorHAnsi"/>
          <w:bCs/>
          <w:sz w:val="24"/>
          <w:szCs w:val="24"/>
        </w:rPr>
      </w:pPr>
      <w:r w:rsidRPr="00591C77">
        <w:rPr>
          <w:rFonts w:asciiTheme="minorHAnsi" w:eastAsia="Calibri" w:hAnsiTheme="minorHAnsi" w:cstheme="minorHAnsi"/>
          <w:b/>
          <w:sz w:val="24"/>
          <w:szCs w:val="24"/>
        </w:rPr>
        <w:t xml:space="preserve">Clause </w:t>
      </w:r>
      <w:r>
        <w:rPr>
          <w:rFonts w:asciiTheme="minorHAnsi" w:eastAsia="Calibri" w:hAnsiTheme="minorHAnsi" w:cstheme="minorHAnsi"/>
          <w:b/>
          <w:sz w:val="24"/>
          <w:szCs w:val="24"/>
        </w:rPr>
        <w:t xml:space="preserve">42 </w:t>
      </w:r>
      <w:r w:rsidRPr="00591C77">
        <w:rPr>
          <w:rFonts w:asciiTheme="minorHAnsi" w:eastAsia="Calibri" w:hAnsiTheme="minorHAnsi" w:cstheme="minorHAnsi"/>
          <w:b/>
          <w:sz w:val="24"/>
          <w:szCs w:val="24"/>
        </w:rPr>
        <w:t>–</w:t>
      </w:r>
      <w:r w:rsidRPr="00F26B11">
        <w:rPr>
          <w:b/>
          <w:bCs/>
          <w:sz w:val="23"/>
          <w:szCs w:val="23"/>
        </w:rPr>
        <w:t xml:space="preserve"> </w:t>
      </w:r>
      <w:r>
        <w:rPr>
          <w:b/>
          <w:bCs/>
          <w:sz w:val="23"/>
          <w:szCs w:val="23"/>
        </w:rPr>
        <w:t>Care and protection appraisal—obtaining agreement not in best interests of child or young person etc Section 370 (1), example 1</w:t>
      </w:r>
    </w:p>
    <w:p w14:paraId="40FCEA25" w14:textId="7304223D" w:rsidR="00F26B11" w:rsidRPr="00F26B11" w:rsidRDefault="00F26B11" w:rsidP="000165E8">
      <w:pPr>
        <w:keepNext/>
        <w:spacing w:before="100" w:beforeAutospacing="1" w:after="100" w:afterAutospacing="1"/>
        <w:outlineLvl w:val="3"/>
        <w:rPr>
          <w:sz w:val="23"/>
          <w:szCs w:val="23"/>
        </w:rPr>
      </w:pPr>
      <w:r w:rsidRPr="00F26B11">
        <w:rPr>
          <w:sz w:val="23"/>
          <w:szCs w:val="23"/>
        </w:rPr>
        <w:t>This clause clarifies the parent or other person with daily care responsibility is the subject of an allegation of causing significant harm to the child or young person</w:t>
      </w:r>
      <w:r w:rsidR="00A25BAE">
        <w:rPr>
          <w:sz w:val="23"/>
          <w:szCs w:val="23"/>
        </w:rPr>
        <w:t xml:space="preserve">. </w:t>
      </w:r>
      <w:r w:rsidR="00A25BAE" w:rsidRPr="00591C77">
        <w:rPr>
          <w:rFonts w:asciiTheme="minorHAnsi" w:eastAsia="Calibri" w:hAnsiTheme="minorHAnsi" w:cstheme="minorHAnsi"/>
          <w:sz w:val="24"/>
          <w:szCs w:val="24"/>
          <w:lang w:eastAsia="en-AU"/>
        </w:rPr>
        <w:t xml:space="preserve">This is consistent with the introduction of significant harm to the Act.  </w:t>
      </w:r>
    </w:p>
    <w:p w14:paraId="4B14476D" w14:textId="5ACE03F0" w:rsidR="00F26B11" w:rsidRDefault="00F26B11" w:rsidP="000165E8">
      <w:pPr>
        <w:keepNext/>
        <w:spacing w:before="100" w:beforeAutospacing="1" w:after="100" w:afterAutospacing="1"/>
        <w:outlineLvl w:val="3"/>
        <w:rPr>
          <w:b/>
          <w:bCs/>
          <w:sz w:val="23"/>
          <w:szCs w:val="23"/>
        </w:rPr>
      </w:pPr>
      <w:r w:rsidRPr="00591C77">
        <w:rPr>
          <w:rFonts w:asciiTheme="minorHAnsi" w:eastAsia="Calibri" w:hAnsiTheme="minorHAnsi" w:cstheme="minorHAnsi"/>
          <w:b/>
          <w:sz w:val="24"/>
          <w:szCs w:val="24"/>
        </w:rPr>
        <w:t xml:space="preserve">Clause </w:t>
      </w:r>
      <w:r>
        <w:rPr>
          <w:rFonts w:asciiTheme="minorHAnsi" w:eastAsia="Calibri" w:hAnsiTheme="minorHAnsi" w:cstheme="minorHAnsi"/>
          <w:b/>
          <w:sz w:val="24"/>
          <w:szCs w:val="24"/>
        </w:rPr>
        <w:t xml:space="preserve">43 </w:t>
      </w:r>
      <w:r w:rsidRPr="00591C77">
        <w:rPr>
          <w:rFonts w:asciiTheme="minorHAnsi" w:eastAsia="Calibri" w:hAnsiTheme="minorHAnsi" w:cstheme="minorHAnsi"/>
          <w:b/>
          <w:sz w:val="24"/>
          <w:szCs w:val="24"/>
        </w:rPr>
        <w:t>–</w:t>
      </w:r>
      <w:r>
        <w:rPr>
          <w:rFonts w:asciiTheme="minorHAnsi" w:eastAsia="Calibri" w:hAnsiTheme="minorHAnsi" w:cstheme="minorHAnsi"/>
          <w:b/>
          <w:sz w:val="24"/>
          <w:szCs w:val="24"/>
        </w:rPr>
        <w:t xml:space="preserve"> </w:t>
      </w:r>
      <w:r>
        <w:rPr>
          <w:b/>
          <w:bCs/>
          <w:sz w:val="23"/>
          <w:szCs w:val="23"/>
        </w:rPr>
        <w:t>Care and protection appraisal—visual examination and interview Section 371 (5) (a)</w:t>
      </w:r>
    </w:p>
    <w:p w14:paraId="2C7A03C0" w14:textId="00A273CD" w:rsidR="00F26B11" w:rsidRPr="00F26B11" w:rsidRDefault="00F26B11" w:rsidP="000165E8">
      <w:pPr>
        <w:keepNext/>
        <w:spacing w:before="100" w:beforeAutospacing="1" w:after="100" w:afterAutospacing="1"/>
        <w:outlineLvl w:val="3"/>
        <w:rPr>
          <w:sz w:val="23"/>
          <w:szCs w:val="23"/>
        </w:rPr>
      </w:pPr>
      <w:r w:rsidRPr="00F26B11">
        <w:rPr>
          <w:sz w:val="23"/>
          <w:szCs w:val="23"/>
        </w:rPr>
        <w:t xml:space="preserve">This clause in accordance with section 360, omits the term child concern report and replaces with </w:t>
      </w:r>
      <w:r>
        <w:rPr>
          <w:sz w:val="23"/>
          <w:szCs w:val="23"/>
        </w:rPr>
        <w:t xml:space="preserve">risk of significant harm. </w:t>
      </w:r>
      <w:r w:rsidR="00A25BAE" w:rsidRPr="00591C77">
        <w:rPr>
          <w:rFonts w:asciiTheme="minorHAnsi" w:eastAsia="Calibri" w:hAnsiTheme="minorHAnsi" w:cstheme="minorHAnsi"/>
          <w:sz w:val="24"/>
          <w:szCs w:val="24"/>
          <w:lang w:eastAsia="en-AU"/>
        </w:rPr>
        <w:t xml:space="preserve">This is consistent with the introduction of significant harm to the Act.  </w:t>
      </w:r>
    </w:p>
    <w:p w14:paraId="749DD53B" w14:textId="199FB88E" w:rsidR="007929E8" w:rsidRPr="00591C77" w:rsidRDefault="00F26B11" w:rsidP="000165E8">
      <w:pPr>
        <w:keepNext/>
        <w:spacing w:before="100" w:beforeAutospacing="1" w:after="100" w:afterAutospacing="1"/>
        <w:outlineLvl w:val="3"/>
        <w:rPr>
          <w:rFonts w:asciiTheme="minorHAnsi" w:eastAsia="Calibri" w:hAnsiTheme="minorHAnsi" w:cstheme="minorHAnsi"/>
          <w:b/>
          <w:sz w:val="24"/>
          <w:szCs w:val="24"/>
        </w:rPr>
      </w:pPr>
      <w:r w:rsidRPr="00591C77">
        <w:rPr>
          <w:rFonts w:asciiTheme="minorHAnsi" w:eastAsia="Calibri" w:hAnsiTheme="minorHAnsi" w:cstheme="minorHAnsi"/>
          <w:b/>
          <w:sz w:val="24"/>
          <w:szCs w:val="24"/>
        </w:rPr>
        <w:t xml:space="preserve">Clause </w:t>
      </w:r>
      <w:r>
        <w:rPr>
          <w:rFonts w:asciiTheme="minorHAnsi" w:eastAsia="Calibri" w:hAnsiTheme="minorHAnsi" w:cstheme="minorHAnsi"/>
          <w:b/>
          <w:sz w:val="24"/>
          <w:szCs w:val="24"/>
        </w:rPr>
        <w:t xml:space="preserve">44 </w:t>
      </w:r>
      <w:r w:rsidRPr="00591C77">
        <w:rPr>
          <w:rFonts w:asciiTheme="minorHAnsi" w:eastAsia="Calibri" w:hAnsiTheme="minorHAnsi" w:cstheme="minorHAnsi"/>
          <w:b/>
          <w:sz w:val="24"/>
          <w:szCs w:val="24"/>
        </w:rPr>
        <w:t>–</w:t>
      </w:r>
      <w:r>
        <w:rPr>
          <w:rFonts w:asciiTheme="minorHAnsi" w:eastAsia="Calibri" w:hAnsiTheme="minorHAnsi" w:cstheme="minorHAnsi"/>
          <w:b/>
          <w:sz w:val="24"/>
          <w:szCs w:val="24"/>
        </w:rPr>
        <w:t xml:space="preserve"> </w:t>
      </w:r>
      <w:r w:rsidR="007929E8" w:rsidRPr="00591C77">
        <w:rPr>
          <w:rFonts w:asciiTheme="minorHAnsi" w:eastAsia="Calibri" w:hAnsiTheme="minorHAnsi" w:cstheme="minorHAnsi"/>
          <w:b/>
          <w:sz w:val="24"/>
          <w:szCs w:val="24"/>
        </w:rPr>
        <w:t>Public advocate to be told about action following appraisals Section 507 (1) (a) and (b)</w:t>
      </w:r>
    </w:p>
    <w:p w14:paraId="3B0C0F03" w14:textId="77777777" w:rsidR="00A25BAE" w:rsidRDefault="007929E8" w:rsidP="000165E8">
      <w:pPr>
        <w:pStyle w:val="Default"/>
        <w:spacing w:before="100" w:beforeAutospacing="1" w:after="100" w:afterAutospacing="1"/>
        <w:rPr>
          <w:rFonts w:asciiTheme="minorHAnsi" w:hAnsiTheme="minorHAnsi" w:cstheme="minorHAnsi"/>
        </w:rPr>
      </w:pPr>
      <w:r w:rsidRPr="00591C77">
        <w:rPr>
          <w:rFonts w:asciiTheme="minorHAnsi" w:hAnsiTheme="minorHAnsi" w:cstheme="minorHAnsi"/>
        </w:rPr>
        <w:t>This clause substitutes current s</w:t>
      </w:r>
      <w:r w:rsidR="00C62B89" w:rsidRPr="00591C77">
        <w:rPr>
          <w:rFonts w:asciiTheme="minorHAnsi" w:hAnsiTheme="minorHAnsi" w:cstheme="minorHAnsi"/>
        </w:rPr>
        <w:t>ection</w:t>
      </w:r>
      <w:r w:rsidRPr="00591C77">
        <w:rPr>
          <w:rFonts w:asciiTheme="minorHAnsi" w:hAnsiTheme="minorHAnsi" w:cstheme="minorHAnsi"/>
        </w:rPr>
        <w:t xml:space="preserve"> 507 (1) (a) and (b) with a provision for the director-general to tell the public advocate about action following appraisals wher</w:t>
      </w:r>
      <w:r w:rsidR="00A25BAE">
        <w:rPr>
          <w:rFonts w:asciiTheme="minorHAnsi" w:hAnsiTheme="minorHAnsi" w:cstheme="minorHAnsi"/>
        </w:rPr>
        <w:t>e:</w:t>
      </w:r>
    </w:p>
    <w:p w14:paraId="395C12F0" w14:textId="0A8B46EA" w:rsidR="00A25BAE" w:rsidRDefault="007929E8" w:rsidP="009664ED">
      <w:pPr>
        <w:pStyle w:val="Default"/>
        <w:numPr>
          <w:ilvl w:val="0"/>
          <w:numId w:val="26"/>
        </w:numPr>
        <w:spacing w:before="120"/>
        <w:ind w:left="714" w:hanging="357"/>
        <w:rPr>
          <w:rFonts w:asciiTheme="minorHAnsi" w:hAnsiTheme="minorHAnsi" w:cstheme="minorHAnsi"/>
        </w:rPr>
      </w:pPr>
      <w:r w:rsidRPr="00591C77">
        <w:rPr>
          <w:rFonts w:asciiTheme="minorHAnsi" w:hAnsiTheme="minorHAnsi" w:cstheme="minorHAnsi"/>
        </w:rPr>
        <w:t xml:space="preserve">the director-general receives a voluntary report or a mandatory report about a child or young person; and </w:t>
      </w:r>
    </w:p>
    <w:p w14:paraId="78421154" w14:textId="7C30B321" w:rsidR="00F26B11" w:rsidRPr="00A25BAE" w:rsidRDefault="007929E8" w:rsidP="009664ED">
      <w:pPr>
        <w:pStyle w:val="Default"/>
        <w:numPr>
          <w:ilvl w:val="0"/>
          <w:numId w:val="26"/>
        </w:numPr>
        <w:spacing w:before="120"/>
        <w:ind w:left="714" w:hanging="357"/>
        <w:rPr>
          <w:rFonts w:asciiTheme="minorHAnsi" w:hAnsiTheme="minorHAnsi" w:cstheme="minorHAnsi"/>
        </w:rPr>
      </w:pPr>
      <w:r w:rsidRPr="00591C77">
        <w:rPr>
          <w:rFonts w:asciiTheme="minorHAnsi" w:hAnsiTheme="minorHAnsi" w:cstheme="minorHAnsi"/>
        </w:rPr>
        <w:t xml:space="preserve">because of the report, the director-general believes the child or young person is at risk of significant harm. </w:t>
      </w:r>
    </w:p>
    <w:p w14:paraId="4067D156" w14:textId="6D339657" w:rsidR="007929E8" w:rsidRPr="00F26B11" w:rsidRDefault="00F26B11" w:rsidP="000165E8">
      <w:pPr>
        <w:pStyle w:val="Default"/>
        <w:spacing w:before="100" w:beforeAutospacing="1" w:after="100" w:afterAutospacing="1"/>
        <w:rPr>
          <w:rFonts w:asciiTheme="minorHAnsi" w:eastAsia="Calibri" w:hAnsiTheme="minorHAnsi" w:cstheme="minorHAnsi"/>
          <w:b/>
        </w:rPr>
      </w:pPr>
      <w:r w:rsidRPr="00591C77">
        <w:rPr>
          <w:rFonts w:asciiTheme="minorHAnsi" w:eastAsia="Calibri" w:hAnsiTheme="minorHAnsi" w:cstheme="minorHAnsi"/>
          <w:b/>
        </w:rPr>
        <w:t xml:space="preserve">Clause </w:t>
      </w:r>
      <w:r>
        <w:rPr>
          <w:rFonts w:asciiTheme="minorHAnsi" w:eastAsia="Calibri" w:hAnsiTheme="minorHAnsi" w:cstheme="minorHAnsi"/>
          <w:b/>
        </w:rPr>
        <w:t xml:space="preserve">45 </w:t>
      </w:r>
      <w:r w:rsidRPr="00591C77">
        <w:rPr>
          <w:rFonts w:asciiTheme="minorHAnsi" w:eastAsia="Calibri" w:hAnsiTheme="minorHAnsi" w:cstheme="minorHAnsi"/>
          <w:b/>
        </w:rPr>
        <w:t>–</w:t>
      </w:r>
      <w:r>
        <w:rPr>
          <w:rFonts w:asciiTheme="minorHAnsi" w:eastAsia="Calibri" w:hAnsiTheme="minorHAnsi" w:cstheme="minorHAnsi"/>
          <w:b/>
        </w:rPr>
        <w:t xml:space="preserve"> </w:t>
      </w:r>
      <w:r w:rsidRPr="00F26B11">
        <w:rPr>
          <w:rFonts w:asciiTheme="minorHAnsi" w:eastAsia="Calibri" w:hAnsiTheme="minorHAnsi" w:cstheme="minorHAnsi"/>
          <w:b/>
        </w:rPr>
        <w:t>Sections 644 (b) and 651 (1) (b)</w:t>
      </w:r>
    </w:p>
    <w:p w14:paraId="4F29E441" w14:textId="77777777" w:rsidR="00F1417E" w:rsidRDefault="00F26B11" w:rsidP="000165E8">
      <w:pPr>
        <w:spacing w:before="100" w:beforeAutospacing="1" w:after="100" w:afterAutospacing="1"/>
        <w:rPr>
          <w:bCs/>
          <w:sz w:val="23"/>
          <w:szCs w:val="23"/>
        </w:rPr>
      </w:pPr>
      <w:r w:rsidRPr="00DD1CA9">
        <w:rPr>
          <w:rFonts w:asciiTheme="minorHAnsi" w:eastAsia="Calibri" w:hAnsiTheme="minorHAnsi" w:cstheme="minorHAnsi"/>
          <w:bCs/>
          <w:sz w:val="24"/>
          <w:szCs w:val="24"/>
        </w:rPr>
        <w:t xml:space="preserve">This clause revises wording from </w:t>
      </w:r>
      <w:r>
        <w:rPr>
          <w:rFonts w:asciiTheme="minorHAnsi" w:eastAsia="Calibri" w:hAnsiTheme="minorHAnsi" w:cstheme="minorHAnsi"/>
          <w:bCs/>
          <w:sz w:val="24"/>
          <w:szCs w:val="24"/>
        </w:rPr>
        <w:t>‘</w:t>
      </w:r>
      <w:r w:rsidRPr="00DD1CA9">
        <w:rPr>
          <w:bCs/>
          <w:sz w:val="23"/>
          <w:szCs w:val="23"/>
        </w:rPr>
        <w:t>section 10 (Aboriginal and Torres Strait Islander children and young people principle)</w:t>
      </w:r>
      <w:r>
        <w:rPr>
          <w:bCs/>
          <w:sz w:val="23"/>
          <w:szCs w:val="23"/>
        </w:rPr>
        <w:t>’</w:t>
      </w:r>
      <w:r w:rsidRPr="00DD1CA9">
        <w:rPr>
          <w:bCs/>
          <w:sz w:val="23"/>
          <w:szCs w:val="23"/>
        </w:rPr>
        <w:t xml:space="preserve"> to </w:t>
      </w:r>
      <w:r>
        <w:rPr>
          <w:bCs/>
          <w:sz w:val="23"/>
          <w:szCs w:val="23"/>
        </w:rPr>
        <w:t>‘</w:t>
      </w:r>
      <w:r w:rsidRPr="00DD1CA9">
        <w:rPr>
          <w:bCs/>
          <w:sz w:val="23"/>
          <w:szCs w:val="23"/>
        </w:rPr>
        <w:t>section 10 (Aboriginal and Torres Strait Islander children and young people—placement principles)</w:t>
      </w:r>
      <w:r>
        <w:rPr>
          <w:bCs/>
          <w:sz w:val="23"/>
          <w:szCs w:val="23"/>
        </w:rPr>
        <w:t>’</w:t>
      </w:r>
      <w:r w:rsidRPr="00DD1CA9">
        <w:rPr>
          <w:bCs/>
          <w:sz w:val="23"/>
          <w:szCs w:val="23"/>
        </w:rPr>
        <w:t>.</w:t>
      </w:r>
    </w:p>
    <w:p w14:paraId="4C4CB8FD" w14:textId="77777777" w:rsidR="009664ED" w:rsidRDefault="009664ED">
      <w:pPr>
        <w:spacing w:after="160" w:line="259" w:lineRule="auto"/>
        <w:rPr>
          <w:rFonts w:asciiTheme="minorHAnsi" w:eastAsia="Calibri" w:hAnsiTheme="minorHAnsi" w:cstheme="minorHAnsi"/>
          <w:b/>
          <w:sz w:val="24"/>
          <w:szCs w:val="24"/>
        </w:rPr>
      </w:pPr>
      <w:r>
        <w:rPr>
          <w:rFonts w:asciiTheme="minorHAnsi" w:eastAsia="Calibri" w:hAnsiTheme="minorHAnsi" w:cstheme="minorHAnsi"/>
          <w:b/>
          <w:sz w:val="24"/>
          <w:szCs w:val="24"/>
        </w:rPr>
        <w:br w:type="page"/>
      </w:r>
    </w:p>
    <w:p w14:paraId="5C276D3B" w14:textId="286F2E37" w:rsidR="007929E8" w:rsidRPr="00591C77" w:rsidRDefault="007929E8" w:rsidP="000165E8">
      <w:pPr>
        <w:spacing w:before="100" w:beforeAutospacing="1" w:after="100" w:afterAutospacing="1"/>
        <w:rPr>
          <w:rFonts w:asciiTheme="minorHAnsi" w:eastAsia="Calibri" w:hAnsiTheme="minorHAnsi" w:cstheme="minorHAnsi"/>
          <w:b/>
          <w:sz w:val="24"/>
          <w:szCs w:val="24"/>
        </w:rPr>
      </w:pPr>
      <w:r w:rsidRPr="00591C77">
        <w:rPr>
          <w:rFonts w:asciiTheme="minorHAnsi" w:eastAsia="Calibri" w:hAnsiTheme="minorHAnsi" w:cstheme="minorHAnsi"/>
          <w:b/>
          <w:sz w:val="24"/>
          <w:szCs w:val="24"/>
        </w:rPr>
        <w:lastRenderedPageBreak/>
        <w:t xml:space="preserve">Clause </w:t>
      </w:r>
      <w:r w:rsidR="00F1417E">
        <w:rPr>
          <w:rFonts w:asciiTheme="minorHAnsi" w:eastAsia="Calibri" w:hAnsiTheme="minorHAnsi" w:cstheme="minorHAnsi"/>
          <w:b/>
          <w:sz w:val="24"/>
          <w:szCs w:val="24"/>
        </w:rPr>
        <w:t>4</w:t>
      </w:r>
      <w:r w:rsidR="00964042">
        <w:rPr>
          <w:rFonts w:asciiTheme="minorHAnsi" w:eastAsia="Calibri" w:hAnsiTheme="minorHAnsi" w:cstheme="minorHAnsi"/>
          <w:b/>
          <w:sz w:val="24"/>
          <w:szCs w:val="24"/>
        </w:rPr>
        <w:t>6</w:t>
      </w:r>
      <w:r w:rsidRPr="00591C77">
        <w:rPr>
          <w:rFonts w:asciiTheme="minorHAnsi" w:eastAsia="Calibri" w:hAnsiTheme="minorHAnsi" w:cstheme="minorHAnsi"/>
          <w:b/>
          <w:sz w:val="24"/>
          <w:szCs w:val="24"/>
        </w:rPr>
        <w:t xml:space="preserve"> – Functions of committee Section 727B (1)</w:t>
      </w:r>
    </w:p>
    <w:p w14:paraId="3E040683" w14:textId="2CA0455E" w:rsidR="001177EF" w:rsidRPr="00591C77" w:rsidRDefault="007929E8"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hAnsiTheme="minorHAnsi" w:cstheme="minorHAnsi"/>
          <w:sz w:val="24"/>
          <w:szCs w:val="24"/>
        </w:rPr>
        <w:t>This clause substitutes current s</w:t>
      </w:r>
      <w:r w:rsidR="00C62B89" w:rsidRPr="00591C77">
        <w:rPr>
          <w:rFonts w:asciiTheme="minorHAnsi" w:hAnsiTheme="minorHAnsi" w:cstheme="minorHAnsi"/>
          <w:sz w:val="24"/>
          <w:szCs w:val="24"/>
        </w:rPr>
        <w:t xml:space="preserve">ection </w:t>
      </w:r>
      <w:r w:rsidRPr="00591C77">
        <w:rPr>
          <w:rFonts w:asciiTheme="minorHAnsi" w:hAnsiTheme="minorHAnsi" w:cstheme="minorHAnsi"/>
          <w:sz w:val="24"/>
          <w:szCs w:val="24"/>
        </w:rPr>
        <w:t>727B (1) which identifies the functions of the CYP death</w:t>
      </w:r>
      <w:r w:rsidR="00A26063" w:rsidRPr="00591C77">
        <w:rPr>
          <w:rFonts w:asciiTheme="minorHAnsi" w:hAnsiTheme="minorHAnsi" w:cstheme="minorHAnsi"/>
          <w:sz w:val="24"/>
          <w:szCs w:val="24"/>
        </w:rPr>
        <w:t xml:space="preserve"> review committee. </w:t>
      </w:r>
    </w:p>
    <w:p w14:paraId="7789D5DC" w14:textId="24E01DB9" w:rsidR="001177EF" w:rsidRPr="00591C77" w:rsidRDefault="001177EF" w:rsidP="000165E8">
      <w:pPr>
        <w:spacing w:before="100" w:beforeAutospacing="1" w:after="100" w:afterAutospacing="1"/>
        <w:rPr>
          <w:rFonts w:asciiTheme="minorHAnsi" w:eastAsia="Calibri" w:hAnsiTheme="minorHAnsi" w:cstheme="minorHAnsi"/>
          <w:b/>
          <w:sz w:val="24"/>
          <w:szCs w:val="24"/>
        </w:rPr>
      </w:pPr>
      <w:r w:rsidRPr="00591C77">
        <w:rPr>
          <w:rFonts w:asciiTheme="minorHAnsi" w:eastAsia="Calibri" w:hAnsiTheme="minorHAnsi" w:cstheme="minorHAnsi"/>
          <w:b/>
          <w:sz w:val="24"/>
          <w:szCs w:val="24"/>
        </w:rPr>
        <w:t xml:space="preserve">Clause </w:t>
      </w:r>
      <w:r w:rsidR="00F1417E">
        <w:rPr>
          <w:rFonts w:asciiTheme="minorHAnsi" w:eastAsia="Calibri" w:hAnsiTheme="minorHAnsi" w:cstheme="minorHAnsi"/>
          <w:b/>
          <w:sz w:val="24"/>
          <w:szCs w:val="24"/>
        </w:rPr>
        <w:t>4</w:t>
      </w:r>
      <w:r w:rsidR="00964042">
        <w:rPr>
          <w:rFonts w:asciiTheme="minorHAnsi" w:eastAsia="Calibri" w:hAnsiTheme="minorHAnsi" w:cstheme="minorHAnsi"/>
          <w:b/>
          <w:sz w:val="24"/>
          <w:szCs w:val="24"/>
        </w:rPr>
        <w:t>7</w:t>
      </w:r>
      <w:r w:rsidRPr="00591C77">
        <w:rPr>
          <w:rFonts w:asciiTheme="minorHAnsi" w:eastAsia="Calibri" w:hAnsiTheme="minorHAnsi" w:cstheme="minorHAnsi"/>
          <w:b/>
          <w:sz w:val="24"/>
          <w:szCs w:val="24"/>
        </w:rPr>
        <w:t xml:space="preserve"> – New section 727B (3)</w:t>
      </w:r>
    </w:p>
    <w:p w14:paraId="60D54D9E" w14:textId="7F7A1B33" w:rsidR="001177EF" w:rsidRPr="00591C77" w:rsidRDefault="001177EF" w:rsidP="000165E8">
      <w:pPr>
        <w:spacing w:before="100" w:beforeAutospacing="1" w:after="100" w:afterAutospacing="1"/>
        <w:rPr>
          <w:rFonts w:asciiTheme="minorHAnsi" w:eastAsia="Calibri" w:hAnsiTheme="minorHAnsi" w:cstheme="minorHAnsi"/>
          <w:b/>
          <w:sz w:val="24"/>
          <w:szCs w:val="24"/>
        </w:rPr>
      </w:pPr>
      <w:r w:rsidRPr="00591C77">
        <w:rPr>
          <w:rFonts w:asciiTheme="minorHAnsi" w:eastAsia="Calibri" w:hAnsiTheme="minorHAnsi" w:cstheme="minorHAnsi"/>
          <w:sz w:val="24"/>
          <w:szCs w:val="24"/>
          <w:lang w:eastAsia="en-AU"/>
        </w:rPr>
        <w:t xml:space="preserve">This clause is a new clause, inserting the definition of a young adult, as an adult who is younger than 25 years old. </w:t>
      </w:r>
    </w:p>
    <w:p w14:paraId="1D0DC9C7" w14:textId="077172E7" w:rsidR="001177EF" w:rsidRPr="00591C77" w:rsidRDefault="001177EF" w:rsidP="000165E8">
      <w:pPr>
        <w:spacing w:before="100" w:beforeAutospacing="1" w:after="100" w:afterAutospacing="1"/>
        <w:rPr>
          <w:rFonts w:asciiTheme="minorHAnsi" w:eastAsia="Calibri" w:hAnsiTheme="minorHAnsi" w:cstheme="minorHAnsi"/>
          <w:b/>
          <w:sz w:val="24"/>
          <w:szCs w:val="24"/>
        </w:rPr>
      </w:pPr>
      <w:r w:rsidRPr="00591C77">
        <w:rPr>
          <w:rFonts w:asciiTheme="minorHAnsi" w:eastAsia="Calibri" w:hAnsiTheme="minorHAnsi" w:cstheme="minorHAnsi"/>
          <w:b/>
          <w:sz w:val="24"/>
          <w:szCs w:val="24"/>
        </w:rPr>
        <w:t xml:space="preserve">Clause </w:t>
      </w:r>
      <w:r w:rsidR="00F1417E">
        <w:rPr>
          <w:rFonts w:asciiTheme="minorHAnsi" w:eastAsia="Calibri" w:hAnsiTheme="minorHAnsi" w:cstheme="minorHAnsi"/>
          <w:b/>
          <w:sz w:val="24"/>
          <w:szCs w:val="24"/>
        </w:rPr>
        <w:t>4</w:t>
      </w:r>
      <w:r w:rsidR="00964042">
        <w:rPr>
          <w:rFonts w:asciiTheme="minorHAnsi" w:eastAsia="Calibri" w:hAnsiTheme="minorHAnsi" w:cstheme="minorHAnsi"/>
          <w:b/>
          <w:sz w:val="24"/>
          <w:szCs w:val="24"/>
        </w:rPr>
        <w:t>8</w:t>
      </w:r>
      <w:r w:rsidRPr="00591C77">
        <w:rPr>
          <w:rFonts w:asciiTheme="minorHAnsi" w:eastAsia="Calibri" w:hAnsiTheme="minorHAnsi" w:cstheme="minorHAnsi"/>
          <w:b/>
          <w:sz w:val="24"/>
          <w:szCs w:val="24"/>
        </w:rPr>
        <w:t xml:space="preserve"> – Appointment of committee members New Section 727D (2) (a) (xiii) </w:t>
      </w:r>
    </w:p>
    <w:p w14:paraId="7BF3DF7B" w14:textId="354E5586" w:rsidR="001177EF" w:rsidRPr="00591C77" w:rsidRDefault="001177EF" w:rsidP="000165E8">
      <w:pPr>
        <w:spacing w:before="100" w:beforeAutospacing="1" w:after="100" w:afterAutospacing="1"/>
        <w:rPr>
          <w:rFonts w:asciiTheme="minorHAnsi" w:hAnsiTheme="minorHAnsi" w:cstheme="minorHAnsi"/>
          <w:sz w:val="24"/>
          <w:szCs w:val="24"/>
        </w:rPr>
      </w:pPr>
      <w:r w:rsidRPr="00591C77">
        <w:rPr>
          <w:rFonts w:asciiTheme="minorHAnsi" w:eastAsia="Calibri" w:hAnsiTheme="minorHAnsi" w:cstheme="minorHAnsi"/>
          <w:sz w:val="24"/>
          <w:szCs w:val="24"/>
          <w:lang w:eastAsia="en-AU"/>
        </w:rPr>
        <w:t xml:space="preserve">This clause inserts a specification that a person may be appointed to the Children and Young People Death Review Committee if they have qualifications, experience or expertise in coronial law and practice. </w:t>
      </w:r>
    </w:p>
    <w:p w14:paraId="03BDDA13" w14:textId="304925AE" w:rsidR="001177EF" w:rsidRPr="00591C77" w:rsidRDefault="001177EF" w:rsidP="000165E8">
      <w:pPr>
        <w:spacing w:before="100" w:beforeAutospacing="1" w:after="100" w:afterAutospacing="1"/>
        <w:rPr>
          <w:rFonts w:asciiTheme="minorHAnsi" w:eastAsia="Calibri" w:hAnsiTheme="minorHAnsi" w:cstheme="minorHAnsi"/>
          <w:b/>
          <w:sz w:val="24"/>
          <w:szCs w:val="24"/>
        </w:rPr>
      </w:pPr>
      <w:r w:rsidRPr="00591C77">
        <w:rPr>
          <w:rFonts w:asciiTheme="minorHAnsi" w:eastAsia="Calibri" w:hAnsiTheme="minorHAnsi" w:cstheme="minorHAnsi"/>
          <w:b/>
          <w:sz w:val="24"/>
          <w:szCs w:val="24"/>
        </w:rPr>
        <w:t xml:space="preserve">Clause </w:t>
      </w:r>
      <w:r w:rsidR="00964042">
        <w:rPr>
          <w:rFonts w:asciiTheme="minorHAnsi" w:eastAsia="Calibri" w:hAnsiTheme="minorHAnsi" w:cstheme="minorHAnsi"/>
          <w:b/>
          <w:sz w:val="24"/>
          <w:szCs w:val="24"/>
        </w:rPr>
        <w:t>49</w:t>
      </w:r>
      <w:r w:rsidR="00F1417E">
        <w:rPr>
          <w:rFonts w:asciiTheme="minorHAnsi" w:eastAsia="Calibri" w:hAnsiTheme="minorHAnsi" w:cstheme="minorHAnsi"/>
          <w:b/>
          <w:sz w:val="24"/>
          <w:szCs w:val="24"/>
        </w:rPr>
        <w:t xml:space="preserve"> </w:t>
      </w:r>
      <w:r w:rsidRPr="00591C77">
        <w:rPr>
          <w:rFonts w:asciiTheme="minorHAnsi" w:eastAsia="Calibri" w:hAnsiTheme="minorHAnsi" w:cstheme="minorHAnsi"/>
          <w:b/>
          <w:sz w:val="24"/>
          <w:szCs w:val="24"/>
        </w:rPr>
        <w:t xml:space="preserve">– New section 727D (D) (d) </w:t>
      </w:r>
    </w:p>
    <w:p w14:paraId="12C5CE71" w14:textId="3DEC51F3" w:rsidR="001177EF" w:rsidRPr="00591C77" w:rsidRDefault="001177EF" w:rsidP="00A25BAE">
      <w:pPr>
        <w:spacing w:before="100" w:beforeAutospacing="1" w:after="100" w:afterAutospacing="1"/>
        <w:rPr>
          <w:rFonts w:asciiTheme="minorHAnsi" w:hAnsiTheme="minorHAnsi" w:cstheme="minorHAnsi"/>
          <w:sz w:val="24"/>
          <w:szCs w:val="24"/>
        </w:rPr>
      </w:pPr>
      <w:r w:rsidRPr="00591C77">
        <w:rPr>
          <w:rFonts w:asciiTheme="minorHAnsi" w:eastAsia="Calibri" w:hAnsiTheme="minorHAnsi" w:cstheme="minorHAnsi"/>
          <w:sz w:val="24"/>
          <w:szCs w:val="24"/>
          <w:lang w:eastAsia="en-AU"/>
        </w:rPr>
        <w:t xml:space="preserve">This clause inserts a new provision, allowing the Minister to appoint a person to the Children and Young People Death Review Committee if they are a public servant working in the administrative unit responsible for the </w:t>
      </w:r>
      <w:r w:rsidRPr="00591C77">
        <w:rPr>
          <w:rFonts w:asciiTheme="minorHAnsi" w:eastAsia="Calibri" w:hAnsiTheme="minorHAnsi" w:cstheme="minorHAnsi"/>
          <w:i/>
          <w:iCs/>
          <w:sz w:val="24"/>
          <w:szCs w:val="24"/>
          <w:lang w:eastAsia="en-AU"/>
        </w:rPr>
        <w:t xml:space="preserve">Education Act 2004. </w:t>
      </w:r>
    </w:p>
    <w:p w14:paraId="3EDE7F97" w14:textId="42B5BAB1" w:rsidR="001177EF" w:rsidRPr="00591C77" w:rsidRDefault="001177EF" w:rsidP="000165E8">
      <w:pPr>
        <w:spacing w:before="100" w:beforeAutospacing="1" w:after="100" w:afterAutospacing="1"/>
        <w:rPr>
          <w:rFonts w:asciiTheme="minorHAnsi" w:eastAsia="Calibri" w:hAnsiTheme="minorHAnsi" w:cstheme="minorHAnsi"/>
          <w:b/>
          <w:sz w:val="24"/>
          <w:szCs w:val="24"/>
        </w:rPr>
      </w:pPr>
      <w:r w:rsidRPr="00591C77">
        <w:rPr>
          <w:rFonts w:asciiTheme="minorHAnsi" w:eastAsia="Calibri" w:hAnsiTheme="minorHAnsi" w:cstheme="minorHAnsi"/>
          <w:b/>
          <w:sz w:val="24"/>
          <w:szCs w:val="24"/>
        </w:rPr>
        <w:t xml:space="preserve">Clause </w:t>
      </w:r>
      <w:r w:rsidR="00F1417E">
        <w:rPr>
          <w:rFonts w:asciiTheme="minorHAnsi" w:eastAsia="Calibri" w:hAnsiTheme="minorHAnsi" w:cstheme="minorHAnsi"/>
          <w:b/>
          <w:sz w:val="24"/>
          <w:szCs w:val="24"/>
        </w:rPr>
        <w:t>5</w:t>
      </w:r>
      <w:r w:rsidR="00964042">
        <w:rPr>
          <w:rFonts w:asciiTheme="minorHAnsi" w:eastAsia="Calibri" w:hAnsiTheme="minorHAnsi" w:cstheme="minorHAnsi"/>
          <w:b/>
          <w:sz w:val="24"/>
          <w:szCs w:val="24"/>
        </w:rPr>
        <w:t>0</w:t>
      </w:r>
      <w:r w:rsidRPr="00591C77">
        <w:rPr>
          <w:rFonts w:asciiTheme="minorHAnsi" w:eastAsia="Calibri" w:hAnsiTheme="minorHAnsi" w:cstheme="minorHAnsi"/>
          <w:b/>
          <w:sz w:val="24"/>
          <w:szCs w:val="24"/>
        </w:rPr>
        <w:t xml:space="preserve"> – Appointment of advisers Section 727G</w:t>
      </w:r>
    </w:p>
    <w:p w14:paraId="5AB56A2E" w14:textId="48F9F4E7" w:rsidR="001177EF" w:rsidRPr="00591C77" w:rsidRDefault="001177EF" w:rsidP="000165E8">
      <w:pPr>
        <w:spacing w:before="100" w:beforeAutospacing="1" w:after="100" w:afterAutospacing="1"/>
        <w:rPr>
          <w:rFonts w:asciiTheme="minorHAnsi" w:eastAsia="Calibri" w:hAnsiTheme="minorHAnsi" w:cstheme="minorHAnsi"/>
          <w:b/>
          <w:sz w:val="24"/>
          <w:szCs w:val="24"/>
        </w:rPr>
      </w:pPr>
      <w:r w:rsidRPr="00591C77">
        <w:rPr>
          <w:rFonts w:asciiTheme="minorHAnsi" w:eastAsia="Calibri" w:hAnsiTheme="minorHAnsi" w:cstheme="minorHAnsi"/>
          <w:sz w:val="24"/>
          <w:szCs w:val="24"/>
          <w:lang w:eastAsia="en-AU"/>
        </w:rPr>
        <w:t xml:space="preserve">This clause is omitted. </w:t>
      </w:r>
    </w:p>
    <w:p w14:paraId="6D23EB5D" w14:textId="1EE3CBC6" w:rsidR="001177EF" w:rsidRPr="00591C77" w:rsidRDefault="001177EF" w:rsidP="000165E8">
      <w:pPr>
        <w:spacing w:before="100" w:beforeAutospacing="1" w:after="100" w:afterAutospacing="1"/>
        <w:rPr>
          <w:rFonts w:asciiTheme="minorHAnsi" w:eastAsia="Calibri" w:hAnsiTheme="minorHAnsi" w:cstheme="minorHAnsi"/>
          <w:b/>
          <w:sz w:val="24"/>
          <w:szCs w:val="24"/>
        </w:rPr>
      </w:pPr>
      <w:r w:rsidRPr="00591C77">
        <w:rPr>
          <w:rFonts w:asciiTheme="minorHAnsi" w:eastAsia="Calibri" w:hAnsiTheme="minorHAnsi" w:cstheme="minorHAnsi"/>
          <w:b/>
          <w:sz w:val="24"/>
          <w:szCs w:val="24"/>
        </w:rPr>
        <w:t xml:space="preserve">Clause </w:t>
      </w:r>
      <w:r w:rsidR="00F1417E">
        <w:rPr>
          <w:rFonts w:asciiTheme="minorHAnsi" w:eastAsia="Calibri" w:hAnsiTheme="minorHAnsi" w:cstheme="minorHAnsi"/>
          <w:b/>
          <w:sz w:val="24"/>
          <w:szCs w:val="24"/>
        </w:rPr>
        <w:t>5</w:t>
      </w:r>
      <w:r w:rsidR="00964042">
        <w:rPr>
          <w:rFonts w:asciiTheme="minorHAnsi" w:eastAsia="Calibri" w:hAnsiTheme="minorHAnsi" w:cstheme="minorHAnsi"/>
          <w:b/>
          <w:sz w:val="24"/>
          <w:szCs w:val="24"/>
        </w:rPr>
        <w:t>1</w:t>
      </w:r>
      <w:r w:rsidRPr="00591C77">
        <w:rPr>
          <w:rFonts w:asciiTheme="minorHAnsi" w:eastAsia="Calibri" w:hAnsiTheme="minorHAnsi" w:cstheme="minorHAnsi"/>
          <w:b/>
          <w:sz w:val="24"/>
          <w:szCs w:val="24"/>
        </w:rPr>
        <w:t xml:space="preserve"> – New Section 727IA </w:t>
      </w:r>
    </w:p>
    <w:p w14:paraId="66640722" w14:textId="26728A3B" w:rsidR="00A25BAE" w:rsidRDefault="001177EF" w:rsidP="00A25BAE">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 xml:space="preserve">This clause inserts in part 19A.1 a new section 727IA on appointment of advisers. It allows for the chair of the Children and Young People Death Review Committee to appoint a person as an adviser to assist the committee in the exercise of its functions. The appointment may be subject to conditions stated in the appointment. </w:t>
      </w:r>
    </w:p>
    <w:p w14:paraId="132DBBF9" w14:textId="2645EE1A" w:rsidR="00A25BAE" w:rsidRPr="00A25BAE" w:rsidRDefault="00A25BAE" w:rsidP="00A25BAE">
      <w:pPr>
        <w:spacing w:before="100" w:beforeAutospacing="1" w:after="100" w:afterAutospacing="1"/>
        <w:rPr>
          <w:rFonts w:asciiTheme="minorHAnsi" w:eastAsia="Calibri" w:hAnsiTheme="minorHAnsi" w:cstheme="minorHAnsi"/>
          <w:b/>
          <w:sz w:val="24"/>
          <w:szCs w:val="24"/>
        </w:rPr>
      </w:pPr>
      <w:r w:rsidRPr="00A25BAE">
        <w:rPr>
          <w:rFonts w:asciiTheme="minorHAnsi" w:eastAsia="Calibri" w:hAnsiTheme="minorHAnsi" w:cstheme="minorHAnsi"/>
          <w:b/>
          <w:sz w:val="24"/>
          <w:szCs w:val="24"/>
        </w:rPr>
        <w:t>Clause 5</w:t>
      </w:r>
      <w:r w:rsidR="00964042">
        <w:rPr>
          <w:rFonts w:asciiTheme="minorHAnsi" w:eastAsia="Calibri" w:hAnsiTheme="minorHAnsi" w:cstheme="minorHAnsi"/>
          <w:b/>
          <w:sz w:val="24"/>
          <w:szCs w:val="24"/>
        </w:rPr>
        <w:t>2</w:t>
      </w:r>
      <w:r w:rsidRPr="00A25BAE">
        <w:rPr>
          <w:rFonts w:asciiTheme="minorHAnsi" w:eastAsia="Calibri" w:hAnsiTheme="minorHAnsi" w:cstheme="minorHAnsi"/>
          <w:b/>
          <w:sz w:val="24"/>
          <w:szCs w:val="24"/>
        </w:rPr>
        <w:t xml:space="preserve"> – Section 727N (2) (d)</w:t>
      </w:r>
    </w:p>
    <w:p w14:paraId="2455CF0D" w14:textId="0AF4F6CC" w:rsidR="00A25BAE" w:rsidRDefault="007929E8" w:rsidP="00A25BAE">
      <w:pPr>
        <w:spacing w:before="100" w:beforeAutospacing="1" w:after="100" w:afterAutospacing="1"/>
        <w:rPr>
          <w:rFonts w:asciiTheme="minorHAnsi" w:eastAsia="Calibri" w:hAnsiTheme="minorHAnsi" w:cstheme="minorHAnsi"/>
          <w:sz w:val="24"/>
          <w:szCs w:val="24"/>
        </w:rPr>
      </w:pPr>
      <w:r w:rsidRPr="00A25BAE">
        <w:rPr>
          <w:rFonts w:asciiTheme="minorHAnsi" w:eastAsia="Calibri" w:hAnsiTheme="minorHAnsi" w:cstheme="minorHAnsi"/>
          <w:sz w:val="24"/>
          <w:szCs w:val="24"/>
        </w:rPr>
        <w:t>This clause omits ‘child protection report’ and substitutes that the child and young person death review committee must keep a register of information in relation to the death of a child where within 3 years before their death, the child or young person, or a sibling of the child or young person, was the subject of a voluntary report or a mandatory report.</w:t>
      </w:r>
    </w:p>
    <w:p w14:paraId="5B4D3327" w14:textId="77777777" w:rsidR="009664ED" w:rsidRDefault="009664ED">
      <w:pPr>
        <w:spacing w:after="160" w:line="259" w:lineRule="auto"/>
        <w:rPr>
          <w:rFonts w:asciiTheme="minorHAnsi" w:eastAsia="Calibri" w:hAnsiTheme="minorHAnsi" w:cstheme="minorHAnsi"/>
          <w:b/>
          <w:sz w:val="24"/>
          <w:szCs w:val="24"/>
        </w:rPr>
      </w:pPr>
      <w:r>
        <w:rPr>
          <w:rFonts w:asciiTheme="minorHAnsi" w:eastAsia="Calibri" w:hAnsiTheme="minorHAnsi" w:cstheme="minorHAnsi"/>
          <w:b/>
          <w:sz w:val="24"/>
          <w:szCs w:val="24"/>
        </w:rPr>
        <w:br w:type="page"/>
      </w:r>
    </w:p>
    <w:p w14:paraId="72ACB81D" w14:textId="3661A6EA" w:rsidR="00A25BAE" w:rsidRPr="00A25BAE" w:rsidRDefault="00A25BAE" w:rsidP="00A25BAE">
      <w:pPr>
        <w:spacing w:before="100" w:beforeAutospacing="1" w:after="100" w:afterAutospacing="1"/>
        <w:rPr>
          <w:rFonts w:asciiTheme="minorHAnsi" w:eastAsia="Calibri" w:hAnsiTheme="minorHAnsi" w:cstheme="minorHAnsi"/>
          <w:b/>
          <w:sz w:val="24"/>
          <w:szCs w:val="24"/>
        </w:rPr>
      </w:pPr>
      <w:r w:rsidRPr="00591C77">
        <w:rPr>
          <w:rFonts w:asciiTheme="minorHAnsi" w:eastAsia="Calibri" w:hAnsiTheme="minorHAnsi" w:cstheme="minorHAnsi"/>
          <w:b/>
          <w:sz w:val="24"/>
          <w:szCs w:val="24"/>
        </w:rPr>
        <w:lastRenderedPageBreak/>
        <w:t xml:space="preserve">Clause </w:t>
      </w:r>
      <w:r>
        <w:rPr>
          <w:rFonts w:asciiTheme="minorHAnsi" w:eastAsia="Calibri" w:hAnsiTheme="minorHAnsi" w:cstheme="minorHAnsi"/>
          <w:b/>
          <w:sz w:val="24"/>
          <w:szCs w:val="24"/>
        </w:rPr>
        <w:t>5</w:t>
      </w:r>
      <w:r w:rsidR="00964042">
        <w:rPr>
          <w:rFonts w:asciiTheme="minorHAnsi" w:eastAsia="Calibri" w:hAnsiTheme="minorHAnsi" w:cstheme="minorHAnsi"/>
          <w:b/>
          <w:sz w:val="24"/>
          <w:szCs w:val="24"/>
        </w:rPr>
        <w:t>3</w:t>
      </w:r>
      <w:r w:rsidRPr="00591C77">
        <w:rPr>
          <w:rFonts w:asciiTheme="minorHAnsi" w:eastAsia="Calibri" w:hAnsiTheme="minorHAnsi" w:cstheme="minorHAnsi"/>
          <w:b/>
          <w:sz w:val="24"/>
          <w:szCs w:val="24"/>
        </w:rPr>
        <w:t xml:space="preserve"> – Section 727N (4)</w:t>
      </w:r>
    </w:p>
    <w:p w14:paraId="6C89B72A" w14:textId="08932CE1" w:rsidR="00A25BAE" w:rsidRPr="00964042" w:rsidRDefault="007929E8" w:rsidP="00964042">
      <w:pPr>
        <w:spacing w:before="100" w:beforeAutospacing="1" w:after="100" w:afterAutospacing="1"/>
        <w:rPr>
          <w:rFonts w:asciiTheme="minorHAnsi" w:hAnsiTheme="minorHAnsi" w:cstheme="minorHAnsi"/>
          <w:sz w:val="28"/>
          <w:szCs w:val="28"/>
        </w:rPr>
      </w:pPr>
      <w:r w:rsidRPr="00A25BAE">
        <w:rPr>
          <w:rFonts w:asciiTheme="minorHAnsi" w:hAnsiTheme="minorHAnsi" w:cstheme="minorHAnsi"/>
          <w:sz w:val="24"/>
          <w:szCs w:val="24"/>
        </w:rPr>
        <w:t xml:space="preserve">This clause omits </w:t>
      </w:r>
      <w:r w:rsidR="00C62B89" w:rsidRPr="00A25BAE">
        <w:rPr>
          <w:rFonts w:asciiTheme="minorHAnsi" w:hAnsiTheme="minorHAnsi" w:cstheme="minorHAnsi"/>
          <w:sz w:val="24"/>
          <w:szCs w:val="24"/>
        </w:rPr>
        <w:t>s</w:t>
      </w:r>
      <w:r w:rsidRPr="00A25BAE">
        <w:rPr>
          <w:rFonts w:asciiTheme="minorHAnsi" w:hAnsiTheme="minorHAnsi" w:cstheme="minorHAnsi"/>
          <w:sz w:val="24"/>
          <w:szCs w:val="24"/>
        </w:rPr>
        <w:t>ection 727N (4) that the child and young person death review committee must not include any information on the register about the cause or circumstances of death of a child or young person until any coronial inquest or review by the Territory has ended.</w:t>
      </w:r>
    </w:p>
    <w:p w14:paraId="222E2D7A" w14:textId="08862CC2" w:rsidR="007929E8" w:rsidRPr="00591C77" w:rsidRDefault="007929E8" w:rsidP="000165E8">
      <w:pPr>
        <w:spacing w:before="100" w:beforeAutospacing="1" w:after="100" w:afterAutospacing="1"/>
        <w:rPr>
          <w:rFonts w:asciiTheme="minorHAnsi" w:hAnsiTheme="minorHAnsi" w:cstheme="minorHAnsi"/>
          <w:b/>
          <w:sz w:val="24"/>
          <w:szCs w:val="24"/>
        </w:rPr>
      </w:pPr>
      <w:r w:rsidRPr="00591C77">
        <w:rPr>
          <w:rFonts w:asciiTheme="minorHAnsi" w:eastAsia="Calibri" w:hAnsiTheme="minorHAnsi" w:cstheme="minorHAnsi"/>
          <w:b/>
          <w:sz w:val="24"/>
          <w:szCs w:val="24"/>
        </w:rPr>
        <w:t xml:space="preserve">Clause </w:t>
      </w:r>
      <w:r w:rsidR="00F1417E">
        <w:rPr>
          <w:rFonts w:asciiTheme="minorHAnsi" w:eastAsia="Calibri" w:hAnsiTheme="minorHAnsi" w:cstheme="minorHAnsi"/>
          <w:b/>
          <w:sz w:val="24"/>
          <w:szCs w:val="24"/>
        </w:rPr>
        <w:t>5</w:t>
      </w:r>
      <w:r w:rsidR="00964042">
        <w:rPr>
          <w:rFonts w:asciiTheme="minorHAnsi" w:eastAsia="Calibri" w:hAnsiTheme="minorHAnsi" w:cstheme="minorHAnsi"/>
          <w:b/>
          <w:sz w:val="24"/>
          <w:szCs w:val="24"/>
        </w:rPr>
        <w:t>4</w:t>
      </w:r>
      <w:r w:rsidRPr="00591C77">
        <w:rPr>
          <w:rFonts w:asciiTheme="minorHAnsi" w:eastAsia="Calibri" w:hAnsiTheme="minorHAnsi" w:cstheme="minorHAnsi"/>
          <w:b/>
          <w:sz w:val="24"/>
          <w:szCs w:val="24"/>
        </w:rPr>
        <w:t xml:space="preserve"> – Section 727O (4)</w:t>
      </w:r>
    </w:p>
    <w:p w14:paraId="609357F1" w14:textId="34205361" w:rsidR="007929E8" w:rsidRPr="00591C77" w:rsidRDefault="007929E8" w:rsidP="000165E8">
      <w:pPr>
        <w:pStyle w:val="NormalWeb"/>
        <w:rPr>
          <w:rFonts w:asciiTheme="minorHAnsi" w:hAnsiTheme="minorHAnsi" w:cstheme="minorHAnsi"/>
        </w:rPr>
      </w:pPr>
      <w:r w:rsidRPr="00591C77">
        <w:rPr>
          <w:rFonts w:asciiTheme="minorHAnsi" w:hAnsiTheme="minorHAnsi" w:cstheme="minorHAnsi"/>
        </w:rPr>
        <w:t xml:space="preserve">This clause omits the requirement that information mentioned </w:t>
      </w:r>
      <w:r w:rsidR="00C62B89" w:rsidRPr="00591C77">
        <w:rPr>
          <w:rFonts w:asciiTheme="minorHAnsi" w:hAnsiTheme="minorHAnsi" w:cstheme="minorHAnsi"/>
        </w:rPr>
        <w:t>s</w:t>
      </w:r>
      <w:r w:rsidRPr="00591C77">
        <w:rPr>
          <w:rFonts w:asciiTheme="minorHAnsi" w:hAnsiTheme="minorHAnsi" w:cstheme="minorHAnsi"/>
        </w:rPr>
        <w:t>ection 727N(4) must be given to the child and young person death review committee as soon as practicable after the end of the inquest or review.</w:t>
      </w:r>
    </w:p>
    <w:p w14:paraId="0FA1A25A" w14:textId="401A4331" w:rsidR="007929E8" w:rsidRPr="00591C77" w:rsidRDefault="007929E8" w:rsidP="000165E8">
      <w:pPr>
        <w:spacing w:before="100" w:beforeAutospacing="1" w:after="100" w:afterAutospacing="1"/>
        <w:rPr>
          <w:rFonts w:asciiTheme="minorHAnsi" w:hAnsiTheme="minorHAnsi" w:cstheme="minorHAnsi"/>
          <w:b/>
          <w:sz w:val="24"/>
          <w:szCs w:val="24"/>
        </w:rPr>
      </w:pPr>
      <w:r w:rsidRPr="00591C77">
        <w:rPr>
          <w:rFonts w:asciiTheme="minorHAnsi" w:eastAsia="Calibri" w:hAnsiTheme="minorHAnsi" w:cstheme="minorHAnsi"/>
          <w:b/>
          <w:sz w:val="24"/>
          <w:szCs w:val="24"/>
        </w:rPr>
        <w:t xml:space="preserve">Clause </w:t>
      </w:r>
      <w:r w:rsidR="00F1417E">
        <w:rPr>
          <w:rFonts w:asciiTheme="minorHAnsi" w:eastAsia="Calibri" w:hAnsiTheme="minorHAnsi" w:cstheme="minorHAnsi"/>
          <w:b/>
          <w:sz w:val="24"/>
          <w:szCs w:val="24"/>
        </w:rPr>
        <w:t>5</w:t>
      </w:r>
      <w:r w:rsidR="00964042">
        <w:rPr>
          <w:rFonts w:asciiTheme="minorHAnsi" w:eastAsia="Calibri" w:hAnsiTheme="minorHAnsi" w:cstheme="minorHAnsi"/>
          <w:b/>
          <w:sz w:val="24"/>
          <w:szCs w:val="24"/>
        </w:rPr>
        <w:t>5</w:t>
      </w:r>
      <w:r w:rsidRPr="00591C77">
        <w:rPr>
          <w:rFonts w:asciiTheme="minorHAnsi" w:eastAsia="Calibri" w:hAnsiTheme="minorHAnsi" w:cstheme="minorHAnsi"/>
          <w:b/>
          <w:sz w:val="24"/>
          <w:szCs w:val="24"/>
        </w:rPr>
        <w:t xml:space="preserve"> – Section 727R (1) (c)</w:t>
      </w:r>
    </w:p>
    <w:p w14:paraId="46DE1C74" w14:textId="46591368" w:rsidR="007929E8" w:rsidRPr="00591C77" w:rsidRDefault="007929E8" w:rsidP="000165E8">
      <w:pPr>
        <w:pStyle w:val="NormalWeb"/>
        <w:rPr>
          <w:rFonts w:asciiTheme="minorHAnsi" w:hAnsiTheme="minorHAnsi" w:cstheme="minorHAnsi"/>
        </w:rPr>
      </w:pPr>
      <w:r w:rsidRPr="00591C77">
        <w:rPr>
          <w:rFonts w:asciiTheme="minorHAnsi" w:hAnsiTheme="minorHAnsi" w:cstheme="minorHAnsi"/>
        </w:rPr>
        <w:t>This clause omits that the child and young people death review register is only accessed by staff mentioned at section 727I and substitutes this with ‘committee members’.</w:t>
      </w:r>
    </w:p>
    <w:p w14:paraId="51F66C1A" w14:textId="270D3F49" w:rsidR="007929E8" w:rsidRPr="00591C77" w:rsidRDefault="007929E8" w:rsidP="000165E8">
      <w:pPr>
        <w:spacing w:before="100" w:beforeAutospacing="1" w:after="100" w:afterAutospacing="1"/>
        <w:rPr>
          <w:rFonts w:asciiTheme="minorHAnsi" w:eastAsia="Calibri" w:hAnsiTheme="minorHAnsi" w:cstheme="minorHAnsi"/>
          <w:b/>
          <w:sz w:val="24"/>
          <w:szCs w:val="24"/>
        </w:rPr>
      </w:pPr>
      <w:r w:rsidRPr="00591C77">
        <w:rPr>
          <w:rFonts w:asciiTheme="minorHAnsi" w:eastAsia="Calibri" w:hAnsiTheme="minorHAnsi" w:cstheme="minorHAnsi"/>
          <w:b/>
          <w:sz w:val="24"/>
          <w:szCs w:val="24"/>
        </w:rPr>
        <w:t xml:space="preserve">Clause </w:t>
      </w:r>
      <w:r w:rsidR="00F1417E">
        <w:rPr>
          <w:rFonts w:asciiTheme="minorHAnsi" w:eastAsia="Calibri" w:hAnsiTheme="minorHAnsi" w:cstheme="minorHAnsi"/>
          <w:b/>
          <w:sz w:val="24"/>
          <w:szCs w:val="24"/>
        </w:rPr>
        <w:t>5</w:t>
      </w:r>
      <w:r w:rsidR="00964042">
        <w:rPr>
          <w:rFonts w:asciiTheme="minorHAnsi" w:eastAsia="Calibri" w:hAnsiTheme="minorHAnsi" w:cstheme="minorHAnsi"/>
          <w:b/>
          <w:sz w:val="24"/>
          <w:szCs w:val="24"/>
        </w:rPr>
        <w:t>6</w:t>
      </w:r>
      <w:r w:rsidRPr="00591C77">
        <w:rPr>
          <w:rFonts w:asciiTheme="minorHAnsi" w:eastAsia="Calibri" w:hAnsiTheme="minorHAnsi" w:cstheme="minorHAnsi"/>
          <w:b/>
          <w:sz w:val="24"/>
          <w:szCs w:val="24"/>
        </w:rPr>
        <w:t xml:space="preserve"> – Part 19A.4 heading</w:t>
      </w:r>
    </w:p>
    <w:p w14:paraId="759DF2BD" w14:textId="0A8854DC" w:rsidR="007929E8" w:rsidRPr="00591C77" w:rsidRDefault="007929E8" w:rsidP="000165E8">
      <w:pPr>
        <w:pStyle w:val="NormalWeb"/>
        <w:rPr>
          <w:rFonts w:asciiTheme="minorHAnsi" w:hAnsiTheme="minorHAnsi" w:cstheme="minorHAnsi"/>
        </w:rPr>
      </w:pPr>
      <w:r w:rsidRPr="00591C77">
        <w:rPr>
          <w:rFonts w:asciiTheme="minorHAnsi" w:hAnsiTheme="minorHAnsi" w:cstheme="minorHAnsi"/>
        </w:rPr>
        <w:t>This clause substitutes the Chapter 19A.4 heading for Children and Young People Act 2008 for ‘Reporting by committee’.</w:t>
      </w:r>
    </w:p>
    <w:p w14:paraId="5AB2BBC0" w14:textId="691DDCB3" w:rsidR="003477E7" w:rsidRPr="00591C77" w:rsidRDefault="003477E7" w:rsidP="000165E8">
      <w:pPr>
        <w:spacing w:before="100" w:beforeAutospacing="1" w:after="100" w:afterAutospacing="1"/>
        <w:rPr>
          <w:rFonts w:asciiTheme="minorHAnsi" w:hAnsiTheme="minorHAnsi" w:cstheme="minorHAnsi"/>
          <w:b/>
          <w:bCs/>
          <w:sz w:val="24"/>
          <w:szCs w:val="24"/>
        </w:rPr>
      </w:pPr>
      <w:r w:rsidRPr="00591C77">
        <w:rPr>
          <w:rFonts w:asciiTheme="minorHAnsi" w:hAnsiTheme="minorHAnsi" w:cstheme="minorHAnsi"/>
          <w:b/>
          <w:bCs/>
          <w:sz w:val="24"/>
          <w:szCs w:val="24"/>
        </w:rPr>
        <w:t xml:space="preserve">Clause </w:t>
      </w:r>
      <w:r w:rsidR="00F1417E">
        <w:rPr>
          <w:rFonts w:asciiTheme="minorHAnsi" w:hAnsiTheme="minorHAnsi" w:cstheme="minorHAnsi"/>
          <w:b/>
          <w:bCs/>
          <w:sz w:val="24"/>
          <w:szCs w:val="24"/>
        </w:rPr>
        <w:t>5</w:t>
      </w:r>
      <w:r w:rsidR="00964042">
        <w:rPr>
          <w:rFonts w:asciiTheme="minorHAnsi" w:hAnsiTheme="minorHAnsi" w:cstheme="minorHAnsi"/>
          <w:b/>
          <w:bCs/>
          <w:sz w:val="24"/>
          <w:szCs w:val="24"/>
        </w:rPr>
        <w:t>7</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sidRPr="00591C77">
        <w:rPr>
          <w:rFonts w:asciiTheme="minorHAnsi" w:hAnsiTheme="minorHAnsi" w:cstheme="minorHAnsi"/>
          <w:b/>
          <w:bCs/>
          <w:sz w:val="24"/>
          <w:szCs w:val="24"/>
        </w:rPr>
        <w:t>Section 727S heading</w:t>
      </w:r>
    </w:p>
    <w:p w14:paraId="15D990C4" w14:textId="69447B60" w:rsidR="003477E7" w:rsidRPr="00591C77" w:rsidRDefault="003477E7"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This clause substitutes the s</w:t>
      </w:r>
      <w:r w:rsidR="00C62B89" w:rsidRPr="00591C77">
        <w:rPr>
          <w:rFonts w:asciiTheme="minorHAnsi" w:hAnsiTheme="minorHAnsi" w:cstheme="minorHAnsi"/>
          <w:sz w:val="24"/>
          <w:szCs w:val="24"/>
        </w:rPr>
        <w:t xml:space="preserve">ection </w:t>
      </w:r>
      <w:r w:rsidRPr="00591C77">
        <w:rPr>
          <w:rFonts w:asciiTheme="minorHAnsi" w:hAnsiTheme="minorHAnsi" w:cstheme="minorHAnsi"/>
          <w:sz w:val="24"/>
          <w:szCs w:val="24"/>
        </w:rPr>
        <w:t>727S heading to ‘Biennial reporting’.</w:t>
      </w:r>
    </w:p>
    <w:p w14:paraId="569364C7" w14:textId="181F1EBB" w:rsidR="003477E7" w:rsidRPr="00591C77" w:rsidRDefault="003477E7" w:rsidP="000165E8">
      <w:pPr>
        <w:spacing w:before="100" w:beforeAutospacing="1" w:after="100" w:afterAutospacing="1"/>
        <w:rPr>
          <w:rFonts w:asciiTheme="minorHAnsi" w:hAnsiTheme="minorHAnsi" w:cstheme="minorHAnsi"/>
          <w:b/>
          <w:bCs/>
          <w:sz w:val="24"/>
          <w:szCs w:val="24"/>
        </w:rPr>
      </w:pPr>
      <w:r w:rsidRPr="00591C77">
        <w:rPr>
          <w:rFonts w:asciiTheme="minorHAnsi" w:hAnsiTheme="minorHAnsi" w:cstheme="minorHAnsi"/>
          <w:b/>
          <w:bCs/>
          <w:sz w:val="24"/>
          <w:szCs w:val="24"/>
        </w:rPr>
        <w:t xml:space="preserve">Clause </w:t>
      </w:r>
      <w:r w:rsidR="00F1417E">
        <w:rPr>
          <w:rFonts w:asciiTheme="minorHAnsi" w:hAnsiTheme="minorHAnsi" w:cstheme="minorHAnsi"/>
          <w:b/>
          <w:bCs/>
          <w:sz w:val="24"/>
          <w:szCs w:val="24"/>
        </w:rPr>
        <w:t>5</w:t>
      </w:r>
      <w:r w:rsidR="00964042">
        <w:rPr>
          <w:rFonts w:asciiTheme="minorHAnsi" w:hAnsiTheme="minorHAnsi" w:cstheme="minorHAnsi"/>
          <w:b/>
          <w:bCs/>
          <w:sz w:val="24"/>
          <w:szCs w:val="24"/>
        </w:rPr>
        <w:t>8</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sidRPr="00591C77">
        <w:rPr>
          <w:rFonts w:asciiTheme="minorHAnsi" w:hAnsiTheme="minorHAnsi" w:cstheme="minorHAnsi"/>
          <w:b/>
          <w:bCs/>
          <w:sz w:val="24"/>
          <w:szCs w:val="24"/>
        </w:rPr>
        <w:t>Section 727S(1)</w:t>
      </w:r>
    </w:p>
    <w:p w14:paraId="6F8DFB42" w14:textId="468D6B2D" w:rsidR="003477E7" w:rsidRPr="00591C77" w:rsidRDefault="003477E7"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This clause substitutes s</w:t>
      </w:r>
      <w:r w:rsidR="00C62B89" w:rsidRPr="00591C77">
        <w:rPr>
          <w:rFonts w:asciiTheme="minorHAnsi" w:hAnsiTheme="minorHAnsi" w:cstheme="minorHAnsi"/>
          <w:sz w:val="24"/>
          <w:szCs w:val="24"/>
        </w:rPr>
        <w:t xml:space="preserve">ection </w:t>
      </w:r>
      <w:r w:rsidRPr="00591C77">
        <w:rPr>
          <w:rFonts w:asciiTheme="minorHAnsi" w:hAnsiTheme="minorHAnsi" w:cstheme="minorHAnsi"/>
          <w:sz w:val="24"/>
          <w:szCs w:val="24"/>
        </w:rPr>
        <w:t xml:space="preserve">727S(1) to require a report to the Minister to be prepared each period of 2 calendar years. </w:t>
      </w:r>
    </w:p>
    <w:p w14:paraId="34ED126E" w14:textId="7F79CD51" w:rsidR="003477E7" w:rsidRPr="00591C77" w:rsidRDefault="003477E7" w:rsidP="000165E8">
      <w:pPr>
        <w:spacing w:before="100" w:beforeAutospacing="1" w:after="100" w:afterAutospacing="1"/>
        <w:rPr>
          <w:rFonts w:asciiTheme="minorHAnsi" w:hAnsiTheme="minorHAnsi" w:cstheme="minorHAnsi"/>
          <w:b/>
          <w:bCs/>
          <w:sz w:val="24"/>
          <w:szCs w:val="24"/>
        </w:rPr>
      </w:pPr>
      <w:r w:rsidRPr="00591C77">
        <w:rPr>
          <w:rFonts w:asciiTheme="minorHAnsi" w:hAnsiTheme="minorHAnsi" w:cstheme="minorHAnsi"/>
          <w:b/>
          <w:bCs/>
          <w:sz w:val="24"/>
          <w:szCs w:val="24"/>
        </w:rPr>
        <w:t xml:space="preserve">Clause </w:t>
      </w:r>
      <w:r w:rsidR="00964042">
        <w:rPr>
          <w:rFonts w:asciiTheme="minorHAnsi" w:hAnsiTheme="minorHAnsi" w:cstheme="minorHAnsi"/>
          <w:b/>
          <w:bCs/>
          <w:sz w:val="24"/>
          <w:szCs w:val="24"/>
        </w:rPr>
        <w:t>59</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sidRPr="00591C77">
        <w:rPr>
          <w:rFonts w:asciiTheme="minorHAnsi" w:hAnsiTheme="minorHAnsi" w:cstheme="minorHAnsi"/>
          <w:b/>
          <w:bCs/>
          <w:sz w:val="24"/>
          <w:szCs w:val="24"/>
        </w:rPr>
        <w:t>Section 727S(1)</w:t>
      </w:r>
    </w:p>
    <w:p w14:paraId="05E8DEC1" w14:textId="07AAB27F" w:rsidR="003477E7" w:rsidRPr="00591C77" w:rsidRDefault="003477E7"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This clause substitutes s</w:t>
      </w:r>
      <w:r w:rsidR="00C62B89" w:rsidRPr="00591C77">
        <w:rPr>
          <w:rFonts w:asciiTheme="minorHAnsi" w:hAnsiTheme="minorHAnsi" w:cstheme="minorHAnsi"/>
          <w:sz w:val="24"/>
          <w:szCs w:val="24"/>
        </w:rPr>
        <w:t xml:space="preserve">ection </w:t>
      </w:r>
      <w:r w:rsidRPr="00591C77">
        <w:rPr>
          <w:rFonts w:asciiTheme="minorHAnsi" w:hAnsiTheme="minorHAnsi" w:cstheme="minorHAnsi"/>
          <w:sz w:val="24"/>
          <w:szCs w:val="24"/>
        </w:rPr>
        <w:t>727S(1) to reference the biennial reporting period</w:t>
      </w:r>
      <w:r w:rsidR="00C62B89" w:rsidRPr="00591C77">
        <w:rPr>
          <w:rFonts w:asciiTheme="minorHAnsi" w:hAnsiTheme="minorHAnsi" w:cstheme="minorHAnsi"/>
          <w:sz w:val="24"/>
          <w:szCs w:val="24"/>
        </w:rPr>
        <w:t>.</w:t>
      </w:r>
      <w:r w:rsidRPr="00591C77">
        <w:rPr>
          <w:rFonts w:asciiTheme="minorHAnsi" w:hAnsiTheme="minorHAnsi" w:cstheme="minorHAnsi"/>
          <w:sz w:val="24"/>
          <w:szCs w:val="24"/>
        </w:rPr>
        <w:t xml:space="preserve"> </w:t>
      </w:r>
    </w:p>
    <w:p w14:paraId="51B64EF4" w14:textId="2234B81A" w:rsidR="003477E7" w:rsidRPr="00591C77" w:rsidRDefault="003477E7" w:rsidP="000165E8">
      <w:pPr>
        <w:spacing w:before="100" w:beforeAutospacing="1" w:after="100" w:afterAutospacing="1"/>
        <w:rPr>
          <w:rFonts w:asciiTheme="minorHAnsi" w:hAnsiTheme="minorHAnsi" w:cstheme="minorHAnsi"/>
          <w:b/>
          <w:bCs/>
          <w:sz w:val="24"/>
          <w:szCs w:val="24"/>
        </w:rPr>
      </w:pPr>
      <w:r w:rsidRPr="00591C77">
        <w:rPr>
          <w:rFonts w:asciiTheme="minorHAnsi" w:hAnsiTheme="minorHAnsi" w:cstheme="minorHAnsi"/>
          <w:b/>
          <w:bCs/>
          <w:sz w:val="24"/>
          <w:szCs w:val="24"/>
        </w:rPr>
        <w:t xml:space="preserve">Clause </w:t>
      </w:r>
      <w:r w:rsidR="00F1417E">
        <w:rPr>
          <w:rFonts w:asciiTheme="minorHAnsi" w:hAnsiTheme="minorHAnsi" w:cstheme="minorHAnsi"/>
          <w:b/>
          <w:bCs/>
          <w:sz w:val="24"/>
          <w:szCs w:val="24"/>
        </w:rPr>
        <w:t>6</w:t>
      </w:r>
      <w:r w:rsidR="00964042">
        <w:rPr>
          <w:rFonts w:asciiTheme="minorHAnsi" w:hAnsiTheme="minorHAnsi" w:cstheme="minorHAnsi"/>
          <w:b/>
          <w:bCs/>
          <w:sz w:val="24"/>
          <w:szCs w:val="24"/>
        </w:rPr>
        <w:t>0</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sidRPr="00591C77">
        <w:rPr>
          <w:rFonts w:asciiTheme="minorHAnsi" w:hAnsiTheme="minorHAnsi" w:cstheme="minorHAnsi"/>
          <w:b/>
          <w:bCs/>
          <w:sz w:val="24"/>
          <w:szCs w:val="24"/>
        </w:rPr>
        <w:t>Section 727 S(1)(b)</w:t>
      </w:r>
    </w:p>
    <w:p w14:paraId="59FFD35C" w14:textId="77777777" w:rsidR="003477E7" w:rsidRPr="00591C77" w:rsidRDefault="003477E7"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This clause substitutes subsection (b) to reference children and young people who died or their siblings were the subject of a voluntary or mandatory report not a child protection report within 3 years before their death.</w:t>
      </w:r>
    </w:p>
    <w:p w14:paraId="726DF48F" w14:textId="77777777" w:rsidR="009664ED" w:rsidRDefault="009664ED">
      <w:pPr>
        <w:spacing w:after="160" w:line="259"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465C5FC4" w14:textId="3BB03855" w:rsidR="003477E7" w:rsidRPr="00591C77" w:rsidRDefault="003477E7" w:rsidP="000165E8">
      <w:pPr>
        <w:spacing w:before="100" w:beforeAutospacing="1" w:after="100" w:afterAutospacing="1"/>
        <w:rPr>
          <w:rFonts w:asciiTheme="minorHAnsi" w:hAnsiTheme="minorHAnsi" w:cstheme="minorHAnsi"/>
          <w:b/>
          <w:bCs/>
          <w:sz w:val="24"/>
          <w:szCs w:val="24"/>
        </w:rPr>
      </w:pPr>
      <w:r w:rsidRPr="00591C77">
        <w:rPr>
          <w:rFonts w:asciiTheme="minorHAnsi" w:hAnsiTheme="minorHAnsi" w:cstheme="minorHAnsi"/>
          <w:b/>
          <w:bCs/>
          <w:sz w:val="24"/>
          <w:szCs w:val="24"/>
        </w:rPr>
        <w:lastRenderedPageBreak/>
        <w:t xml:space="preserve">Clause </w:t>
      </w:r>
      <w:r w:rsidR="00F1417E">
        <w:rPr>
          <w:rFonts w:asciiTheme="minorHAnsi" w:hAnsiTheme="minorHAnsi" w:cstheme="minorHAnsi"/>
          <w:b/>
          <w:bCs/>
          <w:sz w:val="24"/>
          <w:szCs w:val="24"/>
        </w:rPr>
        <w:t>6</w:t>
      </w:r>
      <w:r w:rsidR="00964042">
        <w:rPr>
          <w:rFonts w:asciiTheme="minorHAnsi" w:hAnsiTheme="minorHAnsi" w:cstheme="minorHAnsi"/>
          <w:b/>
          <w:bCs/>
          <w:sz w:val="24"/>
          <w:szCs w:val="24"/>
        </w:rPr>
        <w:t>1</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sidRPr="00591C77">
        <w:rPr>
          <w:rFonts w:asciiTheme="minorHAnsi" w:hAnsiTheme="minorHAnsi" w:cstheme="minorHAnsi"/>
          <w:b/>
          <w:bCs/>
          <w:sz w:val="24"/>
          <w:szCs w:val="24"/>
        </w:rPr>
        <w:t>Section 727S (1)(c)(ii)</w:t>
      </w:r>
    </w:p>
    <w:p w14:paraId="60D2B8E5" w14:textId="77777777" w:rsidR="003477E7" w:rsidRPr="00591C77" w:rsidRDefault="003477E7"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 xml:space="preserve">This clause substitutes subsection (1)(c)(ii) to reference children and young people who died or their siblings who were subject of a voluntary or a mandatory report not a child protection report, within the 3 years before their death. </w:t>
      </w:r>
    </w:p>
    <w:p w14:paraId="0F0C091A" w14:textId="66B81469" w:rsidR="003477E7" w:rsidRPr="00591C77" w:rsidRDefault="003477E7" w:rsidP="000165E8">
      <w:pPr>
        <w:spacing w:before="100" w:beforeAutospacing="1" w:after="100" w:afterAutospacing="1"/>
        <w:rPr>
          <w:rFonts w:asciiTheme="minorHAnsi" w:hAnsiTheme="minorHAnsi" w:cstheme="minorHAnsi"/>
          <w:b/>
          <w:bCs/>
          <w:sz w:val="24"/>
          <w:szCs w:val="24"/>
        </w:rPr>
      </w:pPr>
      <w:r w:rsidRPr="00591C77">
        <w:rPr>
          <w:rFonts w:asciiTheme="minorHAnsi" w:hAnsiTheme="minorHAnsi" w:cstheme="minorHAnsi"/>
          <w:b/>
          <w:bCs/>
          <w:sz w:val="24"/>
          <w:szCs w:val="24"/>
        </w:rPr>
        <w:t xml:space="preserve">Clause </w:t>
      </w:r>
      <w:r w:rsidR="00F1417E">
        <w:rPr>
          <w:rFonts w:asciiTheme="minorHAnsi" w:hAnsiTheme="minorHAnsi" w:cstheme="minorHAnsi"/>
          <w:b/>
          <w:bCs/>
          <w:sz w:val="24"/>
          <w:szCs w:val="24"/>
        </w:rPr>
        <w:t>6</w:t>
      </w:r>
      <w:r w:rsidR="00964042">
        <w:rPr>
          <w:rFonts w:asciiTheme="minorHAnsi" w:hAnsiTheme="minorHAnsi" w:cstheme="minorHAnsi"/>
          <w:b/>
          <w:bCs/>
          <w:sz w:val="24"/>
          <w:szCs w:val="24"/>
        </w:rPr>
        <w:t>2</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sidRPr="00591C77">
        <w:rPr>
          <w:rFonts w:asciiTheme="minorHAnsi" w:hAnsiTheme="minorHAnsi" w:cstheme="minorHAnsi"/>
          <w:b/>
          <w:bCs/>
          <w:sz w:val="24"/>
          <w:szCs w:val="24"/>
        </w:rPr>
        <w:t>Section 727S(4)</w:t>
      </w:r>
    </w:p>
    <w:p w14:paraId="5BC5F11A" w14:textId="4759CF57" w:rsidR="003477E7" w:rsidRPr="00591C77" w:rsidRDefault="003477E7"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This clause omits subsection (4) to align with biennial reporting</w:t>
      </w:r>
      <w:r w:rsidR="00C90438" w:rsidRPr="00591C77">
        <w:rPr>
          <w:rFonts w:asciiTheme="minorHAnsi" w:hAnsiTheme="minorHAnsi" w:cstheme="minorHAnsi"/>
          <w:sz w:val="24"/>
          <w:szCs w:val="24"/>
        </w:rPr>
        <w:t xml:space="preserve">. </w:t>
      </w:r>
      <w:r w:rsidRPr="00591C77">
        <w:rPr>
          <w:rFonts w:asciiTheme="minorHAnsi" w:hAnsiTheme="minorHAnsi" w:cstheme="minorHAnsi"/>
          <w:sz w:val="24"/>
          <w:szCs w:val="24"/>
        </w:rPr>
        <w:t xml:space="preserve"> </w:t>
      </w:r>
    </w:p>
    <w:p w14:paraId="53BF574C" w14:textId="319309F2" w:rsidR="003477E7" w:rsidRPr="00591C77" w:rsidRDefault="003477E7" w:rsidP="000165E8">
      <w:pPr>
        <w:spacing w:before="100" w:beforeAutospacing="1" w:after="100" w:afterAutospacing="1"/>
        <w:rPr>
          <w:rFonts w:asciiTheme="minorHAnsi" w:hAnsiTheme="minorHAnsi" w:cstheme="minorHAnsi"/>
          <w:b/>
          <w:bCs/>
          <w:sz w:val="24"/>
          <w:szCs w:val="24"/>
        </w:rPr>
      </w:pPr>
      <w:r w:rsidRPr="00591C77">
        <w:rPr>
          <w:rFonts w:asciiTheme="minorHAnsi" w:hAnsiTheme="minorHAnsi" w:cstheme="minorHAnsi"/>
          <w:b/>
          <w:bCs/>
          <w:sz w:val="24"/>
          <w:szCs w:val="24"/>
        </w:rPr>
        <w:t xml:space="preserve">Clause </w:t>
      </w:r>
      <w:r w:rsidR="00F1417E">
        <w:rPr>
          <w:rFonts w:asciiTheme="minorHAnsi" w:hAnsiTheme="minorHAnsi" w:cstheme="minorHAnsi"/>
          <w:b/>
          <w:bCs/>
          <w:sz w:val="24"/>
          <w:szCs w:val="24"/>
        </w:rPr>
        <w:t>6</w:t>
      </w:r>
      <w:r w:rsidR="00964042">
        <w:rPr>
          <w:rFonts w:asciiTheme="minorHAnsi" w:hAnsiTheme="minorHAnsi" w:cstheme="minorHAnsi"/>
          <w:b/>
          <w:bCs/>
          <w:sz w:val="24"/>
          <w:szCs w:val="24"/>
        </w:rPr>
        <w:t>3</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sidRPr="00591C77">
        <w:rPr>
          <w:rFonts w:asciiTheme="minorHAnsi" w:hAnsiTheme="minorHAnsi" w:cstheme="minorHAnsi"/>
          <w:b/>
          <w:bCs/>
          <w:sz w:val="24"/>
          <w:szCs w:val="24"/>
        </w:rPr>
        <w:t>Section 727T(1A)</w:t>
      </w:r>
    </w:p>
    <w:p w14:paraId="6E84EB2E" w14:textId="0389AD76" w:rsidR="003477E7" w:rsidRPr="00591C77" w:rsidRDefault="003477E7"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 xml:space="preserve">This clause inserts a new section (1A) that requires the CYP death review committee to give reports to the Minister </w:t>
      </w:r>
      <w:r w:rsidR="00C62B89" w:rsidRPr="00591C77">
        <w:rPr>
          <w:rFonts w:asciiTheme="minorHAnsi" w:hAnsiTheme="minorHAnsi" w:cstheme="minorHAnsi"/>
          <w:sz w:val="24"/>
          <w:szCs w:val="24"/>
        </w:rPr>
        <w:t>and</w:t>
      </w:r>
      <w:r w:rsidRPr="00591C77">
        <w:rPr>
          <w:rFonts w:asciiTheme="minorHAnsi" w:hAnsiTheme="minorHAnsi" w:cstheme="minorHAnsi"/>
          <w:sz w:val="24"/>
          <w:szCs w:val="24"/>
        </w:rPr>
        <w:t xml:space="preserve"> to any other Ministers that may be responsible for matters within the report. </w:t>
      </w:r>
    </w:p>
    <w:p w14:paraId="7C3F251D" w14:textId="7519124B" w:rsidR="003477E7" w:rsidRPr="00591C77" w:rsidRDefault="003477E7" w:rsidP="000165E8">
      <w:pPr>
        <w:spacing w:before="100" w:beforeAutospacing="1" w:after="100" w:afterAutospacing="1"/>
        <w:rPr>
          <w:rFonts w:asciiTheme="minorHAnsi" w:hAnsiTheme="minorHAnsi" w:cstheme="minorHAnsi"/>
          <w:b/>
          <w:bCs/>
          <w:sz w:val="24"/>
          <w:szCs w:val="24"/>
        </w:rPr>
      </w:pPr>
      <w:r w:rsidRPr="00591C77">
        <w:rPr>
          <w:rFonts w:asciiTheme="minorHAnsi" w:hAnsiTheme="minorHAnsi" w:cstheme="minorHAnsi"/>
          <w:b/>
          <w:bCs/>
          <w:sz w:val="24"/>
          <w:szCs w:val="24"/>
        </w:rPr>
        <w:t xml:space="preserve">Clause </w:t>
      </w:r>
      <w:r w:rsidR="00F1417E">
        <w:rPr>
          <w:rFonts w:asciiTheme="minorHAnsi" w:hAnsiTheme="minorHAnsi" w:cstheme="minorHAnsi"/>
          <w:b/>
          <w:bCs/>
          <w:sz w:val="24"/>
          <w:szCs w:val="24"/>
        </w:rPr>
        <w:t>6</w:t>
      </w:r>
      <w:r w:rsidR="00964042">
        <w:rPr>
          <w:rFonts w:asciiTheme="minorHAnsi" w:hAnsiTheme="minorHAnsi" w:cstheme="minorHAnsi"/>
          <w:b/>
          <w:bCs/>
          <w:sz w:val="24"/>
          <w:szCs w:val="24"/>
        </w:rPr>
        <w:t>4</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sidRPr="00591C77">
        <w:rPr>
          <w:rFonts w:asciiTheme="minorHAnsi" w:hAnsiTheme="minorHAnsi" w:cstheme="minorHAnsi"/>
          <w:b/>
          <w:bCs/>
          <w:sz w:val="24"/>
          <w:szCs w:val="24"/>
        </w:rPr>
        <w:t>Section 727T(4)</w:t>
      </w:r>
    </w:p>
    <w:p w14:paraId="1D7FCED6" w14:textId="77777777" w:rsidR="003477E7" w:rsidRPr="00591C77" w:rsidRDefault="003477E7"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This clause substitutes subsection (4) to require any Minister who receives the report to provide information to the CYP death review committee about any action taken within 3 months.</w:t>
      </w:r>
    </w:p>
    <w:p w14:paraId="4B2EA09D" w14:textId="6D0497BF" w:rsidR="003477E7" w:rsidRPr="00591C77" w:rsidRDefault="003477E7" w:rsidP="000165E8">
      <w:pPr>
        <w:spacing w:before="100" w:beforeAutospacing="1" w:after="100" w:afterAutospacing="1"/>
        <w:rPr>
          <w:rFonts w:asciiTheme="minorHAnsi" w:hAnsiTheme="minorHAnsi" w:cstheme="minorHAnsi"/>
          <w:b/>
          <w:bCs/>
          <w:sz w:val="24"/>
          <w:szCs w:val="24"/>
        </w:rPr>
      </w:pPr>
      <w:r w:rsidRPr="00591C77">
        <w:rPr>
          <w:rFonts w:asciiTheme="minorHAnsi" w:hAnsiTheme="minorHAnsi" w:cstheme="minorHAnsi"/>
          <w:b/>
          <w:bCs/>
          <w:sz w:val="24"/>
          <w:szCs w:val="24"/>
        </w:rPr>
        <w:t xml:space="preserve">Clause </w:t>
      </w:r>
      <w:r w:rsidR="00F1417E">
        <w:rPr>
          <w:rFonts w:asciiTheme="minorHAnsi" w:hAnsiTheme="minorHAnsi" w:cstheme="minorHAnsi"/>
          <w:b/>
          <w:bCs/>
          <w:sz w:val="24"/>
          <w:szCs w:val="24"/>
        </w:rPr>
        <w:t>6</w:t>
      </w:r>
      <w:r w:rsidR="00964042">
        <w:rPr>
          <w:rFonts w:asciiTheme="minorHAnsi" w:hAnsiTheme="minorHAnsi" w:cstheme="minorHAnsi"/>
          <w:b/>
          <w:bCs/>
          <w:sz w:val="24"/>
          <w:szCs w:val="24"/>
        </w:rPr>
        <w:t>5</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sidRPr="00591C77">
        <w:rPr>
          <w:rFonts w:asciiTheme="minorHAnsi" w:hAnsiTheme="minorHAnsi" w:cstheme="minorHAnsi"/>
          <w:b/>
          <w:bCs/>
          <w:sz w:val="24"/>
          <w:szCs w:val="24"/>
        </w:rPr>
        <w:t>Section 806(1)(b)(iii)</w:t>
      </w:r>
    </w:p>
    <w:p w14:paraId="56D47BB4" w14:textId="24A95547" w:rsidR="003477E7" w:rsidRDefault="003477E7"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 xml:space="preserve">This clause substitute subsection (1)(b)(iii) to reference children or young people who are the subject of mandatory or voluntary reports not a child concern report within the definition of people that a researcher can recruit through the director-general to take part in a research project. </w:t>
      </w:r>
    </w:p>
    <w:p w14:paraId="36B2ED20" w14:textId="493743F4" w:rsidR="00F1417E" w:rsidRPr="00591C77" w:rsidRDefault="00F1417E" w:rsidP="000165E8">
      <w:pPr>
        <w:spacing w:before="100" w:beforeAutospacing="1" w:after="100" w:afterAutospacing="1"/>
        <w:rPr>
          <w:rFonts w:asciiTheme="minorHAnsi" w:hAnsiTheme="minorHAnsi" w:cstheme="minorHAnsi"/>
          <w:b/>
          <w:bCs/>
          <w:sz w:val="24"/>
          <w:szCs w:val="24"/>
        </w:rPr>
      </w:pPr>
      <w:r w:rsidRPr="00591C77">
        <w:rPr>
          <w:rFonts w:asciiTheme="minorHAnsi" w:hAnsiTheme="minorHAnsi" w:cstheme="minorHAnsi"/>
          <w:b/>
          <w:bCs/>
          <w:sz w:val="24"/>
          <w:szCs w:val="24"/>
        </w:rPr>
        <w:t xml:space="preserve">Clause </w:t>
      </w:r>
      <w:r>
        <w:rPr>
          <w:rFonts w:asciiTheme="minorHAnsi" w:hAnsiTheme="minorHAnsi" w:cstheme="minorHAnsi"/>
          <w:b/>
          <w:bCs/>
          <w:sz w:val="24"/>
          <w:szCs w:val="24"/>
        </w:rPr>
        <w:t>6</w:t>
      </w:r>
      <w:r w:rsidR="00964042">
        <w:rPr>
          <w:rFonts w:asciiTheme="minorHAnsi" w:hAnsiTheme="minorHAnsi" w:cstheme="minorHAnsi"/>
          <w:b/>
          <w:bCs/>
          <w:sz w:val="24"/>
          <w:szCs w:val="24"/>
        </w:rPr>
        <w:t>6</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sidRPr="00591C77">
        <w:rPr>
          <w:rFonts w:asciiTheme="minorHAnsi" w:hAnsiTheme="minorHAnsi" w:cstheme="minorHAnsi"/>
          <w:b/>
          <w:bCs/>
          <w:sz w:val="24"/>
          <w:szCs w:val="24"/>
        </w:rPr>
        <w:t>Section 806(</w:t>
      </w:r>
      <w:r>
        <w:rPr>
          <w:rFonts w:asciiTheme="minorHAnsi" w:hAnsiTheme="minorHAnsi" w:cstheme="minorHAnsi"/>
          <w:b/>
          <w:bCs/>
          <w:sz w:val="24"/>
          <w:szCs w:val="24"/>
        </w:rPr>
        <w:t>2)(a)</w:t>
      </w:r>
    </w:p>
    <w:p w14:paraId="0F3952F2" w14:textId="23D2D412" w:rsidR="00F1417E" w:rsidRDefault="00F1417E" w:rsidP="000165E8">
      <w:pPr>
        <w:spacing w:before="100" w:beforeAutospacing="1" w:after="100" w:afterAutospacing="1"/>
        <w:rPr>
          <w:sz w:val="23"/>
          <w:szCs w:val="23"/>
        </w:rPr>
      </w:pPr>
      <w:r w:rsidRPr="00591C77">
        <w:rPr>
          <w:rFonts w:asciiTheme="minorHAnsi" w:hAnsiTheme="minorHAnsi" w:cstheme="minorHAnsi"/>
          <w:sz w:val="24"/>
          <w:szCs w:val="24"/>
        </w:rPr>
        <w:t xml:space="preserve">This clause substitute reference </w:t>
      </w:r>
      <w:r>
        <w:rPr>
          <w:rFonts w:asciiTheme="minorHAnsi" w:hAnsiTheme="minorHAnsi" w:cstheme="minorHAnsi"/>
          <w:sz w:val="24"/>
          <w:szCs w:val="24"/>
        </w:rPr>
        <w:t>‘</w:t>
      </w:r>
      <w:r>
        <w:rPr>
          <w:sz w:val="23"/>
          <w:szCs w:val="23"/>
        </w:rPr>
        <w:t>including a person who made a child concern report’ and replaces with ‘including a person who made a voluntary report or mandatory report’.</w:t>
      </w:r>
    </w:p>
    <w:p w14:paraId="3C520778" w14:textId="18307748" w:rsidR="00F1417E" w:rsidRDefault="00F1417E" w:rsidP="000165E8">
      <w:pPr>
        <w:spacing w:before="100" w:beforeAutospacing="1" w:after="100" w:afterAutospacing="1"/>
        <w:rPr>
          <w:b/>
          <w:bCs/>
          <w:sz w:val="23"/>
          <w:szCs w:val="23"/>
        </w:rPr>
      </w:pPr>
      <w:r w:rsidRPr="00591C77">
        <w:rPr>
          <w:rFonts w:asciiTheme="minorHAnsi" w:hAnsiTheme="minorHAnsi" w:cstheme="minorHAnsi"/>
          <w:b/>
          <w:bCs/>
          <w:sz w:val="24"/>
          <w:szCs w:val="24"/>
        </w:rPr>
        <w:t xml:space="preserve">Clause </w:t>
      </w:r>
      <w:r>
        <w:rPr>
          <w:rFonts w:asciiTheme="minorHAnsi" w:hAnsiTheme="minorHAnsi" w:cstheme="minorHAnsi"/>
          <w:b/>
          <w:bCs/>
          <w:sz w:val="24"/>
          <w:szCs w:val="24"/>
        </w:rPr>
        <w:t>6</w:t>
      </w:r>
      <w:r w:rsidR="00964042">
        <w:rPr>
          <w:rFonts w:asciiTheme="minorHAnsi" w:hAnsiTheme="minorHAnsi" w:cstheme="minorHAnsi"/>
          <w:b/>
          <w:bCs/>
          <w:sz w:val="24"/>
          <w:szCs w:val="24"/>
        </w:rPr>
        <w:t>7</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Pr>
          <w:b/>
          <w:bCs/>
          <w:sz w:val="23"/>
          <w:szCs w:val="23"/>
        </w:rPr>
        <w:t xml:space="preserve">What is </w:t>
      </w:r>
      <w:r>
        <w:rPr>
          <w:b/>
          <w:bCs/>
          <w:i/>
          <w:iCs/>
          <w:sz w:val="23"/>
          <w:szCs w:val="23"/>
        </w:rPr>
        <w:t>sensitive information</w:t>
      </w:r>
      <w:r>
        <w:rPr>
          <w:b/>
          <w:bCs/>
          <w:sz w:val="23"/>
          <w:szCs w:val="23"/>
        </w:rPr>
        <w:t xml:space="preserve">? Section 845 (2), definition of </w:t>
      </w:r>
      <w:r>
        <w:rPr>
          <w:b/>
          <w:bCs/>
          <w:i/>
          <w:iCs/>
          <w:sz w:val="23"/>
          <w:szCs w:val="23"/>
        </w:rPr>
        <w:t>care and protection report information</w:t>
      </w:r>
      <w:r>
        <w:rPr>
          <w:b/>
          <w:bCs/>
          <w:sz w:val="23"/>
          <w:szCs w:val="23"/>
        </w:rPr>
        <w:t>, paragraphs (a) and (b)</w:t>
      </w:r>
    </w:p>
    <w:p w14:paraId="790DE27E" w14:textId="0B2A99E6" w:rsidR="009273C7" w:rsidRPr="00A25BAE" w:rsidRDefault="00A25BAE" w:rsidP="000165E8">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 substitutes ‘child concern report’ for ‘voluntary report or mandatory report</w:t>
      </w:r>
      <w:r>
        <w:rPr>
          <w:rFonts w:asciiTheme="minorHAnsi" w:eastAsia="Calibri" w:hAnsiTheme="minorHAnsi" w:cstheme="minorHAnsi"/>
          <w:sz w:val="24"/>
          <w:szCs w:val="24"/>
          <w:lang w:eastAsia="en-AU"/>
        </w:rPr>
        <w:t xml:space="preserve">’, aligned with </w:t>
      </w:r>
      <w:r w:rsidRPr="00591C77">
        <w:rPr>
          <w:rFonts w:asciiTheme="minorHAnsi" w:eastAsia="Calibri" w:hAnsiTheme="minorHAnsi" w:cstheme="minorHAnsi"/>
          <w:sz w:val="24"/>
          <w:szCs w:val="24"/>
          <w:lang w:eastAsia="en-AU"/>
        </w:rPr>
        <w:t xml:space="preserve">the reporting provisions throughout the Act. </w:t>
      </w:r>
    </w:p>
    <w:p w14:paraId="241F16D1" w14:textId="77777777" w:rsidR="009664ED" w:rsidRDefault="009664ED">
      <w:pPr>
        <w:spacing w:after="160" w:line="259"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7F32FD35" w14:textId="7F4C106D" w:rsidR="00F1417E" w:rsidRDefault="00F1417E" w:rsidP="000165E8">
      <w:pPr>
        <w:spacing w:before="100" w:beforeAutospacing="1" w:after="100" w:afterAutospacing="1"/>
        <w:rPr>
          <w:b/>
          <w:bCs/>
          <w:sz w:val="23"/>
          <w:szCs w:val="23"/>
        </w:rPr>
      </w:pPr>
      <w:r w:rsidRPr="00591C77">
        <w:rPr>
          <w:rFonts w:asciiTheme="minorHAnsi" w:hAnsiTheme="minorHAnsi" w:cstheme="minorHAnsi"/>
          <w:b/>
          <w:bCs/>
          <w:sz w:val="24"/>
          <w:szCs w:val="24"/>
        </w:rPr>
        <w:lastRenderedPageBreak/>
        <w:t xml:space="preserve">Clause </w:t>
      </w:r>
      <w:r>
        <w:rPr>
          <w:rFonts w:asciiTheme="minorHAnsi" w:hAnsiTheme="minorHAnsi" w:cstheme="minorHAnsi"/>
          <w:b/>
          <w:bCs/>
          <w:sz w:val="24"/>
          <w:szCs w:val="24"/>
        </w:rPr>
        <w:t>6</w:t>
      </w:r>
      <w:r w:rsidR="00964042">
        <w:rPr>
          <w:rFonts w:asciiTheme="minorHAnsi" w:hAnsiTheme="minorHAnsi" w:cstheme="minorHAnsi"/>
          <w:b/>
          <w:bCs/>
          <w:sz w:val="24"/>
          <w:szCs w:val="24"/>
        </w:rPr>
        <w:t>8</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w:t>
      </w:r>
      <w:r w:rsidR="000165E8">
        <w:rPr>
          <w:b/>
          <w:bCs/>
          <w:sz w:val="23"/>
          <w:szCs w:val="23"/>
        </w:rPr>
        <w:t xml:space="preserve"> </w:t>
      </w:r>
      <w:r w:rsidR="009273C7">
        <w:rPr>
          <w:b/>
          <w:bCs/>
          <w:sz w:val="23"/>
          <w:szCs w:val="23"/>
        </w:rPr>
        <w:t xml:space="preserve">Section 845 (2), definition of </w:t>
      </w:r>
      <w:r w:rsidR="009273C7">
        <w:rPr>
          <w:b/>
          <w:bCs/>
          <w:i/>
          <w:iCs/>
          <w:sz w:val="23"/>
          <w:szCs w:val="23"/>
        </w:rPr>
        <w:t>care and protection report information</w:t>
      </w:r>
      <w:r w:rsidR="009273C7">
        <w:rPr>
          <w:b/>
          <w:bCs/>
          <w:sz w:val="23"/>
          <w:szCs w:val="23"/>
        </w:rPr>
        <w:t xml:space="preserve">, paragraphs (a) </w:t>
      </w:r>
    </w:p>
    <w:p w14:paraId="3174C769" w14:textId="3514CED4" w:rsidR="000165E8" w:rsidRPr="000165E8" w:rsidRDefault="000165E8" w:rsidP="000165E8">
      <w:pPr>
        <w:spacing w:before="100" w:beforeAutospacing="1" w:after="100" w:afterAutospacing="1"/>
        <w:rPr>
          <w:sz w:val="23"/>
          <w:szCs w:val="23"/>
        </w:rPr>
      </w:pPr>
      <w:r w:rsidRPr="00591C77">
        <w:rPr>
          <w:rFonts w:asciiTheme="minorHAnsi" w:hAnsiTheme="minorHAnsi" w:cstheme="minorHAnsi"/>
          <w:sz w:val="24"/>
          <w:szCs w:val="24"/>
        </w:rPr>
        <w:t xml:space="preserve">This clause </w:t>
      </w:r>
      <w:r>
        <w:rPr>
          <w:rFonts w:asciiTheme="minorHAnsi" w:hAnsiTheme="minorHAnsi" w:cstheme="minorHAnsi"/>
          <w:sz w:val="24"/>
          <w:szCs w:val="24"/>
        </w:rPr>
        <w:t xml:space="preserve">omits </w:t>
      </w:r>
      <w:r>
        <w:rPr>
          <w:sz w:val="23"/>
          <w:szCs w:val="23"/>
        </w:rPr>
        <w:t xml:space="preserve">section 354 (Voluntary reporting of abuse and neglect), section 356 (Offence—mandatory reporting of abuse) or section 362 (Prenatal reporting—anticipated abuse and neglect) and </w:t>
      </w:r>
      <w:r>
        <w:rPr>
          <w:i/>
          <w:iCs/>
          <w:sz w:val="23"/>
          <w:szCs w:val="23"/>
        </w:rPr>
        <w:t xml:space="preserve">substitutes with </w:t>
      </w:r>
      <w:r>
        <w:rPr>
          <w:sz w:val="23"/>
          <w:szCs w:val="23"/>
        </w:rPr>
        <w:t>section 354 (Voluntary reporting of risk of significant harm), section 356 (Offence—mandatory reporting of significant harm) or section 362 (Prenatal reporting—anticipated risk of significant harm</w:t>
      </w:r>
    </w:p>
    <w:p w14:paraId="6228C879" w14:textId="611094A9" w:rsidR="00F1417E" w:rsidRDefault="00F1417E" w:rsidP="000165E8">
      <w:pPr>
        <w:spacing w:before="100" w:beforeAutospacing="1" w:after="100" w:afterAutospacing="1"/>
        <w:rPr>
          <w:b/>
          <w:bCs/>
          <w:sz w:val="23"/>
          <w:szCs w:val="23"/>
        </w:rPr>
      </w:pPr>
      <w:r w:rsidRPr="00591C77">
        <w:rPr>
          <w:rFonts w:asciiTheme="minorHAnsi" w:hAnsiTheme="minorHAnsi" w:cstheme="minorHAnsi"/>
          <w:b/>
          <w:bCs/>
          <w:sz w:val="24"/>
          <w:szCs w:val="24"/>
        </w:rPr>
        <w:t xml:space="preserve">Clause </w:t>
      </w:r>
      <w:r w:rsidR="00964042">
        <w:rPr>
          <w:rFonts w:asciiTheme="minorHAnsi" w:hAnsiTheme="minorHAnsi" w:cstheme="minorHAnsi"/>
          <w:b/>
          <w:bCs/>
          <w:sz w:val="24"/>
          <w:szCs w:val="24"/>
        </w:rPr>
        <w:t>69</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sidR="009273C7">
        <w:rPr>
          <w:b/>
          <w:bCs/>
          <w:sz w:val="23"/>
          <w:szCs w:val="23"/>
        </w:rPr>
        <w:t>Certain identifying information not to be given Section 857 (a) (</w:t>
      </w:r>
      <w:proofErr w:type="spellStart"/>
      <w:r w:rsidR="009273C7">
        <w:rPr>
          <w:b/>
          <w:bCs/>
          <w:sz w:val="23"/>
          <w:szCs w:val="23"/>
        </w:rPr>
        <w:t>i</w:t>
      </w:r>
      <w:proofErr w:type="spellEnd"/>
      <w:r w:rsidR="009273C7">
        <w:rPr>
          <w:b/>
          <w:bCs/>
          <w:sz w:val="23"/>
          <w:szCs w:val="23"/>
        </w:rPr>
        <w:t>)</w:t>
      </w:r>
    </w:p>
    <w:p w14:paraId="429C139F" w14:textId="77777777" w:rsidR="00A25BAE" w:rsidRPr="00591C77" w:rsidRDefault="00A25BAE" w:rsidP="00A25BAE">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 substitutes ‘child concern report’ for ‘voluntary report or mandatory report</w:t>
      </w:r>
      <w:r>
        <w:rPr>
          <w:rFonts w:asciiTheme="minorHAnsi" w:eastAsia="Calibri" w:hAnsiTheme="minorHAnsi" w:cstheme="minorHAnsi"/>
          <w:sz w:val="24"/>
          <w:szCs w:val="24"/>
          <w:lang w:eastAsia="en-AU"/>
        </w:rPr>
        <w:t xml:space="preserve">’, aligned with </w:t>
      </w:r>
      <w:r w:rsidRPr="00591C77">
        <w:rPr>
          <w:rFonts w:asciiTheme="minorHAnsi" w:eastAsia="Calibri" w:hAnsiTheme="minorHAnsi" w:cstheme="minorHAnsi"/>
          <w:sz w:val="24"/>
          <w:szCs w:val="24"/>
          <w:lang w:eastAsia="en-AU"/>
        </w:rPr>
        <w:t xml:space="preserve">the reporting provisions throughout the Act. </w:t>
      </w:r>
    </w:p>
    <w:p w14:paraId="519FAB4A" w14:textId="4352B98D" w:rsidR="00F1417E" w:rsidRDefault="00F1417E" w:rsidP="000165E8">
      <w:pPr>
        <w:spacing w:before="100" w:beforeAutospacing="1" w:after="100" w:afterAutospacing="1"/>
        <w:rPr>
          <w:b/>
          <w:bCs/>
          <w:sz w:val="23"/>
          <w:szCs w:val="23"/>
        </w:rPr>
      </w:pPr>
      <w:r w:rsidRPr="00591C77">
        <w:rPr>
          <w:rFonts w:asciiTheme="minorHAnsi" w:hAnsiTheme="minorHAnsi" w:cstheme="minorHAnsi"/>
          <w:b/>
          <w:bCs/>
          <w:sz w:val="24"/>
          <w:szCs w:val="24"/>
        </w:rPr>
        <w:t xml:space="preserve">Clause </w:t>
      </w:r>
      <w:r w:rsidR="00964042">
        <w:rPr>
          <w:rFonts w:asciiTheme="minorHAnsi" w:hAnsiTheme="minorHAnsi" w:cstheme="minorHAnsi"/>
          <w:b/>
          <w:bCs/>
          <w:sz w:val="24"/>
          <w:szCs w:val="24"/>
        </w:rPr>
        <w:t>70</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sidR="009273C7">
        <w:rPr>
          <w:b/>
          <w:bCs/>
          <w:sz w:val="23"/>
          <w:szCs w:val="23"/>
        </w:rPr>
        <w:t xml:space="preserve">What is </w:t>
      </w:r>
      <w:r w:rsidR="009273C7">
        <w:rPr>
          <w:b/>
          <w:bCs/>
          <w:i/>
          <w:iCs/>
          <w:sz w:val="23"/>
          <w:szCs w:val="23"/>
        </w:rPr>
        <w:t>safety and wellbeing information</w:t>
      </w:r>
      <w:r w:rsidR="009273C7">
        <w:rPr>
          <w:b/>
          <w:bCs/>
          <w:sz w:val="23"/>
          <w:szCs w:val="23"/>
        </w:rPr>
        <w:t xml:space="preserve">? Section 858 (1), definition of </w:t>
      </w:r>
      <w:r w:rsidR="009273C7">
        <w:rPr>
          <w:b/>
          <w:bCs/>
          <w:i/>
          <w:iCs/>
          <w:sz w:val="23"/>
          <w:szCs w:val="23"/>
        </w:rPr>
        <w:t>safety and wellbeing information</w:t>
      </w:r>
      <w:r w:rsidR="009273C7">
        <w:rPr>
          <w:b/>
          <w:bCs/>
          <w:sz w:val="23"/>
          <w:szCs w:val="23"/>
        </w:rPr>
        <w:t>, example 1</w:t>
      </w:r>
    </w:p>
    <w:p w14:paraId="04C01827" w14:textId="1AFDB944" w:rsidR="009273C7" w:rsidRPr="00591C77" w:rsidRDefault="009273C7" w:rsidP="000165E8">
      <w:pPr>
        <w:spacing w:before="100" w:beforeAutospacing="1" w:after="100" w:afterAutospacing="1"/>
        <w:rPr>
          <w:rFonts w:asciiTheme="minorHAnsi" w:hAnsiTheme="minorHAnsi" w:cstheme="minorHAnsi"/>
          <w:b/>
          <w:bCs/>
          <w:sz w:val="24"/>
          <w:szCs w:val="24"/>
        </w:rPr>
      </w:pPr>
      <w:r w:rsidRPr="009273C7">
        <w:rPr>
          <w:rFonts w:asciiTheme="minorHAnsi" w:hAnsiTheme="minorHAnsi" w:cstheme="minorHAnsi"/>
          <w:sz w:val="24"/>
          <w:szCs w:val="24"/>
        </w:rPr>
        <w:t xml:space="preserve">This clause </w:t>
      </w:r>
      <w:r>
        <w:rPr>
          <w:rFonts w:asciiTheme="minorHAnsi" w:hAnsiTheme="minorHAnsi" w:cstheme="minorHAnsi"/>
          <w:sz w:val="24"/>
          <w:szCs w:val="24"/>
        </w:rPr>
        <w:t xml:space="preserve">omits the term </w:t>
      </w:r>
      <w:r w:rsidR="000165E8">
        <w:rPr>
          <w:rFonts w:asciiTheme="minorHAnsi" w:hAnsiTheme="minorHAnsi" w:cstheme="minorHAnsi"/>
          <w:sz w:val="24"/>
          <w:szCs w:val="24"/>
        </w:rPr>
        <w:t xml:space="preserve">at risk of abuse and neglect </w:t>
      </w:r>
      <w:r>
        <w:rPr>
          <w:rFonts w:asciiTheme="minorHAnsi" w:hAnsiTheme="minorHAnsi" w:cstheme="minorHAnsi"/>
          <w:sz w:val="24"/>
          <w:szCs w:val="24"/>
        </w:rPr>
        <w:t xml:space="preserve">and substitutes with at risk of significant harm. </w:t>
      </w:r>
      <w:r w:rsidR="00A25BAE" w:rsidRPr="00591C77">
        <w:rPr>
          <w:rFonts w:asciiTheme="minorHAnsi" w:eastAsia="Calibri" w:hAnsiTheme="minorHAnsi" w:cstheme="minorHAnsi"/>
          <w:sz w:val="24"/>
          <w:szCs w:val="24"/>
          <w:lang w:eastAsia="en-AU"/>
        </w:rPr>
        <w:t xml:space="preserve">This is consistent with the introduction of significant harm to the Act.  </w:t>
      </w:r>
    </w:p>
    <w:p w14:paraId="6EDB92FF" w14:textId="77FADE6E" w:rsidR="00F1417E" w:rsidRDefault="00F1417E" w:rsidP="000165E8">
      <w:pPr>
        <w:spacing w:before="100" w:beforeAutospacing="1" w:after="100" w:afterAutospacing="1"/>
        <w:rPr>
          <w:b/>
          <w:bCs/>
          <w:sz w:val="23"/>
          <w:szCs w:val="23"/>
        </w:rPr>
      </w:pPr>
      <w:r w:rsidRPr="00591C77">
        <w:rPr>
          <w:rFonts w:asciiTheme="minorHAnsi" w:hAnsiTheme="minorHAnsi" w:cstheme="minorHAnsi"/>
          <w:b/>
          <w:bCs/>
          <w:sz w:val="24"/>
          <w:szCs w:val="24"/>
        </w:rPr>
        <w:t xml:space="preserve">Clause </w:t>
      </w:r>
      <w:r>
        <w:rPr>
          <w:rFonts w:asciiTheme="minorHAnsi" w:hAnsiTheme="minorHAnsi" w:cstheme="minorHAnsi"/>
          <w:b/>
          <w:bCs/>
          <w:sz w:val="24"/>
          <w:szCs w:val="24"/>
        </w:rPr>
        <w:t>7</w:t>
      </w:r>
      <w:r w:rsidR="00964042">
        <w:rPr>
          <w:rFonts w:asciiTheme="minorHAnsi" w:hAnsiTheme="minorHAnsi" w:cstheme="minorHAnsi"/>
          <w:b/>
          <w:bCs/>
          <w:sz w:val="24"/>
          <w:szCs w:val="24"/>
        </w:rPr>
        <w:t>1</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sidR="009273C7">
        <w:rPr>
          <w:b/>
          <w:bCs/>
          <w:sz w:val="23"/>
          <w:szCs w:val="23"/>
        </w:rPr>
        <w:t>Investigative entity may divulge protected information etc Section 867 (2) (d) (</w:t>
      </w:r>
      <w:proofErr w:type="spellStart"/>
      <w:r w:rsidR="009273C7">
        <w:rPr>
          <w:b/>
          <w:bCs/>
          <w:sz w:val="23"/>
          <w:szCs w:val="23"/>
        </w:rPr>
        <w:t>i</w:t>
      </w:r>
      <w:proofErr w:type="spellEnd"/>
      <w:r w:rsidR="009273C7">
        <w:rPr>
          <w:b/>
          <w:bCs/>
          <w:sz w:val="23"/>
          <w:szCs w:val="23"/>
        </w:rPr>
        <w:t>) (A)</w:t>
      </w:r>
    </w:p>
    <w:p w14:paraId="305BF7A4" w14:textId="77777777" w:rsidR="00A25BAE" w:rsidRPr="00591C77" w:rsidRDefault="00A25BAE" w:rsidP="00A25BAE">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 substitutes ‘child concern report’ for ‘voluntary report or mandatory report</w:t>
      </w:r>
      <w:r>
        <w:rPr>
          <w:rFonts w:asciiTheme="minorHAnsi" w:eastAsia="Calibri" w:hAnsiTheme="minorHAnsi" w:cstheme="minorHAnsi"/>
          <w:sz w:val="24"/>
          <w:szCs w:val="24"/>
          <w:lang w:eastAsia="en-AU"/>
        </w:rPr>
        <w:t xml:space="preserve">’, aligned with </w:t>
      </w:r>
      <w:r w:rsidRPr="00591C77">
        <w:rPr>
          <w:rFonts w:asciiTheme="minorHAnsi" w:eastAsia="Calibri" w:hAnsiTheme="minorHAnsi" w:cstheme="minorHAnsi"/>
          <w:sz w:val="24"/>
          <w:szCs w:val="24"/>
          <w:lang w:eastAsia="en-AU"/>
        </w:rPr>
        <w:t xml:space="preserve">the reporting provisions throughout the Act. </w:t>
      </w:r>
    </w:p>
    <w:p w14:paraId="2EA79A6A" w14:textId="5E019A2E" w:rsidR="00F1417E" w:rsidRPr="009273C7" w:rsidRDefault="00F1417E" w:rsidP="000165E8">
      <w:pPr>
        <w:spacing w:before="100" w:beforeAutospacing="1" w:after="100" w:afterAutospacing="1"/>
        <w:rPr>
          <w:b/>
          <w:bCs/>
        </w:rPr>
      </w:pPr>
      <w:r w:rsidRPr="009273C7">
        <w:rPr>
          <w:rFonts w:asciiTheme="minorHAnsi" w:hAnsiTheme="minorHAnsi" w:cstheme="minorHAnsi"/>
          <w:b/>
          <w:bCs/>
          <w:sz w:val="24"/>
          <w:szCs w:val="24"/>
        </w:rPr>
        <w:t>Clause 7</w:t>
      </w:r>
      <w:r w:rsidR="00964042">
        <w:rPr>
          <w:rFonts w:asciiTheme="minorHAnsi" w:hAnsiTheme="minorHAnsi" w:cstheme="minorHAnsi"/>
          <w:b/>
          <w:bCs/>
          <w:sz w:val="24"/>
          <w:szCs w:val="24"/>
        </w:rPr>
        <w:t>2</w:t>
      </w:r>
      <w:r w:rsidRPr="009273C7">
        <w:rPr>
          <w:rFonts w:asciiTheme="minorHAnsi" w:hAnsiTheme="minorHAnsi" w:cstheme="minorHAnsi"/>
          <w:b/>
          <w:bCs/>
          <w:sz w:val="24"/>
          <w:szCs w:val="24"/>
        </w:rPr>
        <w:t xml:space="preserve"> </w:t>
      </w:r>
      <w:r w:rsidRPr="009273C7">
        <w:rPr>
          <w:rFonts w:asciiTheme="minorHAnsi" w:eastAsia="Calibri" w:hAnsiTheme="minorHAnsi" w:cstheme="minorHAnsi"/>
          <w:b/>
          <w:bCs/>
          <w:sz w:val="24"/>
          <w:szCs w:val="24"/>
        </w:rPr>
        <w:t xml:space="preserve">– </w:t>
      </w:r>
      <w:r w:rsidR="009273C7" w:rsidRPr="009273C7">
        <w:rPr>
          <w:b/>
          <w:bCs/>
        </w:rPr>
        <w:t>Section 868 heading</w:t>
      </w:r>
    </w:p>
    <w:p w14:paraId="53382A5D" w14:textId="77777777" w:rsidR="00A25BAE" w:rsidRPr="00591C77" w:rsidRDefault="00A25BAE" w:rsidP="00A25BAE">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 substitutes ‘child concern report’ for ‘voluntary report or mandatory report</w:t>
      </w:r>
      <w:r>
        <w:rPr>
          <w:rFonts w:asciiTheme="minorHAnsi" w:eastAsia="Calibri" w:hAnsiTheme="minorHAnsi" w:cstheme="minorHAnsi"/>
          <w:sz w:val="24"/>
          <w:szCs w:val="24"/>
          <w:lang w:eastAsia="en-AU"/>
        </w:rPr>
        <w:t xml:space="preserve">’, aligned with </w:t>
      </w:r>
      <w:r w:rsidRPr="00591C77">
        <w:rPr>
          <w:rFonts w:asciiTheme="minorHAnsi" w:eastAsia="Calibri" w:hAnsiTheme="minorHAnsi" w:cstheme="minorHAnsi"/>
          <w:sz w:val="24"/>
          <w:szCs w:val="24"/>
          <w:lang w:eastAsia="en-AU"/>
        </w:rPr>
        <w:t xml:space="preserve">the reporting provisions throughout the Act. </w:t>
      </w:r>
    </w:p>
    <w:p w14:paraId="78A32D34" w14:textId="2C8E3EA6" w:rsidR="00F1417E" w:rsidRDefault="00F1417E" w:rsidP="000165E8">
      <w:pPr>
        <w:spacing w:before="100" w:beforeAutospacing="1" w:after="100" w:afterAutospacing="1"/>
        <w:rPr>
          <w:b/>
          <w:bCs/>
          <w:sz w:val="23"/>
          <w:szCs w:val="23"/>
        </w:rPr>
      </w:pPr>
      <w:r w:rsidRPr="00591C77">
        <w:rPr>
          <w:rFonts w:asciiTheme="minorHAnsi" w:hAnsiTheme="minorHAnsi" w:cstheme="minorHAnsi"/>
          <w:b/>
          <w:bCs/>
          <w:sz w:val="24"/>
          <w:szCs w:val="24"/>
        </w:rPr>
        <w:t xml:space="preserve">Clause </w:t>
      </w:r>
      <w:r>
        <w:rPr>
          <w:rFonts w:asciiTheme="minorHAnsi" w:hAnsiTheme="minorHAnsi" w:cstheme="minorHAnsi"/>
          <w:b/>
          <w:bCs/>
          <w:sz w:val="24"/>
          <w:szCs w:val="24"/>
        </w:rPr>
        <w:t>7</w:t>
      </w:r>
      <w:r w:rsidR="00964042">
        <w:rPr>
          <w:rFonts w:asciiTheme="minorHAnsi" w:hAnsiTheme="minorHAnsi" w:cstheme="minorHAnsi"/>
          <w:b/>
          <w:bCs/>
          <w:sz w:val="24"/>
          <w:szCs w:val="24"/>
        </w:rPr>
        <w:t>3</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sidR="009273C7">
        <w:rPr>
          <w:b/>
          <w:bCs/>
          <w:sz w:val="23"/>
          <w:szCs w:val="23"/>
        </w:rPr>
        <w:t>Section 868 (1)</w:t>
      </w:r>
    </w:p>
    <w:p w14:paraId="2CBE1F2F" w14:textId="77777777" w:rsidR="00A25BAE" w:rsidRPr="00591C77" w:rsidRDefault="00A25BAE" w:rsidP="00A25BAE">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 substitutes ‘child concern report’ for ‘voluntary report or mandatory report</w:t>
      </w:r>
      <w:r>
        <w:rPr>
          <w:rFonts w:asciiTheme="minorHAnsi" w:eastAsia="Calibri" w:hAnsiTheme="minorHAnsi" w:cstheme="minorHAnsi"/>
          <w:sz w:val="24"/>
          <w:szCs w:val="24"/>
          <w:lang w:eastAsia="en-AU"/>
        </w:rPr>
        <w:t xml:space="preserve">’, aligned with </w:t>
      </w:r>
      <w:r w:rsidRPr="00591C77">
        <w:rPr>
          <w:rFonts w:asciiTheme="minorHAnsi" w:eastAsia="Calibri" w:hAnsiTheme="minorHAnsi" w:cstheme="minorHAnsi"/>
          <w:sz w:val="24"/>
          <w:szCs w:val="24"/>
          <w:lang w:eastAsia="en-AU"/>
        </w:rPr>
        <w:t xml:space="preserve">the reporting provisions throughout the Act. </w:t>
      </w:r>
    </w:p>
    <w:p w14:paraId="270A2BBD" w14:textId="532DD93C" w:rsidR="00F1417E" w:rsidRDefault="00F1417E" w:rsidP="000165E8">
      <w:pPr>
        <w:spacing w:before="100" w:beforeAutospacing="1" w:after="100" w:afterAutospacing="1"/>
        <w:rPr>
          <w:b/>
          <w:bCs/>
          <w:sz w:val="23"/>
          <w:szCs w:val="23"/>
        </w:rPr>
      </w:pPr>
      <w:r w:rsidRPr="009273C7">
        <w:rPr>
          <w:rFonts w:asciiTheme="minorHAnsi" w:hAnsiTheme="minorHAnsi" w:cstheme="minorHAnsi"/>
          <w:b/>
          <w:bCs/>
          <w:sz w:val="24"/>
          <w:szCs w:val="24"/>
        </w:rPr>
        <w:t>Clause 7</w:t>
      </w:r>
      <w:r w:rsidR="00964042">
        <w:rPr>
          <w:rFonts w:asciiTheme="minorHAnsi" w:hAnsiTheme="minorHAnsi" w:cstheme="minorHAnsi"/>
          <w:b/>
          <w:bCs/>
          <w:sz w:val="24"/>
          <w:szCs w:val="24"/>
        </w:rPr>
        <w:t>4</w:t>
      </w:r>
      <w:r w:rsidRPr="009273C7">
        <w:rPr>
          <w:rFonts w:asciiTheme="minorHAnsi" w:hAnsiTheme="minorHAnsi" w:cstheme="minorHAnsi"/>
          <w:b/>
          <w:bCs/>
          <w:sz w:val="24"/>
          <w:szCs w:val="24"/>
        </w:rPr>
        <w:t xml:space="preserve"> </w:t>
      </w:r>
      <w:r w:rsidRPr="009273C7">
        <w:rPr>
          <w:rFonts w:asciiTheme="minorHAnsi" w:eastAsia="Calibri" w:hAnsiTheme="minorHAnsi" w:cstheme="minorHAnsi"/>
          <w:b/>
          <w:bCs/>
          <w:sz w:val="24"/>
          <w:szCs w:val="24"/>
        </w:rPr>
        <w:t xml:space="preserve">– </w:t>
      </w:r>
      <w:r w:rsidR="009273C7" w:rsidRPr="009273C7">
        <w:rPr>
          <w:b/>
          <w:bCs/>
          <w:sz w:val="23"/>
          <w:szCs w:val="23"/>
        </w:rPr>
        <w:t>Protection of people giving certain information Section 874 (2) (g) and (h)</w:t>
      </w:r>
    </w:p>
    <w:p w14:paraId="14BF090C" w14:textId="77777777" w:rsidR="00A25BAE" w:rsidRPr="00591C77" w:rsidRDefault="00A25BAE" w:rsidP="00A25BAE">
      <w:pPr>
        <w:spacing w:before="100" w:beforeAutospacing="1" w:after="100" w:afterAutospacing="1"/>
        <w:rPr>
          <w:rFonts w:asciiTheme="minorHAnsi" w:eastAsia="Calibri" w:hAnsiTheme="minorHAnsi" w:cstheme="minorHAnsi"/>
          <w:sz w:val="24"/>
          <w:szCs w:val="24"/>
          <w:lang w:eastAsia="en-AU"/>
        </w:rPr>
      </w:pPr>
      <w:r w:rsidRPr="00591C77">
        <w:rPr>
          <w:rFonts w:asciiTheme="minorHAnsi" w:eastAsia="Calibri" w:hAnsiTheme="minorHAnsi" w:cstheme="minorHAnsi"/>
          <w:sz w:val="24"/>
          <w:szCs w:val="24"/>
          <w:lang w:eastAsia="en-AU"/>
        </w:rPr>
        <w:t>This clause substitutes ‘child concern report’ for ‘voluntary report or mandatory report</w:t>
      </w:r>
      <w:r>
        <w:rPr>
          <w:rFonts w:asciiTheme="minorHAnsi" w:eastAsia="Calibri" w:hAnsiTheme="minorHAnsi" w:cstheme="minorHAnsi"/>
          <w:sz w:val="24"/>
          <w:szCs w:val="24"/>
          <w:lang w:eastAsia="en-AU"/>
        </w:rPr>
        <w:t xml:space="preserve">’, aligned with </w:t>
      </w:r>
      <w:r w:rsidRPr="00591C77">
        <w:rPr>
          <w:rFonts w:asciiTheme="minorHAnsi" w:eastAsia="Calibri" w:hAnsiTheme="minorHAnsi" w:cstheme="minorHAnsi"/>
          <w:sz w:val="24"/>
          <w:szCs w:val="24"/>
          <w:lang w:eastAsia="en-AU"/>
        </w:rPr>
        <w:t xml:space="preserve">the reporting provisions throughout the Act. </w:t>
      </w:r>
    </w:p>
    <w:p w14:paraId="35C75D46" w14:textId="3DD9CA68" w:rsidR="00F1417E" w:rsidRPr="009273C7" w:rsidRDefault="00F1417E" w:rsidP="000165E8">
      <w:pPr>
        <w:spacing w:before="100" w:beforeAutospacing="1" w:after="100" w:afterAutospacing="1"/>
        <w:rPr>
          <w:rFonts w:asciiTheme="minorHAnsi" w:hAnsiTheme="minorHAnsi" w:cstheme="minorHAnsi"/>
          <w:b/>
          <w:bCs/>
          <w:sz w:val="24"/>
          <w:szCs w:val="24"/>
        </w:rPr>
      </w:pPr>
      <w:r w:rsidRPr="009273C7">
        <w:rPr>
          <w:rFonts w:asciiTheme="minorHAnsi" w:hAnsiTheme="minorHAnsi" w:cstheme="minorHAnsi"/>
          <w:b/>
          <w:bCs/>
          <w:sz w:val="24"/>
          <w:szCs w:val="24"/>
        </w:rPr>
        <w:t>Clause 7</w:t>
      </w:r>
      <w:r w:rsidR="00964042">
        <w:rPr>
          <w:rFonts w:asciiTheme="minorHAnsi" w:hAnsiTheme="minorHAnsi" w:cstheme="minorHAnsi"/>
          <w:b/>
          <w:bCs/>
          <w:sz w:val="24"/>
          <w:szCs w:val="24"/>
        </w:rPr>
        <w:t>5</w:t>
      </w:r>
      <w:r w:rsidRPr="009273C7">
        <w:rPr>
          <w:rFonts w:asciiTheme="minorHAnsi" w:hAnsiTheme="minorHAnsi" w:cstheme="minorHAnsi"/>
          <w:b/>
          <w:bCs/>
          <w:sz w:val="24"/>
          <w:szCs w:val="24"/>
        </w:rPr>
        <w:t xml:space="preserve"> – </w:t>
      </w:r>
      <w:r w:rsidR="009273C7" w:rsidRPr="009273C7">
        <w:rPr>
          <w:rFonts w:asciiTheme="minorHAnsi" w:hAnsiTheme="minorHAnsi" w:cstheme="minorHAnsi"/>
          <w:b/>
          <w:bCs/>
          <w:sz w:val="24"/>
          <w:szCs w:val="24"/>
        </w:rPr>
        <w:t>Section 874 (2) (j) to (m)</w:t>
      </w:r>
    </w:p>
    <w:p w14:paraId="7BDFC54D" w14:textId="7ACE0615" w:rsidR="009273C7" w:rsidRPr="009273C7" w:rsidRDefault="009273C7" w:rsidP="000165E8">
      <w:pPr>
        <w:spacing w:before="100" w:beforeAutospacing="1" w:after="100" w:afterAutospacing="1"/>
        <w:rPr>
          <w:rFonts w:asciiTheme="minorHAnsi" w:hAnsiTheme="minorHAnsi" w:cstheme="minorHAnsi"/>
          <w:sz w:val="24"/>
          <w:szCs w:val="24"/>
        </w:rPr>
      </w:pPr>
      <w:r w:rsidRPr="009273C7">
        <w:rPr>
          <w:rFonts w:asciiTheme="minorHAnsi" w:hAnsiTheme="minorHAnsi" w:cstheme="minorHAnsi"/>
          <w:sz w:val="24"/>
          <w:szCs w:val="24"/>
        </w:rPr>
        <w:t xml:space="preserve">This clause introduces to the concept of </w:t>
      </w:r>
      <w:r>
        <w:rPr>
          <w:rFonts w:asciiTheme="minorHAnsi" w:hAnsiTheme="minorHAnsi" w:cstheme="minorHAnsi"/>
          <w:sz w:val="24"/>
          <w:szCs w:val="24"/>
        </w:rPr>
        <w:t>‘</w:t>
      </w:r>
      <w:r w:rsidRPr="009273C7">
        <w:rPr>
          <w:rFonts w:asciiTheme="minorHAnsi" w:hAnsiTheme="minorHAnsi" w:cstheme="minorHAnsi"/>
          <w:sz w:val="24"/>
          <w:szCs w:val="24"/>
        </w:rPr>
        <w:t>significant harm</w:t>
      </w:r>
      <w:r>
        <w:rPr>
          <w:rFonts w:asciiTheme="minorHAnsi" w:hAnsiTheme="minorHAnsi" w:cstheme="minorHAnsi"/>
          <w:sz w:val="24"/>
          <w:szCs w:val="24"/>
        </w:rPr>
        <w:t>’</w:t>
      </w:r>
      <w:r w:rsidRPr="009273C7">
        <w:rPr>
          <w:rFonts w:asciiTheme="minorHAnsi" w:hAnsiTheme="minorHAnsi" w:cstheme="minorHAnsi"/>
          <w:sz w:val="24"/>
          <w:szCs w:val="24"/>
        </w:rPr>
        <w:t xml:space="preserve"> as </w:t>
      </w:r>
      <w:r>
        <w:rPr>
          <w:rFonts w:asciiTheme="minorHAnsi" w:hAnsiTheme="minorHAnsi" w:cstheme="minorHAnsi"/>
          <w:sz w:val="24"/>
          <w:szCs w:val="24"/>
        </w:rPr>
        <w:t>set out in</w:t>
      </w:r>
      <w:r w:rsidRPr="009273C7">
        <w:rPr>
          <w:rFonts w:asciiTheme="minorHAnsi" w:hAnsiTheme="minorHAnsi" w:cstheme="minorHAnsi"/>
          <w:sz w:val="24"/>
          <w:szCs w:val="24"/>
        </w:rPr>
        <w:t xml:space="preserve"> section 360. </w:t>
      </w:r>
    </w:p>
    <w:p w14:paraId="309A8BF9" w14:textId="3C625A74" w:rsidR="003477E7" w:rsidRPr="00591C77" w:rsidRDefault="003477E7" w:rsidP="000165E8">
      <w:pPr>
        <w:spacing w:before="100" w:beforeAutospacing="1" w:after="100" w:afterAutospacing="1"/>
        <w:rPr>
          <w:rFonts w:asciiTheme="minorHAnsi" w:hAnsiTheme="minorHAnsi" w:cstheme="minorHAnsi"/>
          <w:b/>
          <w:bCs/>
          <w:sz w:val="24"/>
          <w:szCs w:val="24"/>
        </w:rPr>
      </w:pPr>
      <w:r w:rsidRPr="00591C77">
        <w:rPr>
          <w:rFonts w:asciiTheme="minorHAnsi" w:hAnsiTheme="minorHAnsi" w:cstheme="minorHAnsi"/>
          <w:b/>
          <w:bCs/>
          <w:sz w:val="24"/>
          <w:szCs w:val="24"/>
        </w:rPr>
        <w:lastRenderedPageBreak/>
        <w:t xml:space="preserve">Clause </w:t>
      </w:r>
      <w:r w:rsidR="00F1417E">
        <w:rPr>
          <w:rFonts w:asciiTheme="minorHAnsi" w:hAnsiTheme="minorHAnsi" w:cstheme="minorHAnsi"/>
          <w:b/>
          <w:bCs/>
          <w:sz w:val="24"/>
          <w:szCs w:val="24"/>
        </w:rPr>
        <w:t>7</w:t>
      </w:r>
      <w:r w:rsidR="00964042">
        <w:rPr>
          <w:rFonts w:asciiTheme="minorHAnsi" w:hAnsiTheme="minorHAnsi" w:cstheme="minorHAnsi"/>
          <w:b/>
          <w:bCs/>
          <w:sz w:val="24"/>
          <w:szCs w:val="24"/>
        </w:rPr>
        <w:t>6</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sidRPr="00591C77">
        <w:rPr>
          <w:rFonts w:asciiTheme="minorHAnsi" w:hAnsiTheme="minorHAnsi" w:cstheme="minorHAnsi"/>
          <w:b/>
          <w:bCs/>
          <w:sz w:val="24"/>
          <w:szCs w:val="24"/>
        </w:rPr>
        <w:t>New Chapter 32</w:t>
      </w:r>
    </w:p>
    <w:p w14:paraId="33F8924B" w14:textId="6840334B" w:rsidR="003477E7" w:rsidRPr="00591C77" w:rsidRDefault="003477E7"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This clause inserts a new Chapter 32 to include section 988 titled ‘CYP death review committee – change from annual to biennial reporting</w:t>
      </w:r>
      <w:r w:rsidR="00C62B89" w:rsidRPr="00591C77">
        <w:rPr>
          <w:rFonts w:asciiTheme="minorHAnsi" w:hAnsiTheme="minorHAnsi" w:cstheme="minorHAnsi"/>
          <w:sz w:val="24"/>
          <w:szCs w:val="24"/>
        </w:rPr>
        <w:t>’.</w:t>
      </w:r>
    </w:p>
    <w:p w14:paraId="621121FC" w14:textId="77777777" w:rsidR="003477E7" w:rsidRPr="00591C77" w:rsidRDefault="003477E7"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 xml:space="preserve">This new section will provide a transitional process to move to biennial reporting with annual reporting continuing for the 2023 calendar year and reporting every 2 calendar years from the 2024 calendar year. </w:t>
      </w:r>
    </w:p>
    <w:p w14:paraId="4651991D" w14:textId="1B951F23" w:rsidR="003477E7" w:rsidRPr="00591C77" w:rsidRDefault="003477E7" w:rsidP="000165E8">
      <w:pPr>
        <w:spacing w:before="100" w:beforeAutospacing="1" w:after="100" w:afterAutospacing="1"/>
        <w:rPr>
          <w:rFonts w:asciiTheme="minorHAnsi" w:hAnsiTheme="minorHAnsi" w:cstheme="minorHAnsi"/>
          <w:b/>
          <w:bCs/>
          <w:sz w:val="24"/>
          <w:szCs w:val="24"/>
        </w:rPr>
      </w:pPr>
      <w:r w:rsidRPr="00591C77">
        <w:rPr>
          <w:rFonts w:asciiTheme="minorHAnsi" w:hAnsiTheme="minorHAnsi" w:cstheme="minorHAnsi"/>
          <w:b/>
          <w:bCs/>
          <w:sz w:val="24"/>
          <w:szCs w:val="24"/>
        </w:rPr>
        <w:t xml:space="preserve">Clause </w:t>
      </w:r>
      <w:r w:rsidR="00F1417E">
        <w:rPr>
          <w:rFonts w:asciiTheme="minorHAnsi" w:hAnsiTheme="minorHAnsi" w:cstheme="minorHAnsi"/>
          <w:b/>
          <w:bCs/>
          <w:sz w:val="24"/>
          <w:szCs w:val="24"/>
        </w:rPr>
        <w:t>7</w:t>
      </w:r>
      <w:r w:rsidR="00964042">
        <w:rPr>
          <w:rFonts w:asciiTheme="minorHAnsi" w:hAnsiTheme="minorHAnsi" w:cstheme="minorHAnsi"/>
          <w:b/>
          <w:bCs/>
          <w:sz w:val="24"/>
          <w:szCs w:val="24"/>
        </w:rPr>
        <w:t>7</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sidRPr="00591C77">
        <w:rPr>
          <w:rFonts w:asciiTheme="minorHAnsi" w:hAnsiTheme="minorHAnsi" w:cstheme="minorHAnsi"/>
          <w:b/>
          <w:bCs/>
          <w:sz w:val="24"/>
          <w:szCs w:val="24"/>
        </w:rPr>
        <w:t>Dictionary</w:t>
      </w:r>
    </w:p>
    <w:p w14:paraId="436BBBD6" w14:textId="40D0DC5C" w:rsidR="003477E7" w:rsidRDefault="003477E7"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 xml:space="preserve">This clause omits the definitions for abuse, at risk of abuse or neglect, child concern report and neglect. </w:t>
      </w:r>
    </w:p>
    <w:p w14:paraId="483172B9" w14:textId="7D5A9500" w:rsidR="00F1417E" w:rsidRPr="00591C77" w:rsidRDefault="00F1417E" w:rsidP="000165E8">
      <w:pPr>
        <w:spacing w:before="100" w:beforeAutospacing="1" w:after="100" w:afterAutospacing="1"/>
        <w:rPr>
          <w:rFonts w:asciiTheme="minorHAnsi" w:hAnsiTheme="minorHAnsi" w:cstheme="minorHAnsi"/>
          <w:b/>
          <w:bCs/>
          <w:sz w:val="24"/>
          <w:szCs w:val="24"/>
        </w:rPr>
      </w:pPr>
      <w:r w:rsidRPr="00591C77">
        <w:rPr>
          <w:rFonts w:asciiTheme="minorHAnsi" w:hAnsiTheme="minorHAnsi" w:cstheme="minorHAnsi"/>
          <w:b/>
          <w:bCs/>
          <w:sz w:val="24"/>
          <w:szCs w:val="24"/>
        </w:rPr>
        <w:t xml:space="preserve">Clause </w:t>
      </w:r>
      <w:r>
        <w:rPr>
          <w:rFonts w:asciiTheme="minorHAnsi" w:hAnsiTheme="minorHAnsi" w:cstheme="minorHAnsi"/>
          <w:b/>
          <w:bCs/>
          <w:sz w:val="24"/>
          <w:szCs w:val="24"/>
        </w:rPr>
        <w:t>7</w:t>
      </w:r>
      <w:r w:rsidR="00964042">
        <w:rPr>
          <w:rFonts w:asciiTheme="minorHAnsi" w:hAnsiTheme="minorHAnsi" w:cstheme="minorHAnsi"/>
          <w:b/>
          <w:bCs/>
          <w:sz w:val="24"/>
          <w:szCs w:val="24"/>
        </w:rPr>
        <w:t>8</w:t>
      </w:r>
      <w:r w:rsidRPr="00591C77">
        <w:rPr>
          <w:rFonts w:asciiTheme="minorHAnsi" w:hAnsiTheme="minorHAnsi" w:cstheme="minorHAnsi"/>
          <w:b/>
          <w:bCs/>
          <w:sz w:val="24"/>
          <w:szCs w:val="24"/>
        </w:rPr>
        <w:t xml:space="preserve"> </w:t>
      </w:r>
      <w:r w:rsidRPr="00591C77">
        <w:rPr>
          <w:rFonts w:asciiTheme="minorHAnsi" w:eastAsia="Calibri" w:hAnsiTheme="minorHAnsi" w:cstheme="minorHAnsi"/>
          <w:b/>
          <w:sz w:val="24"/>
          <w:szCs w:val="24"/>
        </w:rPr>
        <w:t xml:space="preserve">– </w:t>
      </w:r>
      <w:r w:rsidRPr="00591C77">
        <w:rPr>
          <w:rFonts w:asciiTheme="minorHAnsi" w:hAnsiTheme="minorHAnsi" w:cstheme="minorHAnsi"/>
          <w:b/>
          <w:bCs/>
          <w:sz w:val="24"/>
          <w:szCs w:val="24"/>
        </w:rPr>
        <w:t>Dictionary</w:t>
      </w:r>
      <w:r>
        <w:rPr>
          <w:rFonts w:asciiTheme="minorHAnsi" w:hAnsiTheme="minorHAnsi" w:cstheme="minorHAnsi"/>
          <w:b/>
          <w:bCs/>
          <w:sz w:val="24"/>
          <w:szCs w:val="24"/>
        </w:rPr>
        <w:t>,</w:t>
      </w:r>
      <w:r w:rsidRPr="00F1417E">
        <w:rPr>
          <w:b/>
          <w:bCs/>
          <w:sz w:val="23"/>
          <w:szCs w:val="23"/>
        </w:rPr>
        <w:t xml:space="preserve"> </w:t>
      </w:r>
      <w:r>
        <w:rPr>
          <w:b/>
          <w:bCs/>
          <w:sz w:val="23"/>
          <w:szCs w:val="23"/>
        </w:rPr>
        <w:t xml:space="preserve">definition of </w:t>
      </w:r>
      <w:r>
        <w:rPr>
          <w:b/>
          <w:bCs/>
          <w:i/>
          <w:iCs/>
          <w:sz w:val="23"/>
          <w:szCs w:val="23"/>
        </w:rPr>
        <w:t>significant harm</w:t>
      </w:r>
    </w:p>
    <w:p w14:paraId="58327AE9" w14:textId="1CBFB3AD" w:rsidR="00F1417E" w:rsidRDefault="00F1417E" w:rsidP="000165E8">
      <w:pPr>
        <w:spacing w:before="100" w:beforeAutospacing="1" w:after="100" w:afterAutospacing="1"/>
        <w:rPr>
          <w:rFonts w:asciiTheme="minorHAnsi" w:hAnsiTheme="minorHAnsi" w:cstheme="minorHAnsi"/>
          <w:sz w:val="24"/>
          <w:szCs w:val="24"/>
        </w:rPr>
      </w:pPr>
      <w:r w:rsidRPr="00591C77">
        <w:rPr>
          <w:rFonts w:asciiTheme="minorHAnsi" w:hAnsiTheme="minorHAnsi" w:cstheme="minorHAnsi"/>
          <w:sz w:val="24"/>
          <w:szCs w:val="24"/>
        </w:rPr>
        <w:t xml:space="preserve">This clause omits </w:t>
      </w:r>
      <w:r>
        <w:rPr>
          <w:sz w:val="23"/>
          <w:szCs w:val="23"/>
        </w:rPr>
        <w:t xml:space="preserve">section 341 and substitutes with section 344. </w:t>
      </w:r>
    </w:p>
    <w:p w14:paraId="27A29050" w14:textId="56832F0E" w:rsidR="00F1417E" w:rsidRPr="00591C77" w:rsidRDefault="00F1417E" w:rsidP="000165E8">
      <w:pPr>
        <w:spacing w:before="100" w:beforeAutospacing="1" w:after="100" w:afterAutospacing="1"/>
        <w:rPr>
          <w:rFonts w:asciiTheme="minorHAnsi" w:hAnsiTheme="minorHAnsi" w:cstheme="minorHAnsi"/>
          <w:sz w:val="24"/>
          <w:szCs w:val="24"/>
        </w:rPr>
      </w:pPr>
    </w:p>
    <w:p w14:paraId="2B2C39D0" w14:textId="77777777" w:rsidR="003477E7" w:rsidRPr="007929E8" w:rsidRDefault="003477E7" w:rsidP="000165E8">
      <w:pPr>
        <w:pStyle w:val="NormalWeb"/>
        <w:rPr>
          <w:rFonts w:ascii="Arial" w:hAnsi="Arial" w:cs="Arial"/>
        </w:rPr>
      </w:pPr>
    </w:p>
    <w:p w14:paraId="7E149AF6" w14:textId="77777777" w:rsidR="001177EF" w:rsidRPr="007929E8" w:rsidRDefault="001177EF" w:rsidP="000165E8">
      <w:pPr>
        <w:spacing w:before="100" w:beforeAutospacing="1" w:after="100" w:afterAutospacing="1"/>
        <w:rPr>
          <w:rFonts w:ascii="Arial" w:hAnsi="Arial" w:cs="Arial"/>
        </w:rPr>
      </w:pPr>
    </w:p>
    <w:sectPr w:rsidR="001177EF" w:rsidRPr="007929E8" w:rsidSect="00F41A2F">
      <w:headerReference w:type="even" r:id="rId14"/>
      <w:headerReference w:type="default" r:id="rId15"/>
      <w:footerReference w:type="default" r:id="rId16"/>
      <w:headerReference w:type="first" r:id="rId17"/>
      <w:footerReference w:type="first" r:id="rId18"/>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FA90" w14:textId="77777777" w:rsidR="00352E6F" w:rsidRDefault="00352E6F" w:rsidP="00352E6F">
      <w:pPr>
        <w:spacing w:after="0" w:line="240" w:lineRule="auto"/>
      </w:pPr>
      <w:r>
        <w:separator/>
      </w:r>
    </w:p>
  </w:endnote>
  <w:endnote w:type="continuationSeparator" w:id="0">
    <w:p w14:paraId="56B28B85" w14:textId="77777777" w:rsidR="00352E6F" w:rsidRDefault="00352E6F" w:rsidP="00352E6F">
      <w:pPr>
        <w:spacing w:after="0" w:line="240" w:lineRule="auto"/>
      </w:pPr>
      <w:r>
        <w:continuationSeparator/>
      </w:r>
    </w:p>
  </w:endnote>
  <w:endnote w:type="continuationNotice" w:id="1">
    <w:p w14:paraId="6DAFE1B9" w14:textId="77777777" w:rsidR="00333CBD" w:rsidRDefault="00333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0E16" w14:textId="77777777" w:rsidR="005900BE" w:rsidRDefault="00590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D212" w14:textId="2902B05E" w:rsidR="00352E6F" w:rsidRPr="005900BE" w:rsidRDefault="005900BE" w:rsidP="005900BE">
    <w:pPr>
      <w:pStyle w:val="Footer"/>
      <w:jc w:val="center"/>
      <w:rPr>
        <w:rFonts w:cs="Arial"/>
        <w:sz w:val="14"/>
      </w:rPr>
    </w:pPr>
    <w:r w:rsidRPr="005900B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80F9" w14:textId="77777777" w:rsidR="005900BE" w:rsidRDefault="005900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F587" w14:textId="566A0FB5" w:rsidR="003C0ACD" w:rsidRDefault="00352E6F" w:rsidP="00A10F58">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3DE978A8" w14:textId="40C6A012" w:rsidR="005900BE" w:rsidRPr="005900BE" w:rsidRDefault="005900BE" w:rsidP="005900BE">
    <w:pPr>
      <w:pStyle w:val="Footer"/>
      <w:spacing w:before="60" w:line="240" w:lineRule="auto"/>
      <w:jc w:val="center"/>
      <w:rPr>
        <w:rFonts w:cs="Arial"/>
        <w:sz w:val="14"/>
      </w:rPr>
    </w:pPr>
    <w:r w:rsidRPr="005900BE">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C660" w14:textId="6734CCCE" w:rsidR="00F51852" w:rsidRDefault="00352E6F" w:rsidP="00A10F58">
    <w:pPr>
      <w:pStyle w:val="Footer"/>
      <w:jc w:val="right"/>
    </w:pPr>
    <w:r>
      <w:fldChar w:fldCharType="begin"/>
    </w:r>
    <w:r>
      <w:instrText xml:space="preserve"> PAGE   \* MERGEFORMAT </w:instrText>
    </w:r>
    <w:r>
      <w:fldChar w:fldCharType="separate"/>
    </w:r>
    <w:r>
      <w:rPr>
        <w:noProof/>
      </w:rPr>
      <w:t>1</w:t>
    </w:r>
    <w:r>
      <w:fldChar w:fldCharType="end"/>
    </w:r>
  </w:p>
  <w:p w14:paraId="6FA1DFB0" w14:textId="300F4F83" w:rsidR="005900BE" w:rsidRPr="005900BE" w:rsidRDefault="005900BE" w:rsidP="005900BE">
    <w:pPr>
      <w:pStyle w:val="Footer"/>
      <w:jc w:val="center"/>
      <w:rPr>
        <w:rFonts w:cs="Arial"/>
        <w:sz w:val="14"/>
      </w:rPr>
    </w:pPr>
    <w:r w:rsidRPr="005900BE">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B7EDA" w14:textId="77777777" w:rsidR="00352E6F" w:rsidRDefault="00352E6F" w:rsidP="00352E6F">
      <w:pPr>
        <w:spacing w:after="0" w:line="240" w:lineRule="auto"/>
      </w:pPr>
      <w:r>
        <w:separator/>
      </w:r>
    </w:p>
  </w:footnote>
  <w:footnote w:type="continuationSeparator" w:id="0">
    <w:p w14:paraId="21DCEF94" w14:textId="77777777" w:rsidR="00352E6F" w:rsidRDefault="00352E6F" w:rsidP="00352E6F">
      <w:pPr>
        <w:spacing w:after="0" w:line="240" w:lineRule="auto"/>
      </w:pPr>
      <w:r>
        <w:continuationSeparator/>
      </w:r>
    </w:p>
  </w:footnote>
  <w:footnote w:type="continuationNotice" w:id="1">
    <w:p w14:paraId="297F8FC6" w14:textId="77777777" w:rsidR="00333CBD" w:rsidRDefault="00333CBD">
      <w:pPr>
        <w:spacing w:after="0" w:line="240" w:lineRule="auto"/>
      </w:pPr>
    </w:p>
  </w:footnote>
  <w:footnote w:id="2">
    <w:p w14:paraId="2D5D9771" w14:textId="753F9905" w:rsidR="00F45038" w:rsidRPr="00933CC9" w:rsidRDefault="00F45038" w:rsidP="00381CC7">
      <w:pPr>
        <w:pStyle w:val="FootnoteText"/>
        <w:spacing w:after="0"/>
        <w:rPr>
          <w:rFonts w:asciiTheme="minorHAnsi" w:hAnsiTheme="minorHAnsi" w:cstheme="minorHAnsi"/>
          <w:sz w:val="16"/>
          <w:szCs w:val="16"/>
          <w:lang w:val="en-AU"/>
        </w:rPr>
      </w:pPr>
      <w:r w:rsidRPr="0085322A">
        <w:rPr>
          <w:rStyle w:val="FootnoteReference"/>
          <w:rFonts w:asciiTheme="minorHAnsi" w:hAnsiTheme="minorHAnsi" w:cstheme="minorHAnsi"/>
          <w:sz w:val="16"/>
          <w:szCs w:val="16"/>
        </w:rPr>
        <w:footnoteRef/>
      </w:r>
      <w:r w:rsidR="00933CC9" w:rsidRPr="0085322A">
        <w:rPr>
          <w:rStyle w:val="FootnoteReference"/>
          <w:rFonts w:asciiTheme="minorHAnsi" w:hAnsiTheme="minorHAnsi" w:cstheme="minorHAnsi"/>
          <w:sz w:val="16"/>
          <w:szCs w:val="16"/>
        </w:rPr>
        <w:t>,</w:t>
      </w:r>
      <w:r w:rsidR="004C376D">
        <w:rPr>
          <w:rFonts w:asciiTheme="minorHAnsi" w:hAnsiTheme="minorHAnsi" w:cstheme="minorHAnsi"/>
          <w:sz w:val="16"/>
          <w:szCs w:val="16"/>
        </w:rPr>
        <w:t xml:space="preserve"> </w:t>
      </w:r>
      <w:r w:rsidRPr="00933CC9">
        <w:rPr>
          <w:rFonts w:asciiTheme="minorHAnsi" w:hAnsiTheme="minorHAnsi" w:cstheme="minorHAnsi"/>
          <w:color w:val="332C28"/>
          <w:sz w:val="16"/>
          <w:szCs w:val="16"/>
          <w:shd w:val="clear" w:color="auto" w:fill="FFFFFF"/>
        </w:rPr>
        <w:t>Arney, F., Iannos, M., Chong, A., McDougall, S., &amp; Parkinson, S. (2015). </w:t>
      </w:r>
      <w:r w:rsidRPr="00933CC9">
        <w:rPr>
          <w:rStyle w:val="Emphasis"/>
          <w:rFonts w:asciiTheme="minorHAnsi" w:eastAsiaTheme="majorEastAsia" w:hAnsiTheme="minorHAnsi" w:cstheme="minorHAnsi"/>
          <w:color w:val="332C28"/>
          <w:sz w:val="16"/>
          <w:szCs w:val="16"/>
          <w:bdr w:val="none" w:sz="0" w:space="0" w:color="auto" w:frame="1"/>
          <w:shd w:val="clear" w:color="auto" w:fill="FFFFFF"/>
        </w:rPr>
        <w:t>Enhancing the implementation of the Aboriginal and Torres Strait Islander Child Placement Principle: Policy and practice considerations</w:t>
      </w:r>
      <w:r w:rsidRPr="00933CC9">
        <w:rPr>
          <w:rFonts w:asciiTheme="minorHAnsi" w:hAnsiTheme="minorHAnsi" w:cstheme="minorHAnsi"/>
          <w:color w:val="332C28"/>
          <w:sz w:val="16"/>
          <w:szCs w:val="16"/>
          <w:shd w:val="clear" w:color="auto" w:fill="FFFFFF"/>
        </w:rPr>
        <w:t> (CFCA Paper No. 34). Melbourne: Child Family Community Australia information exchange.</w:t>
      </w:r>
    </w:p>
  </w:footnote>
  <w:footnote w:id="3">
    <w:p w14:paraId="10EF4F84" w14:textId="77777777" w:rsidR="0085322A" w:rsidRPr="0085322A" w:rsidRDefault="0085322A" w:rsidP="00381CC7">
      <w:pPr>
        <w:pStyle w:val="FootnoteText"/>
        <w:spacing w:after="0"/>
        <w:rPr>
          <w:rFonts w:asciiTheme="minorHAnsi" w:hAnsiTheme="minorHAnsi" w:cstheme="minorHAnsi"/>
          <w:sz w:val="16"/>
          <w:szCs w:val="16"/>
          <w:lang w:val="en-AU"/>
        </w:rPr>
      </w:pPr>
      <w:r w:rsidRPr="0085322A">
        <w:rPr>
          <w:rStyle w:val="FootnoteReference"/>
          <w:rFonts w:asciiTheme="minorHAnsi" w:hAnsiTheme="minorHAnsi" w:cstheme="minorHAnsi"/>
          <w:sz w:val="16"/>
          <w:szCs w:val="16"/>
        </w:rPr>
        <w:footnoteRef/>
      </w:r>
      <w:r w:rsidRPr="0085322A">
        <w:rPr>
          <w:rFonts w:asciiTheme="minorHAnsi" w:hAnsiTheme="minorHAnsi" w:cstheme="minorHAnsi"/>
          <w:sz w:val="16"/>
          <w:szCs w:val="16"/>
        </w:rPr>
        <w:t xml:space="preserve"> </w:t>
      </w:r>
      <w:r w:rsidRPr="0085322A">
        <w:rPr>
          <w:rFonts w:asciiTheme="minorHAnsi" w:hAnsiTheme="minorHAnsi" w:cstheme="minorHAnsi"/>
          <w:color w:val="000000"/>
          <w:sz w:val="16"/>
          <w:szCs w:val="16"/>
        </w:rPr>
        <w:t xml:space="preserve">Our </w:t>
      </w:r>
      <w:r w:rsidRPr="0085322A">
        <w:rPr>
          <w:rFonts w:asciiTheme="minorHAnsi" w:hAnsiTheme="minorHAnsi" w:cstheme="minorHAnsi"/>
          <w:color w:val="000000"/>
          <w:sz w:val="16"/>
          <w:szCs w:val="16"/>
        </w:rPr>
        <w:t xml:space="preserve">Booris, Our Way Steering Committee, </w:t>
      </w:r>
      <w:r w:rsidRPr="0085322A">
        <w:rPr>
          <w:rFonts w:asciiTheme="minorHAnsi" w:hAnsiTheme="minorHAnsi" w:cstheme="minorHAnsi"/>
          <w:i/>
          <w:color w:val="000000"/>
          <w:sz w:val="16"/>
          <w:szCs w:val="16"/>
        </w:rPr>
        <w:t>Our Booris, Our Way: Final Report</w:t>
      </w:r>
      <w:r w:rsidRPr="0085322A">
        <w:rPr>
          <w:rFonts w:asciiTheme="minorHAnsi" w:hAnsiTheme="minorHAnsi" w:cstheme="minorHAnsi"/>
          <w:color w:val="000000"/>
          <w:sz w:val="16"/>
          <w:szCs w:val="16"/>
        </w:rPr>
        <w:t>, December 2019, Recommendation 3 at p 75.</w:t>
      </w:r>
    </w:p>
  </w:footnote>
  <w:footnote w:id="4">
    <w:p w14:paraId="47CA41D6" w14:textId="77777777" w:rsidR="0085322A" w:rsidRPr="0085322A" w:rsidRDefault="0085322A" w:rsidP="00381CC7">
      <w:pPr>
        <w:pStyle w:val="FootnoteText"/>
        <w:spacing w:after="0"/>
        <w:rPr>
          <w:rFonts w:asciiTheme="minorHAnsi" w:hAnsiTheme="minorHAnsi" w:cstheme="minorHAnsi"/>
          <w:sz w:val="16"/>
          <w:szCs w:val="16"/>
          <w:lang w:val="en-AU"/>
        </w:rPr>
      </w:pPr>
      <w:r w:rsidRPr="0085322A">
        <w:rPr>
          <w:rStyle w:val="FootnoteReference"/>
          <w:rFonts w:asciiTheme="minorHAnsi" w:hAnsiTheme="minorHAnsi" w:cstheme="minorHAnsi"/>
          <w:sz w:val="16"/>
          <w:szCs w:val="16"/>
        </w:rPr>
        <w:footnoteRef/>
      </w:r>
      <w:r w:rsidRPr="0085322A">
        <w:rPr>
          <w:rFonts w:asciiTheme="minorHAnsi" w:hAnsiTheme="minorHAnsi" w:cstheme="minorHAnsi"/>
          <w:sz w:val="16"/>
          <w:szCs w:val="16"/>
        </w:rPr>
        <w:t xml:space="preserve"> </w:t>
      </w:r>
      <w:r w:rsidRPr="0085322A">
        <w:rPr>
          <w:rFonts w:asciiTheme="minorHAnsi" w:hAnsiTheme="minorHAnsi" w:cstheme="minorHAnsi"/>
          <w:sz w:val="16"/>
          <w:szCs w:val="16"/>
          <w:lang w:val="en-AU"/>
        </w:rPr>
        <w:t xml:space="preserve">Department of Social Services. </w:t>
      </w:r>
      <w:r w:rsidRPr="0085322A">
        <w:rPr>
          <w:rFonts w:asciiTheme="minorHAnsi" w:hAnsiTheme="minorHAnsi" w:cstheme="minorHAnsi"/>
          <w:i/>
          <w:sz w:val="16"/>
          <w:szCs w:val="16"/>
          <w:lang w:val="en-AU"/>
        </w:rPr>
        <w:t>Safe and Supported: The National Framework for Protecting Australia’s Children 2021-2031</w:t>
      </w:r>
      <w:r w:rsidRPr="0085322A">
        <w:rPr>
          <w:rFonts w:asciiTheme="minorHAnsi" w:hAnsiTheme="minorHAnsi" w:cstheme="minorHAnsi"/>
          <w:sz w:val="16"/>
          <w:szCs w:val="16"/>
          <w:lang w:val="en-AU"/>
        </w:rPr>
        <w:t>, December 2021, Focus Area 2 at p 28.</w:t>
      </w:r>
    </w:p>
  </w:footnote>
  <w:footnote w:id="5">
    <w:p w14:paraId="354C8223" w14:textId="77777777" w:rsidR="0085322A" w:rsidRPr="0085322A" w:rsidRDefault="0085322A" w:rsidP="00381CC7">
      <w:pPr>
        <w:pStyle w:val="FootnoteText"/>
        <w:spacing w:after="0"/>
        <w:rPr>
          <w:rFonts w:asciiTheme="minorHAnsi" w:hAnsiTheme="minorHAnsi" w:cstheme="minorHAnsi"/>
          <w:sz w:val="16"/>
          <w:szCs w:val="16"/>
          <w:lang w:val="en-AU"/>
        </w:rPr>
      </w:pPr>
      <w:r w:rsidRPr="0085322A">
        <w:rPr>
          <w:rStyle w:val="FootnoteReference"/>
          <w:rFonts w:asciiTheme="minorHAnsi" w:hAnsiTheme="minorHAnsi" w:cstheme="minorHAnsi"/>
          <w:sz w:val="16"/>
          <w:szCs w:val="16"/>
        </w:rPr>
        <w:footnoteRef/>
      </w:r>
      <w:r w:rsidRPr="0085322A">
        <w:rPr>
          <w:rFonts w:asciiTheme="minorHAnsi" w:hAnsiTheme="minorHAnsi" w:cstheme="minorHAnsi"/>
          <w:sz w:val="16"/>
          <w:szCs w:val="16"/>
        </w:rPr>
        <w:t xml:space="preserve"> </w:t>
      </w:r>
      <w:r w:rsidRPr="0085322A">
        <w:rPr>
          <w:rFonts w:asciiTheme="minorHAnsi" w:hAnsiTheme="minorHAnsi" w:cstheme="minorHAnsi"/>
          <w:i/>
          <w:sz w:val="16"/>
          <w:szCs w:val="16"/>
          <w:lang w:val="en-AU"/>
        </w:rPr>
        <w:t>National Agreement on Closing the Gap</w:t>
      </w:r>
      <w:r w:rsidRPr="0085322A">
        <w:rPr>
          <w:rFonts w:asciiTheme="minorHAnsi" w:hAnsiTheme="minorHAnsi" w:cstheme="minorHAnsi"/>
          <w:sz w:val="16"/>
          <w:szCs w:val="16"/>
          <w:lang w:val="en-AU"/>
        </w:rPr>
        <w:t>, Jully 2020, Outcome 12 at p 30.</w:t>
      </w:r>
    </w:p>
  </w:footnote>
  <w:footnote w:id="6">
    <w:p w14:paraId="532958EC" w14:textId="469A5269" w:rsidR="0085322A" w:rsidRPr="004F520A" w:rsidRDefault="0085322A" w:rsidP="00381CC7">
      <w:pPr>
        <w:pStyle w:val="FootnoteText"/>
        <w:spacing w:after="0"/>
        <w:rPr>
          <w:rFonts w:asciiTheme="minorHAnsi" w:hAnsiTheme="minorHAnsi" w:cstheme="minorHAnsi"/>
          <w:sz w:val="16"/>
          <w:szCs w:val="16"/>
          <w:lang w:val="en-AU"/>
        </w:rPr>
      </w:pPr>
      <w:r w:rsidRPr="0085322A">
        <w:rPr>
          <w:rStyle w:val="FootnoteReference"/>
          <w:rFonts w:asciiTheme="minorHAnsi" w:hAnsiTheme="minorHAnsi" w:cstheme="minorHAnsi"/>
          <w:sz w:val="16"/>
          <w:szCs w:val="16"/>
        </w:rPr>
        <w:footnoteRef/>
      </w:r>
      <w:r w:rsidRPr="0085322A">
        <w:rPr>
          <w:rFonts w:asciiTheme="minorHAnsi" w:hAnsiTheme="minorHAnsi" w:cstheme="minorHAnsi"/>
          <w:sz w:val="16"/>
          <w:szCs w:val="16"/>
        </w:rPr>
        <w:t xml:space="preserve"> </w:t>
      </w:r>
      <w:r w:rsidRPr="0085322A">
        <w:rPr>
          <w:rFonts w:asciiTheme="minorHAnsi" w:hAnsiTheme="minorHAnsi" w:cstheme="minorHAnsi"/>
          <w:sz w:val="16"/>
          <w:szCs w:val="16"/>
          <w:lang w:val="en-AU"/>
        </w:rPr>
        <w:t xml:space="preserve">Australian Labour Party (ACT Branch) and ACT Greens, </w:t>
      </w:r>
      <w:r w:rsidRPr="0085322A">
        <w:rPr>
          <w:rFonts w:asciiTheme="minorHAnsi" w:hAnsiTheme="minorHAnsi" w:cstheme="minorHAnsi"/>
          <w:i/>
          <w:sz w:val="16"/>
          <w:szCs w:val="16"/>
          <w:lang w:val="en-AU"/>
        </w:rPr>
        <w:t xml:space="preserve">Parliamentary and Governing Agreement: 10th Legislative Assembly for the </w:t>
      </w:r>
      <w:r w:rsidRPr="004F520A">
        <w:rPr>
          <w:rFonts w:asciiTheme="minorHAnsi" w:hAnsiTheme="minorHAnsi" w:cstheme="minorHAnsi"/>
          <w:i/>
          <w:sz w:val="16"/>
          <w:szCs w:val="16"/>
          <w:lang w:val="en-AU"/>
        </w:rPr>
        <w:t>Australian Capital Territory</w:t>
      </w:r>
      <w:r w:rsidRPr="004F520A">
        <w:rPr>
          <w:rFonts w:asciiTheme="minorHAnsi" w:hAnsiTheme="minorHAnsi" w:cstheme="minorHAnsi"/>
          <w:sz w:val="16"/>
          <w:szCs w:val="16"/>
          <w:lang w:val="en-AU"/>
        </w:rPr>
        <w:t>, November 2020, at paragraph 19.3.</w:t>
      </w:r>
    </w:p>
    <w:p w14:paraId="295850B3" w14:textId="7AF5BD52" w:rsidR="007D0370" w:rsidRPr="004F520A" w:rsidRDefault="007D0370" w:rsidP="00381CC7">
      <w:pPr>
        <w:pStyle w:val="FootnoteText"/>
        <w:spacing w:after="0"/>
        <w:rPr>
          <w:rFonts w:asciiTheme="minorHAnsi" w:hAnsiTheme="minorHAnsi" w:cstheme="minorHAnsi"/>
          <w:sz w:val="16"/>
          <w:szCs w:val="16"/>
          <w:shd w:val="clear" w:color="auto" w:fill="FFFFFF"/>
        </w:rPr>
      </w:pPr>
      <w:r w:rsidRPr="004F520A">
        <w:rPr>
          <w:rStyle w:val="FootnoteReference"/>
          <w:rFonts w:asciiTheme="minorHAnsi" w:hAnsiTheme="minorHAnsi" w:cstheme="minorHAnsi"/>
          <w:sz w:val="16"/>
          <w:szCs w:val="16"/>
        </w:rPr>
        <w:t>6</w:t>
      </w:r>
      <w:r w:rsidRPr="004F520A">
        <w:rPr>
          <w:rFonts w:asciiTheme="minorHAnsi" w:hAnsiTheme="minorHAnsi" w:cstheme="minorHAnsi"/>
          <w:sz w:val="16"/>
          <w:szCs w:val="16"/>
          <w:shd w:val="clear" w:color="auto" w:fill="FFFFFF"/>
        </w:rPr>
        <w:t xml:space="preserve"> </w:t>
      </w:r>
      <w:r w:rsidRPr="004F520A">
        <w:rPr>
          <w:rFonts w:asciiTheme="minorHAnsi" w:hAnsiTheme="minorHAnsi" w:cstheme="minorHAnsi"/>
          <w:sz w:val="16"/>
          <w:szCs w:val="16"/>
          <w:shd w:val="clear" w:color="auto" w:fill="FFFFFF"/>
        </w:rPr>
        <w:t>Arney, F., Iannos, M., Chong, A., McDougall, S., &amp; Parkinson, S. (2015). </w:t>
      </w:r>
      <w:r w:rsidRPr="004F520A">
        <w:rPr>
          <w:rStyle w:val="Emphasis"/>
          <w:rFonts w:asciiTheme="minorHAnsi" w:eastAsiaTheme="majorEastAsia" w:hAnsiTheme="minorHAnsi" w:cstheme="minorHAnsi"/>
          <w:sz w:val="16"/>
          <w:szCs w:val="16"/>
          <w:bdr w:val="none" w:sz="0" w:space="0" w:color="auto" w:frame="1"/>
          <w:shd w:val="clear" w:color="auto" w:fill="FFFFFF"/>
        </w:rPr>
        <w:t>Enhancing the implementation of the Aboriginal and Torres Strait Islander Child Placement Principle: Policy and practice considerations</w:t>
      </w:r>
      <w:r w:rsidRPr="004F520A">
        <w:rPr>
          <w:rFonts w:asciiTheme="minorHAnsi" w:hAnsiTheme="minorHAnsi" w:cstheme="minorHAnsi"/>
          <w:sz w:val="16"/>
          <w:szCs w:val="16"/>
          <w:shd w:val="clear" w:color="auto" w:fill="FFFFFF"/>
        </w:rPr>
        <w:t> (CFCA Paper No. 34). Melbourne: Child Family Community Australia information exchange.</w:t>
      </w:r>
    </w:p>
    <w:p w14:paraId="406CFC5C" w14:textId="0540FD56" w:rsidR="004F520A" w:rsidRPr="00AA25EE" w:rsidRDefault="004F520A" w:rsidP="00381CC7">
      <w:pPr>
        <w:pStyle w:val="FootnoteText"/>
        <w:spacing w:after="0"/>
        <w:rPr>
          <w:lang w:val="en-AU"/>
        </w:rPr>
      </w:pPr>
      <w:r w:rsidRPr="004F520A">
        <w:rPr>
          <w:rStyle w:val="FootnoteReference"/>
          <w:rFonts w:asciiTheme="minorHAnsi" w:hAnsiTheme="minorHAnsi" w:cstheme="minorHAnsi"/>
          <w:sz w:val="16"/>
          <w:szCs w:val="16"/>
        </w:rPr>
        <w:t>7</w:t>
      </w:r>
      <w:r w:rsidRPr="004F520A">
        <w:rPr>
          <w:rFonts w:asciiTheme="minorHAnsi" w:hAnsiTheme="minorHAnsi" w:cstheme="minorHAnsi"/>
          <w:sz w:val="16"/>
          <w:szCs w:val="16"/>
        </w:rPr>
        <w:t xml:space="preserve"> SNAICC (2019). </w:t>
      </w:r>
      <w:r w:rsidRPr="004F520A">
        <w:rPr>
          <w:rFonts w:asciiTheme="minorHAnsi" w:hAnsiTheme="minorHAnsi" w:cstheme="minorHAnsi"/>
          <w:i/>
          <w:iCs/>
          <w:sz w:val="16"/>
          <w:szCs w:val="16"/>
        </w:rPr>
        <w:t>The Aboriginal and Torres Strait Islander Child Placement Principle: A guide to support implementation</w:t>
      </w:r>
      <w:r w:rsidRPr="004F520A">
        <w:rPr>
          <w:rFonts w:asciiTheme="minorHAnsi" w:hAnsiTheme="minorHAnsi" w:cstheme="minorHAnsi"/>
          <w:sz w:val="16"/>
          <w:szCs w:val="16"/>
        </w:rPr>
        <w:t>. SNAICC. https://www.snaicc.org.au/the-aboriginal-and-torres-strait-islander-child-placement-principle-a-guide-to-support-implementation/</w:t>
      </w:r>
    </w:p>
  </w:footnote>
  <w:footnote w:id="7">
    <w:p w14:paraId="250B638D" w14:textId="3BEB78C6" w:rsidR="00F45038" w:rsidRPr="00F45038" w:rsidRDefault="00F45038">
      <w:pPr>
        <w:pStyle w:val="FootnoteText"/>
        <w:rPr>
          <w:lang w:val="en-AU"/>
        </w:rPr>
      </w:pPr>
    </w:p>
  </w:footnote>
  <w:footnote w:id="8">
    <w:p w14:paraId="52614184" w14:textId="1E95FC1E" w:rsidR="00DB192C" w:rsidRPr="00DB192C" w:rsidRDefault="00DB192C" w:rsidP="00DB192C">
      <w:pPr>
        <w:pStyle w:val="NormalWeb"/>
        <w:spacing w:before="0" w:beforeAutospacing="0" w:after="0" w:afterAutospacing="0"/>
        <w:rPr>
          <w:rFonts w:asciiTheme="minorHAnsi" w:hAnsiTheme="minorHAnsi" w:cstheme="minorHAnsi"/>
          <w:sz w:val="16"/>
          <w:szCs w:val="16"/>
        </w:rPr>
      </w:pPr>
    </w:p>
  </w:footnote>
  <w:footnote w:id="9">
    <w:p w14:paraId="6F18B338" w14:textId="77777777" w:rsidR="00DB192C" w:rsidRPr="000D0C3A" w:rsidRDefault="00DB192C" w:rsidP="00DB192C">
      <w:pPr>
        <w:pStyle w:val="FootnoteText"/>
        <w:spacing w:after="0"/>
        <w:rPr>
          <w:rFonts w:asciiTheme="minorHAnsi" w:hAnsiTheme="minorHAnsi" w:cstheme="minorHAnsi"/>
          <w:sz w:val="16"/>
          <w:szCs w:val="16"/>
          <w:lang w:val="en-AU"/>
        </w:rPr>
      </w:pPr>
      <w:r w:rsidRPr="004F520A">
        <w:rPr>
          <w:rStyle w:val="FootnoteReference"/>
          <w:rFonts w:cstheme="minorHAnsi"/>
          <w:sz w:val="16"/>
          <w:szCs w:val="16"/>
          <w:lang w:val="en-AU" w:eastAsia="en-AU"/>
        </w:rPr>
        <w:footnoteRef/>
      </w:r>
      <w:r w:rsidRPr="00DB192C">
        <w:rPr>
          <w:rStyle w:val="FootnoteReference"/>
          <w:rFonts w:cstheme="minorHAnsi"/>
          <w:lang w:val="en-AU" w:eastAsia="en-AU"/>
        </w:rPr>
        <w:t xml:space="preserve"> </w:t>
      </w:r>
      <w:r w:rsidRPr="000D0C3A">
        <w:rPr>
          <w:rFonts w:asciiTheme="minorHAnsi" w:hAnsiTheme="minorHAnsi" w:cstheme="minorHAnsi"/>
          <w:color w:val="000000" w:themeColor="text1"/>
          <w:sz w:val="16"/>
          <w:szCs w:val="16"/>
        </w:rPr>
        <w:t>AIHW (Australian Institute of Health and Welfare) (2022) Child protection Australia 2020–21 Appendixes A to C. Child Welfare Series 87, AIHW, Australian Government.</w:t>
      </w:r>
    </w:p>
  </w:footnote>
  <w:footnote w:id="10">
    <w:p w14:paraId="42D66C4F" w14:textId="7B45A7C9" w:rsidR="00DB192C" w:rsidRDefault="00DB192C" w:rsidP="00DB192C">
      <w:pPr>
        <w:pStyle w:val="FootnoteText"/>
        <w:spacing w:after="0"/>
        <w:rPr>
          <w:lang w:val="en-AU"/>
        </w:rPr>
      </w:pPr>
      <w:r w:rsidRPr="000D0C3A">
        <w:rPr>
          <w:rStyle w:val="FootnoteReference"/>
          <w:rFonts w:asciiTheme="minorHAnsi" w:hAnsiTheme="minorHAnsi" w:cstheme="minorHAnsi"/>
          <w:sz w:val="16"/>
          <w:szCs w:val="16"/>
        </w:rPr>
        <w:footnoteRef/>
      </w:r>
      <w:r w:rsidRPr="000D0C3A">
        <w:rPr>
          <w:rFonts w:asciiTheme="minorHAnsi" w:hAnsiTheme="minorHAnsi" w:cstheme="minorHAnsi"/>
          <w:sz w:val="16"/>
          <w:szCs w:val="16"/>
        </w:rPr>
        <w:t xml:space="preserve"> </w:t>
      </w:r>
      <w:r w:rsidRPr="000D0C3A">
        <w:rPr>
          <w:rFonts w:asciiTheme="minorHAnsi" w:hAnsiTheme="minorHAnsi" w:cstheme="minorHAnsi"/>
          <w:color w:val="000000" w:themeColor="text1"/>
          <w:sz w:val="16"/>
          <w:szCs w:val="16"/>
        </w:rPr>
        <w:t>Recommendation 1, of the Standing Committee on Health, Ageing and Community Services (HACS) Interim Report on Child and Youth Protection Services (2020)</w:t>
      </w:r>
      <w:r w:rsidR="00381CC7">
        <w:rPr>
          <w:rFonts w:asciiTheme="minorHAnsi" w:hAnsiTheme="minorHAnsi" w:cstheme="minorHAnsi"/>
          <w:color w:val="000000" w:themeColor="text1"/>
          <w:sz w:val="16"/>
          <w:szCs w:val="16"/>
        </w:rPr>
        <w:t>.</w:t>
      </w:r>
    </w:p>
  </w:footnote>
  <w:footnote w:id="11">
    <w:p w14:paraId="19C14DF5" w14:textId="3FFA2AB8" w:rsidR="00D560B4" w:rsidRPr="00D560B4" w:rsidRDefault="00D560B4" w:rsidP="0087122D">
      <w:pPr>
        <w:pStyle w:val="FootnoteText"/>
        <w:spacing w:after="0"/>
        <w:rPr>
          <w:rFonts w:asciiTheme="minorHAnsi" w:hAnsiTheme="minorHAnsi" w:cstheme="minorHAnsi"/>
          <w:lang w:val="en-AU"/>
        </w:rPr>
      </w:pPr>
      <w:r w:rsidRPr="00D560B4">
        <w:rPr>
          <w:rStyle w:val="FootnoteReference"/>
          <w:rFonts w:asciiTheme="minorHAnsi" w:hAnsiTheme="minorHAnsi" w:cstheme="minorHAnsi"/>
          <w:sz w:val="16"/>
          <w:szCs w:val="16"/>
        </w:rPr>
        <w:footnoteRef/>
      </w:r>
      <w:r>
        <w:rPr>
          <w:rFonts w:asciiTheme="minorHAnsi" w:hAnsiTheme="minorHAnsi" w:cstheme="minorHAnsi"/>
          <w:sz w:val="16"/>
          <w:szCs w:val="16"/>
        </w:rPr>
        <w:t xml:space="preserve"> </w:t>
      </w:r>
      <w:r w:rsidRPr="00D560B4">
        <w:rPr>
          <w:rFonts w:asciiTheme="minorHAnsi" w:hAnsiTheme="minorHAnsi" w:cstheme="minorHAnsi"/>
          <w:sz w:val="16"/>
          <w:szCs w:val="16"/>
        </w:rPr>
        <w:t>Crimes Act 1900 s 66</w:t>
      </w:r>
      <w:r w:rsidR="00381CC7">
        <w:rPr>
          <w:rFonts w:asciiTheme="minorHAnsi" w:hAnsiTheme="minorHAnsi" w:cstheme="minorHAnsi"/>
          <w:sz w:val="16"/>
          <w:szCs w:val="16"/>
        </w:rPr>
        <w:t>.</w:t>
      </w:r>
    </w:p>
  </w:footnote>
  <w:footnote w:id="12">
    <w:p w14:paraId="6596C97D" w14:textId="147AA434" w:rsidR="00880129" w:rsidRPr="00880129" w:rsidRDefault="00880129" w:rsidP="0087122D">
      <w:pPr>
        <w:pStyle w:val="FootnoteText"/>
        <w:spacing w:after="0"/>
        <w:rPr>
          <w:rFonts w:ascii="Calibri" w:hAnsi="Calibri" w:cs="Calibri"/>
          <w:sz w:val="16"/>
          <w:szCs w:val="16"/>
          <w:lang w:val="en-AU"/>
        </w:rPr>
      </w:pPr>
      <w:r w:rsidRPr="00880129">
        <w:rPr>
          <w:rStyle w:val="FootnoteReference"/>
          <w:rFonts w:asciiTheme="minorHAnsi" w:hAnsiTheme="minorHAnsi" w:cstheme="minorHAnsi"/>
          <w:sz w:val="16"/>
          <w:szCs w:val="16"/>
        </w:rPr>
        <w:footnoteRef/>
      </w:r>
      <w:r w:rsidRPr="00880129">
        <w:rPr>
          <w:rFonts w:asciiTheme="minorHAnsi" w:hAnsiTheme="minorHAnsi" w:cstheme="minorHAnsi"/>
          <w:sz w:val="16"/>
          <w:szCs w:val="16"/>
        </w:rPr>
        <w:t xml:space="preserve"> </w:t>
      </w:r>
      <w:r w:rsidRPr="00880129">
        <w:rPr>
          <w:rFonts w:asciiTheme="minorHAnsi" w:hAnsiTheme="minorHAnsi" w:cstheme="minorHAnsi"/>
          <w:sz w:val="16"/>
          <w:szCs w:val="16"/>
        </w:rPr>
        <w:t xml:space="preserve">Heward-Belle, S., Healey, L., Isobe, J., Roumeliotis, A., Link, E., Mandel, D., Tsantfski, M., Young, A. &amp; Humphreys, C. (2020). Working at the intersections of domestic and family violence, parental substance misuse and/or mental health issues. Practice Guide from the STACY </w:t>
      </w:r>
      <w:r w:rsidRPr="00880129">
        <w:rPr>
          <w:rFonts w:ascii="Calibri" w:hAnsi="Calibri" w:cs="Calibri"/>
          <w:sz w:val="16"/>
          <w:szCs w:val="16"/>
        </w:rPr>
        <w:t>Project: Safe &amp; Together Addressing Complexity. Melbourne, University of Melbourne and Sydney</w:t>
      </w:r>
      <w:r w:rsidR="00381CC7">
        <w:rPr>
          <w:rFonts w:ascii="Calibri" w:hAnsi="Calibri" w:cs="Calibri"/>
          <w:sz w:val="16"/>
          <w:szCs w:val="16"/>
        </w:rPr>
        <w:t>.</w:t>
      </w:r>
    </w:p>
  </w:footnote>
  <w:footnote w:id="13">
    <w:p w14:paraId="1034F02C" w14:textId="49BA8B31" w:rsidR="00880129" w:rsidRPr="00880129" w:rsidRDefault="00880129">
      <w:pPr>
        <w:pStyle w:val="FootnoteText"/>
        <w:rPr>
          <w:lang w:val="en-AU"/>
        </w:rPr>
      </w:pPr>
      <w:r w:rsidRPr="00880129">
        <w:rPr>
          <w:rStyle w:val="FootnoteReference"/>
          <w:rFonts w:ascii="Calibri" w:hAnsi="Calibri" w:cs="Calibri"/>
          <w:sz w:val="16"/>
          <w:szCs w:val="16"/>
        </w:rPr>
        <w:footnoteRef/>
      </w:r>
      <w:r w:rsidRPr="00880129">
        <w:rPr>
          <w:rFonts w:ascii="Calibri" w:hAnsi="Calibri" w:cs="Calibri"/>
          <w:sz w:val="16"/>
          <w:szCs w:val="16"/>
        </w:rPr>
        <w:t xml:space="preserve"> Ibid</w:t>
      </w:r>
      <w:r w:rsidR="00381CC7">
        <w:rPr>
          <w:rFonts w:ascii="Calibri" w:hAnsi="Calibri" w:cs="Calibri"/>
          <w:sz w:val="16"/>
          <w:szCs w:val="16"/>
        </w:rPr>
        <w:t>.</w:t>
      </w:r>
    </w:p>
  </w:footnote>
  <w:footnote w:id="14">
    <w:p w14:paraId="2E8EE486" w14:textId="1E37977F" w:rsidR="00EF69E0" w:rsidRPr="00BF3F3E" w:rsidRDefault="00EF69E0" w:rsidP="00BF3F3E">
      <w:pPr>
        <w:pStyle w:val="NormalWeb"/>
        <w:spacing w:before="0" w:beforeAutospacing="0" w:after="0" w:afterAutospacing="0"/>
        <w:rPr>
          <w:rFonts w:asciiTheme="minorHAnsi" w:hAnsiTheme="minorHAnsi" w:cstheme="minorHAnsi"/>
          <w:sz w:val="16"/>
          <w:szCs w:val="16"/>
        </w:rPr>
      </w:pPr>
      <w:r w:rsidRPr="00EF69E0">
        <w:rPr>
          <w:rStyle w:val="FootnoteReference"/>
          <w:rFonts w:asciiTheme="minorHAnsi" w:hAnsiTheme="minorHAnsi" w:cstheme="minorHAnsi"/>
          <w:sz w:val="16"/>
          <w:szCs w:val="16"/>
        </w:rPr>
        <w:footnoteRef/>
      </w:r>
      <w:r>
        <w:t xml:space="preserve"> </w:t>
      </w:r>
      <w:r w:rsidRPr="00DB192C">
        <w:rPr>
          <w:rFonts w:asciiTheme="minorHAnsi" w:hAnsiTheme="minorHAnsi" w:cstheme="minorHAnsi"/>
          <w:sz w:val="16"/>
          <w:szCs w:val="16"/>
        </w:rPr>
        <w:t>S</w:t>
      </w:r>
      <w:r>
        <w:rPr>
          <w:rFonts w:asciiTheme="minorHAnsi" w:hAnsiTheme="minorHAnsi" w:cstheme="minorHAnsi"/>
          <w:sz w:val="16"/>
          <w:szCs w:val="16"/>
        </w:rPr>
        <w:t>NAICC (2019)</w:t>
      </w:r>
      <w:r w:rsidRPr="00DB192C">
        <w:rPr>
          <w:rFonts w:asciiTheme="minorHAnsi" w:hAnsiTheme="minorHAnsi" w:cstheme="minorHAnsi"/>
          <w:sz w:val="16"/>
          <w:szCs w:val="16"/>
        </w:rPr>
        <w:t xml:space="preserve">. </w:t>
      </w:r>
      <w:r w:rsidRPr="00DB192C">
        <w:rPr>
          <w:rFonts w:asciiTheme="minorHAnsi" w:hAnsiTheme="minorHAnsi" w:cstheme="minorHAnsi"/>
          <w:i/>
          <w:iCs/>
          <w:sz w:val="16"/>
          <w:szCs w:val="16"/>
        </w:rPr>
        <w:t>The Aboriginal and Torres Strait Islander Child Placement Principle: A guide to support implementation</w:t>
      </w:r>
      <w:r w:rsidRPr="00DB192C">
        <w:rPr>
          <w:rFonts w:asciiTheme="minorHAnsi" w:hAnsiTheme="minorHAnsi" w:cstheme="minorHAnsi"/>
          <w:sz w:val="16"/>
          <w:szCs w:val="16"/>
        </w:rPr>
        <w:t>. SNAICC</w:t>
      </w:r>
      <w:r w:rsidR="00381CC7">
        <w:rPr>
          <w:rFonts w:asciiTheme="minorHAnsi" w:hAnsiTheme="minorHAnsi" w:cstheme="minorHAnsi"/>
          <w:sz w:val="16"/>
          <w:szCs w:val="16"/>
        </w:rPr>
        <w:t>.</w:t>
      </w:r>
    </w:p>
  </w:footnote>
  <w:footnote w:id="15">
    <w:p w14:paraId="3782EC31" w14:textId="04E62B61" w:rsidR="00450873" w:rsidRPr="006E3F32" w:rsidRDefault="00450873" w:rsidP="0087122D">
      <w:pPr>
        <w:pStyle w:val="FootnoteText"/>
        <w:spacing w:after="0"/>
        <w:rPr>
          <w:rFonts w:asciiTheme="minorHAnsi" w:hAnsiTheme="minorHAnsi" w:cstheme="minorHAnsi"/>
          <w:sz w:val="16"/>
          <w:szCs w:val="16"/>
        </w:rPr>
      </w:pPr>
      <w:r w:rsidRPr="006E3F32">
        <w:rPr>
          <w:rStyle w:val="FootnoteReference"/>
          <w:rFonts w:asciiTheme="minorHAnsi" w:hAnsiTheme="minorHAnsi" w:cstheme="minorHAnsi"/>
          <w:sz w:val="16"/>
          <w:szCs w:val="16"/>
        </w:rPr>
        <w:footnoteRef/>
      </w:r>
      <w:r w:rsidRPr="006E3F32">
        <w:rPr>
          <w:rFonts w:asciiTheme="minorHAnsi" w:hAnsiTheme="minorHAnsi" w:cstheme="minorHAnsi"/>
          <w:sz w:val="16"/>
          <w:szCs w:val="16"/>
        </w:rPr>
        <w:t xml:space="preserve"> ACT Children and Young People Death Review Committee (2020) Review of ACT children and young people who have died as a result of intentional self-harm: 2017-2019. Canberra: ACT Children and Young People Death Review Committee</w:t>
      </w:r>
      <w:r w:rsidR="00381CC7">
        <w:rPr>
          <w:rFonts w:asciiTheme="minorHAnsi" w:hAnsiTheme="minorHAnsi" w:cstheme="minorHAnsi"/>
          <w:sz w:val="16"/>
          <w:szCs w:val="16"/>
        </w:rPr>
        <w:t>.</w:t>
      </w:r>
    </w:p>
  </w:footnote>
  <w:footnote w:id="16">
    <w:p w14:paraId="1BF5F842" w14:textId="0D1ACC35" w:rsidR="006E3F32" w:rsidRPr="006E3F32" w:rsidRDefault="006E3F32" w:rsidP="0087122D">
      <w:pPr>
        <w:pStyle w:val="FootnoteText"/>
        <w:spacing w:after="0"/>
        <w:rPr>
          <w:rFonts w:asciiTheme="minorHAnsi" w:hAnsiTheme="minorHAnsi" w:cstheme="minorHAnsi"/>
          <w:sz w:val="16"/>
          <w:szCs w:val="16"/>
          <w:lang w:val="en-AU"/>
        </w:rPr>
      </w:pPr>
      <w:r w:rsidRPr="006E3F32">
        <w:rPr>
          <w:rStyle w:val="FootnoteReference"/>
          <w:rFonts w:asciiTheme="minorHAnsi" w:hAnsiTheme="minorHAnsi" w:cstheme="minorHAnsi"/>
          <w:sz w:val="16"/>
          <w:szCs w:val="16"/>
        </w:rPr>
        <w:footnoteRef/>
      </w:r>
      <w:r w:rsidRPr="006E3F32">
        <w:rPr>
          <w:rFonts w:asciiTheme="minorHAnsi" w:hAnsiTheme="minorHAnsi" w:cstheme="minorHAnsi"/>
          <w:sz w:val="16"/>
          <w:szCs w:val="16"/>
        </w:rPr>
        <w:t xml:space="preserve"> </w:t>
      </w:r>
      <w:r w:rsidRPr="006E3F32">
        <w:rPr>
          <w:rFonts w:asciiTheme="minorHAnsi" w:hAnsiTheme="minorHAnsi" w:cstheme="minorHAnsi"/>
          <w:sz w:val="16"/>
          <w:szCs w:val="16"/>
          <w:lang w:val="en-AU"/>
        </w:rPr>
        <w:t xml:space="preserve">Review of Children and Young People in the ACT (2020) Office of Mental health and Wellbeing. </w:t>
      </w:r>
      <w:r w:rsidRPr="006E3F32">
        <w:rPr>
          <w:rFonts w:asciiTheme="minorHAnsi" w:hAnsiTheme="minorHAnsi" w:cstheme="minorHAnsi"/>
          <w:sz w:val="16"/>
          <w:szCs w:val="16"/>
        </w:rPr>
        <w:t>Australian Capital Territory, Canberra</w:t>
      </w:r>
      <w:r w:rsidR="00381CC7">
        <w:rPr>
          <w:rFonts w:asciiTheme="minorHAnsi" w:hAnsiTheme="minorHAnsi" w:cstheme="minorHAnsi"/>
          <w:sz w:val="16"/>
          <w:szCs w:val="16"/>
        </w:rPr>
        <w:t>.</w:t>
      </w:r>
    </w:p>
    <w:p w14:paraId="6D120C92" w14:textId="561A91C7" w:rsidR="006E3F32" w:rsidRPr="006E3F32" w:rsidRDefault="006E3F32" w:rsidP="006E3F32">
      <w:pPr>
        <w:pStyle w:val="FootnoteText"/>
        <w:rPr>
          <w:lang w:val="en-AU"/>
        </w:rPr>
      </w:pPr>
    </w:p>
  </w:footnote>
  <w:footnote w:id="17">
    <w:p w14:paraId="25773D93" w14:textId="77777777" w:rsidR="00462B35" w:rsidRPr="00CA1941" w:rsidRDefault="00462B35" w:rsidP="00462B35">
      <w:pPr>
        <w:pStyle w:val="FootnoteText"/>
        <w:rPr>
          <w:rFonts w:asciiTheme="minorHAnsi" w:hAnsiTheme="minorHAnsi" w:cstheme="minorHAnsi"/>
          <w:sz w:val="16"/>
          <w:szCs w:val="16"/>
          <w:lang w:val="en-AU"/>
        </w:rPr>
      </w:pPr>
      <w:r w:rsidRPr="00CA1941">
        <w:rPr>
          <w:rStyle w:val="FootnoteReference"/>
          <w:rFonts w:asciiTheme="minorHAnsi" w:hAnsiTheme="minorHAnsi" w:cstheme="minorHAnsi"/>
          <w:sz w:val="16"/>
          <w:szCs w:val="16"/>
        </w:rPr>
        <w:footnoteRef/>
      </w:r>
      <w:r w:rsidRPr="00CA1941">
        <w:rPr>
          <w:rFonts w:asciiTheme="minorHAnsi" w:hAnsiTheme="minorHAnsi" w:cstheme="minorHAnsi"/>
          <w:sz w:val="16"/>
          <w:szCs w:val="16"/>
        </w:rPr>
        <w:t xml:space="preserve"> Human Rights Committee, </w:t>
      </w:r>
      <w:r w:rsidRPr="00CA1941">
        <w:rPr>
          <w:rFonts w:asciiTheme="minorHAnsi" w:hAnsiTheme="minorHAnsi" w:cstheme="minorHAnsi"/>
          <w:i/>
          <w:sz w:val="16"/>
          <w:szCs w:val="16"/>
        </w:rPr>
        <w:t>General Comment 18[37]</w:t>
      </w:r>
      <w:r w:rsidRPr="00CA1941">
        <w:rPr>
          <w:rFonts w:asciiTheme="minorHAnsi" w:hAnsiTheme="minorHAnsi" w:cstheme="minorHAnsi"/>
          <w:sz w:val="16"/>
          <w:szCs w:val="16"/>
        </w:rPr>
        <w:t>, HRI/GEN/1/Rev.1 at [7].</w:t>
      </w:r>
    </w:p>
  </w:footnote>
  <w:footnote w:id="18">
    <w:p w14:paraId="6A81EF44" w14:textId="58CBB4BD" w:rsidR="00462B35" w:rsidRPr="00CA1941" w:rsidRDefault="00462B35" w:rsidP="00462B35">
      <w:pPr>
        <w:pStyle w:val="FootnoteText"/>
        <w:spacing w:after="0"/>
        <w:rPr>
          <w:rFonts w:asciiTheme="minorHAnsi" w:hAnsiTheme="minorHAnsi" w:cstheme="minorHAnsi"/>
          <w:sz w:val="16"/>
          <w:szCs w:val="16"/>
          <w:lang w:val="en-AU"/>
        </w:rPr>
      </w:pPr>
      <w:r w:rsidRPr="00CA1941">
        <w:rPr>
          <w:rStyle w:val="FootnoteReference"/>
          <w:rFonts w:asciiTheme="minorHAnsi" w:hAnsiTheme="minorHAnsi" w:cstheme="minorHAnsi"/>
          <w:sz w:val="16"/>
          <w:szCs w:val="16"/>
        </w:rPr>
        <w:footnoteRef/>
      </w:r>
      <w:r w:rsidRPr="00CA1941">
        <w:rPr>
          <w:rFonts w:asciiTheme="minorHAnsi" w:hAnsiTheme="minorHAnsi" w:cstheme="minorHAnsi"/>
          <w:sz w:val="16"/>
          <w:szCs w:val="16"/>
        </w:rPr>
        <w:t xml:space="preserve"> </w:t>
      </w:r>
      <w:r w:rsidRPr="00CA1941">
        <w:rPr>
          <w:rFonts w:asciiTheme="minorHAnsi" w:hAnsiTheme="minorHAnsi" w:cstheme="minorHAnsi"/>
          <w:i/>
          <w:sz w:val="16"/>
          <w:szCs w:val="16"/>
        </w:rPr>
        <w:t>Fredin v Sweden</w:t>
      </w:r>
      <w:r w:rsidRPr="00CA1941">
        <w:rPr>
          <w:rFonts w:asciiTheme="minorHAnsi" w:hAnsiTheme="minorHAnsi" w:cstheme="minorHAnsi"/>
          <w:sz w:val="16"/>
          <w:szCs w:val="16"/>
        </w:rPr>
        <w:t xml:space="preserve"> (1991) 13 EHRR 784 at [60]; </w:t>
      </w:r>
      <w:r w:rsidRPr="00CA1941">
        <w:rPr>
          <w:rFonts w:asciiTheme="minorHAnsi" w:hAnsiTheme="minorHAnsi" w:cstheme="minorHAnsi"/>
          <w:i/>
          <w:sz w:val="16"/>
          <w:szCs w:val="16"/>
        </w:rPr>
        <w:t>Stubbings v United Kingdom</w:t>
      </w:r>
      <w:r w:rsidRPr="00CA1941">
        <w:rPr>
          <w:rFonts w:asciiTheme="minorHAnsi" w:hAnsiTheme="minorHAnsi" w:cstheme="minorHAnsi"/>
          <w:sz w:val="16"/>
          <w:szCs w:val="16"/>
        </w:rPr>
        <w:t xml:space="preserve"> (1996) 23 EHRR 213 at [70]; </w:t>
      </w:r>
      <w:r w:rsidRPr="00CA1941">
        <w:rPr>
          <w:rFonts w:asciiTheme="minorHAnsi" w:hAnsiTheme="minorHAnsi" w:cstheme="minorHAnsi"/>
          <w:i/>
          <w:sz w:val="16"/>
          <w:szCs w:val="16"/>
        </w:rPr>
        <w:t>Willis v United Kingdom</w:t>
      </w:r>
      <w:r w:rsidRPr="00CA1941">
        <w:rPr>
          <w:rFonts w:asciiTheme="minorHAnsi" w:hAnsiTheme="minorHAnsi" w:cstheme="minorHAnsi"/>
          <w:sz w:val="16"/>
          <w:szCs w:val="16"/>
        </w:rPr>
        <w:t xml:space="preserve"> (2002) 35 EHRR 21 at [48]</w:t>
      </w:r>
      <w:r w:rsidR="00381CC7">
        <w:rPr>
          <w:rFonts w:asciiTheme="minorHAnsi" w:hAnsiTheme="minorHAnsi" w:cstheme="minorHAnsi"/>
          <w:sz w:val="16"/>
          <w:szCs w:val="16"/>
        </w:rPr>
        <w:t>.</w:t>
      </w:r>
    </w:p>
  </w:footnote>
  <w:footnote w:id="19">
    <w:p w14:paraId="1C925305" w14:textId="24B0891A" w:rsidR="00462B35" w:rsidRPr="00CA1941" w:rsidRDefault="00462B35" w:rsidP="00462B35">
      <w:pPr>
        <w:pStyle w:val="FootnoteText"/>
        <w:spacing w:after="0"/>
        <w:rPr>
          <w:rFonts w:asciiTheme="minorHAnsi" w:hAnsiTheme="minorHAnsi" w:cstheme="minorHAnsi"/>
          <w:sz w:val="16"/>
          <w:szCs w:val="16"/>
          <w:lang w:val="en-AU"/>
        </w:rPr>
      </w:pPr>
      <w:r w:rsidRPr="00CA1941">
        <w:rPr>
          <w:rStyle w:val="FootnoteReference"/>
          <w:rFonts w:asciiTheme="minorHAnsi" w:hAnsiTheme="minorHAnsi" w:cstheme="minorHAnsi"/>
          <w:sz w:val="16"/>
          <w:szCs w:val="16"/>
        </w:rPr>
        <w:footnoteRef/>
      </w:r>
      <w:r w:rsidRPr="00CA1941">
        <w:rPr>
          <w:rFonts w:asciiTheme="minorHAnsi" w:hAnsiTheme="minorHAnsi" w:cstheme="minorHAnsi"/>
          <w:sz w:val="16"/>
          <w:szCs w:val="16"/>
        </w:rPr>
        <w:t xml:space="preserve"> </w:t>
      </w:r>
      <w:r w:rsidRPr="00CA1941">
        <w:rPr>
          <w:rFonts w:asciiTheme="minorHAnsi" w:hAnsiTheme="minorHAnsi" w:cstheme="minorHAnsi"/>
          <w:i/>
          <w:sz w:val="16"/>
          <w:szCs w:val="16"/>
        </w:rPr>
        <w:t>Griggs v Duke Power Co</w:t>
      </w:r>
      <w:r w:rsidRPr="00CA1941">
        <w:rPr>
          <w:rFonts w:asciiTheme="minorHAnsi" w:hAnsiTheme="minorHAnsi" w:cstheme="minorHAnsi"/>
          <w:sz w:val="16"/>
          <w:szCs w:val="16"/>
        </w:rPr>
        <w:t xml:space="preserve"> (1971) 401 US 424 at 429</w:t>
      </w:r>
    </w:p>
  </w:footnote>
  <w:footnote w:id="20">
    <w:p w14:paraId="375F52C5" w14:textId="19E19B4B" w:rsidR="00352E6F" w:rsidRPr="00CA1941" w:rsidRDefault="00352E6F" w:rsidP="00BE2C67">
      <w:pPr>
        <w:pStyle w:val="FootnoteText"/>
        <w:spacing w:after="0"/>
        <w:rPr>
          <w:rFonts w:ascii="Arial" w:hAnsi="Arial" w:cs="Arial"/>
          <w:sz w:val="16"/>
          <w:szCs w:val="16"/>
          <w:lang w:val="en-AU"/>
        </w:rPr>
      </w:pPr>
      <w:r w:rsidRPr="00CA1941">
        <w:rPr>
          <w:rStyle w:val="FootnoteReference"/>
          <w:rFonts w:asciiTheme="minorHAnsi" w:hAnsiTheme="minorHAnsi" w:cstheme="minorHAnsi"/>
          <w:sz w:val="16"/>
          <w:szCs w:val="16"/>
        </w:rPr>
        <w:footnoteRef/>
      </w:r>
      <w:r w:rsidRPr="00CA1941">
        <w:rPr>
          <w:rFonts w:asciiTheme="minorHAnsi" w:hAnsiTheme="minorHAnsi" w:cstheme="minorHAnsi"/>
          <w:sz w:val="16"/>
          <w:szCs w:val="16"/>
        </w:rPr>
        <w:t xml:space="preserve"> Human Rights Committee, </w:t>
      </w:r>
      <w:r w:rsidRPr="00CA1941">
        <w:rPr>
          <w:rFonts w:asciiTheme="minorHAnsi" w:hAnsiTheme="minorHAnsi" w:cstheme="minorHAnsi"/>
          <w:i/>
          <w:sz w:val="16"/>
          <w:szCs w:val="16"/>
        </w:rPr>
        <w:t>General Comment 18[37]</w:t>
      </w:r>
      <w:r w:rsidRPr="00CA1941">
        <w:rPr>
          <w:rFonts w:asciiTheme="minorHAnsi" w:hAnsiTheme="minorHAnsi" w:cstheme="minorHAnsi"/>
          <w:sz w:val="16"/>
          <w:szCs w:val="16"/>
        </w:rPr>
        <w:t>, HRI/GEN/1/Rev.1 at [10]</w:t>
      </w:r>
      <w:r w:rsidR="00381CC7">
        <w:rPr>
          <w:rFonts w:asciiTheme="minorHAnsi" w:hAnsiTheme="minorHAnsi" w:cstheme="minorHAnsi"/>
          <w:sz w:val="16"/>
          <w:szCs w:val="16"/>
        </w:rPr>
        <w:t>.</w:t>
      </w:r>
    </w:p>
  </w:footnote>
  <w:footnote w:id="21">
    <w:p w14:paraId="43C7CA03" w14:textId="7F0F3D8C" w:rsidR="00462B35" w:rsidRPr="00CA1941" w:rsidRDefault="00462B35" w:rsidP="00462B35">
      <w:pPr>
        <w:pStyle w:val="FootnoteText"/>
        <w:spacing w:after="0"/>
        <w:rPr>
          <w:rFonts w:asciiTheme="minorHAnsi" w:hAnsiTheme="minorHAnsi" w:cstheme="minorHAnsi"/>
          <w:sz w:val="16"/>
          <w:szCs w:val="16"/>
          <w:lang w:val="en-AU"/>
        </w:rPr>
      </w:pPr>
      <w:r w:rsidRPr="00CA1941">
        <w:rPr>
          <w:rStyle w:val="FootnoteReference"/>
          <w:rFonts w:asciiTheme="minorHAnsi" w:hAnsiTheme="minorHAnsi" w:cstheme="minorHAnsi"/>
          <w:sz w:val="16"/>
          <w:szCs w:val="16"/>
        </w:rPr>
        <w:footnoteRef/>
      </w:r>
      <w:r w:rsidRPr="00CA1941">
        <w:rPr>
          <w:rFonts w:asciiTheme="minorHAnsi" w:hAnsiTheme="minorHAnsi" w:cstheme="minorHAnsi"/>
          <w:sz w:val="16"/>
          <w:szCs w:val="16"/>
        </w:rPr>
        <w:t xml:space="preserve"> </w:t>
      </w:r>
      <w:r w:rsidRPr="00CA1941">
        <w:rPr>
          <w:rFonts w:asciiTheme="minorHAnsi" w:hAnsiTheme="minorHAnsi" w:cstheme="minorHAnsi"/>
          <w:i/>
          <w:sz w:val="16"/>
          <w:szCs w:val="16"/>
        </w:rPr>
        <w:t>Belgian Linguistic Case</w:t>
      </w:r>
      <w:r w:rsidRPr="00CA1941">
        <w:rPr>
          <w:rFonts w:asciiTheme="minorHAnsi" w:hAnsiTheme="minorHAnsi" w:cstheme="minorHAnsi"/>
          <w:sz w:val="16"/>
          <w:szCs w:val="16"/>
        </w:rPr>
        <w:t xml:space="preserve"> (1979-80) 1 EHRR 252 at [10]; </w:t>
      </w:r>
      <w:r w:rsidRPr="00CA1941">
        <w:rPr>
          <w:rFonts w:asciiTheme="minorHAnsi" w:hAnsiTheme="minorHAnsi" w:cstheme="minorHAnsi"/>
          <w:i/>
          <w:sz w:val="16"/>
          <w:szCs w:val="16"/>
        </w:rPr>
        <w:t>Thlimmenos v Greece</w:t>
      </w:r>
      <w:r w:rsidRPr="00CA1941">
        <w:rPr>
          <w:rFonts w:asciiTheme="minorHAnsi" w:hAnsiTheme="minorHAnsi" w:cstheme="minorHAnsi"/>
          <w:sz w:val="16"/>
          <w:szCs w:val="16"/>
        </w:rPr>
        <w:t xml:space="preserve"> (2001) 31 EHRR 15 at [44]; </w:t>
      </w:r>
      <w:r w:rsidRPr="00CA1941">
        <w:rPr>
          <w:rFonts w:asciiTheme="minorHAnsi" w:hAnsiTheme="minorHAnsi" w:cstheme="minorHAnsi"/>
          <w:i/>
          <w:sz w:val="16"/>
          <w:szCs w:val="16"/>
        </w:rPr>
        <w:t>Stec v United Kingdom</w:t>
      </w:r>
      <w:r w:rsidRPr="00CA1941">
        <w:rPr>
          <w:rFonts w:asciiTheme="minorHAnsi" w:hAnsiTheme="minorHAnsi" w:cstheme="minorHAnsi"/>
          <w:sz w:val="16"/>
          <w:szCs w:val="16"/>
        </w:rPr>
        <w:t xml:space="preserve"> (2006) 43 EHRR 47 at [51]</w:t>
      </w:r>
      <w:r w:rsidR="00381CC7">
        <w:rPr>
          <w:rFonts w:asciiTheme="minorHAnsi" w:hAnsiTheme="minorHAnsi" w:cstheme="minorHAnsi"/>
          <w:sz w:val="16"/>
          <w:szCs w:val="16"/>
        </w:rPr>
        <w:t>.</w:t>
      </w:r>
    </w:p>
  </w:footnote>
  <w:footnote w:id="22">
    <w:p w14:paraId="1C112075" w14:textId="06B911A2" w:rsidR="00352E6F" w:rsidRPr="00591C77" w:rsidRDefault="00352E6F" w:rsidP="00BE2C67">
      <w:pPr>
        <w:pStyle w:val="FootnoteText"/>
        <w:spacing w:after="0"/>
        <w:rPr>
          <w:rFonts w:asciiTheme="minorHAnsi" w:hAnsiTheme="minorHAnsi" w:cstheme="minorHAnsi"/>
          <w:sz w:val="18"/>
          <w:szCs w:val="18"/>
        </w:rPr>
      </w:pPr>
      <w:r w:rsidRPr="00CA1941">
        <w:rPr>
          <w:rStyle w:val="FootnoteReference"/>
          <w:rFonts w:asciiTheme="minorHAnsi" w:hAnsiTheme="minorHAnsi" w:cstheme="minorHAnsi"/>
          <w:sz w:val="16"/>
          <w:szCs w:val="16"/>
        </w:rPr>
        <w:footnoteRef/>
      </w:r>
      <w:r w:rsidRPr="00CA1941">
        <w:rPr>
          <w:rFonts w:asciiTheme="minorHAnsi" w:hAnsiTheme="minorHAnsi" w:cstheme="minorHAnsi"/>
          <w:sz w:val="16"/>
          <w:szCs w:val="16"/>
        </w:rPr>
        <w:t xml:space="preserve"> </w:t>
      </w:r>
      <w:r w:rsidRPr="00CA1941">
        <w:rPr>
          <w:rFonts w:asciiTheme="minorHAnsi" w:hAnsiTheme="minorHAnsi" w:cstheme="minorHAnsi"/>
          <w:i/>
          <w:sz w:val="16"/>
          <w:szCs w:val="16"/>
        </w:rPr>
        <w:t>Gerhardy v Brown</w:t>
      </w:r>
      <w:r w:rsidRPr="00CA1941">
        <w:rPr>
          <w:rFonts w:asciiTheme="minorHAnsi" w:hAnsiTheme="minorHAnsi" w:cstheme="minorHAnsi"/>
          <w:sz w:val="16"/>
          <w:szCs w:val="16"/>
        </w:rPr>
        <w:t xml:space="preserve"> </w:t>
      </w:r>
      <w:r w:rsidRPr="00CA1941">
        <w:rPr>
          <w:rFonts w:asciiTheme="minorHAnsi" w:hAnsiTheme="minorHAnsi" w:cstheme="minorHAnsi"/>
          <w:sz w:val="16"/>
          <w:szCs w:val="16"/>
          <w:lang w:val="en-AU"/>
        </w:rPr>
        <w:t xml:space="preserve">(1985) </w:t>
      </w:r>
      <w:r w:rsidRPr="00CA1941">
        <w:rPr>
          <w:rFonts w:asciiTheme="minorHAnsi" w:hAnsiTheme="minorHAnsi" w:cstheme="minorHAnsi"/>
          <w:sz w:val="16"/>
          <w:szCs w:val="16"/>
        </w:rPr>
        <w:t xml:space="preserve">159 CLR 70 at 87-88 and 105; </w:t>
      </w:r>
      <w:r w:rsidRPr="00CA1941">
        <w:rPr>
          <w:rFonts w:asciiTheme="minorHAnsi" w:hAnsiTheme="minorHAnsi" w:cstheme="minorHAnsi"/>
          <w:i/>
          <w:sz w:val="16"/>
          <w:szCs w:val="16"/>
        </w:rPr>
        <w:t xml:space="preserve">Jacomb v Australian Municipal Administrative Clerical and Services Union </w:t>
      </w:r>
      <w:r w:rsidRPr="00CA1941">
        <w:rPr>
          <w:rFonts w:asciiTheme="minorHAnsi" w:hAnsiTheme="minorHAnsi" w:cstheme="minorHAnsi"/>
          <w:sz w:val="16"/>
          <w:szCs w:val="16"/>
        </w:rPr>
        <w:t xml:space="preserve">(2004) 140 FCR 149 at 160-161[34]; </w:t>
      </w:r>
      <w:r w:rsidRPr="00CA1941">
        <w:rPr>
          <w:rFonts w:asciiTheme="minorHAnsi" w:hAnsiTheme="minorHAnsi" w:cstheme="minorHAnsi"/>
          <w:i/>
          <w:sz w:val="16"/>
          <w:szCs w:val="16"/>
        </w:rPr>
        <w:t>Catholic Education Office v Clarke</w:t>
      </w:r>
      <w:r w:rsidRPr="00CA1941">
        <w:rPr>
          <w:rFonts w:asciiTheme="minorHAnsi" w:hAnsiTheme="minorHAnsi" w:cstheme="minorHAnsi"/>
          <w:sz w:val="16"/>
          <w:szCs w:val="16"/>
        </w:rPr>
        <w:t xml:space="preserve"> (2004) 138 FCR 121 at 149[130]</w:t>
      </w:r>
      <w:r w:rsidR="00381CC7">
        <w:rPr>
          <w:rFonts w:asciiTheme="minorHAnsi" w:hAnsiTheme="minorHAnsi" w:cstheme="minorHAnsi"/>
          <w:sz w:val="16"/>
          <w:szCs w:val="16"/>
        </w:rPr>
        <w:t>.</w:t>
      </w:r>
    </w:p>
  </w:footnote>
  <w:footnote w:id="23">
    <w:p w14:paraId="042F4DC0" w14:textId="77777777" w:rsidR="00352E6F" w:rsidRPr="007220B5" w:rsidRDefault="00352E6F" w:rsidP="00BE2C67">
      <w:pPr>
        <w:pStyle w:val="FootnoteText"/>
        <w:spacing w:after="0"/>
        <w:rPr>
          <w:rFonts w:asciiTheme="minorHAnsi" w:hAnsiTheme="minorHAnsi" w:cstheme="minorHAnsi"/>
          <w:sz w:val="16"/>
          <w:szCs w:val="16"/>
        </w:rPr>
      </w:pPr>
      <w:r w:rsidRPr="007220B5">
        <w:rPr>
          <w:rStyle w:val="FootnoteReference"/>
          <w:rFonts w:asciiTheme="minorHAnsi" w:hAnsiTheme="minorHAnsi" w:cstheme="minorHAnsi"/>
          <w:sz w:val="16"/>
          <w:szCs w:val="16"/>
        </w:rPr>
        <w:footnoteRef/>
      </w:r>
      <w:r w:rsidRPr="007220B5">
        <w:rPr>
          <w:rFonts w:asciiTheme="minorHAnsi" w:hAnsiTheme="minorHAnsi" w:cstheme="minorHAnsi"/>
          <w:sz w:val="16"/>
          <w:szCs w:val="16"/>
        </w:rPr>
        <w:t xml:space="preserve"> A v United Kingdom (1998) 27 EHRR 611 at [22]; M and M v Croatia [2015] ECHR 759 at [136]; DMD v Romania [2017] ECHR 815 at [44].</w:t>
      </w:r>
    </w:p>
  </w:footnote>
  <w:footnote w:id="24">
    <w:p w14:paraId="25C67347" w14:textId="1139284C" w:rsidR="00352E6F" w:rsidRPr="007220B5" w:rsidRDefault="00352E6F" w:rsidP="00BE2C67">
      <w:pPr>
        <w:pStyle w:val="FootnoteText"/>
        <w:spacing w:after="0"/>
        <w:rPr>
          <w:rFonts w:asciiTheme="minorHAnsi" w:hAnsiTheme="minorHAnsi" w:cstheme="minorHAnsi"/>
          <w:sz w:val="16"/>
          <w:szCs w:val="16"/>
        </w:rPr>
      </w:pPr>
      <w:r w:rsidRPr="007220B5">
        <w:rPr>
          <w:rStyle w:val="FootnoteReference"/>
          <w:rFonts w:asciiTheme="minorHAnsi" w:hAnsiTheme="minorHAnsi" w:cstheme="minorHAnsi"/>
          <w:sz w:val="16"/>
          <w:szCs w:val="16"/>
        </w:rPr>
        <w:footnoteRef/>
      </w:r>
      <w:r w:rsidRPr="007220B5">
        <w:rPr>
          <w:rFonts w:asciiTheme="minorHAnsi" w:hAnsiTheme="minorHAnsi" w:cstheme="minorHAnsi"/>
          <w:sz w:val="16"/>
          <w:szCs w:val="16"/>
        </w:rPr>
        <w:t xml:space="preserve"> Z v United Kingdom (2001) 34 EHRR 97 at [73]; E v United Kingdom (2002) 36 EHRR 519 at [88]</w:t>
      </w:r>
      <w:r w:rsidR="00381CC7">
        <w:rPr>
          <w:rFonts w:asciiTheme="minorHAnsi" w:hAnsiTheme="minorHAnsi" w:cstheme="minorHAnsi"/>
          <w:sz w:val="16"/>
          <w:szCs w:val="16"/>
        </w:rPr>
        <w:t>.</w:t>
      </w:r>
    </w:p>
  </w:footnote>
  <w:footnote w:id="25">
    <w:p w14:paraId="647CCE10" w14:textId="43685396" w:rsidR="007220B5" w:rsidRPr="006E3F32" w:rsidRDefault="007220B5">
      <w:pPr>
        <w:pStyle w:val="FootnoteText"/>
        <w:rPr>
          <w:rFonts w:asciiTheme="minorHAnsi" w:hAnsiTheme="minorHAnsi" w:cstheme="minorHAnsi"/>
          <w:sz w:val="16"/>
          <w:szCs w:val="16"/>
          <w:lang w:val="en-AU"/>
        </w:rPr>
      </w:pPr>
      <w:r w:rsidRPr="006E3F32">
        <w:rPr>
          <w:rStyle w:val="FootnoteReference"/>
          <w:rFonts w:asciiTheme="minorHAnsi" w:hAnsiTheme="minorHAnsi" w:cstheme="minorHAnsi"/>
          <w:sz w:val="16"/>
          <w:szCs w:val="16"/>
        </w:rPr>
        <w:footnoteRef/>
      </w:r>
      <w:r w:rsidRPr="006E3F32">
        <w:rPr>
          <w:rFonts w:asciiTheme="minorHAnsi" w:hAnsiTheme="minorHAnsi" w:cstheme="minorHAnsi"/>
          <w:sz w:val="16"/>
          <w:szCs w:val="16"/>
        </w:rPr>
        <w:t xml:space="preserve"> </w:t>
      </w:r>
      <w:r w:rsidRPr="006E3F32">
        <w:rPr>
          <w:rFonts w:asciiTheme="minorHAnsi" w:hAnsiTheme="minorHAnsi" w:cstheme="minorHAnsi"/>
          <w:color w:val="000000"/>
          <w:sz w:val="16"/>
          <w:szCs w:val="16"/>
        </w:rPr>
        <w:t xml:space="preserve">United Nations Convention on the Rights of the Child, </w:t>
      </w:r>
      <w:r w:rsidR="00381CC7">
        <w:rPr>
          <w:rFonts w:asciiTheme="minorHAnsi" w:hAnsiTheme="minorHAnsi" w:cstheme="minorHAnsi"/>
          <w:color w:val="000000"/>
          <w:sz w:val="16"/>
          <w:szCs w:val="16"/>
        </w:rPr>
        <w:t>(</w:t>
      </w:r>
      <w:r w:rsidRPr="006E3F32">
        <w:rPr>
          <w:rFonts w:asciiTheme="minorHAnsi" w:hAnsiTheme="minorHAnsi" w:cstheme="minorHAnsi"/>
          <w:color w:val="000000"/>
          <w:sz w:val="16"/>
          <w:szCs w:val="16"/>
        </w:rPr>
        <w:t>1989</w:t>
      </w:r>
      <w:r w:rsidR="00381CC7">
        <w:rPr>
          <w:rFonts w:asciiTheme="minorHAnsi" w:hAnsiTheme="minorHAnsi" w:cstheme="minorHAnsi"/>
          <w:color w:val="000000"/>
          <w:sz w:val="16"/>
          <w:szCs w:val="16"/>
        </w:rPr>
        <w:t>).</w:t>
      </w:r>
    </w:p>
  </w:footnote>
  <w:footnote w:id="26">
    <w:p w14:paraId="12C20568" w14:textId="4B2F33B1" w:rsidR="00970C9D" w:rsidRPr="006E3F32" w:rsidRDefault="00970C9D" w:rsidP="00BE2C67">
      <w:pPr>
        <w:pStyle w:val="FootnoteText"/>
        <w:spacing w:after="0"/>
        <w:rPr>
          <w:rFonts w:asciiTheme="minorHAnsi" w:hAnsiTheme="minorHAnsi" w:cstheme="minorHAnsi"/>
          <w:sz w:val="16"/>
          <w:szCs w:val="16"/>
        </w:rPr>
      </w:pPr>
      <w:r w:rsidRPr="006E3F32">
        <w:rPr>
          <w:rStyle w:val="FootnoteReference"/>
          <w:rFonts w:asciiTheme="minorHAnsi" w:hAnsiTheme="minorHAnsi" w:cstheme="minorHAnsi"/>
          <w:sz w:val="16"/>
          <w:szCs w:val="16"/>
        </w:rPr>
        <w:footnoteRef/>
      </w:r>
      <w:r w:rsidRPr="006E3F32">
        <w:rPr>
          <w:rStyle w:val="FootnoteReference"/>
          <w:rFonts w:asciiTheme="minorHAnsi" w:hAnsiTheme="minorHAnsi" w:cstheme="minorHAnsi"/>
          <w:sz w:val="16"/>
          <w:szCs w:val="16"/>
        </w:rPr>
        <w:t xml:space="preserve"> </w:t>
      </w:r>
      <w:r w:rsidRPr="006E3F32">
        <w:rPr>
          <w:rFonts w:asciiTheme="minorHAnsi" w:hAnsiTheme="minorHAnsi" w:cstheme="minorHAnsi"/>
          <w:sz w:val="16"/>
          <w:szCs w:val="16"/>
        </w:rPr>
        <w:t>Convention on the Rights of the Child, Art 19(2), Committee on the Rights of the Child, General Comment 13 (2011) at [48]-[51]; MC v Bulgaria (2003) 40 EHRR 20; M and M v Croatia [2015] ECHR 759; DMD v Romania [2017] ECHR 815 at [41]</w:t>
      </w:r>
      <w:r w:rsidR="00381CC7">
        <w:rPr>
          <w:rFonts w:asciiTheme="minorHAnsi" w:hAnsiTheme="minorHAnsi" w:cstheme="minorHAnsi"/>
          <w:sz w:val="16"/>
          <w:szCs w:val="16"/>
        </w:rPr>
        <w:t>.</w:t>
      </w:r>
    </w:p>
  </w:footnote>
  <w:footnote w:id="27">
    <w:p w14:paraId="3337C993" w14:textId="1C946305" w:rsidR="00381CC7" w:rsidRPr="00381CC7" w:rsidRDefault="00381CC7" w:rsidP="009E394E">
      <w:pPr>
        <w:pStyle w:val="FootnoteText"/>
        <w:spacing w:after="0"/>
        <w:rPr>
          <w:rFonts w:asciiTheme="minorHAnsi" w:hAnsiTheme="minorHAnsi" w:cstheme="minorHAnsi"/>
          <w:sz w:val="16"/>
          <w:szCs w:val="16"/>
          <w:lang w:val="en-AU"/>
        </w:rPr>
      </w:pPr>
      <w:r w:rsidRPr="00381CC7">
        <w:rPr>
          <w:rStyle w:val="FootnoteReference"/>
          <w:rFonts w:asciiTheme="minorHAnsi" w:hAnsiTheme="minorHAnsi" w:cstheme="minorHAnsi"/>
          <w:sz w:val="16"/>
          <w:szCs w:val="16"/>
        </w:rPr>
        <w:footnoteRef/>
      </w:r>
      <w:r w:rsidRPr="00381CC7">
        <w:rPr>
          <w:rFonts w:asciiTheme="minorHAnsi" w:hAnsiTheme="minorHAnsi" w:cstheme="minorHAnsi"/>
          <w:sz w:val="16"/>
          <w:szCs w:val="16"/>
        </w:rPr>
        <w:t xml:space="preserve"> The </w:t>
      </w:r>
      <w:r>
        <w:rPr>
          <w:rFonts w:asciiTheme="minorHAnsi" w:hAnsiTheme="minorHAnsi" w:cstheme="minorHAnsi"/>
          <w:sz w:val="16"/>
          <w:szCs w:val="16"/>
        </w:rPr>
        <w:t>G</w:t>
      </w:r>
      <w:r w:rsidRPr="00381CC7">
        <w:rPr>
          <w:rFonts w:asciiTheme="minorHAnsi" w:hAnsiTheme="minorHAnsi" w:cstheme="minorHAnsi"/>
          <w:sz w:val="16"/>
          <w:szCs w:val="16"/>
        </w:rPr>
        <w:t>overnment response to the Listen. Take Action to Prevent, Believe and Heal Report (2022)</w:t>
      </w:r>
      <w:r>
        <w:rPr>
          <w:rFonts w:asciiTheme="minorHAnsi" w:hAnsiTheme="minorHAnsi" w:cstheme="minorHAnsi"/>
          <w:sz w:val="16"/>
          <w:szCs w:val="16"/>
        </w:rPr>
        <w:t>.</w:t>
      </w:r>
    </w:p>
  </w:footnote>
  <w:footnote w:id="28">
    <w:p w14:paraId="27BBB6E7" w14:textId="03A77B3B" w:rsidR="002A36C9" w:rsidRPr="002A36C9" w:rsidRDefault="002A36C9" w:rsidP="009E394E">
      <w:pPr>
        <w:pStyle w:val="FootnoteText"/>
        <w:spacing w:after="0"/>
        <w:rPr>
          <w:rFonts w:asciiTheme="minorHAnsi" w:hAnsiTheme="minorHAnsi" w:cstheme="minorHAnsi"/>
          <w:sz w:val="16"/>
          <w:szCs w:val="16"/>
          <w:lang w:val="en-AU"/>
        </w:rPr>
      </w:pPr>
      <w:r w:rsidRPr="002A36C9">
        <w:rPr>
          <w:rStyle w:val="FootnoteReference"/>
          <w:rFonts w:asciiTheme="minorHAnsi" w:hAnsiTheme="minorHAnsi" w:cstheme="minorHAnsi"/>
          <w:sz w:val="16"/>
          <w:szCs w:val="16"/>
        </w:rPr>
        <w:footnoteRef/>
      </w:r>
      <w:r w:rsidRPr="002A36C9">
        <w:rPr>
          <w:rFonts w:asciiTheme="minorHAnsi" w:hAnsiTheme="minorHAnsi" w:cstheme="minorHAnsi"/>
          <w:sz w:val="16"/>
          <w:szCs w:val="16"/>
        </w:rPr>
        <w:t xml:space="preserve"> General comment No. 14 (2013) on the right of the child to have his or her best interests taken as a primary consideration (art.</w:t>
      </w:r>
      <w:r w:rsidR="006E3F32" w:rsidRPr="002A36C9">
        <w:rPr>
          <w:rFonts w:asciiTheme="minorHAnsi" w:hAnsiTheme="minorHAnsi" w:cstheme="minorHAnsi"/>
          <w:sz w:val="16"/>
          <w:szCs w:val="16"/>
        </w:rPr>
        <w:t>3, para</w:t>
      </w:r>
      <w:r w:rsidRPr="002A36C9">
        <w:rPr>
          <w:rFonts w:asciiTheme="minorHAnsi" w:hAnsiTheme="minorHAnsi" w:cstheme="minorHAnsi"/>
          <w:sz w:val="16"/>
          <w:szCs w:val="16"/>
        </w:rPr>
        <w:t>.</w:t>
      </w:r>
      <w:r w:rsidR="00A8399D">
        <w:rPr>
          <w:rFonts w:asciiTheme="minorHAnsi" w:hAnsiTheme="minorHAnsi" w:cstheme="minorHAnsi"/>
          <w:sz w:val="16"/>
          <w:szCs w:val="16"/>
        </w:rPr>
        <w:t xml:space="preserve"> </w:t>
      </w:r>
      <w:r w:rsidRPr="002A36C9">
        <w:rPr>
          <w:rFonts w:asciiTheme="minorHAnsi" w:hAnsiTheme="minorHAnsi" w:cstheme="minorHAnsi"/>
          <w:sz w:val="16"/>
          <w:szCs w:val="16"/>
        </w:rPr>
        <w:t>1)</w:t>
      </w:r>
      <w:r w:rsidR="00381CC7">
        <w:rPr>
          <w:rFonts w:asciiTheme="minorHAnsi" w:hAnsiTheme="minorHAnsi" w:cstheme="minorHAnsi"/>
          <w:sz w:val="16"/>
          <w:szCs w:val="16"/>
        </w:rPr>
        <w:t>.</w:t>
      </w:r>
    </w:p>
  </w:footnote>
  <w:footnote w:id="29">
    <w:p w14:paraId="7AC2859B" w14:textId="29D109C9" w:rsidR="002A36C9" w:rsidRPr="009E394E" w:rsidRDefault="002A36C9" w:rsidP="009E394E">
      <w:pPr>
        <w:pStyle w:val="FootnoteText"/>
        <w:spacing w:after="0"/>
        <w:rPr>
          <w:rFonts w:asciiTheme="minorHAnsi" w:hAnsiTheme="minorHAnsi" w:cstheme="minorHAnsi"/>
          <w:sz w:val="16"/>
          <w:szCs w:val="16"/>
          <w:lang w:val="en-AU"/>
        </w:rPr>
      </w:pPr>
      <w:r w:rsidRPr="009E394E">
        <w:rPr>
          <w:rStyle w:val="FootnoteReference"/>
          <w:rFonts w:asciiTheme="minorHAnsi" w:hAnsiTheme="minorHAnsi" w:cstheme="minorHAnsi"/>
          <w:sz w:val="16"/>
          <w:szCs w:val="16"/>
        </w:rPr>
        <w:footnoteRef/>
      </w:r>
      <w:r w:rsidRPr="009E394E">
        <w:rPr>
          <w:rFonts w:asciiTheme="minorHAnsi" w:hAnsiTheme="minorHAnsi" w:cstheme="minorHAnsi"/>
          <w:sz w:val="16"/>
          <w:szCs w:val="16"/>
        </w:rPr>
        <w:t xml:space="preserve"> United Nations (General Assembly) (1966). International Covenant on Civil and Political Rights</w:t>
      </w:r>
    </w:p>
  </w:footnote>
  <w:footnote w:id="30">
    <w:p w14:paraId="112B0147" w14:textId="53F5F8EF" w:rsidR="005A3608" w:rsidRPr="005A3608" w:rsidRDefault="005A3608" w:rsidP="009E394E">
      <w:pPr>
        <w:pStyle w:val="FootnoteText"/>
        <w:spacing w:after="0"/>
        <w:rPr>
          <w:rFonts w:asciiTheme="minorHAnsi" w:hAnsiTheme="minorHAnsi" w:cstheme="minorHAnsi"/>
          <w:sz w:val="16"/>
          <w:szCs w:val="16"/>
          <w:lang w:val="en-AU"/>
        </w:rPr>
      </w:pPr>
      <w:r w:rsidRPr="005A3608">
        <w:rPr>
          <w:rStyle w:val="FootnoteReference"/>
          <w:rFonts w:asciiTheme="minorHAnsi" w:hAnsiTheme="minorHAnsi" w:cstheme="minorHAnsi"/>
          <w:sz w:val="16"/>
          <w:szCs w:val="16"/>
        </w:rPr>
        <w:footnoteRef/>
      </w:r>
      <w:r w:rsidRPr="005A3608">
        <w:rPr>
          <w:rFonts w:asciiTheme="minorHAnsi" w:hAnsiTheme="minorHAnsi" w:cstheme="minorHAnsi"/>
          <w:sz w:val="16"/>
          <w:szCs w:val="16"/>
        </w:rPr>
        <w:t xml:space="preserve"> United Nations (General Assembly). (1966). International Covenant on Civil and Political Rights</w:t>
      </w:r>
      <w:r w:rsidR="009E394E">
        <w:rPr>
          <w:rFonts w:asciiTheme="minorHAnsi" w:hAnsiTheme="minorHAnsi" w:cstheme="minorHAnsi"/>
          <w:sz w:val="16"/>
          <w:szCs w:val="16"/>
        </w:rPr>
        <w:t>.</w:t>
      </w:r>
    </w:p>
  </w:footnote>
  <w:footnote w:id="31">
    <w:p w14:paraId="3181987C" w14:textId="1E5BB853" w:rsidR="005A3608" w:rsidRPr="00A8399D" w:rsidRDefault="005A3608" w:rsidP="009E394E">
      <w:pPr>
        <w:pStyle w:val="FootnoteText"/>
        <w:spacing w:after="0"/>
        <w:rPr>
          <w:rFonts w:asciiTheme="minorHAnsi" w:hAnsiTheme="minorHAnsi" w:cstheme="minorHAnsi"/>
          <w:sz w:val="16"/>
          <w:szCs w:val="16"/>
        </w:rPr>
      </w:pPr>
      <w:r w:rsidRPr="005A3608">
        <w:rPr>
          <w:rStyle w:val="FootnoteReference"/>
          <w:rFonts w:asciiTheme="minorHAnsi" w:hAnsiTheme="minorHAnsi" w:cstheme="minorHAnsi"/>
          <w:sz w:val="16"/>
          <w:szCs w:val="16"/>
        </w:rPr>
        <w:footnoteRef/>
      </w:r>
      <w:r w:rsidRPr="005A3608">
        <w:rPr>
          <w:rFonts w:asciiTheme="minorHAnsi" w:hAnsiTheme="minorHAnsi" w:cstheme="minorHAnsi"/>
          <w:sz w:val="16"/>
          <w:szCs w:val="16"/>
        </w:rPr>
        <w:t xml:space="preserve"> United Nations (General Assembly). (2007). Declaration on the Rights of Indigenous People</w:t>
      </w:r>
      <w:r w:rsidR="009E394E">
        <w:rPr>
          <w:rFonts w:asciiTheme="minorHAnsi" w:hAnsiTheme="minorHAnsi" w:cstheme="minorHAnsi"/>
          <w:sz w:val="16"/>
          <w:szCs w:val="16"/>
        </w:rPr>
        <w:t>.</w:t>
      </w:r>
    </w:p>
  </w:footnote>
  <w:footnote w:id="32">
    <w:p w14:paraId="34691827" w14:textId="37E2E11C" w:rsidR="000B2C2E" w:rsidRPr="009E394E" w:rsidRDefault="000B2C2E" w:rsidP="000B2C2E">
      <w:pPr>
        <w:pStyle w:val="NormalWeb"/>
        <w:spacing w:before="0" w:beforeAutospacing="0" w:after="0" w:afterAutospacing="0"/>
        <w:rPr>
          <w:rFonts w:asciiTheme="minorHAnsi" w:hAnsiTheme="minorHAnsi" w:cstheme="minorHAnsi"/>
          <w:sz w:val="16"/>
          <w:szCs w:val="16"/>
        </w:rPr>
      </w:pPr>
      <w:r w:rsidRPr="009E394E">
        <w:rPr>
          <w:rStyle w:val="FootnoteReference"/>
          <w:rFonts w:asciiTheme="minorHAnsi" w:hAnsiTheme="minorHAnsi" w:cstheme="minorHAnsi"/>
          <w:sz w:val="16"/>
          <w:szCs w:val="16"/>
        </w:rPr>
        <w:footnoteRef/>
      </w:r>
      <w:r w:rsidRPr="009E394E">
        <w:rPr>
          <w:rFonts w:asciiTheme="minorHAnsi" w:hAnsiTheme="minorHAnsi" w:cstheme="minorHAnsi"/>
          <w:sz w:val="16"/>
          <w:szCs w:val="16"/>
        </w:rPr>
        <w:t xml:space="preserve"> SNAICC (2019). The Aboriginal and Torres Strait Islander Child Placement Principle: A guide to support implementation. SNAICC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16F8" w14:textId="77777777" w:rsidR="005900BE" w:rsidRDefault="00590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3DC0" w14:textId="77777777" w:rsidR="005900BE" w:rsidRDefault="00590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BFCF" w14:textId="6E24A9EA" w:rsidR="001831AE" w:rsidRDefault="00C5658A">
    <w:pPr>
      <w:pStyle w:val="Header"/>
    </w:pPr>
    <w:r>
      <w:rPr>
        <w:noProof/>
      </w:rPr>
      <mc:AlternateContent>
        <mc:Choice Requires="wps">
          <w:drawing>
            <wp:anchor distT="0" distB="0" distL="114300" distR="114300" simplePos="1" relativeHeight="251660288" behindDoc="0" locked="0" layoutInCell="0" allowOverlap="1" wp14:anchorId="0F9767E7" wp14:editId="7CE856CD">
              <wp:simplePos x="0" y="190500"/>
              <wp:positionH relativeFrom="page">
                <wp:posOffset>0</wp:posOffset>
              </wp:positionH>
              <wp:positionV relativeFrom="page">
                <wp:posOffset>190500</wp:posOffset>
              </wp:positionV>
              <wp:extent cx="7560310" cy="273050"/>
              <wp:effectExtent l="0" t="0" r="0" b="12700"/>
              <wp:wrapNone/>
              <wp:docPr id="2" name="MSIPCM5c3e4634ad57a49dc6757ec6" descr="{&quot;HashCode&quot;:-75949576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0EE3EC" w14:textId="11B8A0E4" w:rsidR="00C5658A" w:rsidRPr="00C5658A" w:rsidRDefault="00C5658A" w:rsidP="00C5658A">
                          <w:pPr>
                            <w:spacing w:after="0"/>
                            <w:jc w:val="center"/>
                            <w:rPr>
                              <w:rFonts w:cs="Calibri"/>
                              <w:color w:val="FF0000"/>
                              <w:sz w:val="24"/>
                            </w:rPr>
                          </w:pPr>
                          <w:r w:rsidRPr="00C5658A">
                            <w:rPr>
                              <w:rFonts w:cs="Calibri"/>
                              <w:color w:val="FF0000"/>
                              <w:sz w:val="24"/>
                            </w:rPr>
                            <w:t xml:space="preserve">CABINET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9767E7" id="_x0000_t202" coordsize="21600,21600" o:spt="202" path="m,l,21600r21600,l21600,xe">
              <v:stroke joinstyle="miter"/>
              <v:path gradientshapeok="t" o:connecttype="rect"/>
            </v:shapetype>
            <v:shape id="MSIPCM5c3e4634ad57a49dc6757ec6" o:spid="_x0000_s1026" type="#_x0000_t202" alt="{&quot;HashCode&quot;:-759495762,&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790EE3EC" w14:textId="11B8A0E4" w:rsidR="00C5658A" w:rsidRPr="00C5658A" w:rsidRDefault="00C5658A" w:rsidP="00C5658A">
                    <w:pPr>
                      <w:spacing w:after="0"/>
                      <w:jc w:val="center"/>
                      <w:rPr>
                        <w:rFonts w:cs="Calibri"/>
                        <w:color w:val="FF0000"/>
                        <w:sz w:val="24"/>
                      </w:rPr>
                    </w:pPr>
                    <w:r w:rsidRPr="00C5658A">
                      <w:rPr>
                        <w:rFonts w:cs="Calibri"/>
                        <w:color w:val="FF0000"/>
                        <w:sz w:val="24"/>
                      </w:rPr>
                      <w:t xml:space="preserve">CABINET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033E" w14:textId="77777777" w:rsidR="00537ACE" w:rsidRDefault="005900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7D05" w14:textId="08A0CFD3" w:rsidR="00537ACE" w:rsidRDefault="005900BE" w:rsidP="00BA2C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58D1" w14:textId="0389AE4F" w:rsidR="00537ACE" w:rsidRDefault="005900BE" w:rsidP="00E56F4C">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4527"/>
    <w:multiLevelType w:val="hybridMultilevel"/>
    <w:tmpl w:val="6FDE1A74"/>
    <w:lvl w:ilvl="0" w:tplc="0C09000F">
      <w:start w:val="1"/>
      <w:numFmt w:val="decimal"/>
      <w:lvlText w:val="%1."/>
      <w:lvlJc w:val="left"/>
      <w:pPr>
        <w:ind w:left="720" w:hanging="360"/>
      </w:pPr>
    </w:lvl>
    <w:lvl w:ilvl="1" w:tplc="1E7E38E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11016E"/>
    <w:multiLevelType w:val="hybridMultilevel"/>
    <w:tmpl w:val="C262C68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B655F6"/>
    <w:multiLevelType w:val="multilevel"/>
    <w:tmpl w:val="F51E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42B55"/>
    <w:multiLevelType w:val="hybridMultilevel"/>
    <w:tmpl w:val="2610A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A4C11"/>
    <w:multiLevelType w:val="hybridMultilevel"/>
    <w:tmpl w:val="E3D63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A60FA"/>
    <w:multiLevelType w:val="hybridMultilevel"/>
    <w:tmpl w:val="60FC1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EF742E"/>
    <w:multiLevelType w:val="hybridMultilevel"/>
    <w:tmpl w:val="944EF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E04C72"/>
    <w:multiLevelType w:val="hybridMultilevel"/>
    <w:tmpl w:val="E9608B16"/>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8" w15:restartNumberingAfterBreak="0">
    <w:nsid w:val="2BE24211"/>
    <w:multiLevelType w:val="hybridMultilevel"/>
    <w:tmpl w:val="38941916"/>
    <w:lvl w:ilvl="0" w:tplc="C6E27C56">
      <w:start w:val="1"/>
      <w:numFmt w:val="decimal"/>
      <w:lvlText w:val="%1)"/>
      <w:lvlJc w:val="left"/>
      <w:pPr>
        <w:ind w:left="360" w:hanging="360"/>
      </w:pPr>
      <w:rPr>
        <w:i w:val="0"/>
        <w:sz w:val="24"/>
        <w:szCs w:val="24"/>
      </w:rPr>
    </w:lvl>
    <w:lvl w:ilvl="1" w:tplc="0C090001">
      <w:start w:val="1"/>
      <w:numFmt w:val="bullet"/>
      <w:lvlText w:val=""/>
      <w:lvlJc w:val="left"/>
      <w:pPr>
        <w:ind w:left="1080" w:hanging="360"/>
      </w:pPr>
      <w:rPr>
        <w:rFonts w:ascii="Symbol" w:hAnsi="Symbol" w:hint="default"/>
      </w:rPr>
    </w:lvl>
    <w:lvl w:ilvl="2" w:tplc="DCC88DB4">
      <w:start w:val="1"/>
      <w:numFmt w:val="lowerRoman"/>
      <w:lvlText w:val="%3."/>
      <w:lvlJc w:val="left"/>
      <w:pPr>
        <w:ind w:left="1800" w:hanging="180"/>
      </w:pPr>
      <w:rPr>
        <w:rFonts w:hint="default"/>
      </w:rPr>
    </w:lvl>
    <w:lvl w:ilvl="3" w:tplc="6854F13C">
      <w:start w:val="1"/>
      <w:numFmt w:val="upperLetter"/>
      <w:lvlText w:val="(%4)"/>
      <w:lvlJc w:val="left"/>
      <w:pPr>
        <w:ind w:left="2520" w:hanging="360"/>
      </w:pPr>
      <w:rPr>
        <w:rFonts w:hint="default"/>
      </w:rPr>
    </w:lvl>
    <w:lvl w:ilvl="4" w:tplc="4386D17C">
      <w:start w:val="1"/>
      <w:numFmt w:val="decimal"/>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C42942"/>
    <w:multiLevelType w:val="hybridMultilevel"/>
    <w:tmpl w:val="E91C8F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327AC5"/>
    <w:multiLevelType w:val="hybridMultilevel"/>
    <w:tmpl w:val="B4B2BD76"/>
    <w:lvl w:ilvl="0" w:tplc="5002DEE0">
      <w:start w:val="1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1635E4"/>
    <w:multiLevelType w:val="hybridMultilevel"/>
    <w:tmpl w:val="1F6E2F7C"/>
    <w:lvl w:ilvl="0" w:tplc="4D8C6FD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3456B60"/>
    <w:multiLevelType w:val="hybridMultilevel"/>
    <w:tmpl w:val="24764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E57788"/>
    <w:multiLevelType w:val="hybridMultilevel"/>
    <w:tmpl w:val="2594171C"/>
    <w:lvl w:ilvl="0" w:tplc="0C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6C688A"/>
    <w:multiLevelType w:val="hybridMultilevel"/>
    <w:tmpl w:val="66CAD6AE"/>
    <w:lvl w:ilvl="0" w:tplc="52D2B9F0">
      <w:start w:val="1"/>
      <w:numFmt w:val="bullet"/>
      <w:lvlText w:val="•"/>
      <w:lvlJc w:val="left"/>
      <w:pPr>
        <w:tabs>
          <w:tab w:val="num" w:pos="720"/>
        </w:tabs>
        <w:ind w:left="720" w:hanging="360"/>
      </w:pPr>
      <w:rPr>
        <w:rFonts w:ascii="Arial" w:hAnsi="Arial" w:hint="default"/>
      </w:rPr>
    </w:lvl>
    <w:lvl w:ilvl="1" w:tplc="D6D4FD6E" w:tentative="1">
      <w:start w:val="1"/>
      <w:numFmt w:val="bullet"/>
      <w:lvlText w:val="•"/>
      <w:lvlJc w:val="left"/>
      <w:pPr>
        <w:tabs>
          <w:tab w:val="num" w:pos="1440"/>
        </w:tabs>
        <w:ind w:left="1440" w:hanging="360"/>
      </w:pPr>
      <w:rPr>
        <w:rFonts w:ascii="Arial" w:hAnsi="Arial" w:hint="default"/>
      </w:rPr>
    </w:lvl>
    <w:lvl w:ilvl="2" w:tplc="E9FE5D42" w:tentative="1">
      <w:start w:val="1"/>
      <w:numFmt w:val="bullet"/>
      <w:lvlText w:val="•"/>
      <w:lvlJc w:val="left"/>
      <w:pPr>
        <w:tabs>
          <w:tab w:val="num" w:pos="2160"/>
        </w:tabs>
        <w:ind w:left="2160" w:hanging="360"/>
      </w:pPr>
      <w:rPr>
        <w:rFonts w:ascii="Arial" w:hAnsi="Arial" w:hint="default"/>
      </w:rPr>
    </w:lvl>
    <w:lvl w:ilvl="3" w:tplc="0EDA2116" w:tentative="1">
      <w:start w:val="1"/>
      <w:numFmt w:val="bullet"/>
      <w:lvlText w:val="•"/>
      <w:lvlJc w:val="left"/>
      <w:pPr>
        <w:tabs>
          <w:tab w:val="num" w:pos="2880"/>
        </w:tabs>
        <w:ind w:left="2880" w:hanging="360"/>
      </w:pPr>
      <w:rPr>
        <w:rFonts w:ascii="Arial" w:hAnsi="Arial" w:hint="default"/>
      </w:rPr>
    </w:lvl>
    <w:lvl w:ilvl="4" w:tplc="8C366A72" w:tentative="1">
      <w:start w:val="1"/>
      <w:numFmt w:val="bullet"/>
      <w:lvlText w:val="•"/>
      <w:lvlJc w:val="left"/>
      <w:pPr>
        <w:tabs>
          <w:tab w:val="num" w:pos="3600"/>
        </w:tabs>
        <w:ind w:left="3600" w:hanging="360"/>
      </w:pPr>
      <w:rPr>
        <w:rFonts w:ascii="Arial" w:hAnsi="Arial" w:hint="default"/>
      </w:rPr>
    </w:lvl>
    <w:lvl w:ilvl="5" w:tplc="2A6489B4" w:tentative="1">
      <w:start w:val="1"/>
      <w:numFmt w:val="bullet"/>
      <w:lvlText w:val="•"/>
      <w:lvlJc w:val="left"/>
      <w:pPr>
        <w:tabs>
          <w:tab w:val="num" w:pos="4320"/>
        </w:tabs>
        <w:ind w:left="4320" w:hanging="360"/>
      </w:pPr>
      <w:rPr>
        <w:rFonts w:ascii="Arial" w:hAnsi="Arial" w:hint="default"/>
      </w:rPr>
    </w:lvl>
    <w:lvl w:ilvl="6" w:tplc="548863C8" w:tentative="1">
      <w:start w:val="1"/>
      <w:numFmt w:val="bullet"/>
      <w:lvlText w:val="•"/>
      <w:lvlJc w:val="left"/>
      <w:pPr>
        <w:tabs>
          <w:tab w:val="num" w:pos="5040"/>
        </w:tabs>
        <w:ind w:left="5040" w:hanging="360"/>
      </w:pPr>
      <w:rPr>
        <w:rFonts w:ascii="Arial" w:hAnsi="Arial" w:hint="default"/>
      </w:rPr>
    </w:lvl>
    <w:lvl w:ilvl="7" w:tplc="652A88F4" w:tentative="1">
      <w:start w:val="1"/>
      <w:numFmt w:val="bullet"/>
      <w:lvlText w:val="•"/>
      <w:lvlJc w:val="left"/>
      <w:pPr>
        <w:tabs>
          <w:tab w:val="num" w:pos="5760"/>
        </w:tabs>
        <w:ind w:left="5760" w:hanging="360"/>
      </w:pPr>
      <w:rPr>
        <w:rFonts w:ascii="Arial" w:hAnsi="Arial" w:hint="default"/>
      </w:rPr>
    </w:lvl>
    <w:lvl w:ilvl="8" w:tplc="674434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3C0F31"/>
    <w:multiLevelType w:val="hybridMultilevel"/>
    <w:tmpl w:val="DE3C58FC"/>
    <w:lvl w:ilvl="0" w:tplc="CA222A5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9F6163"/>
    <w:multiLevelType w:val="hybridMultilevel"/>
    <w:tmpl w:val="63ECC178"/>
    <w:lvl w:ilvl="0" w:tplc="0C0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F84B4B"/>
    <w:multiLevelType w:val="hybridMultilevel"/>
    <w:tmpl w:val="8284A9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12317B"/>
    <w:multiLevelType w:val="hybridMultilevel"/>
    <w:tmpl w:val="D16C97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D665A4F"/>
    <w:multiLevelType w:val="hybridMultilevel"/>
    <w:tmpl w:val="ACD84B48"/>
    <w:lvl w:ilvl="0" w:tplc="0C090017">
      <w:start w:val="1"/>
      <w:numFmt w:val="lowerLetter"/>
      <w:lvlText w:val="%1)"/>
      <w:lvlJc w:val="left"/>
      <w:pPr>
        <w:ind w:left="720" w:hanging="360"/>
      </w:pPr>
    </w:lvl>
    <w:lvl w:ilvl="1" w:tplc="0B1C7FC8">
      <w:numFmt w:val="bullet"/>
      <w:lvlText w:val="•"/>
      <w:lvlJc w:val="left"/>
      <w:pPr>
        <w:ind w:left="1800" w:hanging="720"/>
      </w:pPr>
      <w:rPr>
        <w:rFonts w:ascii="Calibri" w:eastAsia="Times New Roman" w:hAnsi="Calibri" w:cs="Calibri" w:hint="default"/>
      </w:rPr>
    </w:lvl>
    <w:lvl w:ilvl="2" w:tplc="5E926C6A">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C33959"/>
    <w:multiLevelType w:val="hybridMultilevel"/>
    <w:tmpl w:val="3FC013EA"/>
    <w:lvl w:ilvl="0" w:tplc="0C09000F">
      <w:start w:val="1"/>
      <w:numFmt w:val="decimal"/>
      <w:lvlText w:val="%1."/>
      <w:lvlJc w:val="left"/>
      <w:pPr>
        <w:ind w:left="720" w:hanging="360"/>
      </w:pPr>
    </w:lvl>
    <w:lvl w:ilvl="1" w:tplc="5928BE2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A41CC5"/>
    <w:multiLevelType w:val="multilevel"/>
    <w:tmpl w:val="9A52D388"/>
    <w:lvl w:ilvl="0">
      <w:numFmt w:val="none"/>
      <w:suff w:val="nothing"/>
      <w:lvlText w:val="%1"/>
      <w:lvlJc w:val="left"/>
      <w:pPr>
        <w:ind w:left="0" w:firstLine="0"/>
      </w:pPr>
      <w:rPr>
        <w:rFonts w:hint="default"/>
      </w:rPr>
    </w:lvl>
    <w:lvl w:ilvl="1">
      <w:start w:val="1"/>
      <w:numFmt w:val="upperLetter"/>
      <w:pStyle w:val="LDStandard2"/>
      <w:lvlText w:val="%2%1."/>
      <w:lvlJc w:val="left"/>
      <w:pPr>
        <w:tabs>
          <w:tab w:val="num" w:pos="567"/>
        </w:tabs>
        <w:ind w:left="567" w:hanging="567"/>
      </w:pPr>
      <w:rPr>
        <w:rFonts w:hint="default"/>
      </w:rPr>
    </w:lvl>
    <w:lvl w:ilvl="2">
      <w:start w:val="1"/>
      <w:numFmt w:val="decimal"/>
      <w:lvlRestart w:val="0"/>
      <w:pStyle w:val="LDStandard3"/>
      <w:lvlText w:val="%3."/>
      <w:lvlJc w:val="left"/>
      <w:pPr>
        <w:tabs>
          <w:tab w:val="num" w:pos="567"/>
        </w:tabs>
        <w:ind w:left="567" w:hanging="567"/>
      </w:pPr>
      <w:rPr>
        <w:rFonts w:hint="default"/>
      </w:rPr>
    </w:lvl>
    <w:lvl w:ilvl="3">
      <w:start w:val="1"/>
      <w:numFmt w:val="lowerLetter"/>
      <w:pStyle w:val="LDStandard4"/>
      <w:lvlText w:val="%4%1."/>
      <w:lvlJc w:val="left"/>
      <w:pPr>
        <w:tabs>
          <w:tab w:val="num" w:pos="1134"/>
        </w:tabs>
        <w:ind w:left="1134" w:hanging="567"/>
      </w:pPr>
      <w:rPr>
        <w:rFonts w:hint="default"/>
      </w:rPr>
    </w:lvl>
    <w:lvl w:ilvl="4">
      <w:start w:val="1"/>
      <w:numFmt w:val="lowerRoman"/>
      <w:pStyle w:val="LDStandard5"/>
      <w:lvlText w:val="%5%1."/>
      <w:lvlJc w:val="left"/>
      <w:pPr>
        <w:tabs>
          <w:tab w:val="num" w:pos="1701"/>
        </w:tabs>
        <w:ind w:left="1701" w:hanging="1701"/>
      </w:pPr>
      <w:rPr>
        <w:rFonts w:hint="default"/>
      </w:rPr>
    </w:lvl>
    <w:lvl w:ilvl="5">
      <w:start w:val="1"/>
      <w:numFmt w:val="lowerRoman"/>
      <w:pStyle w:val="LDStandard6"/>
      <w:lvlText w:val="(%6%1)"/>
      <w:lvlJc w:val="left"/>
      <w:pPr>
        <w:tabs>
          <w:tab w:val="num" w:pos="2835"/>
        </w:tabs>
        <w:ind w:left="0" w:firstLine="0"/>
      </w:pPr>
      <w:rPr>
        <w:rFonts w:hint="default"/>
      </w:rPr>
    </w:lvl>
    <w:lvl w:ilvl="6">
      <w:start w:val="1"/>
      <w:numFmt w:val="lowerRoman"/>
      <w:pStyle w:val="LDStandard7"/>
      <w:lvlText w:val="(%7%1)"/>
      <w:lvlJc w:val="left"/>
      <w:pPr>
        <w:tabs>
          <w:tab w:val="num" w:pos="3544"/>
        </w:tabs>
        <w:ind w:left="0" w:firstLine="0"/>
      </w:pPr>
      <w:rPr>
        <w:rFonts w:hint="default"/>
      </w:rPr>
    </w:lvl>
    <w:lvl w:ilvl="7">
      <w:start w:val="1"/>
      <w:numFmt w:val="upperLetter"/>
      <w:pStyle w:val="LDStandard8"/>
      <w:lvlText w:val="(%8)%1"/>
      <w:lvlJc w:val="left"/>
      <w:pPr>
        <w:tabs>
          <w:tab w:val="num" w:pos="4253"/>
        </w:tabs>
        <w:ind w:left="0" w:firstLine="0"/>
      </w:pPr>
      <w:rPr>
        <w:rFonts w:hint="default"/>
      </w:rPr>
    </w:lvl>
    <w:lvl w:ilvl="8">
      <w:start w:val="1"/>
      <w:numFmt w:val="none"/>
      <w:lvlText w:val="%9%1"/>
      <w:lvlJc w:val="left"/>
      <w:pPr>
        <w:tabs>
          <w:tab w:val="num" w:pos="709"/>
        </w:tabs>
        <w:ind w:left="0" w:firstLine="0"/>
      </w:pPr>
      <w:rPr>
        <w:rFonts w:hint="default"/>
      </w:rPr>
    </w:lvl>
  </w:abstractNum>
  <w:abstractNum w:abstractNumId="22" w15:restartNumberingAfterBreak="0">
    <w:nsid w:val="679D420E"/>
    <w:multiLevelType w:val="hybridMultilevel"/>
    <w:tmpl w:val="695EDD6C"/>
    <w:lvl w:ilvl="0" w:tplc="1F80BF74">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3C644AC"/>
    <w:multiLevelType w:val="hybridMultilevel"/>
    <w:tmpl w:val="ABB4CAD4"/>
    <w:lvl w:ilvl="0" w:tplc="6926759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1F0790"/>
    <w:multiLevelType w:val="hybridMultilevel"/>
    <w:tmpl w:val="B6C412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825D4F"/>
    <w:multiLevelType w:val="hybridMultilevel"/>
    <w:tmpl w:val="AEF450B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7C76FE6"/>
    <w:multiLevelType w:val="hybridMultilevel"/>
    <w:tmpl w:val="4E129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1C7B32"/>
    <w:multiLevelType w:val="multilevel"/>
    <w:tmpl w:val="0F904B3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E32173"/>
    <w:multiLevelType w:val="hybridMultilevel"/>
    <w:tmpl w:val="8E2A6A86"/>
    <w:lvl w:ilvl="0" w:tplc="20ACD3B6">
      <w:start w:val="1"/>
      <w:numFmt w:val="decimal"/>
      <w:lvlText w:val="(%1)"/>
      <w:lvlJc w:val="left"/>
      <w:pPr>
        <w:ind w:left="720" w:hanging="360"/>
      </w:pPr>
      <w:rPr>
        <w:rFonts w:ascii="Calibri" w:eastAsia="Times New Roman" w:hAnsi="Calibri" w:cs="Times New Roman" w:hint="default"/>
        <w:b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5F4F8D"/>
    <w:multiLevelType w:val="hybridMultilevel"/>
    <w:tmpl w:val="D46CE22E"/>
    <w:lvl w:ilvl="0" w:tplc="5160553E">
      <w:start w:val="1"/>
      <w:numFmt w:val="decimal"/>
      <w:lvlText w:val="%1)"/>
      <w:lvlJc w:val="left"/>
      <w:pPr>
        <w:ind w:left="720" w:hanging="360"/>
      </w:pPr>
      <w:rPr>
        <w:i w:val="0"/>
      </w:rPr>
    </w:lvl>
    <w:lvl w:ilvl="1" w:tplc="E33045CC">
      <w:start w:val="1"/>
      <w:numFmt w:val="lowerLetter"/>
      <w:lvlText w:val="%2."/>
      <w:lvlJc w:val="left"/>
      <w:pPr>
        <w:ind w:left="1440" w:hanging="360"/>
      </w:p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1899041">
    <w:abstractNumId w:val="18"/>
  </w:num>
  <w:num w:numId="2" w16cid:durableId="1396463966">
    <w:abstractNumId w:val="14"/>
  </w:num>
  <w:num w:numId="3" w16cid:durableId="1051491191">
    <w:abstractNumId w:val="21"/>
  </w:num>
  <w:num w:numId="4" w16cid:durableId="825363483">
    <w:abstractNumId w:val="3"/>
  </w:num>
  <w:num w:numId="5" w16cid:durableId="1673794555">
    <w:abstractNumId w:val="12"/>
  </w:num>
  <w:num w:numId="6" w16cid:durableId="1514420244">
    <w:abstractNumId w:val="6"/>
  </w:num>
  <w:num w:numId="7" w16cid:durableId="920483053">
    <w:abstractNumId w:val="11"/>
  </w:num>
  <w:num w:numId="8" w16cid:durableId="1773669010">
    <w:abstractNumId w:val="23"/>
  </w:num>
  <w:num w:numId="9" w16cid:durableId="363794146">
    <w:abstractNumId w:val="8"/>
  </w:num>
  <w:num w:numId="10" w16cid:durableId="701714106">
    <w:abstractNumId w:val="29"/>
  </w:num>
  <w:num w:numId="11" w16cid:durableId="559751087">
    <w:abstractNumId w:val="22"/>
  </w:num>
  <w:num w:numId="12" w16cid:durableId="803078674">
    <w:abstractNumId w:val="5"/>
  </w:num>
  <w:num w:numId="13" w16cid:durableId="633557820">
    <w:abstractNumId w:val="19"/>
  </w:num>
  <w:num w:numId="14" w16cid:durableId="181483235">
    <w:abstractNumId w:val="15"/>
  </w:num>
  <w:num w:numId="15" w16cid:durableId="1600218465">
    <w:abstractNumId w:val="26"/>
  </w:num>
  <w:num w:numId="16" w16cid:durableId="2013095489">
    <w:abstractNumId w:val="10"/>
  </w:num>
  <w:num w:numId="17" w16cid:durableId="1408721082">
    <w:abstractNumId w:val="4"/>
  </w:num>
  <w:num w:numId="18" w16cid:durableId="1891842348">
    <w:abstractNumId w:val="13"/>
  </w:num>
  <w:num w:numId="19" w16cid:durableId="1181507020">
    <w:abstractNumId w:val="7"/>
  </w:num>
  <w:num w:numId="20" w16cid:durableId="1954244810">
    <w:abstractNumId w:val="20"/>
  </w:num>
  <w:num w:numId="21" w16cid:durableId="622074108">
    <w:abstractNumId w:val="9"/>
  </w:num>
  <w:num w:numId="22" w16cid:durableId="1946032733">
    <w:abstractNumId w:val="0"/>
  </w:num>
  <w:num w:numId="23" w16cid:durableId="1844083490">
    <w:abstractNumId w:val="28"/>
  </w:num>
  <w:num w:numId="24" w16cid:durableId="363363879">
    <w:abstractNumId w:val="1"/>
  </w:num>
  <w:num w:numId="25" w16cid:durableId="1762218321">
    <w:abstractNumId w:val="17"/>
  </w:num>
  <w:num w:numId="26" w16cid:durableId="1631738246">
    <w:abstractNumId w:val="16"/>
  </w:num>
  <w:num w:numId="27" w16cid:durableId="140734257">
    <w:abstractNumId w:val="25"/>
  </w:num>
  <w:num w:numId="28" w16cid:durableId="2095279147">
    <w:abstractNumId w:val="27"/>
  </w:num>
  <w:num w:numId="29" w16cid:durableId="1718357322">
    <w:abstractNumId w:val="24"/>
  </w:num>
  <w:num w:numId="30" w16cid:durableId="476266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6F"/>
    <w:rsid w:val="000013B3"/>
    <w:rsid w:val="00001460"/>
    <w:rsid w:val="000035FA"/>
    <w:rsid w:val="000165E8"/>
    <w:rsid w:val="00016B6E"/>
    <w:rsid w:val="0002231E"/>
    <w:rsid w:val="00023958"/>
    <w:rsid w:val="0002613C"/>
    <w:rsid w:val="0003417E"/>
    <w:rsid w:val="00034278"/>
    <w:rsid w:val="000366D1"/>
    <w:rsid w:val="00042EE7"/>
    <w:rsid w:val="00043AB3"/>
    <w:rsid w:val="00045F89"/>
    <w:rsid w:val="00052BC3"/>
    <w:rsid w:val="0005671E"/>
    <w:rsid w:val="00056D1A"/>
    <w:rsid w:val="00057E48"/>
    <w:rsid w:val="00065ADB"/>
    <w:rsid w:val="00065FF9"/>
    <w:rsid w:val="00080626"/>
    <w:rsid w:val="000812C9"/>
    <w:rsid w:val="0008495C"/>
    <w:rsid w:val="00086AEC"/>
    <w:rsid w:val="000915EF"/>
    <w:rsid w:val="00093A8E"/>
    <w:rsid w:val="00094297"/>
    <w:rsid w:val="0009487B"/>
    <w:rsid w:val="000A5184"/>
    <w:rsid w:val="000B1DB8"/>
    <w:rsid w:val="000B2C2E"/>
    <w:rsid w:val="000B4191"/>
    <w:rsid w:val="000B5D17"/>
    <w:rsid w:val="000B6042"/>
    <w:rsid w:val="000C50D6"/>
    <w:rsid w:val="000C600F"/>
    <w:rsid w:val="000C7581"/>
    <w:rsid w:val="000D0C3A"/>
    <w:rsid w:val="000D25A7"/>
    <w:rsid w:val="000D2C30"/>
    <w:rsid w:val="000E25F7"/>
    <w:rsid w:val="000E4A19"/>
    <w:rsid w:val="000E555E"/>
    <w:rsid w:val="000E59EC"/>
    <w:rsid w:val="000E65C1"/>
    <w:rsid w:val="000F189C"/>
    <w:rsid w:val="000F227C"/>
    <w:rsid w:val="000F3D72"/>
    <w:rsid w:val="000F621F"/>
    <w:rsid w:val="000F7643"/>
    <w:rsid w:val="00105B9B"/>
    <w:rsid w:val="00116772"/>
    <w:rsid w:val="001177CE"/>
    <w:rsid w:val="001177EF"/>
    <w:rsid w:val="00121041"/>
    <w:rsid w:val="001239EA"/>
    <w:rsid w:val="00133776"/>
    <w:rsid w:val="0013497B"/>
    <w:rsid w:val="001412C9"/>
    <w:rsid w:val="001413E9"/>
    <w:rsid w:val="0014288F"/>
    <w:rsid w:val="0014325B"/>
    <w:rsid w:val="00144B6B"/>
    <w:rsid w:val="00147609"/>
    <w:rsid w:val="00147DC7"/>
    <w:rsid w:val="0015064A"/>
    <w:rsid w:val="00150AC1"/>
    <w:rsid w:val="00152BA0"/>
    <w:rsid w:val="001546C6"/>
    <w:rsid w:val="001671FC"/>
    <w:rsid w:val="00170445"/>
    <w:rsid w:val="001716EE"/>
    <w:rsid w:val="00172A30"/>
    <w:rsid w:val="00173596"/>
    <w:rsid w:val="001741B6"/>
    <w:rsid w:val="00175397"/>
    <w:rsid w:val="00175BD8"/>
    <w:rsid w:val="001801CD"/>
    <w:rsid w:val="001831AE"/>
    <w:rsid w:val="001910D3"/>
    <w:rsid w:val="001917BF"/>
    <w:rsid w:val="00193F92"/>
    <w:rsid w:val="00195A26"/>
    <w:rsid w:val="00196C02"/>
    <w:rsid w:val="00197C3E"/>
    <w:rsid w:val="001A0A27"/>
    <w:rsid w:val="001A4842"/>
    <w:rsid w:val="001B311B"/>
    <w:rsid w:val="001B3D40"/>
    <w:rsid w:val="001C14B6"/>
    <w:rsid w:val="001C1F06"/>
    <w:rsid w:val="001C2D7C"/>
    <w:rsid w:val="001C3DD5"/>
    <w:rsid w:val="001C551D"/>
    <w:rsid w:val="001D05DD"/>
    <w:rsid w:val="001D0B71"/>
    <w:rsid w:val="001D0CEA"/>
    <w:rsid w:val="001D3CCB"/>
    <w:rsid w:val="001D3E7E"/>
    <w:rsid w:val="001D77C6"/>
    <w:rsid w:val="001E07BC"/>
    <w:rsid w:val="001E0CFE"/>
    <w:rsid w:val="001E0E6D"/>
    <w:rsid w:val="001E394F"/>
    <w:rsid w:val="001E3CA6"/>
    <w:rsid w:val="001E436E"/>
    <w:rsid w:val="001E66D2"/>
    <w:rsid w:val="001F04E2"/>
    <w:rsid w:val="001F087F"/>
    <w:rsid w:val="001F1F56"/>
    <w:rsid w:val="001F66A6"/>
    <w:rsid w:val="002001C4"/>
    <w:rsid w:val="002144B3"/>
    <w:rsid w:val="0021516C"/>
    <w:rsid w:val="00217907"/>
    <w:rsid w:val="00217ECC"/>
    <w:rsid w:val="0022357B"/>
    <w:rsid w:val="00225889"/>
    <w:rsid w:val="00227C8A"/>
    <w:rsid w:val="00231BCB"/>
    <w:rsid w:val="00232449"/>
    <w:rsid w:val="002339B3"/>
    <w:rsid w:val="00240D4F"/>
    <w:rsid w:val="00242FDA"/>
    <w:rsid w:val="00251C0B"/>
    <w:rsid w:val="00263D0C"/>
    <w:rsid w:val="00270312"/>
    <w:rsid w:val="002716DD"/>
    <w:rsid w:val="00271E12"/>
    <w:rsid w:val="0027227C"/>
    <w:rsid w:val="00273D8F"/>
    <w:rsid w:val="00276029"/>
    <w:rsid w:val="002837EF"/>
    <w:rsid w:val="002846B5"/>
    <w:rsid w:val="00284C6B"/>
    <w:rsid w:val="0028502E"/>
    <w:rsid w:val="00285E19"/>
    <w:rsid w:val="00286C48"/>
    <w:rsid w:val="002944C9"/>
    <w:rsid w:val="002957C0"/>
    <w:rsid w:val="002A36C9"/>
    <w:rsid w:val="002A7EA1"/>
    <w:rsid w:val="002A7FD4"/>
    <w:rsid w:val="002B1D3C"/>
    <w:rsid w:val="002B577D"/>
    <w:rsid w:val="002B70F5"/>
    <w:rsid w:val="002C164D"/>
    <w:rsid w:val="002C17E9"/>
    <w:rsid w:val="002C4624"/>
    <w:rsid w:val="002C7451"/>
    <w:rsid w:val="002C77AF"/>
    <w:rsid w:val="002D10D9"/>
    <w:rsid w:val="002D1A01"/>
    <w:rsid w:val="002D58E5"/>
    <w:rsid w:val="002D6188"/>
    <w:rsid w:val="002E1EF2"/>
    <w:rsid w:val="002E35C1"/>
    <w:rsid w:val="002F3780"/>
    <w:rsid w:val="002F54C9"/>
    <w:rsid w:val="00300D84"/>
    <w:rsid w:val="00303198"/>
    <w:rsid w:val="003056A6"/>
    <w:rsid w:val="00311B5E"/>
    <w:rsid w:val="0031235F"/>
    <w:rsid w:val="003136D8"/>
    <w:rsid w:val="00313BFE"/>
    <w:rsid w:val="00316D82"/>
    <w:rsid w:val="003205B4"/>
    <w:rsid w:val="00327980"/>
    <w:rsid w:val="00332D75"/>
    <w:rsid w:val="00333CBD"/>
    <w:rsid w:val="0033563E"/>
    <w:rsid w:val="00335ADD"/>
    <w:rsid w:val="00340112"/>
    <w:rsid w:val="003428A2"/>
    <w:rsid w:val="00343B9E"/>
    <w:rsid w:val="003477E7"/>
    <w:rsid w:val="003511F1"/>
    <w:rsid w:val="0035149C"/>
    <w:rsid w:val="00351AB3"/>
    <w:rsid w:val="00351FD2"/>
    <w:rsid w:val="00352E6F"/>
    <w:rsid w:val="00353DA0"/>
    <w:rsid w:val="003564DB"/>
    <w:rsid w:val="00357FA1"/>
    <w:rsid w:val="00361433"/>
    <w:rsid w:val="00362F9D"/>
    <w:rsid w:val="003663DA"/>
    <w:rsid w:val="00372E5F"/>
    <w:rsid w:val="00375977"/>
    <w:rsid w:val="003768A9"/>
    <w:rsid w:val="003806BC"/>
    <w:rsid w:val="00381CC7"/>
    <w:rsid w:val="00384240"/>
    <w:rsid w:val="00384AC4"/>
    <w:rsid w:val="003A0CD0"/>
    <w:rsid w:val="003A3607"/>
    <w:rsid w:val="003A40EC"/>
    <w:rsid w:val="003A6A49"/>
    <w:rsid w:val="003B003F"/>
    <w:rsid w:val="003B1C15"/>
    <w:rsid w:val="003B2147"/>
    <w:rsid w:val="003B2A3D"/>
    <w:rsid w:val="003B5462"/>
    <w:rsid w:val="003C0A0D"/>
    <w:rsid w:val="003C252A"/>
    <w:rsid w:val="003C39F7"/>
    <w:rsid w:val="003C6518"/>
    <w:rsid w:val="003D057C"/>
    <w:rsid w:val="003D0D67"/>
    <w:rsid w:val="003E13AA"/>
    <w:rsid w:val="003E14DF"/>
    <w:rsid w:val="003E753E"/>
    <w:rsid w:val="003E7AD8"/>
    <w:rsid w:val="004003DE"/>
    <w:rsid w:val="00403127"/>
    <w:rsid w:val="00403530"/>
    <w:rsid w:val="0041023E"/>
    <w:rsid w:val="00411419"/>
    <w:rsid w:val="0041514C"/>
    <w:rsid w:val="00416B5B"/>
    <w:rsid w:val="004179E3"/>
    <w:rsid w:val="00422859"/>
    <w:rsid w:val="00424FF4"/>
    <w:rsid w:val="00425FDD"/>
    <w:rsid w:val="00427C80"/>
    <w:rsid w:val="00431A7C"/>
    <w:rsid w:val="004321E6"/>
    <w:rsid w:val="0043239B"/>
    <w:rsid w:val="004365A6"/>
    <w:rsid w:val="00436FDA"/>
    <w:rsid w:val="00446B1E"/>
    <w:rsid w:val="0044737C"/>
    <w:rsid w:val="00450873"/>
    <w:rsid w:val="004543EE"/>
    <w:rsid w:val="004545E2"/>
    <w:rsid w:val="004562D8"/>
    <w:rsid w:val="0046078D"/>
    <w:rsid w:val="00462B35"/>
    <w:rsid w:val="004723E8"/>
    <w:rsid w:val="00480536"/>
    <w:rsid w:val="00491F7C"/>
    <w:rsid w:val="0049252E"/>
    <w:rsid w:val="0049562E"/>
    <w:rsid w:val="004A2270"/>
    <w:rsid w:val="004A3250"/>
    <w:rsid w:val="004A4ACD"/>
    <w:rsid w:val="004A6F34"/>
    <w:rsid w:val="004B006F"/>
    <w:rsid w:val="004B43B8"/>
    <w:rsid w:val="004B4E6C"/>
    <w:rsid w:val="004B531B"/>
    <w:rsid w:val="004C376D"/>
    <w:rsid w:val="004D065D"/>
    <w:rsid w:val="004D0851"/>
    <w:rsid w:val="004D12C2"/>
    <w:rsid w:val="004D1D1E"/>
    <w:rsid w:val="004E18B0"/>
    <w:rsid w:val="004E18E2"/>
    <w:rsid w:val="004E59D5"/>
    <w:rsid w:val="004E654C"/>
    <w:rsid w:val="004E6836"/>
    <w:rsid w:val="004F1BB8"/>
    <w:rsid w:val="004F1C87"/>
    <w:rsid w:val="004F2D65"/>
    <w:rsid w:val="004F318D"/>
    <w:rsid w:val="004F520A"/>
    <w:rsid w:val="00505443"/>
    <w:rsid w:val="00506990"/>
    <w:rsid w:val="00507656"/>
    <w:rsid w:val="00507777"/>
    <w:rsid w:val="005106BE"/>
    <w:rsid w:val="00522051"/>
    <w:rsid w:val="00522C99"/>
    <w:rsid w:val="005258DB"/>
    <w:rsid w:val="005264F5"/>
    <w:rsid w:val="00526BC6"/>
    <w:rsid w:val="00530F1D"/>
    <w:rsid w:val="00541398"/>
    <w:rsid w:val="00544F0B"/>
    <w:rsid w:val="00550B1F"/>
    <w:rsid w:val="0055302D"/>
    <w:rsid w:val="00555E06"/>
    <w:rsid w:val="00561674"/>
    <w:rsid w:val="0057351C"/>
    <w:rsid w:val="00575314"/>
    <w:rsid w:val="00575E9F"/>
    <w:rsid w:val="0058238F"/>
    <w:rsid w:val="00583635"/>
    <w:rsid w:val="00587BD4"/>
    <w:rsid w:val="005900BE"/>
    <w:rsid w:val="00590581"/>
    <w:rsid w:val="00590D94"/>
    <w:rsid w:val="00591C77"/>
    <w:rsid w:val="005922F9"/>
    <w:rsid w:val="00592755"/>
    <w:rsid w:val="00596A22"/>
    <w:rsid w:val="005A05A6"/>
    <w:rsid w:val="005A3608"/>
    <w:rsid w:val="005A4EBF"/>
    <w:rsid w:val="005A628B"/>
    <w:rsid w:val="005A6DDC"/>
    <w:rsid w:val="005B3C33"/>
    <w:rsid w:val="005B42BE"/>
    <w:rsid w:val="005B4F95"/>
    <w:rsid w:val="005C2AD0"/>
    <w:rsid w:val="005C3376"/>
    <w:rsid w:val="005C4A55"/>
    <w:rsid w:val="005C708E"/>
    <w:rsid w:val="005E3484"/>
    <w:rsid w:val="005E36C2"/>
    <w:rsid w:val="005E6F42"/>
    <w:rsid w:val="005F0B24"/>
    <w:rsid w:val="005F4651"/>
    <w:rsid w:val="006002C0"/>
    <w:rsid w:val="00601FFD"/>
    <w:rsid w:val="006039AB"/>
    <w:rsid w:val="006046C9"/>
    <w:rsid w:val="00611ACE"/>
    <w:rsid w:val="00621784"/>
    <w:rsid w:val="006259D2"/>
    <w:rsid w:val="006262FD"/>
    <w:rsid w:val="00640E26"/>
    <w:rsid w:val="00641318"/>
    <w:rsid w:val="00642135"/>
    <w:rsid w:val="00643560"/>
    <w:rsid w:val="00643975"/>
    <w:rsid w:val="00647D7C"/>
    <w:rsid w:val="006532DD"/>
    <w:rsid w:val="006534BC"/>
    <w:rsid w:val="006549D7"/>
    <w:rsid w:val="006558B5"/>
    <w:rsid w:val="00663907"/>
    <w:rsid w:val="00667C10"/>
    <w:rsid w:val="00681369"/>
    <w:rsid w:val="00681786"/>
    <w:rsid w:val="00684134"/>
    <w:rsid w:val="006842EE"/>
    <w:rsid w:val="00685D39"/>
    <w:rsid w:val="006860C6"/>
    <w:rsid w:val="006910EB"/>
    <w:rsid w:val="00697A3C"/>
    <w:rsid w:val="006A21AF"/>
    <w:rsid w:val="006A3C8F"/>
    <w:rsid w:val="006A40EC"/>
    <w:rsid w:val="006B1A20"/>
    <w:rsid w:val="006B3D7C"/>
    <w:rsid w:val="006B4AC5"/>
    <w:rsid w:val="006B4FD7"/>
    <w:rsid w:val="006B51E8"/>
    <w:rsid w:val="006B6609"/>
    <w:rsid w:val="006B6A84"/>
    <w:rsid w:val="006C23AA"/>
    <w:rsid w:val="006C638E"/>
    <w:rsid w:val="006C68DE"/>
    <w:rsid w:val="006D6A5A"/>
    <w:rsid w:val="006D757C"/>
    <w:rsid w:val="006E2164"/>
    <w:rsid w:val="006E35AD"/>
    <w:rsid w:val="006E3F32"/>
    <w:rsid w:val="006F5245"/>
    <w:rsid w:val="006F6532"/>
    <w:rsid w:val="00706F3D"/>
    <w:rsid w:val="007139D1"/>
    <w:rsid w:val="007220B5"/>
    <w:rsid w:val="0072589D"/>
    <w:rsid w:val="00725BE4"/>
    <w:rsid w:val="00725EA1"/>
    <w:rsid w:val="00727223"/>
    <w:rsid w:val="00740947"/>
    <w:rsid w:val="0074127A"/>
    <w:rsid w:val="00742691"/>
    <w:rsid w:val="00757749"/>
    <w:rsid w:val="00761540"/>
    <w:rsid w:val="00765474"/>
    <w:rsid w:val="00771A13"/>
    <w:rsid w:val="00775C05"/>
    <w:rsid w:val="00781F86"/>
    <w:rsid w:val="00782640"/>
    <w:rsid w:val="00782A8B"/>
    <w:rsid w:val="007853C3"/>
    <w:rsid w:val="007929E8"/>
    <w:rsid w:val="00792C8E"/>
    <w:rsid w:val="007A3690"/>
    <w:rsid w:val="007B013C"/>
    <w:rsid w:val="007B2CC3"/>
    <w:rsid w:val="007B381A"/>
    <w:rsid w:val="007B5EB8"/>
    <w:rsid w:val="007C2840"/>
    <w:rsid w:val="007C426F"/>
    <w:rsid w:val="007D0370"/>
    <w:rsid w:val="007D14F7"/>
    <w:rsid w:val="007D567A"/>
    <w:rsid w:val="007D5C51"/>
    <w:rsid w:val="007D6327"/>
    <w:rsid w:val="007E2B26"/>
    <w:rsid w:val="007E36A5"/>
    <w:rsid w:val="007E4AB6"/>
    <w:rsid w:val="007E73AE"/>
    <w:rsid w:val="007F0C63"/>
    <w:rsid w:val="007F1ABE"/>
    <w:rsid w:val="007F6BA1"/>
    <w:rsid w:val="007F7DC3"/>
    <w:rsid w:val="00800BDA"/>
    <w:rsid w:val="00800C6E"/>
    <w:rsid w:val="00801F34"/>
    <w:rsid w:val="00802355"/>
    <w:rsid w:val="00802CEC"/>
    <w:rsid w:val="008039D0"/>
    <w:rsid w:val="00804144"/>
    <w:rsid w:val="008046D4"/>
    <w:rsid w:val="00806873"/>
    <w:rsid w:val="00815E40"/>
    <w:rsid w:val="00816664"/>
    <w:rsid w:val="0081733A"/>
    <w:rsid w:val="00817952"/>
    <w:rsid w:val="0082371F"/>
    <w:rsid w:val="0082778E"/>
    <w:rsid w:val="00827991"/>
    <w:rsid w:val="00837726"/>
    <w:rsid w:val="00843B7C"/>
    <w:rsid w:val="008466A8"/>
    <w:rsid w:val="00850BB3"/>
    <w:rsid w:val="0085322A"/>
    <w:rsid w:val="0085557C"/>
    <w:rsid w:val="00856FCA"/>
    <w:rsid w:val="00863D1D"/>
    <w:rsid w:val="0086589B"/>
    <w:rsid w:val="00867AAB"/>
    <w:rsid w:val="0087122D"/>
    <w:rsid w:val="00880129"/>
    <w:rsid w:val="00883DB8"/>
    <w:rsid w:val="00884495"/>
    <w:rsid w:val="0088668C"/>
    <w:rsid w:val="008969D4"/>
    <w:rsid w:val="0089786A"/>
    <w:rsid w:val="008A2268"/>
    <w:rsid w:val="008B01C2"/>
    <w:rsid w:val="008B295C"/>
    <w:rsid w:val="008B29ED"/>
    <w:rsid w:val="008B4566"/>
    <w:rsid w:val="008C12A5"/>
    <w:rsid w:val="008C7056"/>
    <w:rsid w:val="008C7089"/>
    <w:rsid w:val="008E190F"/>
    <w:rsid w:val="008E1F51"/>
    <w:rsid w:val="008E6B34"/>
    <w:rsid w:val="008F4C64"/>
    <w:rsid w:val="008F70C6"/>
    <w:rsid w:val="009073E1"/>
    <w:rsid w:val="00916001"/>
    <w:rsid w:val="00920DE5"/>
    <w:rsid w:val="009211A4"/>
    <w:rsid w:val="00921F9F"/>
    <w:rsid w:val="00921FAF"/>
    <w:rsid w:val="009268B5"/>
    <w:rsid w:val="009273C7"/>
    <w:rsid w:val="0092781C"/>
    <w:rsid w:val="0093092E"/>
    <w:rsid w:val="00933CC9"/>
    <w:rsid w:val="00936D24"/>
    <w:rsid w:val="009372A9"/>
    <w:rsid w:val="00943E5D"/>
    <w:rsid w:val="0094409E"/>
    <w:rsid w:val="00946228"/>
    <w:rsid w:val="00950302"/>
    <w:rsid w:val="00953180"/>
    <w:rsid w:val="009576C1"/>
    <w:rsid w:val="00962725"/>
    <w:rsid w:val="009627EA"/>
    <w:rsid w:val="00963344"/>
    <w:rsid w:val="00963C00"/>
    <w:rsid w:val="00964042"/>
    <w:rsid w:val="009664ED"/>
    <w:rsid w:val="00970237"/>
    <w:rsid w:val="00970C9D"/>
    <w:rsid w:val="00985B51"/>
    <w:rsid w:val="0098754A"/>
    <w:rsid w:val="00987E1C"/>
    <w:rsid w:val="00993C79"/>
    <w:rsid w:val="009966E0"/>
    <w:rsid w:val="009A16C1"/>
    <w:rsid w:val="009B0246"/>
    <w:rsid w:val="009B730C"/>
    <w:rsid w:val="009C1A92"/>
    <w:rsid w:val="009C2DD0"/>
    <w:rsid w:val="009C4341"/>
    <w:rsid w:val="009C746C"/>
    <w:rsid w:val="009CB33F"/>
    <w:rsid w:val="009E09AB"/>
    <w:rsid w:val="009E104D"/>
    <w:rsid w:val="009E28BF"/>
    <w:rsid w:val="009E394E"/>
    <w:rsid w:val="009E76CB"/>
    <w:rsid w:val="009F2E81"/>
    <w:rsid w:val="009F4839"/>
    <w:rsid w:val="009F704C"/>
    <w:rsid w:val="00A00C3B"/>
    <w:rsid w:val="00A03D80"/>
    <w:rsid w:val="00A10DCA"/>
    <w:rsid w:val="00A10F58"/>
    <w:rsid w:val="00A129EA"/>
    <w:rsid w:val="00A13177"/>
    <w:rsid w:val="00A1333E"/>
    <w:rsid w:val="00A20940"/>
    <w:rsid w:val="00A212D6"/>
    <w:rsid w:val="00A2583F"/>
    <w:rsid w:val="00A25BAE"/>
    <w:rsid w:val="00A25CDF"/>
    <w:rsid w:val="00A26063"/>
    <w:rsid w:val="00A263EA"/>
    <w:rsid w:val="00A31556"/>
    <w:rsid w:val="00A32031"/>
    <w:rsid w:val="00A40457"/>
    <w:rsid w:val="00A40B1E"/>
    <w:rsid w:val="00A416F8"/>
    <w:rsid w:val="00A454E3"/>
    <w:rsid w:val="00A45C36"/>
    <w:rsid w:val="00A46CE8"/>
    <w:rsid w:val="00A51504"/>
    <w:rsid w:val="00A56CB8"/>
    <w:rsid w:val="00A5705A"/>
    <w:rsid w:val="00A57E60"/>
    <w:rsid w:val="00A7235C"/>
    <w:rsid w:val="00A72889"/>
    <w:rsid w:val="00A754CC"/>
    <w:rsid w:val="00A8017B"/>
    <w:rsid w:val="00A806AB"/>
    <w:rsid w:val="00A8399D"/>
    <w:rsid w:val="00A84CE6"/>
    <w:rsid w:val="00A84FC3"/>
    <w:rsid w:val="00A9057F"/>
    <w:rsid w:val="00A91094"/>
    <w:rsid w:val="00A918B1"/>
    <w:rsid w:val="00A97669"/>
    <w:rsid w:val="00AA5DA5"/>
    <w:rsid w:val="00AA6196"/>
    <w:rsid w:val="00AA7325"/>
    <w:rsid w:val="00AB1148"/>
    <w:rsid w:val="00AB2A80"/>
    <w:rsid w:val="00AB5D73"/>
    <w:rsid w:val="00AB6D47"/>
    <w:rsid w:val="00AB7B57"/>
    <w:rsid w:val="00AC34D6"/>
    <w:rsid w:val="00AC36A6"/>
    <w:rsid w:val="00AC492C"/>
    <w:rsid w:val="00AC4FF2"/>
    <w:rsid w:val="00AE0EF6"/>
    <w:rsid w:val="00AE1816"/>
    <w:rsid w:val="00AE443C"/>
    <w:rsid w:val="00AE544E"/>
    <w:rsid w:val="00AF1E67"/>
    <w:rsid w:val="00AF259A"/>
    <w:rsid w:val="00AF2738"/>
    <w:rsid w:val="00AF2F3B"/>
    <w:rsid w:val="00AF40FB"/>
    <w:rsid w:val="00B04823"/>
    <w:rsid w:val="00B11873"/>
    <w:rsid w:val="00B11B90"/>
    <w:rsid w:val="00B11CFA"/>
    <w:rsid w:val="00B13EC1"/>
    <w:rsid w:val="00B237EA"/>
    <w:rsid w:val="00B256A6"/>
    <w:rsid w:val="00B25C5B"/>
    <w:rsid w:val="00B26610"/>
    <w:rsid w:val="00B36771"/>
    <w:rsid w:val="00B4057A"/>
    <w:rsid w:val="00B42FDB"/>
    <w:rsid w:val="00B51A45"/>
    <w:rsid w:val="00B547D3"/>
    <w:rsid w:val="00B54D13"/>
    <w:rsid w:val="00B56EE7"/>
    <w:rsid w:val="00B57837"/>
    <w:rsid w:val="00B57C59"/>
    <w:rsid w:val="00B57C79"/>
    <w:rsid w:val="00B60B93"/>
    <w:rsid w:val="00B616A4"/>
    <w:rsid w:val="00B64DC7"/>
    <w:rsid w:val="00B65668"/>
    <w:rsid w:val="00B674BF"/>
    <w:rsid w:val="00B67ACE"/>
    <w:rsid w:val="00B67CF8"/>
    <w:rsid w:val="00B73139"/>
    <w:rsid w:val="00B80368"/>
    <w:rsid w:val="00B9270C"/>
    <w:rsid w:val="00B94C46"/>
    <w:rsid w:val="00B96597"/>
    <w:rsid w:val="00B970A0"/>
    <w:rsid w:val="00BA05C8"/>
    <w:rsid w:val="00BA2CFA"/>
    <w:rsid w:val="00BA5494"/>
    <w:rsid w:val="00BB048E"/>
    <w:rsid w:val="00BB4FEA"/>
    <w:rsid w:val="00BB50D1"/>
    <w:rsid w:val="00BB7ADC"/>
    <w:rsid w:val="00BC19D5"/>
    <w:rsid w:val="00BD486F"/>
    <w:rsid w:val="00BD7539"/>
    <w:rsid w:val="00BE2C67"/>
    <w:rsid w:val="00BE2FA5"/>
    <w:rsid w:val="00BF3517"/>
    <w:rsid w:val="00BF3F3E"/>
    <w:rsid w:val="00C0115E"/>
    <w:rsid w:val="00C037B6"/>
    <w:rsid w:val="00C05DF3"/>
    <w:rsid w:val="00C10245"/>
    <w:rsid w:val="00C10BD7"/>
    <w:rsid w:val="00C14699"/>
    <w:rsid w:val="00C16A81"/>
    <w:rsid w:val="00C16C97"/>
    <w:rsid w:val="00C217BC"/>
    <w:rsid w:val="00C220B0"/>
    <w:rsid w:val="00C24832"/>
    <w:rsid w:val="00C374D9"/>
    <w:rsid w:val="00C41901"/>
    <w:rsid w:val="00C46E86"/>
    <w:rsid w:val="00C477AE"/>
    <w:rsid w:val="00C5658A"/>
    <w:rsid w:val="00C62B89"/>
    <w:rsid w:val="00C665EE"/>
    <w:rsid w:val="00C725E2"/>
    <w:rsid w:val="00C73BCB"/>
    <w:rsid w:val="00C74A64"/>
    <w:rsid w:val="00C74D4E"/>
    <w:rsid w:val="00C76636"/>
    <w:rsid w:val="00C77D67"/>
    <w:rsid w:val="00C85144"/>
    <w:rsid w:val="00C8783E"/>
    <w:rsid w:val="00C90438"/>
    <w:rsid w:val="00C92A35"/>
    <w:rsid w:val="00C92CB4"/>
    <w:rsid w:val="00C933D0"/>
    <w:rsid w:val="00CA1941"/>
    <w:rsid w:val="00CA2B48"/>
    <w:rsid w:val="00CA6F6F"/>
    <w:rsid w:val="00CB2FF5"/>
    <w:rsid w:val="00CB7146"/>
    <w:rsid w:val="00CC05E2"/>
    <w:rsid w:val="00CC1266"/>
    <w:rsid w:val="00CC1566"/>
    <w:rsid w:val="00CC2DE0"/>
    <w:rsid w:val="00CC3A41"/>
    <w:rsid w:val="00CC4241"/>
    <w:rsid w:val="00CC7268"/>
    <w:rsid w:val="00CD2542"/>
    <w:rsid w:val="00CD5BCF"/>
    <w:rsid w:val="00CD795F"/>
    <w:rsid w:val="00CD7ED7"/>
    <w:rsid w:val="00CE05D2"/>
    <w:rsid w:val="00CF09A9"/>
    <w:rsid w:val="00CF5B5E"/>
    <w:rsid w:val="00D0235E"/>
    <w:rsid w:val="00D11EAE"/>
    <w:rsid w:val="00D141DB"/>
    <w:rsid w:val="00D1568B"/>
    <w:rsid w:val="00D1627A"/>
    <w:rsid w:val="00D24643"/>
    <w:rsid w:val="00D25292"/>
    <w:rsid w:val="00D27403"/>
    <w:rsid w:val="00D3068B"/>
    <w:rsid w:val="00D3193B"/>
    <w:rsid w:val="00D34195"/>
    <w:rsid w:val="00D351D6"/>
    <w:rsid w:val="00D36C97"/>
    <w:rsid w:val="00D37CE5"/>
    <w:rsid w:val="00D418A1"/>
    <w:rsid w:val="00D419B1"/>
    <w:rsid w:val="00D43EFC"/>
    <w:rsid w:val="00D4500B"/>
    <w:rsid w:val="00D470DA"/>
    <w:rsid w:val="00D50D00"/>
    <w:rsid w:val="00D560B4"/>
    <w:rsid w:val="00D66F63"/>
    <w:rsid w:val="00D775A9"/>
    <w:rsid w:val="00D80CA3"/>
    <w:rsid w:val="00D83CB1"/>
    <w:rsid w:val="00D87CB8"/>
    <w:rsid w:val="00D9137C"/>
    <w:rsid w:val="00D92C0F"/>
    <w:rsid w:val="00D93D84"/>
    <w:rsid w:val="00D9493C"/>
    <w:rsid w:val="00D971BB"/>
    <w:rsid w:val="00DA042E"/>
    <w:rsid w:val="00DA14F3"/>
    <w:rsid w:val="00DA5245"/>
    <w:rsid w:val="00DB068B"/>
    <w:rsid w:val="00DB192C"/>
    <w:rsid w:val="00DB21E6"/>
    <w:rsid w:val="00DC2773"/>
    <w:rsid w:val="00DC31B5"/>
    <w:rsid w:val="00DC3B1E"/>
    <w:rsid w:val="00DD1CA9"/>
    <w:rsid w:val="00DD518F"/>
    <w:rsid w:val="00DD6099"/>
    <w:rsid w:val="00DD6709"/>
    <w:rsid w:val="00DD7DFC"/>
    <w:rsid w:val="00DE33DB"/>
    <w:rsid w:val="00DE3E0A"/>
    <w:rsid w:val="00DE5A5A"/>
    <w:rsid w:val="00DE643B"/>
    <w:rsid w:val="00DE69A9"/>
    <w:rsid w:val="00DE7E9C"/>
    <w:rsid w:val="00DE7FAB"/>
    <w:rsid w:val="00DF137F"/>
    <w:rsid w:val="00E011E7"/>
    <w:rsid w:val="00E0130D"/>
    <w:rsid w:val="00E0302B"/>
    <w:rsid w:val="00E062E0"/>
    <w:rsid w:val="00E10E7F"/>
    <w:rsid w:val="00E12524"/>
    <w:rsid w:val="00E14F7C"/>
    <w:rsid w:val="00E14FB1"/>
    <w:rsid w:val="00E16249"/>
    <w:rsid w:val="00E16732"/>
    <w:rsid w:val="00E20BB9"/>
    <w:rsid w:val="00E22472"/>
    <w:rsid w:val="00E25334"/>
    <w:rsid w:val="00E33C67"/>
    <w:rsid w:val="00E34D94"/>
    <w:rsid w:val="00E36D3D"/>
    <w:rsid w:val="00E43968"/>
    <w:rsid w:val="00E45C7F"/>
    <w:rsid w:val="00E5067C"/>
    <w:rsid w:val="00E55992"/>
    <w:rsid w:val="00E62487"/>
    <w:rsid w:val="00E66E33"/>
    <w:rsid w:val="00E67E7C"/>
    <w:rsid w:val="00E8449E"/>
    <w:rsid w:val="00E8479E"/>
    <w:rsid w:val="00E87654"/>
    <w:rsid w:val="00E941AF"/>
    <w:rsid w:val="00E95186"/>
    <w:rsid w:val="00E9699B"/>
    <w:rsid w:val="00E9704E"/>
    <w:rsid w:val="00EA02F9"/>
    <w:rsid w:val="00EA0700"/>
    <w:rsid w:val="00EA2010"/>
    <w:rsid w:val="00EA2A2A"/>
    <w:rsid w:val="00EA365F"/>
    <w:rsid w:val="00EA39A8"/>
    <w:rsid w:val="00EA3D01"/>
    <w:rsid w:val="00EA4685"/>
    <w:rsid w:val="00EB1029"/>
    <w:rsid w:val="00EB266A"/>
    <w:rsid w:val="00EB2CE4"/>
    <w:rsid w:val="00EB64EF"/>
    <w:rsid w:val="00EC0BFF"/>
    <w:rsid w:val="00EC3113"/>
    <w:rsid w:val="00EC573F"/>
    <w:rsid w:val="00EC5D9C"/>
    <w:rsid w:val="00EC73D3"/>
    <w:rsid w:val="00ED0F8F"/>
    <w:rsid w:val="00ED30D2"/>
    <w:rsid w:val="00ED50E7"/>
    <w:rsid w:val="00ED527F"/>
    <w:rsid w:val="00ED5E24"/>
    <w:rsid w:val="00EE21DA"/>
    <w:rsid w:val="00EE3A12"/>
    <w:rsid w:val="00EE70E5"/>
    <w:rsid w:val="00EF1178"/>
    <w:rsid w:val="00EF3C0B"/>
    <w:rsid w:val="00EF69E0"/>
    <w:rsid w:val="00EF7E6A"/>
    <w:rsid w:val="00F031DB"/>
    <w:rsid w:val="00F052CC"/>
    <w:rsid w:val="00F05D1C"/>
    <w:rsid w:val="00F06CD2"/>
    <w:rsid w:val="00F10B5C"/>
    <w:rsid w:val="00F1417E"/>
    <w:rsid w:val="00F175DE"/>
    <w:rsid w:val="00F241CE"/>
    <w:rsid w:val="00F26B11"/>
    <w:rsid w:val="00F27F8F"/>
    <w:rsid w:val="00F30856"/>
    <w:rsid w:val="00F34F69"/>
    <w:rsid w:val="00F41410"/>
    <w:rsid w:val="00F42654"/>
    <w:rsid w:val="00F44BB3"/>
    <w:rsid w:val="00F45038"/>
    <w:rsid w:val="00F46163"/>
    <w:rsid w:val="00F47275"/>
    <w:rsid w:val="00F57B27"/>
    <w:rsid w:val="00F60B86"/>
    <w:rsid w:val="00F62894"/>
    <w:rsid w:val="00F64D4C"/>
    <w:rsid w:val="00F70C86"/>
    <w:rsid w:val="00F74DCB"/>
    <w:rsid w:val="00F75303"/>
    <w:rsid w:val="00F86B70"/>
    <w:rsid w:val="00F92B26"/>
    <w:rsid w:val="00F93BD9"/>
    <w:rsid w:val="00F93F25"/>
    <w:rsid w:val="00F94CAA"/>
    <w:rsid w:val="00FA2180"/>
    <w:rsid w:val="00FA7C00"/>
    <w:rsid w:val="00FB271A"/>
    <w:rsid w:val="00FB4F5D"/>
    <w:rsid w:val="00FB5723"/>
    <w:rsid w:val="00FC1718"/>
    <w:rsid w:val="00FC30D9"/>
    <w:rsid w:val="00FD1B8D"/>
    <w:rsid w:val="00FD5CDD"/>
    <w:rsid w:val="00FD6631"/>
    <w:rsid w:val="00FD69F4"/>
    <w:rsid w:val="00FE42EC"/>
    <w:rsid w:val="00FE5CAA"/>
    <w:rsid w:val="00FE711B"/>
    <w:rsid w:val="00FF00E5"/>
    <w:rsid w:val="00FF1BE3"/>
    <w:rsid w:val="00FF221A"/>
    <w:rsid w:val="00FF65B2"/>
    <w:rsid w:val="00FF7FFC"/>
    <w:rsid w:val="01ED668E"/>
    <w:rsid w:val="029DF7D7"/>
    <w:rsid w:val="030CC081"/>
    <w:rsid w:val="041369A8"/>
    <w:rsid w:val="056DDF67"/>
    <w:rsid w:val="05B291DD"/>
    <w:rsid w:val="06BD48EA"/>
    <w:rsid w:val="06CCA65F"/>
    <w:rsid w:val="077C6E82"/>
    <w:rsid w:val="090D85E5"/>
    <w:rsid w:val="09180C12"/>
    <w:rsid w:val="0937E772"/>
    <w:rsid w:val="0A376399"/>
    <w:rsid w:val="0B3691B6"/>
    <w:rsid w:val="0BA62875"/>
    <w:rsid w:val="0C1FF4D9"/>
    <w:rsid w:val="0C693F72"/>
    <w:rsid w:val="0D41F8D6"/>
    <w:rsid w:val="0E1287F5"/>
    <w:rsid w:val="0E9D5DA0"/>
    <w:rsid w:val="0F1EF42E"/>
    <w:rsid w:val="10DB16FE"/>
    <w:rsid w:val="10E608FB"/>
    <w:rsid w:val="11961F5E"/>
    <w:rsid w:val="119F5140"/>
    <w:rsid w:val="125694F0"/>
    <w:rsid w:val="1267CFC7"/>
    <w:rsid w:val="1321C1CF"/>
    <w:rsid w:val="133C77E8"/>
    <w:rsid w:val="13928E59"/>
    <w:rsid w:val="139811FD"/>
    <w:rsid w:val="13B348C3"/>
    <w:rsid w:val="13FF31A8"/>
    <w:rsid w:val="14D274A6"/>
    <w:rsid w:val="152E3612"/>
    <w:rsid w:val="15EAA0B5"/>
    <w:rsid w:val="16419AA2"/>
    <w:rsid w:val="17AD57DD"/>
    <w:rsid w:val="184AA1CC"/>
    <w:rsid w:val="18619105"/>
    <w:rsid w:val="18EFBA0C"/>
    <w:rsid w:val="193401A7"/>
    <w:rsid w:val="1DA8AC4A"/>
    <w:rsid w:val="1E3A871B"/>
    <w:rsid w:val="1E9F2699"/>
    <w:rsid w:val="1F3A94E7"/>
    <w:rsid w:val="20A9222D"/>
    <w:rsid w:val="2125EB2F"/>
    <w:rsid w:val="218C889F"/>
    <w:rsid w:val="2299F564"/>
    <w:rsid w:val="23729626"/>
    <w:rsid w:val="23D180A1"/>
    <w:rsid w:val="23F9EB4C"/>
    <w:rsid w:val="243AE9D1"/>
    <w:rsid w:val="243F4E37"/>
    <w:rsid w:val="246A3C42"/>
    <w:rsid w:val="2490BDE3"/>
    <w:rsid w:val="24BBA970"/>
    <w:rsid w:val="26489E29"/>
    <w:rsid w:val="26645034"/>
    <w:rsid w:val="276AD651"/>
    <w:rsid w:val="27D9997C"/>
    <w:rsid w:val="27E32FC9"/>
    <w:rsid w:val="2877B4CF"/>
    <w:rsid w:val="292CE7B9"/>
    <w:rsid w:val="2B1882FA"/>
    <w:rsid w:val="2B5AC266"/>
    <w:rsid w:val="2BA14309"/>
    <w:rsid w:val="2BC9B2B2"/>
    <w:rsid w:val="2D197A02"/>
    <w:rsid w:val="2DEE9085"/>
    <w:rsid w:val="2E6B3F00"/>
    <w:rsid w:val="2FDE35C7"/>
    <w:rsid w:val="307AD92E"/>
    <w:rsid w:val="30AE0B20"/>
    <w:rsid w:val="3249DB81"/>
    <w:rsid w:val="325B1658"/>
    <w:rsid w:val="327E6C7A"/>
    <w:rsid w:val="332A946E"/>
    <w:rsid w:val="3388BB86"/>
    <w:rsid w:val="3429C9FF"/>
    <w:rsid w:val="348AF216"/>
    <w:rsid w:val="34CE858A"/>
    <w:rsid w:val="358D3D9F"/>
    <w:rsid w:val="35A8905B"/>
    <w:rsid w:val="361054FD"/>
    <w:rsid w:val="36F20838"/>
    <w:rsid w:val="3889CD36"/>
    <w:rsid w:val="38CA57DC"/>
    <w:rsid w:val="3BDEDE26"/>
    <w:rsid w:val="3BF4EAAD"/>
    <w:rsid w:val="3CB1F392"/>
    <w:rsid w:val="3CCB585D"/>
    <w:rsid w:val="3D1C8339"/>
    <w:rsid w:val="3DA7E5B9"/>
    <w:rsid w:val="3E3BE452"/>
    <w:rsid w:val="3E4DC3F3"/>
    <w:rsid w:val="3EBE3515"/>
    <w:rsid w:val="3F22BF25"/>
    <w:rsid w:val="3F4983C1"/>
    <w:rsid w:val="3F6C2688"/>
    <w:rsid w:val="3FBE8C56"/>
    <w:rsid w:val="401433F6"/>
    <w:rsid w:val="403BFA22"/>
    <w:rsid w:val="4098C9D8"/>
    <w:rsid w:val="4098EA7E"/>
    <w:rsid w:val="41CC00B8"/>
    <w:rsid w:val="42756322"/>
    <w:rsid w:val="42D8337B"/>
    <w:rsid w:val="4383413F"/>
    <w:rsid w:val="43965D4E"/>
    <w:rsid w:val="43D105A7"/>
    <w:rsid w:val="44E7A519"/>
    <w:rsid w:val="45190EE4"/>
    <w:rsid w:val="45C6846C"/>
    <w:rsid w:val="4658310E"/>
    <w:rsid w:val="46723AA3"/>
    <w:rsid w:val="46D68012"/>
    <w:rsid w:val="47F056BA"/>
    <w:rsid w:val="48183C16"/>
    <w:rsid w:val="488E5CC0"/>
    <w:rsid w:val="4954D88F"/>
    <w:rsid w:val="49956749"/>
    <w:rsid w:val="4A9CF98E"/>
    <w:rsid w:val="4C91AC84"/>
    <w:rsid w:val="4E01D0B6"/>
    <w:rsid w:val="4E853A0E"/>
    <w:rsid w:val="4FB44B95"/>
    <w:rsid w:val="509F56B9"/>
    <w:rsid w:val="50E48079"/>
    <w:rsid w:val="51D58449"/>
    <w:rsid w:val="526DFD7B"/>
    <w:rsid w:val="52D07669"/>
    <w:rsid w:val="55166F1E"/>
    <w:rsid w:val="562769E3"/>
    <w:rsid w:val="579495BF"/>
    <w:rsid w:val="589061C3"/>
    <w:rsid w:val="58E02869"/>
    <w:rsid w:val="59E4796C"/>
    <w:rsid w:val="5A3C860C"/>
    <w:rsid w:val="5A3D2474"/>
    <w:rsid w:val="5C812E24"/>
    <w:rsid w:val="5C8974BE"/>
    <w:rsid w:val="5D19C3FA"/>
    <w:rsid w:val="5E20764F"/>
    <w:rsid w:val="5EFCBE5C"/>
    <w:rsid w:val="5FF2F0B8"/>
    <w:rsid w:val="63608EA1"/>
    <w:rsid w:val="6366E175"/>
    <w:rsid w:val="642A587A"/>
    <w:rsid w:val="64860022"/>
    <w:rsid w:val="64A5B523"/>
    <w:rsid w:val="6543DCCD"/>
    <w:rsid w:val="66088B24"/>
    <w:rsid w:val="668CBD46"/>
    <w:rsid w:val="669E8237"/>
    <w:rsid w:val="66B037E0"/>
    <w:rsid w:val="673C9D8A"/>
    <w:rsid w:val="674DD861"/>
    <w:rsid w:val="67A3B8F7"/>
    <w:rsid w:val="6886081D"/>
    <w:rsid w:val="68DB5A97"/>
    <w:rsid w:val="693BEA27"/>
    <w:rsid w:val="69D622F9"/>
    <w:rsid w:val="6A9F82B8"/>
    <w:rsid w:val="6BB20846"/>
    <w:rsid w:val="6C7651E6"/>
    <w:rsid w:val="6D4EEEB2"/>
    <w:rsid w:val="6DB80E54"/>
    <w:rsid w:val="6DF04BD7"/>
    <w:rsid w:val="6ECAD54A"/>
    <w:rsid w:val="70868F74"/>
    <w:rsid w:val="70EF9AB2"/>
    <w:rsid w:val="7127EC99"/>
    <w:rsid w:val="7147C53F"/>
    <w:rsid w:val="71E92264"/>
    <w:rsid w:val="7201567A"/>
    <w:rsid w:val="7214FC1B"/>
    <w:rsid w:val="7384F2C5"/>
    <w:rsid w:val="746F9816"/>
    <w:rsid w:val="74FC87B2"/>
    <w:rsid w:val="7542004E"/>
    <w:rsid w:val="75703B7E"/>
    <w:rsid w:val="758BED89"/>
    <w:rsid w:val="75C3D441"/>
    <w:rsid w:val="75E99605"/>
    <w:rsid w:val="76245292"/>
    <w:rsid w:val="76345EBF"/>
    <w:rsid w:val="76BC9387"/>
    <w:rsid w:val="7AD2A2B5"/>
    <w:rsid w:val="7B8F0B46"/>
    <w:rsid w:val="7C90D436"/>
    <w:rsid w:val="7D407DCC"/>
    <w:rsid w:val="7E288EA9"/>
    <w:rsid w:val="7E597A39"/>
    <w:rsid w:val="7EC89DEF"/>
    <w:rsid w:val="7F08D063"/>
    <w:rsid w:val="7F491FC0"/>
    <w:rsid w:val="7FD34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09BA2D7"/>
  <w15:chartTrackingRefBased/>
  <w15:docId w15:val="{B17B81CC-B9F7-4B2A-A9C9-FD83CE32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FEA"/>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BA2CFA"/>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352E6F"/>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3477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352E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2E6F"/>
    <w:rPr>
      <w:rFonts w:ascii="Arial" w:eastAsiaTheme="majorEastAsia" w:hAnsi="Arial" w:cstheme="majorBidi"/>
      <w:b/>
      <w:sz w:val="24"/>
      <w:szCs w:val="26"/>
    </w:rPr>
  </w:style>
  <w:style w:type="character" w:customStyle="1" w:styleId="Heading4Char">
    <w:name w:val="Heading 4 Char"/>
    <w:basedOn w:val="DefaultParagraphFont"/>
    <w:link w:val="Heading4"/>
    <w:semiHidden/>
    <w:rsid w:val="00352E6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rsid w:val="00352E6F"/>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rsid w:val="00352E6F"/>
    <w:rPr>
      <w:rFonts w:ascii="Times New Roman" w:eastAsia="Times New Roman" w:hAnsi="Times New Roman" w:cs="Times New Roman"/>
      <w:sz w:val="24"/>
      <w:szCs w:val="20"/>
      <w:lang w:val="en-GB"/>
    </w:rPr>
  </w:style>
  <w:style w:type="paragraph" w:styleId="Footer">
    <w:name w:val="footer"/>
    <w:basedOn w:val="Normal"/>
    <w:link w:val="FooterChar"/>
    <w:uiPriority w:val="99"/>
    <w:rsid w:val="00352E6F"/>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352E6F"/>
    <w:rPr>
      <w:rFonts w:ascii="Arial" w:eastAsia="Times New Roman" w:hAnsi="Arial" w:cs="Times New Roman"/>
      <w:sz w:val="18"/>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352E6F"/>
    <w:pPr>
      <w:spacing w:after="0" w:line="240" w:lineRule="auto"/>
      <w:ind w:left="720"/>
    </w:pPr>
    <w:rPr>
      <w:rFonts w:cs="Calibri"/>
      <w:lang w:eastAsia="en-AU"/>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Quote,ft,fn"/>
    <w:basedOn w:val="Normal"/>
    <w:link w:val="FootnoteTextChar"/>
    <w:uiPriority w:val="99"/>
    <w:rsid w:val="00352E6F"/>
    <w:pPr>
      <w:widowControl w:val="0"/>
      <w:spacing w:after="60" w:line="240" w:lineRule="auto"/>
    </w:pPr>
    <w:rPr>
      <w:rFonts w:ascii="Times New Roman" w:hAnsi="Times New Roman"/>
      <w:sz w:val="20"/>
      <w:szCs w:val="20"/>
      <w:lang w:val="en-GB"/>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ft Char"/>
    <w:basedOn w:val="DefaultParagraphFont"/>
    <w:link w:val="FootnoteText"/>
    <w:uiPriority w:val="99"/>
    <w:rsid w:val="00352E6F"/>
    <w:rPr>
      <w:rFonts w:ascii="Times New Roman" w:eastAsia="Times New Roman" w:hAnsi="Times New Roman" w:cs="Times New Roman"/>
      <w:sz w:val="20"/>
      <w:szCs w:val="20"/>
      <w:lang w:val="en-GB"/>
    </w:rPr>
  </w:style>
  <w:style w:type="character" w:styleId="FootnoteReference">
    <w:name w:val="footnote reference"/>
    <w:aliases w:val="Footnotes refss,4_G,Footnote number"/>
    <w:basedOn w:val="DefaultParagraphFont"/>
    <w:rsid w:val="00352E6F"/>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352E6F"/>
    <w:rPr>
      <w:rFonts w:ascii="Calibri" w:eastAsia="Times New Roman" w:hAnsi="Calibri" w:cs="Calibri"/>
      <w:lang w:eastAsia="en-AU"/>
    </w:rPr>
  </w:style>
  <w:style w:type="paragraph" w:customStyle="1" w:styleId="ESStandard1">
    <w:name w:val="ES Standard1"/>
    <w:basedOn w:val="Normal"/>
    <w:qFormat/>
    <w:rsid w:val="00352E6F"/>
    <w:rPr>
      <w:rFonts w:ascii="Arial" w:hAnsi="Arial" w:cs="Arial"/>
      <w:iCs/>
      <w:sz w:val="24"/>
      <w:szCs w:val="24"/>
    </w:rPr>
  </w:style>
  <w:style w:type="paragraph" w:customStyle="1" w:styleId="LDStandard2">
    <w:name w:val="LD_Standard2"/>
    <w:basedOn w:val="Normal"/>
    <w:rsid w:val="00352E6F"/>
    <w:pPr>
      <w:numPr>
        <w:ilvl w:val="1"/>
        <w:numId w:val="3"/>
      </w:numPr>
      <w:spacing w:after="240" w:line="240" w:lineRule="auto"/>
      <w:jc w:val="both"/>
    </w:pPr>
    <w:rPr>
      <w:rFonts w:ascii="Arial" w:hAnsi="Arial"/>
      <w:b/>
      <w:sz w:val="24"/>
      <w:szCs w:val="20"/>
    </w:rPr>
  </w:style>
  <w:style w:type="paragraph" w:customStyle="1" w:styleId="LDStandard3">
    <w:name w:val="LD_Standard3"/>
    <w:basedOn w:val="Normal"/>
    <w:rsid w:val="00352E6F"/>
    <w:pPr>
      <w:numPr>
        <w:ilvl w:val="2"/>
        <w:numId w:val="3"/>
      </w:numPr>
      <w:spacing w:after="240" w:line="240" w:lineRule="auto"/>
      <w:jc w:val="both"/>
    </w:pPr>
    <w:rPr>
      <w:rFonts w:ascii="Times New Roman" w:hAnsi="Times New Roman"/>
      <w:sz w:val="24"/>
      <w:szCs w:val="20"/>
    </w:rPr>
  </w:style>
  <w:style w:type="paragraph" w:customStyle="1" w:styleId="LDStandard4">
    <w:name w:val="LD_Standard4"/>
    <w:basedOn w:val="Normal"/>
    <w:qFormat/>
    <w:rsid w:val="00352E6F"/>
    <w:pPr>
      <w:numPr>
        <w:ilvl w:val="3"/>
        <w:numId w:val="3"/>
      </w:numPr>
      <w:spacing w:after="120" w:line="240" w:lineRule="auto"/>
      <w:jc w:val="both"/>
    </w:pPr>
    <w:rPr>
      <w:rFonts w:ascii="Times New Roman" w:hAnsi="Times New Roman"/>
      <w:sz w:val="24"/>
      <w:szCs w:val="20"/>
    </w:rPr>
  </w:style>
  <w:style w:type="paragraph" w:customStyle="1" w:styleId="LDStandard5">
    <w:name w:val="LD_Standard5"/>
    <w:basedOn w:val="Normal"/>
    <w:qFormat/>
    <w:rsid w:val="00352E6F"/>
    <w:pPr>
      <w:numPr>
        <w:ilvl w:val="4"/>
        <w:numId w:val="3"/>
      </w:numPr>
      <w:spacing w:after="240" w:line="240" w:lineRule="auto"/>
      <w:jc w:val="both"/>
    </w:pPr>
    <w:rPr>
      <w:rFonts w:ascii="Times New Roman" w:hAnsi="Times New Roman"/>
      <w:sz w:val="24"/>
      <w:szCs w:val="20"/>
    </w:rPr>
  </w:style>
  <w:style w:type="paragraph" w:customStyle="1" w:styleId="LDStandard6">
    <w:name w:val="LD_Standard6"/>
    <w:basedOn w:val="Normal"/>
    <w:qFormat/>
    <w:rsid w:val="00352E6F"/>
    <w:pPr>
      <w:numPr>
        <w:ilvl w:val="5"/>
        <w:numId w:val="3"/>
      </w:numPr>
      <w:spacing w:after="240" w:line="240" w:lineRule="auto"/>
      <w:jc w:val="both"/>
    </w:pPr>
    <w:rPr>
      <w:rFonts w:ascii="Times New Roman" w:hAnsi="Times New Roman"/>
      <w:sz w:val="24"/>
      <w:szCs w:val="20"/>
    </w:rPr>
  </w:style>
  <w:style w:type="paragraph" w:customStyle="1" w:styleId="LDStandard7">
    <w:name w:val="LD_Standard7"/>
    <w:basedOn w:val="LDStandard6"/>
    <w:rsid w:val="00352E6F"/>
    <w:pPr>
      <w:numPr>
        <w:ilvl w:val="6"/>
      </w:numPr>
    </w:pPr>
  </w:style>
  <w:style w:type="paragraph" w:customStyle="1" w:styleId="LDStandard8">
    <w:name w:val="LD_Standard8"/>
    <w:basedOn w:val="LDStandard7"/>
    <w:rsid w:val="00352E6F"/>
    <w:pPr>
      <w:numPr>
        <w:ilvl w:val="7"/>
      </w:numPr>
    </w:pPr>
  </w:style>
  <w:style w:type="paragraph" w:styleId="NormalWeb">
    <w:name w:val="Normal (Web)"/>
    <w:basedOn w:val="Normal"/>
    <w:uiPriority w:val="99"/>
    <w:unhideWhenUsed/>
    <w:rsid w:val="007C426F"/>
    <w:pPr>
      <w:spacing w:before="100" w:beforeAutospacing="1" w:after="100" w:afterAutospacing="1" w:line="240" w:lineRule="auto"/>
    </w:pPr>
    <w:rPr>
      <w:rFonts w:ascii="Times New Roman" w:hAnsi="Times New Roman"/>
      <w:sz w:val="24"/>
      <w:szCs w:val="24"/>
      <w:lang w:eastAsia="en-AU"/>
    </w:rPr>
  </w:style>
  <w:style w:type="character" w:customStyle="1" w:styleId="Heading1Char">
    <w:name w:val="Heading 1 Char"/>
    <w:basedOn w:val="DefaultParagraphFont"/>
    <w:link w:val="Heading1"/>
    <w:uiPriority w:val="9"/>
    <w:rsid w:val="00BA2CFA"/>
    <w:rPr>
      <w:rFonts w:ascii="Arial" w:eastAsiaTheme="majorEastAsia" w:hAnsi="Arial" w:cs="Times New Roman"/>
      <w:b/>
      <w:bCs/>
      <w:sz w:val="28"/>
      <w:szCs w:val="28"/>
    </w:rPr>
  </w:style>
  <w:style w:type="character" w:customStyle="1" w:styleId="ui-provider">
    <w:name w:val="ui-provider"/>
    <w:basedOn w:val="DefaultParagraphFont"/>
    <w:rsid w:val="001C14B6"/>
  </w:style>
  <w:style w:type="character" w:styleId="Strong">
    <w:name w:val="Strong"/>
    <w:basedOn w:val="DefaultParagraphFont"/>
    <w:uiPriority w:val="22"/>
    <w:qFormat/>
    <w:rsid w:val="00550B1F"/>
    <w:rPr>
      <w:b/>
      <w:bCs/>
    </w:rPr>
  </w:style>
  <w:style w:type="paragraph" w:customStyle="1" w:styleId="Default">
    <w:name w:val="Default"/>
    <w:rsid w:val="007929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3477E7"/>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2001C4"/>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AB2A80"/>
    <w:rPr>
      <w:sz w:val="16"/>
      <w:szCs w:val="16"/>
    </w:rPr>
  </w:style>
  <w:style w:type="paragraph" w:styleId="CommentText">
    <w:name w:val="annotation text"/>
    <w:basedOn w:val="Normal"/>
    <w:link w:val="CommentTextChar"/>
    <w:uiPriority w:val="99"/>
    <w:unhideWhenUsed/>
    <w:rsid w:val="00AB2A80"/>
    <w:pPr>
      <w:spacing w:line="240" w:lineRule="auto"/>
    </w:pPr>
    <w:rPr>
      <w:sz w:val="20"/>
      <w:szCs w:val="20"/>
    </w:rPr>
  </w:style>
  <w:style w:type="character" w:customStyle="1" w:styleId="CommentTextChar">
    <w:name w:val="Comment Text Char"/>
    <w:basedOn w:val="DefaultParagraphFont"/>
    <w:link w:val="CommentText"/>
    <w:uiPriority w:val="99"/>
    <w:rsid w:val="00AB2A8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A80"/>
    <w:rPr>
      <w:b/>
      <w:bCs/>
    </w:rPr>
  </w:style>
  <w:style w:type="character" w:customStyle="1" w:styleId="CommentSubjectChar">
    <w:name w:val="Comment Subject Char"/>
    <w:basedOn w:val="CommentTextChar"/>
    <w:link w:val="CommentSubject"/>
    <w:uiPriority w:val="99"/>
    <w:semiHidden/>
    <w:rsid w:val="00AB2A80"/>
    <w:rPr>
      <w:rFonts w:ascii="Calibri" w:eastAsia="Times New Roman" w:hAnsi="Calibri" w:cs="Times New Roman"/>
      <w:b/>
      <w:bCs/>
      <w:sz w:val="20"/>
      <w:szCs w:val="20"/>
    </w:rPr>
  </w:style>
  <w:style w:type="paragraph" w:customStyle="1" w:styleId="Bullet1">
    <w:name w:val="Bullet 1"/>
    <w:basedOn w:val="Normal"/>
    <w:link w:val="Bullet1Char"/>
    <w:qFormat/>
    <w:rsid w:val="00A20940"/>
    <w:pPr>
      <w:numPr>
        <w:numId w:val="11"/>
      </w:numPr>
      <w:spacing w:after="60" w:line="240" w:lineRule="auto"/>
    </w:pPr>
    <w:rPr>
      <w:rFonts w:asciiTheme="minorHAnsi" w:hAnsiTheme="minorHAnsi"/>
      <w:szCs w:val="20"/>
    </w:rPr>
  </w:style>
  <w:style w:type="character" w:customStyle="1" w:styleId="Bullet1Char">
    <w:name w:val="Bullet 1 Char"/>
    <w:basedOn w:val="DefaultParagraphFont"/>
    <w:link w:val="Bullet1"/>
    <w:rsid w:val="00A20940"/>
    <w:rPr>
      <w:rFonts w:eastAsia="Times New Roman" w:cs="Times New Roman"/>
      <w:szCs w:val="20"/>
    </w:rPr>
  </w:style>
  <w:style w:type="character" w:styleId="Hyperlink">
    <w:name w:val="Hyperlink"/>
    <w:basedOn w:val="DefaultParagraphFont"/>
    <w:uiPriority w:val="99"/>
    <w:unhideWhenUsed/>
    <w:rsid w:val="00642135"/>
    <w:rPr>
      <w:color w:val="0000FF"/>
      <w:u w:val="single"/>
    </w:rPr>
  </w:style>
  <w:style w:type="paragraph" w:customStyle="1" w:styleId="ACBodytext">
    <w:name w:val="AC_Body text"/>
    <w:basedOn w:val="Normal"/>
    <w:link w:val="ACBodytextChar"/>
    <w:qFormat/>
    <w:rsid w:val="001716EE"/>
    <w:pPr>
      <w:spacing w:before="200" w:after="60" w:line="240" w:lineRule="auto"/>
    </w:pPr>
    <w:rPr>
      <w:szCs w:val="20"/>
    </w:rPr>
  </w:style>
  <w:style w:type="character" w:customStyle="1" w:styleId="ACBodytextChar">
    <w:name w:val="AC_Body text Char"/>
    <w:basedOn w:val="DefaultParagraphFont"/>
    <w:link w:val="ACBodytext"/>
    <w:rsid w:val="001716EE"/>
    <w:rPr>
      <w:rFonts w:ascii="Calibri" w:eastAsia="Times New Roman" w:hAnsi="Calibri" w:cs="Times New Roman"/>
      <w:szCs w:val="20"/>
    </w:rPr>
  </w:style>
  <w:style w:type="character" w:styleId="Emphasis">
    <w:name w:val="Emphasis"/>
    <w:basedOn w:val="DefaultParagraphFont"/>
    <w:uiPriority w:val="20"/>
    <w:qFormat/>
    <w:rsid w:val="00F45038"/>
    <w:rPr>
      <w:i/>
      <w:iCs/>
    </w:rPr>
  </w:style>
  <w:style w:type="character" w:customStyle="1" w:styleId="cf01">
    <w:name w:val="cf01"/>
    <w:basedOn w:val="DefaultParagraphFont"/>
    <w:rsid w:val="00817952"/>
    <w:rPr>
      <w:rFonts w:ascii="Segoe UI" w:hAnsi="Segoe UI" w:cs="Segoe UI" w:hint="default"/>
      <w:sz w:val="18"/>
      <w:szCs w:val="18"/>
    </w:rPr>
  </w:style>
  <w:style w:type="character" w:customStyle="1" w:styleId="fui-primitive">
    <w:name w:val="fui-primitive"/>
    <w:basedOn w:val="DefaultParagraphFont"/>
    <w:rsid w:val="00A1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126">
      <w:bodyDiv w:val="1"/>
      <w:marLeft w:val="0"/>
      <w:marRight w:val="0"/>
      <w:marTop w:val="0"/>
      <w:marBottom w:val="0"/>
      <w:divBdr>
        <w:top w:val="none" w:sz="0" w:space="0" w:color="auto"/>
        <w:left w:val="none" w:sz="0" w:space="0" w:color="auto"/>
        <w:bottom w:val="none" w:sz="0" w:space="0" w:color="auto"/>
        <w:right w:val="none" w:sz="0" w:space="0" w:color="auto"/>
      </w:divBdr>
    </w:div>
    <w:div w:id="191772108">
      <w:bodyDiv w:val="1"/>
      <w:marLeft w:val="0"/>
      <w:marRight w:val="0"/>
      <w:marTop w:val="0"/>
      <w:marBottom w:val="0"/>
      <w:divBdr>
        <w:top w:val="none" w:sz="0" w:space="0" w:color="auto"/>
        <w:left w:val="none" w:sz="0" w:space="0" w:color="auto"/>
        <w:bottom w:val="none" w:sz="0" w:space="0" w:color="auto"/>
        <w:right w:val="none" w:sz="0" w:space="0" w:color="auto"/>
      </w:divBdr>
    </w:div>
    <w:div w:id="308167061">
      <w:bodyDiv w:val="1"/>
      <w:marLeft w:val="0"/>
      <w:marRight w:val="0"/>
      <w:marTop w:val="0"/>
      <w:marBottom w:val="0"/>
      <w:divBdr>
        <w:top w:val="none" w:sz="0" w:space="0" w:color="auto"/>
        <w:left w:val="none" w:sz="0" w:space="0" w:color="auto"/>
        <w:bottom w:val="none" w:sz="0" w:space="0" w:color="auto"/>
        <w:right w:val="none" w:sz="0" w:space="0" w:color="auto"/>
      </w:divBdr>
    </w:div>
    <w:div w:id="363560467">
      <w:bodyDiv w:val="1"/>
      <w:marLeft w:val="0"/>
      <w:marRight w:val="0"/>
      <w:marTop w:val="0"/>
      <w:marBottom w:val="0"/>
      <w:divBdr>
        <w:top w:val="none" w:sz="0" w:space="0" w:color="auto"/>
        <w:left w:val="none" w:sz="0" w:space="0" w:color="auto"/>
        <w:bottom w:val="none" w:sz="0" w:space="0" w:color="auto"/>
        <w:right w:val="none" w:sz="0" w:space="0" w:color="auto"/>
      </w:divBdr>
    </w:div>
    <w:div w:id="391848505">
      <w:bodyDiv w:val="1"/>
      <w:marLeft w:val="0"/>
      <w:marRight w:val="0"/>
      <w:marTop w:val="0"/>
      <w:marBottom w:val="0"/>
      <w:divBdr>
        <w:top w:val="none" w:sz="0" w:space="0" w:color="auto"/>
        <w:left w:val="none" w:sz="0" w:space="0" w:color="auto"/>
        <w:bottom w:val="none" w:sz="0" w:space="0" w:color="auto"/>
        <w:right w:val="none" w:sz="0" w:space="0" w:color="auto"/>
      </w:divBdr>
    </w:div>
    <w:div w:id="548495349">
      <w:bodyDiv w:val="1"/>
      <w:marLeft w:val="0"/>
      <w:marRight w:val="0"/>
      <w:marTop w:val="0"/>
      <w:marBottom w:val="0"/>
      <w:divBdr>
        <w:top w:val="none" w:sz="0" w:space="0" w:color="auto"/>
        <w:left w:val="none" w:sz="0" w:space="0" w:color="auto"/>
        <w:bottom w:val="none" w:sz="0" w:space="0" w:color="auto"/>
        <w:right w:val="none" w:sz="0" w:space="0" w:color="auto"/>
      </w:divBdr>
    </w:div>
    <w:div w:id="849418797">
      <w:bodyDiv w:val="1"/>
      <w:marLeft w:val="0"/>
      <w:marRight w:val="0"/>
      <w:marTop w:val="0"/>
      <w:marBottom w:val="0"/>
      <w:divBdr>
        <w:top w:val="none" w:sz="0" w:space="0" w:color="auto"/>
        <w:left w:val="none" w:sz="0" w:space="0" w:color="auto"/>
        <w:bottom w:val="none" w:sz="0" w:space="0" w:color="auto"/>
        <w:right w:val="none" w:sz="0" w:space="0" w:color="auto"/>
      </w:divBdr>
    </w:div>
    <w:div w:id="884482599">
      <w:bodyDiv w:val="1"/>
      <w:marLeft w:val="0"/>
      <w:marRight w:val="0"/>
      <w:marTop w:val="0"/>
      <w:marBottom w:val="0"/>
      <w:divBdr>
        <w:top w:val="none" w:sz="0" w:space="0" w:color="auto"/>
        <w:left w:val="none" w:sz="0" w:space="0" w:color="auto"/>
        <w:bottom w:val="none" w:sz="0" w:space="0" w:color="auto"/>
        <w:right w:val="none" w:sz="0" w:space="0" w:color="auto"/>
      </w:divBdr>
    </w:div>
    <w:div w:id="943612582">
      <w:bodyDiv w:val="1"/>
      <w:marLeft w:val="0"/>
      <w:marRight w:val="0"/>
      <w:marTop w:val="0"/>
      <w:marBottom w:val="0"/>
      <w:divBdr>
        <w:top w:val="none" w:sz="0" w:space="0" w:color="auto"/>
        <w:left w:val="none" w:sz="0" w:space="0" w:color="auto"/>
        <w:bottom w:val="none" w:sz="0" w:space="0" w:color="auto"/>
        <w:right w:val="none" w:sz="0" w:space="0" w:color="auto"/>
      </w:divBdr>
    </w:div>
    <w:div w:id="1057360885">
      <w:bodyDiv w:val="1"/>
      <w:marLeft w:val="0"/>
      <w:marRight w:val="0"/>
      <w:marTop w:val="0"/>
      <w:marBottom w:val="0"/>
      <w:divBdr>
        <w:top w:val="none" w:sz="0" w:space="0" w:color="auto"/>
        <w:left w:val="none" w:sz="0" w:space="0" w:color="auto"/>
        <w:bottom w:val="none" w:sz="0" w:space="0" w:color="auto"/>
        <w:right w:val="none" w:sz="0" w:space="0" w:color="auto"/>
      </w:divBdr>
    </w:div>
    <w:div w:id="1070420278">
      <w:bodyDiv w:val="1"/>
      <w:marLeft w:val="0"/>
      <w:marRight w:val="0"/>
      <w:marTop w:val="0"/>
      <w:marBottom w:val="0"/>
      <w:divBdr>
        <w:top w:val="none" w:sz="0" w:space="0" w:color="auto"/>
        <w:left w:val="none" w:sz="0" w:space="0" w:color="auto"/>
        <w:bottom w:val="none" w:sz="0" w:space="0" w:color="auto"/>
        <w:right w:val="none" w:sz="0" w:space="0" w:color="auto"/>
      </w:divBdr>
    </w:div>
    <w:div w:id="1300839931">
      <w:bodyDiv w:val="1"/>
      <w:marLeft w:val="0"/>
      <w:marRight w:val="0"/>
      <w:marTop w:val="0"/>
      <w:marBottom w:val="0"/>
      <w:divBdr>
        <w:top w:val="none" w:sz="0" w:space="0" w:color="auto"/>
        <w:left w:val="none" w:sz="0" w:space="0" w:color="auto"/>
        <w:bottom w:val="none" w:sz="0" w:space="0" w:color="auto"/>
        <w:right w:val="none" w:sz="0" w:space="0" w:color="auto"/>
      </w:divBdr>
    </w:div>
    <w:div w:id="1517504812">
      <w:bodyDiv w:val="1"/>
      <w:marLeft w:val="0"/>
      <w:marRight w:val="0"/>
      <w:marTop w:val="0"/>
      <w:marBottom w:val="0"/>
      <w:divBdr>
        <w:top w:val="none" w:sz="0" w:space="0" w:color="auto"/>
        <w:left w:val="none" w:sz="0" w:space="0" w:color="auto"/>
        <w:bottom w:val="none" w:sz="0" w:space="0" w:color="auto"/>
        <w:right w:val="none" w:sz="0" w:space="0" w:color="auto"/>
      </w:divBdr>
    </w:div>
    <w:div w:id="1719937750">
      <w:bodyDiv w:val="1"/>
      <w:marLeft w:val="0"/>
      <w:marRight w:val="0"/>
      <w:marTop w:val="0"/>
      <w:marBottom w:val="0"/>
      <w:divBdr>
        <w:top w:val="none" w:sz="0" w:space="0" w:color="auto"/>
        <w:left w:val="none" w:sz="0" w:space="0" w:color="auto"/>
        <w:bottom w:val="none" w:sz="0" w:space="0" w:color="auto"/>
        <w:right w:val="none" w:sz="0" w:space="0" w:color="auto"/>
      </w:divBdr>
    </w:div>
    <w:div w:id="1792164873">
      <w:bodyDiv w:val="1"/>
      <w:marLeft w:val="0"/>
      <w:marRight w:val="0"/>
      <w:marTop w:val="0"/>
      <w:marBottom w:val="0"/>
      <w:divBdr>
        <w:top w:val="none" w:sz="0" w:space="0" w:color="auto"/>
        <w:left w:val="none" w:sz="0" w:space="0" w:color="auto"/>
        <w:bottom w:val="none" w:sz="0" w:space="0" w:color="auto"/>
        <w:right w:val="none" w:sz="0" w:space="0" w:color="auto"/>
      </w:divBdr>
    </w:div>
    <w:div w:id="20962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A9DA-AA49-40C5-9DEC-CF653616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10299</Words>
  <Characters>56261</Characters>
  <Application>Microsoft Office Word</Application>
  <DocSecurity>0</DocSecurity>
  <Lines>1015</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Taryn</dc:creator>
  <cp:keywords/>
  <dc:description/>
  <cp:lastModifiedBy>PCODCS</cp:lastModifiedBy>
  <cp:revision>4</cp:revision>
  <dcterms:created xsi:type="dcterms:W3CDTF">2023-08-29T05:41:00Z</dcterms:created>
  <dcterms:modified xsi:type="dcterms:W3CDTF">2023-08-29T05:42:00Z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c28a1-59e3-4b8d-9931-07e592b3aab7_Enabled">
    <vt:lpwstr>true</vt:lpwstr>
  </property>
  <property fmtid="{D5CDD505-2E9C-101B-9397-08002B2CF9AE}" pid="3" name="MSIP_Label_06cc28a1-59e3-4b8d-9931-07e592b3aab7_SetDate">
    <vt:lpwstr>2023-07-23T07:58:15Z</vt:lpwstr>
  </property>
  <property fmtid="{D5CDD505-2E9C-101B-9397-08002B2CF9AE}" pid="4" name="MSIP_Label_06cc28a1-59e3-4b8d-9931-07e592b3aab7_Method">
    <vt:lpwstr>Privileged</vt:lpwstr>
  </property>
  <property fmtid="{D5CDD505-2E9C-101B-9397-08002B2CF9AE}" pid="5" name="MSIP_Label_06cc28a1-59e3-4b8d-9931-07e592b3aab7_Name">
    <vt:lpwstr>CABINET</vt:lpwstr>
  </property>
  <property fmtid="{D5CDD505-2E9C-101B-9397-08002B2CF9AE}" pid="6" name="MSIP_Label_06cc28a1-59e3-4b8d-9931-07e592b3aab7_SiteId">
    <vt:lpwstr>b46c1908-0334-4236-b978-585ee88e4199</vt:lpwstr>
  </property>
  <property fmtid="{D5CDD505-2E9C-101B-9397-08002B2CF9AE}" pid="7" name="MSIP_Label_06cc28a1-59e3-4b8d-9931-07e592b3aab7_ActionId">
    <vt:lpwstr>6dc969f4-dfc4-4817-bda3-32a89c4e4aad</vt:lpwstr>
  </property>
  <property fmtid="{D5CDD505-2E9C-101B-9397-08002B2CF9AE}" pid="8" name="MSIP_Label_06cc28a1-59e3-4b8d-9931-07e592b3aab7_ContentBits">
    <vt:lpwstr>1</vt:lpwstr>
  </property>
</Properties>
</file>