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4EB7" w14:textId="77777777" w:rsidR="00352E6F" w:rsidRPr="00936D24" w:rsidRDefault="00352E6F" w:rsidP="00352E6F">
      <w:pPr>
        <w:spacing w:after="0"/>
        <w:rPr>
          <w:rFonts w:cs="Calibri"/>
          <w:b/>
          <w:bCs/>
          <w:sz w:val="24"/>
          <w:szCs w:val="24"/>
        </w:rPr>
      </w:pPr>
    </w:p>
    <w:p w14:paraId="6E5B7102" w14:textId="77777777" w:rsidR="00352E6F" w:rsidRPr="00936D24" w:rsidRDefault="00352E6F" w:rsidP="00352E6F">
      <w:pPr>
        <w:spacing w:after="0"/>
        <w:jc w:val="center"/>
        <w:rPr>
          <w:rFonts w:cs="Calibri"/>
          <w:b/>
          <w:bCs/>
          <w:sz w:val="24"/>
          <w:szCs w:val="24"/>
        </w:rPr>
      </w:pPr>
      <w:bookmarkStart w:id="0" w:name="_Hlk147052218"/>
      <w:r w:rsidRPr="00936D24">
        <w:rPr>
          <w:rFonts w:cs="Calibri"/>
          <w:b/>
          <w:bCs/>
          <w:sz w:val="24"/>
          <w:szCs w:val="24"/>
        </w:rPr>
        <w:t>2023</w:t>
      </w:r>
    </w:p>
    <w:p w14:paraId="450B5236" w14:textId="77777777" w:rsidR="00352E6F" w:rsidRPr="00936D24" w:rsidRDefault="00352E6F" w:rsidP="00352E6F">
      <w:pPr>
        <w:spacing w:after="0"/>
        <w:jc w:val="center"/>
        <w:rPr>
          <w:rFonts w:cs="Calibri"/>
          <w:b/>
          <w:sz w:val="24"/>
          <w:szCs w:val="24"/>
        </w:rPr>
      </w:pPr>
    </w:p>
    <w:p w14:paraId="5E5DBE74" w14:textId="77777777" w:rsidR="00352E6F" w:rsidRPr="00936D24" w:rsidRDefault="00352E6F" w:rsidP="00352E6F">
      <w:pPr>
        <w:spacing w:after="0"/>
        <w:jc w:val="center"/>
        <w:rPr>
          <w:rFonts w:cs="Calibri"/>
          <w:b/>
          <w:sz w:val="24"/>
          <w:szCs w:val="24"/>
        </w:rPr>
      </w:pPr>
    </w:p>
    <w:p w14:paraId="4D604401" w14:textId="77777777" w:rsidR="00352E6F" w:rsidRPr="00936D24" w:rsidRDefault="00352E6F" w:rsidP="00352E6F">
      <w:pPr>
        <w:spacing w:after="0"/>
        <w:jc w:val="center"/>
        <w:rPr>
          <w:rFonts w:cs="Calibri"/>
          <w:b/>
          <w:sz w:val="24"/>
          <w:szCs w:val="24"/>
        </w:rPr>
      </w:pPr>
    </w:p>
    <w:p w14:paraId="011DA85E" w14:textId="77777777" w:rsidR="00352E6F" w:rsidRPr="00936D24" w:rsidRDefault="00352E6F" w:rsidP="00352E6F">
      <w:pPr>
        <w:spacing w:after="0"/>
        <w:jc w:val="center"/>
        <w:rPr>
          <w:rFonts w:cs="Calibri"/>
          <w:b/>
          <w:sz w:val="24"/>
          <w:szCs w:val="24"/>
        </w:rPr>
      </w:pPr>
    </w:p>
    <w:p w14:paraId="69D0D4FE" w14:textId="77777777" w:rsidR="00352E6F" w:rsidRPr="00936D24" w:rsidRDefault="00352E6F" w:rsidP="00352E6F">
      <w:pPr>
        <w:spacing w:after="0"/>
        <w:jc w:val="center"/>
        <w:rPr>
          <w:rFonts w:cs="Calibri"/>
          <w:b/>
          <w:bCs/>
          <w:sz w:val="24"/>
          <w:szCs w:val="24"/>
        </w:rPr>
      </w:pPr>
    </w:p>
    <w:p w14:paraId="0B8812FB" w14:textId="77777777" w:rsidR="00352E6F" w:rsidRPr="00936D24" w:rsidRDefault="00352E6F" w:rsidP="00352E6F">
      <w:pPr>
        <w:spacing w:after="0"/>
        <w:jc w:val="center"/>
        <w:rPr>
          <w:rFonts w:cs="Calibri"/>
          <w:b/>
          <w:bCs/>
          <w:sz w:val="24"/>
          <w:szCs w:val="24"/>
        </w:rPr>
      </w:pPr>
    </w:p>
    <w:p w14:paraId="7E4CEC0A" w14:textId="77777777" w:rsidR="00352E6F" w:rsidRPr="00936D24" w:rsidRDefault="00352E6F" w:rsidP="00352E6F">
      <w:pPr>
        <w:spacing w:after="0"/>
        <w:jc w:val="center"/>
        <w:rPr>
          <w:rFonts w:cs="Calibri"/>
          <w:b/>
          <w:bCs/>
          <w:sz w:val="24"/>
          <w:szCs w:val="24"/>
        </w:rPr>
      </w:pPr>
      <w:r w:rsidRPr="00936D24">
        <w:rPr>
          <w:rFonts w:cs="Calibri"/>
          <w:b/>
          <w:bCs/>
          <w:sz w:val="24"/>
          <w:szCs w:val="24"/>
        </w:rPr>
        <w:t>THE LEGISLATIVE ASSEMBLY FOR THE</w:t>
      </w:r>
    </w:p>
    <w:p w14:paraId="68083910" w14:textId="77777777" w:rsidR="00352E6F" w:rsidRPr="00936D24" w:rsidRDefault="00352E6F" w:rsidP="00352E6F">
      <w:pPr>
        <w:spacing w:after="0"/>
        <w:jc w:val="center"/>
        <w:rPr>
          <w:rFonts w:cs="Calibri"/>
          <w:b/>
          <w:sz w:val="24"/>
          <w:szCs w:val="24"/>
        </w:rPr>
      </w:pPr>
      <w:r w:rsidRPr="00936D24">
        <w:rPr>
          <w:rFonts w:cs="Calibri"/>
          <w:b/>
          <w:bCs/>
          <w:sz w:val="24"/>
          <w:szCs w:val="24"/>
        </w:rPr>
        <w:t>AUSTRALIAN CAPITAL TERRITORY</w:t>
      </w:r>
    </w:p>
    <w:p w14:paraId="1E81F75A" w14:textId="77777777" w:rsidR="00352E6F" w:rsidRPr="00936D24" w:rsidRDefault="00352E6F" w:rsidP="00352E6F">
      <w:pPr>
        <w:spacing w:after="0"/>
        <w:jc w:val="center"/>
        <w:rPr>
          <w:rFonts w:cs="Calibri"/>
          <w:b/>
          <w:sz w:val="24"/>
          <w:szCs w:val="24"/>
        </w:rPr>
      </w:pPr>
    </w:p>
    <w:p w14:paraId="7AFAF7AE" w14:textId="77777777" w:rsidR="00352E6F" w:rsidRPr="00936D24" w:rsidRDefault="00352E6F" w:rsidP="00352E6F">
      <w:pPr>
        <w:spacing w:after="0"/>
        <w:jc w:val="center"/>
        <w:rPr>
          <w:rFonts w:cs="Calibri"/>
          <w:b/>
          <w:sz w:val="24"/>
          <w:szCs w:val="24"/>
        </w:rPr>
      </w:pPr>
    </w:p>
    <w:p w14:paraId="08FCD310" w14:textId="77777777" w:rsidR="00352E6F" w:rsidRPr="00936D24" w:rsidRDefault="00352E6F" w:rsidP="00352E6F">
      <w:pPr>
        <w:spacing w:after="0"/>
        <w:jc w:val="center"/>
        <w:rPr>
          <w:rFonts w:cs="Calibri"/>
          <w:b/>
          <w:sz w:val="24"/>
          <w:szCs w:val="24"/>
        </w:rPr>
      </w:pPr>
    </w:p>
    <w:p w14:paraId="6639C23C" w14:textId="77777777" w:rsidR="00352E6F" w:rsidRPr="00936D24" w:rsidRDefault="00352E6F" w:rsidP="00352E6F">
      <w:pPr>
        <w:spacing w:after="0"/>
        <w:jc w:val="center"/>
        <w:rPr>
          <w:rFonts w:cs="Calibri"/>
          <w:b/>
          <w:sz w:val="24"/>
          <w:szCs w:val="24"/>
        </w:rPr>
      </w:pPr>
    </w:p>
    <w:p w14:paraId="50DD6531" w14:textId="77777777" w:rsidR="00352E6F" w:rsidRPr="00936D24" w:rsidRDefault="00352E6F" w:rsidP="00352E6F">
      <w:pPr>
        <w:spacing w:after="0"/>
        <w:jc w:val="center"/>
        <w:rPr>
          <w:rFonts w:cs="Calibri"/>
          <w:b/>
          <w:sz w:val="24"/>
          <w:szCs w:val="24"/>
        </w:rPr>
      </w:pPr>
    </w:p>
    <w:p w14:paraId="587FEA22" w14:textId="77777777" w:rsidR="00352E6F" w:rsidRPr="00936D24" w:rsidRDefault="00352E6F" w:rsidP="00352E6F">
      <w:pPr>
        <w:spacing w:after="0"/>
        <w:jc w:val="center"/>
        <w:rPr>
          <w:rFonts w:cs="Calibri"/>
          <w:b/>
          <w:sz w:val="24"/>
          <w:szCs w:val="24"/>
        </w:rPr>
      </w:pPr>
    </w:p>
    <w:p w14:paraId="3E45F251" w14:textId="77777777" w:rsidR="00352E6F" w:rsidRPr="00936D24" w:rsidRDefault="00352E6F" w:rsidP="00352E6F">
      <w:pPr>
        <w:spacing w:after="0"/>
        <w:jc w:val="center"/>
        <w:rPr>
          <w:rFonts w:cs="Calibri"/>
          <w:b/>
          <w:sz w:val="24"/>
          <w:szCs w:val="24"/>
        </w:rPr>
      </w:pPr>
    </w:p>
    <w:p w14:paraId="1C6DF0B5" w14:textId="77777777" w:rsidR="00352E6F" w:rsidRPr="00936D24" w:rsidRDefault="00352E6F" w:rsidP="00352E6F">
      <w:pPr>
        <w:spacing w:after="0"/>
        <w:jc w:val="center"/>
        <w:rPr>
          <w:rFonts w:cs="Calibri"/>
          <w:b/>
          <w:sz w:val="24"/>
          <w:szCs w:val="24"/>
        </w:rPr>
      </w:pPr>
    </w:p>
    <w:p w14:paraId="40B81D15" w14:textId="77777777" w:rsidR="00352E6F" w:rsidRPr="00936D24" w:rsidRDefault="00352E6F" w:rsidP="00352E6F">
      <w:pPr>
        <w:spacing w:after="0"/>
        <w:jc w:val="center"/>
        <w:rPr>
          <w:rFonts w:cs="Calibri"/>
          <w:b/>
          <w:sz w:val="24"/>
          <w:szCs w:val="24"/>
        </w:rPr>
      </w:pPr>
    </w:p>
    <w:p w14:paraId="7240737C" w14:textId="77777777" w:rsidR="00352E6F" w:rsidRPr="00936D24" w:rsidRDefault="00352E6F" w:rsidP="00352E6F">
      <w:pPr>
        <w:spacing w:after="0"/>
        <w:jc w:val="center"/>
        <w:rPr>
          <w:rFonts w:cs="Calibri"/>
          <w:b/>
          <w:sz w:val="24"/>
          <w:szCs w:val="24"/>
        </w:rPr>
      </w:pPr>
    </w:p>
    <w:p w14:paraId="2D9B597A" w14:textId="77777777" w:rsidR="00352E6F" w:rsidRPr="00936D24" w:rsidRDefault="00352E6F" w:rsidP="00352E6F">
      <w:pPr>
        <w:spacing w:after="0"/>
        <w:jc w:val="center"/>
        <w:rPr>
          <w:rFonts w:cs="Calibri"/>
          <w:b/>
          <w:bCs/>
          <w:sz w:val="24"/>
          <w:szCs w:val="24"/>
        </w:rPr>
      </w:pPr>
      <w:r w:rsidRPr="00936D24">
        <w:rPr>
          <w:rFonts w:cs="Calibri"/>
          <w:b/>
          <w:bCs/>
          <w:sz w:val="24"/>
          <w:szCs w:val="24"/>
        </w:rPr>
        <w:t xml:space="preserve"> CHILDREN AND YOUNG PEOPLE AMENDMENT BILL 2023</w:t>
      </w:r>
    </w:p>
    <w:p w14:paraId="3BC479DB" w14:textId="77777777" w:rsidR="00352E6F" w:rsidRPr="00936D24" w:rsidRDefault="00352E6F" w:rsidP="00352E6F">
      <w:pPr>
        <w:spacing w:after="0"/>
        <w:jc w:val="center"/>
        <w:rPr>
          <w:rFonts w:cs="Calibri"/>
          <w:b/>
          <w:bCs/>
          <w:sz w:val="24"/>
          <w:szCs w:val="24"/>
        </w:rPr>
      </w:pPr>
    </w:p>
    <w:p w14:paraId="7B83ACE8" w14:textId="77777777" w:rsidR="00352E6F" w:rsidRPr="00936D24" w:rsidRDefault="00352E6F" w:rsidP="00352E6F">
      <w:pPr>
        <w:spacing w:after="0"/>
        <w:jc w:val="center"/>
        <w:rPr>
          <w:rFonts w:cs="Calibri"/>
          <w:b/>
          <w:sz w:val="24"/>
          <w:szCs w:val="24"/>
        </w:rPr>
      </w:pPr>
    </w:p>
    <w:p w14:paraId="058D4522" w14:textId="77777777" w:rsidR="00352E6F" w:rsidRPr="00936D24" w:rsidRDefault="00352E6F" w:rsidP="00352E6F">
      <w:pPr>
        <w:spacing w:after="0"/>
        <w:jc w:val="center"/>
        <w:rPr>
          <w:rFonts w:cs="Calibri"/>
          <w:b/>
          <w:bCs/>
          <w:sz w:val="24"/>
          <w:szCs w:val="24"/>
        </w:rPr>
      </w:pPr>
    </w:p>
    <w:p w14:paraId="17A1DEC7" w14:textId="0E0AA6B2" w:rsidR="00352E6F" w:rsidRPr="00936D24" w:rsidRDefault="00201B93" w:rsidP="00352E6F">
      <w:pPr>
        <w:spacing w:after="0"/>
        <w:jc w:val="center"/>
        <w:rPr>
          <w:rFonts w:cs="Calibri"/>
          <w:b/>
          <w:bCs/>
          <w:sz w:val="24"/>
          <w:szCs w:val="24"/>
        </w:rPr>
      </w:pPr>
      <w:r>
        <w:rPr>
          <w:rFonts w:cs="Calibri"/>
          <w:b/>
          <w:bCs/>
          <w:sz w:val="24"/>
          <w:szCs w:val="24"/>
        </w:rPr>
        <w:t xml:space="preserve">REVISED </w:t>
      </w:r>
      <w:r w:rsidRPr="00936D24">
        <w:rPr>
          <w:rFonts w:cs="Calibri"/>
          <w:b/>
          <w:bCs/>
          <w:sz w:val="24"/>
          <w:szCs w:val="24"/>
        </w:rPr>
        <w:t xml:space="preserve">EXPLANATORY </w:t>
      </w:r>
      <w:r w:rsidR="00352E6F" w:rsidRPr="00936D24">
        <w:rPr>
          <w:rFonts w:cs="Calibri"/>
          <w:b/>
          <w:bCs/>
          <w:sz w:val="24"/>
          <w:szCs w:val="24"/>
        </w:rPr>
        <w:t xml:space="preserve">STATEMENT </w:t>
      </w:r>
    </w:p>
    <w:p w14:paraId="1C28C386" w14:textId="77777777" w:rsidR="00352E6F" w:rsidRDefault="00352E6F" w:rsidP="00352E6F">
      <w:pPr>
        <w:spacing w:after="0"/>
        <w:jc w:val="center"/>
        <w:rPr>
          <w:rFonts w:ascii="Arial" w:hAnsi="Arial" w:cs="Arial"/>
          <w:b/>
          <w:sz w:val="24"/>
          <w:szCs w:val="24"/>
        </w:rPr>
      </w:pPr>
    </w:p>
    <w:p w14:paraId="62E1A094" w14:textId="77777777" w:rsidR="00352E6F" w:rsidRDefault="00352E6F" w:rsidP="00352E6F">
      <w:pPr>
        <w:spacing w:after="0"/>
        <w:jc w:val="center"/>
        <w:rPr>
          <w:rFonts w:ascii="Arial" w:hAnsi="Arial" w:cs="Arial"/>
          <w:b/>
          <w:sz w:val="24"/>
          <w:szCs w:val="24"/>
        </w:rPr>
      </w:pPr>
    </w:p>
    <w:p w14:paraId="04DA30C0" w14:textId="77777777" w:rsidR="00352E6F" w:rsidRDefault="00352E6F" w:rsidP="00352E6F">
      <w:pPr>
        <w:spacing w:after="0"/>
        <w:jc w:val="center"/>
        <w:rPr>
          <w:rFonts w:ascii="Arial" w:hAnsi="Arial" w:cs="Arial"/>
          <w:b/>
          <w:sz w:val="24"/>
          <w:szCs w:val="24"/>
        </w:rPr>
      </w:pPr>
    </w:p>
    <w:p w14:paraId="418CE734" w14:textId="77777777" w:rsidR="00352E6F" w:rsidRDefault="00352E6F" w:rsidP="00352E6F">
      <w:pPr>
        <w:spacing w:after="0"/>
        <w:jc w:val="center"/>
        <w:rPr>
          <w:rFonts w:ascii="Arial" w:hAnsi="Arial" w:cs="Arial"/>
          <w:b/>
          <w:sz w:val="24"/>
          <w:szCs w:val="24"/>
        </w:rPr>
      </w:pPr>
    </w:p>
    <w:p w14:paraId="558E8B3C" w14:textId="36798221" w:rsidR="00352E6F" w:rsidRDefault="00352E6F" w:rsidP="00352E6F">
      <w:pPr>
        <w:keepNext/>
        <w:widowControl w:val="0"/>
        <w:spacing w:after="0"/>
        <w:jc w:val="center"/>
        <w:outlineLvl w:val="7"/>
        <w:rPr>
          <w:rFonts w:ascii="Arial" w:hAnsi="Arial" w:cs="Arial"/>
          <w:b/>
          <w:bCs/>
          <w:sz w:val="24"/>
          <w:szCs w:val="24"/>
        </w:rPr>
      </w:pPr>
    </w:p>
    <w:p w14:paraId="6E81EC20" w14:textId="094C740D" w:rsidR="00BA2CFA" w:rsidRDefault="00BA2CFA" w:rsidP="00352E6F">
      <w:pPr>
        <w:keepNext/>
        <w:widowControl w:val="0"/>
        <w:spacing w:after="0"/>
        <w:jc w:val="center"/>
        <w:outlineLvl w:val="7"/>
        <w:rPr>
          <w:rFonts w:ascii="Arial" w:hAnsi="Arial" w:cs="Arial"/>
          <w:b/>
          <w:bCs/>
          <w:sz w:val="24"/>
          <w:szCs w:val="24"/>
        </w:rPr>
      </w:pPr>
    </w:p>
    <w:p w14:paraId="3A19371A" w14:textId="7463B590" w:rsidR="00BA2CFA" w:rsidRDefault="00BA2CFA" w:rsidP="00352E6F">
      <w:pPr>
        <w:keepNext/>
        <w:widowControl w:val="0"/>
        <w:spacing w:after="0"/>
        <w:jc w:val="center"/>
        <w:outlineLvl w:val="7"/>
        <w:rPr>
          <w:rFonts w:ascii="Arial" w:hAnsi="Arial" w:cs="Arial"/>
          <w:b/>
          <w:bCs/>
          <w:sz w:val="24"/>
          <w:szCs w:val="24"/>
        </w:rPr>
      </w:pPr>
    </w:p>
    <w:p w14:paraId="30393C57" w14:textId="77777777" w:rsidR="00BA2CFA" w:rsidRDefault="00BA2CFA" w:rsidP="00352E6F">
      <w:pPr>
        <w:keepNext/>
        <w:widowControl w:val="0"/>
        <w:spacing w:after="0"/>
        <w:jc w:val="center"/>
        <w:outlineLvl w:val="7"/>
        <w:rPr>
          <w:rFonts w:ascii="Arial" w:hAnsi="Arial" w:cs="Arial"/>
          <w:b/>
          <w:bCs/>
          <w:sz w:val="24"/>
          <w:szCs w:val="24"/>
        </w:rPr>
      </w:pPr>
    </w:p>
    <w:p w14:paraId="5880525D" w14:textId="77777777" w:rsidR="00352E6F" w:rsidRDefault="00352E6F" w:rsidP="00352E6F">
      <w:pPr>
        <w:keepNext/>
        <w:widowControl w:val="0"/>
        <w:spacing w:after="0"/>
        <w:jc w:val="center"/>
        <w:outlineLvl w:val="7"/>
        <w:rPr>
          <w:rFonts w:ascii="Arial" w:hAnsi="Arial" w:cs="Arial"/>
          <w:b/>
          <w:bCs/>
          <w:sz w:val="24"/>
          <w:szCs w:val="24"/>
        </w:rPr>
      </w:pPr>
    </w:p>
    <w:p w14:paraId="0AC4438F" w14:textId="77777777" w:rsidR="00936D24" w:rsidRDefault="00936D24" w:rsidP="00936D24">
      <w:pPr>
        <w:keepNext/>
        <w:widowControl w:val="0"/>
        <w:spacing w:after="0"/>
        <w:jc w:val="center"/>
        <w:outlineLvl w:val="7"/>
        <w:rPr>
          <w:rFonts w:ascii="Arial" w:hAnsi="Arial" w:cs="Arial"/>
          <w:b/>
          <w:bCs/>
          <w:sz w:val="24"/>
          <w:szCs w:val="24"/>
        </w:rPr>
      </w:pPr>
    </w:p>
    <w:p w14:paraId="5555C8D0" w14:textId="77777777" w:rsidR="00975D93" w:rsidRDefault="00975D93" w:rsidP="00936D24">
      <w:pPr>
        <w:spacing w:line="250" w:lineRule="exact"/>
        <w:jc w:val="right"/>
        <w:rPr>
          <w:rFonts w:eastAsia="Calibri"/>
          <w:b/>
          <w:bCs/>
          <w:sz w:val="24"/>
          <w:szCs w:val="24"/>
          <w:lang w:eastAsia="en-AU"/>
        </w:rPr>
      </w:pPr>
    </w:p>
    <w:p w14:paraId="0FBDD368" w14:textId="77777777" w:rsidR="00201B93" w:rsidRDefault="00201B93" w:rsidP="00936D24">
      <w:pPr>
        <w:spacing w:line="250" w:lineRule="exact"/>
        <w:jc w:val="right"/>
        <w:rPr>
          <w:rFonts w:eastAsia="Calibri"/>
          <w:b/>
          <w:bCs/>
          <w:sz w:val="24"/>
          <w:szCs w:val="24"/>
          <w:lang w:eastAsia="en-AU"/>
        </w:rPr>
      </w:pPr>
    </w:p>
    <w:p w14:paraId="14A32A0C" w14:textId="77777777" w:rsidR="00201B93" w:rsidRDefault="00201B93" w:rsidP="00936D24">
      <w:pPr>
        <w:spacing w:line="250" w:lineRule="exact"/>
        <w:jc w:val="right"/>
        <w:rPr>
          <w:rFonts w:eastAsia="Calibri"/>
          <w:b/>
          <w:bCs/>
          <w:sz w:val="24"/>
          <w:szCs w:val="24"/>
          <w:lang w:eastAsia="en-AU"/>
        </w:rPr>
      </w:pPr>
    </w:p>
    <w:p w14:paraId="24B9693A" w14:textId="0296F335" w:rsidR="00352E6F" w:rsidRDefault="00936D24" w:rsidP="00936D24">
      <w:pPr>
        <w:spacing w:line="250" w:lineRule="exact"/>
        <w:jc w:val="right"/>
        <w:rPr>
          <w:rFonts w:ascii="Arial" w:hAnsi="Arial" w:cs="Arial"/>
          <w:b/>
          <w:bCs/>
          <w:sz w:val="24"/>
          <w:szCs w:val="24"/>
          <w:u w:val="single"/>
        </w:rPr>
        <w:sectPr w:rsidR="00352E6F">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9" w:footer="675" w:gutter="0"/>
          <w:pgNumType w:start="1"/>
          <w:cols w:space="720"/>
        </w:sectPr>
      </w:pPr>
      <w:r w:rsidRPr="006B4C9D">
        <w:rPr>
          <w:rFonts w:eastAsia="Calibri"/>
          <w:b/>
          <w:bCs/>
          <w:sz w:val="24"/>
          <w:szCs w:val="24"/>
          <w:lang w:eastAsia="en-AU"/>
        </w:rPr>
        <w:t xml:space="preserve">Presented by </w:t>
      </w:r>
      <w:r w:rsidRPr="006B4C9D">
        <w:rPr>
          <w:rFonts w:eastAsia="Calibri"/>
          <w:sz w:val="21"/>
          <w:szCs w:val="21"/>
          <w:lang w:eastAsia="en-AU"/>
        </w:rPr>
        <w:br/>
      </w:r>
      <w:r>
        <w:rPr>
          <w:rFonts w:eastAsia="Calibri"/>
          <w:b/>
          <w:bCs/>
          <w:sz w:val="24"/>
          <w:szCs w:val="24"/>
          <w:lang w:eastAsia="en-AU"/>
        </w:rPr>
        <w:t xml:space="preserve">Rachel Stephen-Smith </w:t>
      </w:r>
      <w:r w:rsidRPr="006B4C9D">
        <w:rPr>
          <w:rFonts w:eastAsia="Calibri"/>
          <w:b/>
          <w:bCs/>
          <w:sz w:val="24"/>
          <w:szCs w:val="24"/>
          <w:lang w:eastAsia="en-AU"/>
        </w:rPr>
        <w:t xml:space="preserve">MLA </w:t>
      </w:r>
      <w:r w:rsidRPr="006B4C9D">
        <w:rPr>
          <w:rFonts w:eastAsia="Calibri"/>
          <w:sz w:val="21"/>
          <w:szCs w:val="21"/>
          <w:lang w:eastAsia="en-AU"/>
        </w:rPr>
        <w:br/>
      </w:r>
      <w:r w:rsidRPr="006B4C9D">
        <w:rPr>
          <w:rFonts w:eastAsia="Calibri"/>
          <w:b/>
          <w:bCs/>
          <w:sz w:val="24"/>
          <w:szCs w:val="24"/>
          <w:lang w:eastAsia="en-AU"/>
        </w:rPr>
        <w:t>Minister for</w:t>
      </w:r>
      <w:r>
        <w:rPr>
          <w:rFonts w:eastAsia="Calibri"/>
          <w:b/>
          <w:bCs/>
          <w:sz w:val="24"/>
          <w:szCs w:val="24"/>
          <w:lang w:eastAsia="en-AU"/>
        </w:rPr>
        <w:t xml:space="preserve"> </w:t>
      </w:r>
      <w:r w:rsidRPr="006B4C9D">
        <w:rPr>
          <w:rFonts w:eastAsia="Calibri"/>
          <w:b/>
          <w:bCs/>
          <w:sz w:val="24"/>
          <w:szCs w:val="24"/>
          <w:lang w:eastAsia="en-AU"/>
        </w:rPr>
        <w:t xml:space="preserve">Families and Community Services </w:t>
      </w:r>
      <w:r w:rsidRPr="006B4C9D">
        <w:rPr>
          <w:rFonts w:eastAsia="Calibri"/>
          <w:sz w:val="21"/>
          <w:szCs w:val="21"/>
          <w:lang w:eastAsia="en-AU"/>
        </w:rPr>
        <w:br/>
      </w:r>
      <w:r w:rsidR="00975D93">
        <w:rPr>
          <w:rFonts w:eastAsia="Calibri"/>
          <w:b/>
          <w:bCs/>
          <w:sz w:val="24"/>
          <w:szCs w:val="24"/>
          <w:lang w:eastAsia="en-AU"/>
        </w:rPr>
        <w:t xml:space="preserve">October </w:t>
      </w:r>
      <w:r w:rsidRPr="006B4C9D">
        <w:rPr>
          <w:rFonts w:eastAsia="Calibri"/>
          <w:b/>
          <w:bCs/>
          <w:sz w:val="24"/>
          <w:szCs w:val="24"/>
          <w:lang w:eastAsia="en-AU"/>
        </w:rPr>
        <w:t>202</w:t>
      </w:r>
      <w:r>
        <w:rPr>
          <w:rFonts w:eastAsia="Calibri"/>
          <w:b/>
          <w:bCs/>
          <w:sz w:val="24"/>
          <w:szCs w:val="24"/>
          <w:lang w:eastAsia="en-AU"/>
        </w:rPr>
        <w:t>3</w:t>
      </w:r>
    </w:p>
    <w:p w14:paraId="183E9E5D" w14:textId="77777777" w:rsidR="0058238F" w:rsidRDefault="0058238F" w:rsidP="00BA2CFA">
      <w:pPr>
        <w:pStyle w:val="Heading1"/>
        <w:jc w:val="center"/>
        <w:rPr>
          <w:rFonts w:cs="Calibri"/>
          <w:caps/>
          <w:sz w:val="24"/>
          <w:szCs w:val="24"/>
        </w:rPr>
      </w:pPr>
    </w:p>
    <w:p w14:paraId="33E1DE13" w14:textId="77777777" w:rsidR="0058238F" w:rsidRDefault="0058238F" w:rsidP="00BA2CFA">
      <w:pPr>
        <w:pStyle w:val="Heading1"/>
        <w:jc w:val="center"/>
        <w:rPr>
          <w:rFonts w:cs="Calibri"/>
          <w:caps/>
          <w:sz w:val="24"/>
          <w:szCs w:val="24"/>
        </w:rPr>
      </w:pPr>
    </w:p>
    <w:p w14:paraId="0576D96E" w14:textId="77777777" w:rsidR="0058238F" w:rsidRDefault="0058238F" w:rsidP="00BA2CFA">
      <w:pPr>
        <w:pStyle w:val="Heading1"/>
        <w:jc w:val="center"/>
        <w:rPr>
          <w:rFonts w:cs="Calibri"/>
          <w:caps/>
          <w:sz w:val="24"/>
          <w:szCs w:val="24"/>
        </w:rPr>
      </w:pPr>
    </w:p>
    <w:p w14:paraId="788BD3D1" w14:textId="77777777" w:rsidR="0058238F" w:rsidRDefault="0058238F" w:rsidP="00BA2CFA">
      <w:pPr>
        <w:pStyle w:val="Heading1"/>
        <w:jc w:val="center"/>
        <w:rPr>
          <w:rFonts w:cs="Calibri"/>
          <w:caps/>
          <w:sz w:val="24"/>
          <w:szCs w:val="24"/>
        </w:rPr>
      </w:pPr>
    </w:p>
    <w:p w14:paraId="75D977EC" w14:textId="77777777" w:rsidR="0058238F" w:rsidRDefault="0058238F" w:rsidP="00BA2CFA">
      <w:pPr>
        <w:pStyle w:val="Heading1"/>
        <w:jc w:val="center"/>
        <w:rPr>
          <w:rFonts w:cs="Calibri"/>
          <w:caps/>
          <w:sz w:val="24"/>
          <w:szCs w:val="24"/>
        </w:rPr>
      </w:pPr>
    </w:p>
    <w:p w14:paraId="5D18962C" w14:textId="77777777" w:rsidR="0058238F" w:rsidRDefault="0058238F" w:rsidP="00BA2CFA">
      <w:pPr>
        <w:pStyle w:val="Heading1"/>
        <w:jc w:val="center"/>
        <w:rPr>
          <w:rFonts w:cs="Calibri"/>
          <w:caps/>
          <w:sz w:val="24"/>
          <w:szCs w:val="24"/>
        </w:rPr>
      </w:pPr>
    </w:p>
    <w:p w14:paraId="75E99F91" w14:textId="77777777" w:rsidR="0058238F" w:rsidRDefault="0058238F" w:rsidP="00BA2CFA">
      <w:pPr>
        <w:pStyle w:val="Heading1"/>
        <w:jc w:val="center"/>
        <w:rPr>
          <w:rFonts w:cs="Calibri"/>
          <w:caps/>
          <w:sz w:val="24"/>
          <w:szCs w:val="24"/>
        </w:rPr>
      </w:pPr>
    </w:p>
    <w:p w14:paraId="1D75EEEC" w14:textId="77777777" w:rsidR="0058238F" w:rsidRDefault="0058238F" w:rsidP="00BA2CFA">
      <w:pPr>
        <w:pStyle w:val="Heading1"/>
        <w:jc w:val="center"/>
        <w:rPr>
          <w:rFonts w:cs="Calibri"/>
          <w:caps/>
          <w:sz w:val="24"/>
          <w:szCs w:val="24"/>
        </w:rPr>
      </w:pPr>
    </w:p>
    <w:p w14:paraId="748B4888" w14:textId="77777777" w:rsidR="0058238F" w:rsidRDefault="0058238F" w:rsidP="00BA2CFA">
      <w:pPr>
        <w:pStyle w:val="Heading1"/>
        <w:jc w:val="center"/>
        <w:rPr>
          <w:rFonts w:cs="Calibri"/>
          <w:caps/>
          <w:sz w:val="24"/>
          <w:szCs w:val="24"/>
        </w:rPr>
      </w:pPr>
    </w:p>
    <w:p w14:paraId="1DAF22C5" w14:textId="77777777" w:rsidR="0058238F" w:rsidRDefault="0058238F" w:rsidP="00BA2CFA">
      <w:pPr>
        <w:pStyle w:val="Heading1"/>
        <w:jc w:val="center"/>
        <w:rPr>
          <w:rFonts w:cs="Calibri"/>
          <w:caps/>
          <w:sz w:val="24"/>
          <w:szCs w:val="24"/>
        </w:rPr>
      </w:pPr>
    </w:p>
    <w:p w14:paraId="77A2CA53" w14:textId="77777777" w:rsidR="0058238F" w:rsidRDefault="0058238F" w:rsidP="00BA2CFA">
      <w:pPr>
        <w:pStyle w:val="Heading1"/>
        <w:jc w:val="center"/>
        <w:rPr>
          <w:rFonts w:cs="Calibri"/>
          <w:caps/>
          <w:sz w:val="24"/>
          <w:szCs w:val="24"/>
        </w:rPr>
      </w:pPr>
    </w:p>
    <w:p w14:paraId="0A36297D" w14:textId="77777777" w:rsidR="0058238F" w:rsidRDefault="0058238F" w:rsidP="00BA2CFA">
      <w:pPr>
        <w:pStyle w:val="Heading1"/>
        <w:jc w:val="center"/>
        <w:rPr>
          <w:rFonts w:cs="Calibri"/>
          <w:caps/>
          <w:sz w:val="24"/>
          <w:szCs w:val="24"/>
        </w:rPr>
      </w:pPr>
    </w:p>
    <w:p w14:paraId="3588765B" w14:textId="77777777" w:rsidR="0058238F" w:rsidRDefault="0058238F" w:rsidP="00BA2CFA">
      <w:pPr>
        <w:pStyle w:val="Heading1"/>
        <w:jc w:val="center"/>
        <w:rPr>
          <w:rFonts w:cs="Calibri"/>
          <w:caps/>
          <w:sz w:val="24"/>
          <w:szCs w:val="24"/>
        </w:rPr>
      </w:pPr>
    </w:p>
    <w:p w14:paraId="331A1F7F" w14:textId="77777777" w:rsidR="0058238F" w:rsidRDefault="0058238F" w:rsidP="00BA2CFA">
      <w:pPr>
        <w:pStyle w:val="Heading1"/>
        <w:jc w:val="center"/>
        <w:rPr>
          <w:rFonts w:cs="Calibri"/>
          <w:caps/>
          <w:sz w:val="24"/>
          <w:szCs w:val="24"/>
        </w:rPr>
      </w:pPr>
    </w:p>
    <w:p w14:paraId="37E35B67" w14:textId="77777777" w:rsidR="0058238F" w:rsidRDefault="0058238F" w:rsidP="00BA2CFA">
      <w:pPr>
        <w:pStyle w:val="Heading1"/>
        <w:jc w:val="center"/>
        <w:rPr>
          <w:rFonts w:cs="Calibri"/>
          <w:caps/>
          <w:sz w:val="24"/>
          <w:szCs w:val="24"/>
        </w:rPr>
      </w:pPr>
    </w:p>
    <w:p w14:paraId="45F36406" w14:textId="77777777" w:rsidR="0058238F" w:rsidRDefault="0058238F" w:rsidP="00BA2CFA">
      <w:pPr>
        <w:pStyle w:val="Heading1"/>
        <w:jc w:val="center"/>
        <w:rPr>
          <w:rFonts w:cs="Calibri"/>
          <w:caps/>
          <w:sz w:val="24"/>
          <w:szCs w:val="24"/>
        </w:rPr>
      </w:pPr>
    </w:p>
    <w:p w14:paraId="300451D0" w14:textId="77777777" w:rsidR="0058238F" w:rsidRDefault="0058238F" w:rsidP="00BA2CFA">
      <w:pPr>
        <w:pStyle w:val="Heading1"/>
        <w:jc w:val="center"/>
        <w:rPr>
          <w:rFonts w:cs="Calibri"/>
          <w:caps/>
          <w:sz w:val="24"/>
          <w:szCs w:val="24"/>
        </w:rPr>
      </w:pPr>
    </w:p>
    <w:p w14:paraId="523CEB4B" w14:textId="77777777" w:rsidR="0058238F" w:rsidRDefault="0058238F" w:rsidP="00BA2CFA">
      <w:pPr>
        <w:pStyle w:val="Heading1"/>
        <w:jc w:val="center"/>
        <w:rPr>
          <w:rFonts w:cs="Calibri"/>
          <w:caps/>
          <w:sz w:val="24"/>
          <w:szCs w:val="24"/>
        </w:rPr>
      </w:pPr>
    </w:p>
    <w:p w14:paraId="6509ED1F" w14:textId="77777777" w:rsidR="0058238F" w:rsidRDefault="0058238F" w:rsidP="00BA2CFA">
      <w:pPr>
        <w:pStyle w:val="Heading1"/>
        <w:jc w:val="center"/>
        <w:rPr>
          <w:rFonts w:cs="Calibri"/>
          <w:caps/>
          <w:sz w:val="24"/>
          <w:szCs w:val="24"/>
        </w:rPr>
      </w:pPr>
    </w:p>
    <w:p w14:paraId="07DB6EA9" w14:textId="77777777" w:rsidR="0058238F" w:rsidRDefault="0058238F" w:rsidP="00BA2CFA">
      <w:pPr>
        <w:pStyle w:val="Heading1"/>
        <w:jc w:val="center"/>
        <w:rPr>
          <w:rFonts w:cs="Calibri"/>
          <w:caps/>
          <w:sz w:val="24"/>
          <w:szCs w:val="24"/>
        </w:rPr>
      </w:pPr>
    </w:p>
    <w:p w14:paraId="5A872700" w14:textId="77777777" w:rsidR="0058238F" w:rsidRDefault="0058238F" w:rsidP="00BA2CFA">
      <w:pPr>
        <w:pStyle w:val="Heading1"/>
        <w:jc w:val="center"/>
        <w:rPr>
          <w:rFonts w:cs="Calibri"/>
          <w:caps/>
          <w:sz w:val="24"/>
          <w:szCs w:val="24"/>
        </w:rPr>
      </w:pPr>
    </w:p>
    <w:p w14:paraId="4F5D7697" w14:textId="77777777" w:rsidR="0058238F" w:rsidRDefault="0058238F" w:rsidP="00BA2CFA">
      <w:pPr>
        <w:pStyle w:val="Heading1"/>
        <w:jc w:val="center"/>
        <w:rPr>
          <w:rFonts w:cs="Calibri"/>
          <w:caps/>
          <w:sz w:val="24"/>
          <w:szCs w:val="24"/>
        </w:rPr>
      </w:pPr>
    </w:p>
    <w:p w14:paraId="182D393E" w14:textId="77777777" w:rsidR="0058238F" w:rsidRDefault="0058238F" w:rsidP="00BA2CFA">
      <w:pPr>
        <w:pStyle w:val="Heading1"/>
        <w:jc w:val="center"/>
        <w:rPr>
          <w:rFonts w:cs="Calibri"/>
          <w:caps/>
          <w:sz w:val="24"/>
          <w:szCs w:val="24"/>
        </w:rPr>
      </w:pPr>
    </w:p>
    <w:p w14:paraId="1A4984B4" w14:textId="77777777" w:rsidR="0058238F" w:rsidRDefault="0058238F" w:rsidP="00BA2CFA">
      <w:pPr>
        <w:pStyle w:val="Heading1"/>
        <w:jc w:val="center"/>
        <w:rPr>
          <w:rFonts w:cs="Calibri"/>
          <w:caps/>
          <w:sz w:val="24"/>
          <w:szCs w:val="24"/>
        </w:rPr>
      </w:pPr>
    </w:p>
    <w:p w14:paraId="5AF9F3F6" w14:textId="77777777" w:rsidR="0058238F" w:rsidRDefault="0058238F" w:rsidP="00BA2CFA">
      <w:pPr>
        <w:pStyle w:val="Heading1"/>
        <w:jc w:val="center"/>
        <w:rPr>
          <w:rFonts w:cs="Calibri"/>
          <w:caps/>
          <w:sz w:val="24"/>
          <w:szCs w:val="24"/>
        </w:rPr>
      </w:pPr>
    </w:p>
    <w:p w14:paraId="5FC68F45" w14:textId="77777777" w:rsidR="0058238F" w:rsidRDefault="0058238F" w:rsidP="00BA2CFA">
      <w:pPr>
        <w:pStyle w:val="Heading1"/>
        <w:jc w:val="center"/>
        <w:rPr>
          <w:rFonts w:cs="Calibri"/>
          <w:caps/>
          <w:sz w:val="24"/>
          <w:szCs w:val="24"/>
        </w:rPr>
      </w:pPr>
    </w:p>
    <w:p w14:paraId="6074EA47" w14:textId="77777777" w:rsidR="0058238F" w:rsidRDefault="0058238F" w:rsidP="00BA2CFA">
      <w:pPr>
        <w:pStyle w:val="Heading1"/>
        <w:jc w:val="center"/>
        <w:rPr>
          <w:rFonts w:cs="Calibri"/>
          <w:caps/>
          <w:sz w:val="24"/>
          <w:szCs w:val="24"/>
        </w:rPr>
      </w:pPr>
    </w:p>
    <w:p w14:paraId="59382A76" w14:textId="77777777" w:rsidR="0058238F" w:rsidRDefault="0058238F" w:rsidP="00BA2CFA">
      <w:pPr>
        <w:pStyle w:val="Heading1"/>
        <w:jc w:val="center"/>
        <w:rPr>
          <w:rFonts w:cs="Calibri"/>
          <w:caps/>
          <w:sz w:val="24"/>
          <w:szCs w:val="24"/>
        </w:rPr>
      </w:pPr>
    </w:p>
    <w:p w14:paraId="144F51E3" w14:textId="77777777" w:rsidR="0058238F" w:rsidRDefault="0058238F" w:rsidP="00BA2CFA">
      <w:pPr>
        <w:pStyle w:val="Heading1"/>
        <w:jc w:val="center"/>
        <w:rPr>
          <w:rFonts w:cs="Calibri"/>
          <w:caps/>
          <w:sz w:val="24"/>
          <w:szCs w:val="24"/>
        </w:rPr>
      </w:pPr>
    </w:p>
    <w:p w14:paraId="6B87D68F" w14:textId="77777777" w:rsidR="0058238F" w:rsidRDefault="0058238F" w:rsidP="00BA2CFA">
      <w:pPr>
        <w:pStyle w:val="Heading1"/>
        <w:jc w:val="center"/>
        <w:rPr>
          <w:rFonts w:cs="Calibri"/>
          <w:caps/>
          <w:sz w:val="24"/>
          <w:szCs w:val="24"/>
        </w:rPr>
      </w:pPr>
    </w:p>
    <w:p w14:paraId="25359A4E" w14:textId="77777777" w:rsidR="0058238F" w:rsidRDefault="0058238F" w:rsidP="00BA2CFA">
      <w:pPr>
        <w:pStyle w:val="Heading1"/>
        <w:jc w:val="center"/>
        <w:rPr>
          <w:rFonts w:cs="Calibri"/>
          <w:caps/>
          <w:sz w:val="24"/>
          <w:szCs w:val="24"/>
        </w:rPr>
      </w:pPr>
    </w:p>
    <w:p w14:paraId="61D9FBC0" w14:textId="77777777" w:rsidR="0058238F" w:rsidRDefault="0058238F" w:rsidP="00BA2CFA">
      <w:pPr>
        <w:pStyle w:val="Heading1"/>
        <w:jc w:val="center"/>
        <w:rPr>
          <w:rFonts w:cs="Calibri"/>
          <w:caps/>
          <w:sz w:val="24"/>
          <w:szCs w:val="24"/>
        </w:rPr>
      </w:pPr>
    </w:p>
    <w:p w14:paraId="2C391EC5" w14:textId="77777777" w:rsidR="0055302D" w:rsidRDefault="0055302D" w:rsidP="001A4842">
      <w:pPr>
        <w:pStyle w:val="Heading2"/>
        <w:spacing w:before="100" w:beforeAutospacing="1" w:after="100" w:afterAutospacing="1" w:line="276" w:lineRule="auto"/>
        <w:rPr>
          <w:rFonts w:asciiTheme="minorHAnsi" w:hAnsiTheme="minorHAnsi" w:cstheme="minorHAnsi"/>
          <w:sz w:val="28"/>
          <w:szCs w:val="28"/>
        </w:rPr>
      </w:pPr>
    </w:p>
    <w:p w14:paraId="19EA12D0" w14:textId="43E06D4F" w:rsidR="007D6928" w:rsidRPr="007D6928" w:rsidRDefault="00963C00" w:rsidP="007D6928">
      <w:pPr>
        <w:pStyle w:val="Heading2"/>
        <w:spacing w:before="100" w:beforeAutospacing="1" w:after="100" w:afterAutospacing="1" w:line="276" w:lineRule="auto"/>
        <w:rPr>
          <w:rFonts w:asciiTheme="minorHAnsi" w:hAnsiTheme="minorHAnsi" w:cstheme="minorHAnsi"/>
          <w:sz w:val="28"/>
          <w:szCs w:val="28"/>
        </w:rPr>
      </w:pPr>
      <w:r w:rsidRPr="00541398">
        <w:rPr>
          <w:rFonts w:asciiTheme="minorHAnsi" w:hAnsiTheme="minorHAnsi" w:cstheme="minorHAnsi"/>
          <w:sz w:val="28"/>
          <w:szCs w:val="28"/>
        </w:rPr>
        <w:lastRenderedPageBreak/>
        <w:t>CHILDREN AND YOUNG PEOPLE AMENDMENT BILL 2023</w:t>
      </w:r>
    </w:p>
    <w:p w14:paraId="4F6241EE" w14:textId="786DA959" w:rsidR="004177A7" w:rsidRPr="004177A7" w:rsidRDefault="004177A7" w:rsidP="005341E6">
      <w:pPr>
        <w:pStyle w:val="Heading2"/>
        <w:spacing w:before="240" w:after="0" w:line="276" w:lineRule="auto"/>
        <w:rPr>
          <w:rFonts w:cs="Calibri"/>
          <w:sz w:val="28"/>
          <w:szCs w:val="28"/>
        </w:rPr>
      </w:pPr>
      <w:r>
        <w:rPr>
          <w:rFonts w:cs="Calibri"/>
          <w:sz w:val="28"/>
          <w:szCs w:val="28"/>
        </w:rPr>
        <w:t>INTRODUCTION</w:t>
      </w:r>
    </w:p>
    <w:p w14:paraId="18DC3150" w14:textId="23147013" w:rsidR="00E77A79" w:rsidRPr="00975D93" w:rsidRDefault="00756CED" w:rsidP="005341E6">
      <w:pPr>
        <w:pStyle w:val="Style4"/>
        <w:spacing w:before="240" w:after="0"/>
      </w:pPr>
      <w:r w:rsidRPr="00975D93">
        <w:t>This Explanatory Statement relates to the Children and Young People Amendment Bill 2023 as presented to the ACT Legislative Assembly. It has been prepared in order to assist the reader of the Bill and to help inform debate on it. It does not form part of the Bill and has not been endorsed by the Assembly.</w:t>
      </w:r>
    </w:p>
    <w:p w14:paraId="1034E0F7" w14:textId="10926580" w:rsidR="00E77A79" w:rsidRPr="00975D93" w:rsidRDefault="004177A7" w:rsidP="005341E6">
      <w:pPr>
        <w:pStyle w:val="Style4"/>
        <w:spacing w:before="240" w:after="0"/>
      </w:pPr>
      <w:r w:rsidRPr="00975D93">
        <w:t xml:space="preserve">The Statement must be read in conjunction with the </w:t>
      </w:r>
      <w:r w:rsidR="00D04EF1" w:rsidRPr="00975D93">
        <w:t>B</w:t>
      </w:r>
      <w:r w:rsidRPr="00975D93">
        <w:t>ill</w:t>
      </w:r>
      <w:r w:rsidR="008F5B49" w:rsidRPr="00975D93">
        <w:t xml:space="preserve">. </w:t>
      </w:r>
      <w:r w:rsidRPr="00975D93">
        <w:t xml:space="preserve">It is not, and is not meant to be, a comprehensive description of the </w:t>
      </w:r>
      <w:r w:rsidR="00D04EF1" w:rsidRPr="00975D93">
        <w:t>B</w:t>
      </w:r>
      <w:r w:rsidRPr="00975D93">
        <w:t>ill. What is said about a provision is not to be taken as an authoritative guide to the meaning of a provision, this being a task for the courts.</w:t>
      </w:r>
    </w:p>
    <w:p w14:paraId="6CB6FB7E" w14:textId="24974590" w:rsidR="007D6928" w:rsidRPr="00975D93" w:rsidRDefault="00BE0D34" w:rsidP="005341E6">
      <w:pPr>
        <w:pStyle w:val="Style4"/>
        <w:spacing w:before="240" w:after="0"/>
      </w:pPr>
      <w:r w:rsidRPr="00975D93">
        <w:t>The Children and Young People Amendment Bill 2023 is a significant Bill. Significant bills are bills that have been assessed as likely to have significant engagement of human rights and require more detailed reasoning in relation to compatibility with the Human Rights Act 2004</w:t>
      </w:r>
      <w:r w:rsidR="00EE377E" w:rsidRPr="00975D93">
        <w:t xml:space="preserve"> (ACT)</w:t>
      </w:r>
      <w:r w:rsidRPr="00975D93">
        <w:t>.</w:t>
      </w:r>
    </w:p>
    <w:p w14:paraId="6D38F507" w14:textId="02CFADBE" w:rsidR="00352E6F" w:rsidRPr="006C68DE" w:rsidRDefault="00352E6F" w:rsidP="005341E6">
      <w:pPr>
        <w:pStyle w:val="Heading2"/>
        <w:spacing w:before="240" w:after="0" w:line="276" w:lineRule="auto"/>
        <w:rPr>
          <w:rFonts w:cs="Calibri"/>
          <w:sz w:val="28"/>
          <w:szCs w:val="28"/>
        </w:rPr>
      </w:pPr>
      <w:r w:rsidRPr="006C68DE">
        <w:rPr>
          <w:rFonts w:cs="Calibri"/>
          <w:sz w:val="28"/>
          <w:szCs w:val="28"/>
        </w:rPr>
        <w:t>OVERVIEW OF THE BILL</w:t>
      </w:r>
    </w:p>
    <w:p w14:paraId="35EE58CA" w14:textId="007DEB82" w:rsidR="00E77A79" w:rsidRPr="005341E6" w:rsidRDefault="005A3B20" w:rsidP="005341E6">
      <w:pPr>
        <w:pStyle w:val="Style4"/>
        <w:spacing w:before="240" w:after="0"/>
      </w:pPr>
      <w:r w:rsidRPr="005341E6">
        <w:t>The object of the Children and Young People Amendment Bill 2023 is to provide for the safety, welfare and wellbeing of children and young people. The Bill also establishes principles and key responsibilities that govern child protection intervention.</w:t>
      </w:r>
    </w:p>
    <w:p w14:paraId="6A64B1BF" w14:textId="15AB4A59" w:rsidR="008F5B49" w:rsidRPr="005341E6" w:rsidRDefault="005C708E" w:rsidP="005341E6">
      <w:pPr>
        <w:pStyle w:val="Style4"/>
        <w:spacing w:before="240" w:after="0"/>
      </w:pPr>
      <w:r w:rsidRPr="005341E6">
        <w:rPr>
          <w:rFonts w:cs="Calibri"/>
        </w:rPr>
        <w:t xml:space="preserve">The </w:t>
      </w:r>
      <w:r w:rsidR="000035FA" w:rsidRPr="005341E6">
        <w:rPr>
          <w:rFonts w:cs="Calibri"/>
        </w:rPr>
        <w:t>Australian Capital Territory</w:t>
      </w:r>
      <w:r w:rsidR="00D122B3">
        <w:rPr>
          <w:rFonts w:cs="Calibri"/>
        </w:rPr>
        <w:t>’</w:t>
      </w:r>
      <w:r w:rsidR="000035FA" w:rsidRPr="005341E6">
        <w:rPr>
          <w:rFonts w:cs="Calibri"/>
        </w:rPr>
        <w:t xml:space="preserve">s </w:t>
      </w:r>
      <w:r w:rsidRPr="005341E6">
        <w:rPr>
          <w:rFonts w:cs="Calibri"/>
          <w:i/>
        </w:rPr>
        <w:t>Children and Young People Act 2008</w:t>
      </w:r>
      <w:r w:rsidR="00EE377E" w:rsidRPr="005341E6">
        <w:rPr>
          <w:rFonts w:cs="Calibri"/>
          <w:i/>
        </w:rPr>
        <w:t xml:space="preserve"> </w:t>
      </w:r>
      <w:r w:rsidR="00EE377E" w:rsidRPr="005341E6">
        <w:rPr>
          <w:rFonts w:cs="Calibri"/>
        </w:rPr>
        <w:t>(ACT)</w:t>
      </w:r>
      <w:r w:rsidR="00DB0438" w:rsidRPr="005341E6">
        <w:rPr>
          <w:rFonts w:cs="Calibri"/>
        </w:rPr>
        <w:t>(CYPA)</w:t>
      </w:r>
      <w:r w:rsidRPr="005341E6">
        <w:rPr>
          <w:rFonts w:cs="Calibri"/>
        </w:rPr>
        <w:t xml:space="preserve"> has played a critical role in shaping the care, protection and rights of children and young people in the ACT</w:t>
      </w:r>
      <w:r w:rsidR="00541398" w:rsidRPr="005341E6">
        <w:rPr>
          <w:rFonts w:cs="Calibri"/>
        </w:rPr>
        <w:t xml:space="preserve">. </w:t>
      </w:r>
    </w:p>
    <w:p w14:paraId="654444B2" w14:textId="03CACB33" w:rsidR="00E77A79" w:rsidRPr="005341E6" w:rsidRDefault="005C708E" w:rsidP="005341E6">
      <w:pPr>
        <w:pStyle w:val="Style4"/>
        <w:spacing w:before="240" w:after="0"/>
      </w:pPr>
      <w:r w:rsidRPr="005341E6">
        <w:rPr>
          <w:rFonts w:cs="Calibri"/>
        </w:rPr>
        <w:t xml:space="preserve">The </w:t>
      </w:r>
      <w:r w:rsidR="00EE377E" w:rsidRPr="005341E6">
        <w:rPr>
          <w:rFonts w:cs="Calibri"/>
        </w:rPr>
        <w:t xml:space="preserve">CYPA </w:t>
      </w:r>
      <w:r w:rsidR="00D122B3">
        <w:rPr>
          <w:rFonts w:cs="Calibri"/>
        </w:rPr>
        <w:t>is</w:t>
      </w:r>
      <w:r w:rsidRPr="005341E6">
        <w:rPr>
          <w:rFonts w:cs="Calibri"/>
        </w:rPr>
        <w:t xml:space="preserve"> one of the </w:t>
      </w:r>
      <w:r w:rsidR="006B4AC5" w:rsidRPr="005341E6">
        <w:rPr>
          <w:rFonts w:cs="Calibri"/>
        </w:rPr>
        <w:t>T</w:t>
      </w:r>
      <w:r w:rsidR="004C376D" w:rsidRPr="005341E6">
        <w:rPr>
          <w:rFonts w:cs="Calibri"/>
        </w:rPr>
        <w:t>erritory</w:t>
      </w:r>
      <w:r w:rsidR="00D122B3">
        <w:rPr>
          <w:rFonts w:cs="Calibri"/>
        </w:rPr>
        <w:t>’</w:t>
      </w:r>
      <w:r w:rsidR="004C376D" w:rsidRPr="005341E6">
        <w:rPr>
          <w:rFonts w:cs="Calibri"/>
        </w:rPr>
        <w:t>s</w:t>
      </w:r>
      <w:r w:rsidRPr="005341E6">
        <w:rPr>
          <w:rFonts w:cs="Calibri"/>
        </w:rPr>
        <w:t xml:space="preserve"> most extensive and</w:t>
      </w:r>
      <w:r w:rsidR="006A0CB3" w:rsidRPr="005341E6">
        <w:t xml:space="preserve"> </w:t>
      </w:r>
      <w:r w:rsidR="00D122B3">
        <w:rPr>
          <w:rFonts w:cs="Calibri"/>
        </w:rPr>
        <w:t>complex</w:t>
      </w:r>
      <w:r w:rsidRPr="005341E6">
        <w:rPr>
          <w:rFonts w:cs="Calibri"/>
        </w:rPr>
        <w:t xml:space="preserve"> pieces of legislation. </w:t>
      </w:r>
      <w:r w:rsidRPr="005341E6">
        <w:t xml:space="preserve">Since its </w:t>
      </w:r>
      <w:r w:rsidR="006B4AC5" w:rsidRPr="005341E6">
        <w:t>commencement</w:t>
      </w:r>
      <w:r w:rsidRPr="005341E6">
        <w:t xml:space="preserve"> in 2008, the CYP</w:t>
      </w:r>
      <w:r w:rsidR="00EE377E" w:rsidRPr="005341E6">
        <w:t>A</w:t>
      </w:r>
      <w:r w:rsidRPr="005341E6">
        <w:t xml:space="preserve"> has been subject to regular amendments, leading to a progressive increase in </w:t>
      </w:r>
      <w:r w:rsidR="00B06C1C" w:rsidRPr="005341E6">
        <w:t xml:space="preserve">its </w:t>
      </w:r>
      <w:r w:rsidRPr="005341E6">
        <w:t>complexity. Recent inquiries, reviews</w:t>
      </w:r>
      <w:r w:rsidR="003768A9" w:rsidRPr="005341E6">
        <w:t xml:space="preserve"> </w:t>
      </w:r>
      <w:r w:rsidRPr="005341E6">
        <w:t>and research, combined with feedback from system users</w:t>
      </w:r>
      <w:r w:rsidR="006B4AC5" w:rsidRPr="005341E6">
        <w:t xml:space="preserve"> and developments in other jurisdictions</w:t>
      </w:r>
      <w:r w:rsidRPr="005341E6">
        <w:t xml:space="preserve">, have </w:t>
      </w:r>
      <w:r w:rsidR="006B4AC5" w:rsidRPr="005341E6">
        <w:t>identified the need for substantial reform of</w:t>
      </w:r>
      <w:r w:rsidRPr="005341E6">
        <w:t xml:space="preserve"> the CYP</w:t>
      </w:r>
      <w:r w:rsidR="00EE377E" w:rsidRPr="005341E6">
        <w:t>A</w:t>
      </w:r>
      <w:r w:rsidR="006B4AC5" w:rsidRPr="005341E6">
        <w:t xml:space="preserve"> and the way it operates in practice</w:t>
      </w:r>
      <w:r w:rsidR="003768A9" w:rsidRPr="005341E6">
        <w:t>.</w:t>
      </w:r>
    </w:p>
    <w:p w14:paraId="3C1EC95E" w14:textId="1AF2F18F" w:rsidR="006A0CB3" w:rsidRPr="005341E6" w:rsidRDefault="006A0CB3" w:rsidP="005341E6">
      <w:pPr>
        <w:pStyle w:val="Style4"/>
        <w:spacing w:before="240" w:after="0"/>
      </w:pPr>
      <w:r w:rsidRPr="005341E6">
        <w:t xml:space="preserve">Modernising the </w:t>
      </w:r>
      <w:r w:rsidR="00DB0438" w:rsidRPr="005341E6">
        <w:t xml:space="preserve">CYPA </w:t>
      </w:r>
      <w:r w:rsidRPr="005341E6">
        <w:t>is a priority action under Next Steps for Our Kids 2022-2030 (Next Steps), the ACT</w:t>
      </w:r>
      <w:r w:rsidR="00D122B3">
        <w:t>’</w:t>
      </w:r>
      <w:r w:rsidRPr="005341E6">
        <w:t xml:space="preserve">s strategy for strengthening families and keeping children and young people safe. </w:t>
      </w:r>
    </w:p>
    <w:p w14:paraId="227D5CB2" w14:textId="236827D3" w:rsidR="00530F1D" w:rsidRPr="005341E6" w:rsidRDefault="00B33C04" w:rsidP="005341E6">
      <w:pPr>
        <w:pStyle w:val="Style4"/>
        <w:spacing w:before="240" w:after="0"/>
      </w:pPr>
      <w:r w:rsidRPr="005341E6">
        <w:rPr>
          <w:rFonts w:cs="Calibri"/>
        </w:rPr>
        <w:t xml:space="preserve">The legislative reform aims to achieve the following </w:t>
      </w:r>
      <w:r w:rsidR="0058238F" w:rsidRPr="005341E6">
        <w:rPr>
          <w:rFonts w:cs="Calibri"/>
        </w:rPr>
        <w:t>policy</w:t>
      </w:r>
      <w:r w:rsidR="00530F1D" w:rsidRPr="005341E6">
        <w:rPr>
          <w:rFonts w:cs="Calibri"/>
        </w:rPr>
        <w:t xml:space="preserve"> objectives</w:t>
      </w:r>
      <w:r w:rsidR="004F520A" w:rsidRPr="005341E6">
        <w:rPr>
          <w:rFonts w:cs="Calibri"/>
        </w:rPr>
        <w:t>:</w:t>
      </w:r>
    </w:p>
    <w:p w14:paraId="42FC7B78" w14:textId="44CC66E8" w:rsidR="00326862" w:rsidRPr="005341E6" w:rsidRDefault="00B06C1C"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p</w:t>
      </w:r>
      <w:r w:rsidR="00326862" w:rsidRPr="005341E6">
        <w:rPr>
          <w:rFonts w:cs="Calibri"/>
          <w:iCs w:val="0"/>
          <w:sz w:val="22"/>
          <w:szCs w:val="22"/>
          <w:lang w:eastAsia="en-AU"/>
        </w:rPr>
        <w:t>romote shared responsibility for child protection through collaborative information sharing and reform of mandatory reporting laws</w:t>
      </w:r>
      <w:r w:rsidR="00B33C04" w:rsidRPr="005341E6">
        <w:rPr>
          <w:rFonts w:cs="Calibri"/>
          <w:iCs w:val="0"/>
          <w:sz w:val="22"/>
          <w:szCs w:val="22"/>
          <w:lang w:eastAsia="en-AU"/>
        </w:rPr>
        <w:t>.</w:t>
      </w:r>
    </w:p>
    <w:p w14:paraId="6B198375" w14:textId="709498A3" w:rsidR="00326862" w:rsidRPr="005341E6" w:rsidRDefault="00B06C1C"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e</w:t>
      </w:r>
      <w:r w:rsidR="00326862" w:rsidRPr="005341E6">
        <w:rPr>
          <w:rFonts w:cs="Calibri"/>
          <w:iCs w:val="0"/>
          <w:sz w:val="22"/>
          <w:szCs w:val="22"/>
          <w:lang w:eastAsia="en-AU"/>
        </w:rPr>
        <w:t>mpower children by strengthening their rights and voices in decision-making</w:t>
      </w:r>
      <w:r w:rsidR="00B33C04" w:rsidRPr="005341E6">
        <w:rPr>
          <w:rFonts w:cs="Calibri"/>
          <w:iCs w:val="0"/>
          <w:sz w:val="22"/>
          <w:szCs w:val="22"/>
          <w:lang w:eastAsia="en-AU"/>
        </w:rPr>
        <w:t>.</w:t>
      </w:r>
    </w:p>
    <w:p w14:paraId="4CD509AD" w14:textId="0FB09490" w:rsidR="00326862" w:rsidRPr="005341E6" w:rsidRDefault="00B06C1C"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e</w:t>
      </w:r>
      <w:r w:rsidR="00326862" w:rsidRPr="005341E6">
        <w:rPr>
          <w:rFonts w:cs="Calibri"/>
          <w:iCs w:val="0"/>
          <w:sz w:val="22"/>
          <w:szCs w:val="22"/>
          <w:lang w:eastAsia="en-AU"/>
        </w:rPr>
        <w:t>nable diversion from the statutory child protection system into earlier support services</w:t>
      </w:r>
      <w:r w:rsidR="00B33C04" w:rsidRPr="005341E6">
        <w:rPr>
          <w:rFonts w:cs="Calibri"/>
          <w:iCs w:val="0"/>
          <w:sz w:val="22"/>
          <w:szCs w:val="22"/>
          <w:lang w:eastAsia="en-AU"/>
        </w:rPr>
        <w:t>.</w:t>
      </w:r>
    </w:p>
    <w:p w14:paraId="23E11A86" w14:textId="044008CC" w:rsidR="00326862" w:rsidRPr="005341E6" w:rsidRDefault="00B06C1C"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d</w:t>
      </w:r>
      <w:r w:rsidR="00326862" w:rsidRPr="005341E6">
        <w:rPr>
          <w:rFonts w:cs="Calibri"/>
          <w:iCs w:val="0"/>
          <w:sz w:val="22"/>
          <w:szCs w:val="22"/>
          <w:lang w:eastAsia="en-AU"/>
        </w:rPr>
        <w:t>eliver more equitable, transparent and accountable decision-making processes</w:t>
      </w:r>
      <w:r w:rsidR="00B33C04" w:rsidRPr="005341E6">
        <w:rPr>
          <w:rFonts w:cs="Calibri"/>
          <w:iCs w:val="0"/>
          <w:sz w:val="22"/>
          <w:szCs w:val="22"/>
          <w:lang w:eastAsia="en-AU"/>
        </w:rPr>
        <w:t>.</w:t>
      </w:r>
    </w:p>
    <w:p w14:paraId="0DC35702" w14:textId="4BDBD8B8" w:rsidR="00326862" w:rsidRPr="005341E6" w:rsidRDefault="00B06C1C"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a</w:t>
      </w:r>
      <w:r w:rsidR="00326862" w:rsidRPr="005341E6">
        <w:rPr>
          <w:rFonts w:cs="Calibri"/>
          <w:iCs w:val="0"/>
          <w:sz w:val="22"/>
          <w:szCs w:val="22"/>
          <w:lang w:eastAsia="en-AU"/>
        </w:rPr>
        <w:t>ddress the over-representation of Aboriginal and Torres Strait Islander children, young people and families in the child protection system.</w:t>
      </w:r>
    </w:p>
    <w:p w14:paraId="31EFB3D4" w14:textId="05F06F13" w:rsidR="006A0CB3" w:rsidRPr="005341E6" w:rsidRDefault="006A0CB3" w:rsidP="005341E6">
      <w:pPr>
        <w:pStyle w:val="Style4"/>
        <w:spacing w:before="240" w:after="0"/>
      </w:pPr>
      <w:r w:rsidRPr="005341E6">
        <w:lastRenderedPageBreak/>
        <w:t>Legislative reform is intended to be delivered in two stages, with this Bill delivering early changes to some fundamental parameters and definitions that will support changes in practice while further detailed work is completed.</w:t>
      </w:r>
    </w:p>
    <w:p w14:paraId="6EF05264" w14:textId="5D0986C4" w:rsidR="00E77A79" w:rsidRPr="005341E6" w:rsidRDefault="004D0851" w:rsidP="005341E6">
      <w:pPr>
        <w:pStyle w:val="Style4"/>
        <w:spacing w:before="240" w:after="0"/>
      </w:pPr>
      <w:r w:rsidRPr="005341E6">
        <w:t xml:space="preserve">The </w:t>
      </w:r>
      <w:r w:rsidR="001A654D" w:rsidRPr="005341E6">
        <w:t>Bill will enable the ACT</w:t>
      </w:r>
      <w:r w:rsidR="00D122B3">
        <w:t>’</w:t>
      </w:r>
      <w:r w:rsidR="001A654D" w:rsidRPr="005341E6">
        <w:t>s child protection system to provide better and earlier support to families at risk. It will also start the process of fully embedding the Aboriginal and Torres Strait Islander Child Placement Principle into legislation, implementing a key recommendation of the Our Booris, Our Way review.</w:t>
      </w:r>
    </w:p>
    <w:p w14:paraId="3E9F7558" w14:textId="119A7E6A" w:rsidR="00963C00" w:rsidRPr="005341E6" w:rsidRDefault="0058238F" w:rsidP="005341E6">
      <w:pPr>
        <w:pStyle w:val="Style4"/>
        <w:spacing w:before="240" w:after="0"/>
      </w:pPr>
      <w:r w:rsidRPr="005341E6">
        <w:t>The Bill will achieve these objectives by:</w:t>
      </w:r>
    </w:p>
    <w:p w14:paraId="3E9CF680" w14:textId="01F1B699" w:rsidR="0058238F" w:rsidRPr="005341E6" w:rsidRDefault="0058238F"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 xml:space="preserve">adjusting the focus of the legislation and functions of the </w:t>
      </w:r>
      <w:r w:rsidR="00B65668" w:rsidRPr="005341E6">
        <w:rPr>
          <w:rFonts w:cs="Calibri"/>
          <w:iCs w:val="0"/>
          <w:sz w:val="22"/>
          <w:szCs w:val="22"/>
          <w:lang w:eastAsia="en-AU"/>
        </w:rPr>
        <w:t>d</w:t>
      </w:r>
      <w:r w:rsidRPr="005341E6">
        <w:rPr>
          <w:rFonts w:cs="Calibri"/>
          <w:iCs w:val="0"/>
          <w:sz w:val="22"/>
          <w:szCs w:val="22"/>
          <w:lang w:eastAsia="en-AU"/>
        </w:rPr>
        <w:t>irector-</w:t>
      </w:r>
      <w:r w:rsidR="00B65668" w:rsidRPr="005341E6">
        <w:rPr>
          <w:rFonts w:cs="Calibri"/>
          <w:iCs w:val="0"/>
          <w:sz w:val="22"/>
          <w:szCs w:val="22"/>
          <w:lang w:eastAsia="en-AU"/>
        </w:rPr>
        <w:t>g</w:t>
      </w:r>
      <w:r w:rsidRPr="005341E6">
        <w:rPr>
          <w:rFonts w:cs="Calibri"/>
          <w:iCs w:val="0"/>
          <w:sz w:val="22"/>
          <w:szCs w:val="22"/>
          <w:lang w:eastAsia="en-AU"/>
        </w:rPr>
        <w:t xml:space="preserve">eneral to align with a family support-oriented service </w:t>
      </w:r>
      <w:r w:rsidR="00D04EF1" w:rsidRPr="005341E6">
        <w:rPr>
          <w:rFonts w:cs="Calibri"/>
          <w:iCs w:val="0"/>
          <w:sz w:val="22"/>
          <w:szCs w:val="22"/>
          <w:lang w:eastAsia="en-AU"/>
        </w:rPr>
        <w:t>system</w:t>
      </w:r>
      <w:r w:rsidR="00686BDF" w:rsidRPr="005341E6">
        <w:rPr>
          <w:rFonts w:cs="Calibri"/>
          <w:iCs w:val="0"/>
          <w:sz w:val="22"/>
          <w:szCs w:val="22"/>
          <w:lang w:eastAsia="en-AU"/>
        </w:rPr>
        <w:t>.</w:t>
      </w:r>
    </w:p>
    <w:p w14:paraId="26A972DB" w14:textId="4DF84F03" w:rsidR="0058238F" w:rsidRPr="005341E6" w:rsidRDefault="0058238F"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recognising the importance of self-determination for Aboriginal and Torres Strait Islander peoples as Australia</w:t>
      </w:r>
      <w:r w:rsidR="00D122B3">
        <w:rPr>
          <w:rFonts w:cs="Calibri"/>
          <w:iCs w:val="0"/>
          <w:sz w:val="22"/>
          <w:szCs w:val="22"/>
          <w:lang w:eastAsia="en-AU"/>
        </w:rPr>
        <w:t>’</w:t>
      </w:r>
      <w:r w:rsidRPr="005341E6">
        <w:rPr>
          <w:rFonts w:cs="Calibri"/>
          <w:iCs w:val="0"/>
          <w:sz w:val="22"/>
          <w:szCs w:val="22"/>
          <w:lang w:eastAsia="en-AU"/>
        </w:rPr>
        <w:t>s first peoples</w:t>
      </w:r>
      <w:r w:rsidR="00686BDF" w:rsidRPr="005341E6">
        <w:rPr>
          <w:rFonts w:cs="Calibri"/>
          <w:iCs w:val="0"/>
          <w:sz w:val="22"/>
          <w:szCs w:val="22"/>
          <w:lang w:eastAsia="en-AU"/>
        </w:rPr>
        <w:t>.</w:t>
      </w:r>
    </w:p>
    <w:p w14:paraId="4DA7F3AE" w14:textId="0356A7F9" w:rsidR="0058238F" w:rsidRPr="005341E6" w:rsidRDefault="0058238F" w:rsidP="005341E6">
      <w:pPr>
        <w:pStyle w:val="Style1"/>
        <w:numPr>
          <w:ilvl w:val="0"/>
          <w:numId w:val="16"/>
        </w:numPr>
        <w:spacing w:before="120" w:after="0"/>
        <w:ind w:left="1077" w:hanging="357"/>
        <w:rPr>
          <w:rFonts w:cs="Calibri"/>
          <w:iCs w:val="0"/>
          <w:sz w:val="22"/>
          <w:szCs w:val="22"/>
          <w:lang w:eastAsia="en-AU"/>
        </w:rPr>
      </w:pPr>
      <w:bookmarkStart w:id="1" w:name="_Hlk147840728"/>
      <w:r w:rsidRPr="005341E6">
        <w:rPr>
          <w:rFonts w:cs="Calibri"/>
          <w:iCs w:val="0"/>
          <w:sz w:val="22"/>
          <w:szCs w:val="22"/>
          <w:lang w:eastAsia="en-AU"/>
        </w:rPr>
        <w:t xml:space="preserve">inserting the five elements of the Aboriginal and Torres Strait Islander Child Placement Principle – prevention, partnership, placement, participation and connection – and including them as </w:t>
      </w:r>
      <w:r w:rsidR="00D122B3">
        <w:rPr>
          <w:rFonts w:cs="Calibri"/>
          <w:iCs w:val="0"/>
          <w:sz w:val="22"/>
          <w:szCs w:val="22"/>
          <w:lang w:eastAsia="en-AU"/>
        </w:rPr>
        <w:t>‘</w:t>
      </w:r>
      <w:r w:rsidRPr="005341E6">
        <w:rPr>
          <w:rFonts w:cs="Calibri"/>
          <w:iCs w:val="0"/>
          <w:sz w:val="22"/>
          <w:szCs w:val="22"/>
          <w:lang w:eastAsia="en-AU"/>
        </w:rPr>
        <w:t>best interests</w:t>
      </w:r>
      <w:r w:rsidR="00D122B3">
        <w:rPr>
          <w:rFonts w:cs="Calibri"/>
          <w:iCs w:val="0"/>
          <w:sz w:val="22"/>
          <w:szCs w:val="22"/>
          <w:lang w:eastAsia="en-AU"/>
        </w:rPr>
        <w:t>’</w:t>
      </w:r>
      <w:r w:rsidRPr="005341E6">
        <w:rPr>
          <w:rFonts w:cs="Calibri"/>
          <w:iCs w:val="0"/>
          <w:sz w:val="22"/>
          <w:szCs w:val="22"/>
          <w:lang w:eastAsia="en-AU"/>
        </w:rPr>
        <w:t xml:space="preserve"> considerations for decisions about children and young people</w:t>
      </w:r>
      <w:r w:rsidR="00686BDF" w:rsidRPr="005341E6">
        <w:rPr>
          <w:rFonts w:cs="Calibri"/>
          <w:iCs w:val="0"/>
          <w:sz w:val="22"/>
          <w:szCs w:val="22"/>
          <w:lang w:eastAsia="en-AU"/>
        </w:rPr>
        <w:t>.</w:t>
      </w:r>
    </w:p>
    <w:bookmarkEnd w:id="1"/>
    <w:p w14:paraId="2C071856" w14:textId="3FEF154F" w:rsidR="001F087F" w:rsidRPr="005341E6" w:rsidRDefault="00D122B3" w:rsidP="005341E6">
      <w:pPr>
        <w:pStyle w:val="Style1"/>
        <w:numPr>
          <w:ilvl w:val="0"/>
          <w:numId w:val="16"/>
        </w:numPr>
        <w:spacing w:before="120" w:after="0"/>
        <w:ind w:left="1077" w:hanging="357"/>
        <w:rPr>
          <w:rFonts w:cs="Calibri"/>
          <w:iCs w:val="0"/>
          <w:sz w:val="22"/>
          <w:szCs w:val="22"/>
          <w:lang w:eastAsia="en-AU"/>
        </w:rPr>
      </w:pPr>
      <w:r>
        <w:rPr>
          <w:rFonts w:cs="Calibri"/>
          <w:iCs w:val="0"/>
          <w:sz w:val="22"/>
          <w:szCs w:val="22"/>
          <w:lang w:eastAsia="en-AU"/>
        </w:rPr>
        <w:t>r</w:t>
      </w:r>
      <w:r w:rsidR="0058238F" w:rsidRPr="005341E6">
        <w:rPr>
          <w:rFonts w:cs="Calibri"/>
          <w:iCs w:val="0"/>
          <w:sz w:val="22"/>
          <w:szCs w:val="22"/>
          <w:lang w:eastAsia="en-AU"/>
        </w:rPr>
        <w:t>e</w:t>
      </w:r>
      <w:r>
        <w:rPr>
          <w:rFonts w:cs="Calibri"/>
          <w:iCs w:val="0"/>
          <w:sz w:val="22"/>
          <w:szCs w:val="22"/>
          <w:lang w:eastAsia="en-AU"/>
        </w:rPr>
        <w:t>-</w:t>
      </w:r>
      <w:r w:rsidR="0058238F" w:rsidRPr="005341E6">
        <w:rPr>
          <w:rFonts w:cs="Calibri"/>
          <w:iCs w:val="0"/>
          <w:sz w:val="22"/>
          <w:szCs w:val="22"/>
          <w:lang w:eastAsia="en-AU"/>
        </w:rPr>
        <w:t xml:space="preserve">organising concepts of abuse and neglect toward an overarching concept of </w:t>
      </w:r>
      <w:r>
        <w:rPr>
          <w:rFonts w:cs="Calibri"/>
          <w:iCs w:val="0"/>
          <w:sz w:val="22"/>
          <w:szCs w:val="22"/>
          <w:lang w:eastAsia="en-AU"/>
        </w:rPr>
        <w:t>‘</w:t>
      </w:r>
      <w:r w:rsidR="0058238F" w:rsidRPr="005341E6">
        <w:rPr>
          <w:rFonts w:cs="Calibri"/>
          <w:iCs w:val="0"/>
          <w:sz w:val="22"/>
          <w:szCs w:val="22"/>
          <w:lang w:eastAsia="en-AU"/>
        </w:rPr>
        <w:t xml:space="preserve">significant </w:t>
      </w:r>
      <w:r w:rsidR="00526BC6" w:rsidRPr="005341E6">
        <w:rPr>
          <w:rFonts w:cs="Calibri"/>
          <w:iCs w:val="0"/>
          <w:sz w:val="22"/>
          <w:szCs w:val="22"/>
          <w:lang w:eastAsia="en-AU"/>
        </w:rPr>
        <w:t>harm</w:t>
      </w:r>
      <w:r>
        <w:rPr>
          <w:rFonts w:cs="Calibri"/>
          <w:iCs w:val="0"/>
          <w:sz w:val="22"/>
          <w:szCs w:val="22"/>
          <w:lang w:eastAsia="en-AU"/>
        </w:rPr>
        <w:t>’</w:t>
      </w:r>
      <w:r w:rsidR="00526BC6" w:rsidRPr="005341E6">
        <w:rPr>
          <w:rFonts w:cs="Calibri"/>
          <w:iCs w:val="0"/>
          <w:sz w:val="22"/>
          <w:szCs w:val="22"/>
          <w:lang w:eastAsia="en-AU"/>
        </w:rPr>
        <w:t xml:space="preserve">, including </w:t>
      </w:r>
      <w:r w:rsidR="00326862" w:rsidRPr="005341E6">
        <w:rPr>
          <w:rFonts w:cs="Calibri"/>
          <w:iCs w:val="0"/>
          <w:sz w:val="22"/>
          <w:szCs w:val="22"/>
          <w:lang w:eastAsia="en-AU"/>
        </w:rPr>
        <w:t>changing</w:t>
      </w:r>
      <w:r w:rsidR="00526BC6" w:rsidRPr="005341E6">
        <w:rPr>
          <w:rFonts w:cs="Calibri"/>
          <w:iCs w:val="0"/>
          <w:sz w:val="22"/>
          <w:szCs w:val="22"/>
          <w:lang w:eastAsia="en-AU"/>
        </w:rPr>
        <w:t xml:space="preserve"> concepts of sexual abuse and domestic violence</w:t>
      </w:r>
      <w:r w:rsidR="00D34195" w:rsidRPr="005341E6">
        <w:rPr>
          <w:rFonts w:cs="Calibri"/>
          <w:iCs w:val="0"/>
          <w:sz w:val="22"/>
          <w:szCs w:val="22"/>
          <w:lang w:eastAsia="en-AU"/>
        </w:rPr>
        <w:t>, revising the term neglect</w:t>
      </w:r>
      <w:r w:rsidR="004D0851" w:rsidRPr="005341E6">
        <w:rPr>
          <w:rFonts w:cs="Calibri"/>
          <w:iCs w:val="0"/>
          <w:sz w:val="22"/>
          <w:szCs w:val="22"/>
          <w:lang w:eastAsia="en-AU"/>
        </w:rPr>
        <w:t>,</w:t>
      </w:r>
      <w:r w:rsidR="00D34195" w:rsidRPr="005341E6">
        <w:rPr>
          <w:rFonts w:cs="Calibri"/>
          <w:iCs w:val="0"/>
          <w:sz w:val="22"/>
          <w:szCs w:val="22"/>
          <w:lang w:eastAsia="en-AU"/>
        </w:rPr>
        <w:t xml:space="preserve"> </w:t>
      </w:r>
      <w:r w:rsidR="00526BC6" w:rsidRPr="005341E6">
        <w:rPr>
          <w:rFonts w:cs="Calibri"/>
          <w:iCs w:val="0"/>
          <w:sz w:val="22"/>
          <w:szCs w:val="22"/>
          <w:lang w:eastAsia="en-AU"/>
        </w:rPr>
        <w:t>and explicitly enabling consideration of cumulative harm</w:t>
      </w:r>
      <w:r w:rsidR="00686BDF" w:rsidRPr="005341E6">
        <w:rPr>
          <w:rFonts w:cs="Calibri"/>
          <w:iCs w:val="0"/>
          <w:sz w:val="22"/>
          <w:szCs w:val="22"/>
          <w:lang w:eastAsia="en-AU"/>
        </w:rPr>
        <w:t>.</w:t>
      </w:r>
    </w:p>
    <w:p w14:paraId="7CD59795" w14:textId="4DC9D59E" w:rsidR="00DE69A9" w:rsidRPr="005341E6" w:rsidRDefault="00DE69A9"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providing</w:t>
      </w:r>
      <w:r w:rsidR="0058238F" w:rsidRPr="005341E6">
        <w:rPr>
          <w:rFonts w:cs="Calibri"/>
          <w:iCs w:val="0"/>
          <w:sz w:val="22"/>
          <w:szCs w:val="22"/>
          <w:lang w:eastAsia="en-AU"/>
        </w:rPr>
        <w:t xml:space="preserve"> guidance on factors to consider in making a decision about </w:t>
      </w:r>
      <w:r w:rsidR="00D122B3">
        <w:rPr>
          <w:rFonts w:cs="Calibri"/>
          <w:iCs w:val="0"/>
          <w:sz w:val="22"/>
          <w:szCs w:val="22"/>
          <w:lang w:eastAsia="en-AU"/>
        </w:rPr>
        <w:t>‘</w:t>
      </w:r>
      <w:r w:rsidR="0058238F" w:rsidRPr="005341E6">
        <w:rPr>
          <w:rFonts w:cs="Calibri"/>
          <w:iCs w:val="0"/>
          <w:sz w:val="22"/>
          <w:szCs w:val="22"/>
          <w:lang w:eastAsia="en-AU"/>
        </w:rPr>
        <w:t>best interests</w:t>
      </w:r>
      <w:r w:rsidR="00D122B3">
        <w:rPr>
          <w:rFonts w:cs="Calibri"/>
          <w:iCs w:val="0"/>
          <w:sz w:val="22"/>
          <w:szCs w:val="22"/>
          <w:lang w:eastAsia="en-AU"/>
        </w:rPr>
        <w:t>’</w:t>
      </w:r>
      <w:r w:rsidR="0058238F" w:rsidRPr="005341E6">
        <w:rPr>
          <w:rFonts w:cs="Calibri"/>
          <w:iCs w:val="0"/>
          <w:sz w:val="22"/>
          <w:szCs w:val="22"/>
          <w:lang w:eastAsia="en-AU"/>
        </w:rPr>
        <w:t xml:space="preserve">, clarifying that in determining the best interests of a child or young person, the decision-maker must always consider the risk of significant harm, in addition to the relevant other </w:t>
      </w:r>
      <w:r w:rsidR="001F087F" w:rsidRPr="005341E6">
        <w:rPr>
          <w:rFonts w:cs="Calibri"/>
          <w:iCs w:val="0"/>
          <w:sz w:val="22"/>
          <w:szCs w:val="22"/>
          <w:lang w:eastAsia="en-AU"/>
        </w:rPr>
        <w:t xml:space="preserve">best interest </w:t>
      </w:r>
      <w:r w:rsidR="0058238F" w:rsidRPr="005341E6">
        <w:rPr>
          <w:rFonts w:cs="Calibri"/>
          <w:iCs w:val="0"/>
          <w:sz w:val="22"/>
          <w:szCs w:val="22"/>
          <w:lang w:eastAsia="en-AU"/>
        </w:rPr>
        <w:t>factors where relevant</w:t>
      </w:r>
      <w:r w:rsidR="004D0851" w:rsidRPr="005341E6">
        <w:rPr>
          <w:rFonts w:cs="Calibri"/>
          <w:iCs w:val="0"/>
          <w:sz w:val="22"/>
          <w:szCs w:val="22"/>
          <w:lang w:eastAsia="en-AU"/>
        </w:rPr>
        <w:t>; and</w:t>
      </w:r>
    </w:p>
    <w:p w14:paraId="54FEC585" w14:textId="3F8DEF50" w:rsidR="00E06792" w:rsidRPr="005341E6" w:rsidRDefault="0058238F" w:rsidP="005341E6">
      <w:pPr>
        <w:pStyle w:val="Style1"/>
        <w:numPr>
          <w:ilvl w:val="0"/>
          <w:numId w:val="16"/>
        </w:numPr>
        <w:spacing w:before="120" w:after="0"/>
        <w:ind w:left="1077" w:hanging="357"/>
        <w:rPr>
          <w:rFonts w:cs="Calibri"/>
          <w:iCs w:val="0"/>
          <w:sz w:val="22"/>
          <w:szCs w:val="22"/>
          <w:lang w:eastAsia="en-AU"/>
        </w:rPr>
      </w:pPr>
      <w:r w:rsidRPr="005341E6">
        <w:rPr>
          <w:rFonts w:cs="Calibri"/>
          <w:iCs w:val="0"/>
          <w:sz w:val="22"/>
          <w:szCs w:val="22"/>
          <w:lang w:eastAsia="en-AU"/>
        </w:rPr>
        <w:t>implementing amendments to Chapter 19A (Children and Young People Death Review Committee)</w:t>
      </w:r>
      <w:r w:rsidR="004D0851" w:rsidRPr="005341E6">
        <w:rPr>
          <w:rFonts w:cs="Calibri"/>
          <w:iCs w:val="0"/>
          <w:sz w:val="22"/>
          <w:szCs w:val="22"/>
          <w:lang w:eastAsia="en-AU"/>
        </w:rPr>
        <w:t xml:space="preserve"> that reflect agreed recommendations from the Committee</w:t>
      </w:r>
      <w:r w:rsidRPr="005341E6">
        <w:rPr>
          <w:rFonts w:cs="Calibri"/>
          <w:iCs w:val="0"/>
          <w:sz w:val="22"/>
          <w:szCs w:val="22"/>
          <w:lang w:eastAsia="en-AU"/>
        </w:rPr>
        <w:t>.</w:t>
      </w:r>
    </w:p>
    <w:p w14:paraId="24FC47A9" w14:textId="38EAE2E8" w:rsidR="00E06792" w:rsidRPr="00E06792" w:rsidRDefault="002A7FD4" w:rsidP="005341E6">
      <w:pPr>
        <w:pStyle w:val="Heading2"/>
        <w:spacing w:before="240" w:after="0" w:line="276" w:lineRule="auto"/>
        <w:rPr>
          <w:rFonts w:cs="Calibri"/>
          <w:sz w:val="28"/>
          <w:szCs w:val="28"/>
        </w:rPr>
      </w:pPr>
      <w:r w:rsidRPr="006C68DE">
        <w:rPr>
          <w:rFonts w:cs="Calibri"/>
          <w:sz w:val="28"/>
          <w:szCs w:val="28"/>
        </w:rPr>
        <w:t>OUTLINE OF PROVISIONS</w:t>
      </w:r>
    </w:p>
    <w:p w14:paraId="3706C24A" w14:textId="4322B165" w:rsidR="00384AC4" w:rsidRDefault="00424FF4" w:rsidP="005341E6">
      <w:pPr>
        <w:spacing w:before="240" w:after="0"/>
        <w:rPr>
          <w:b/>
          <w:bCs/>
          <w:sz w:val="28"/>
          <w:szCs w:val="28"/>
        </w:rPr>
      </w:pPr>
      <w:r w:rsidRPr="006C68DE">
        <w:rPr>
          <w:b/>
          <w:bCs/>
          <w:sz w:val="28"/>
          <w:szCs w:val="28"/>
        </w:rPr>
        <w:t xml:space="preserve">Chapter 1 </w:t>
      </w:r>
      <w:r w:rsidR="00642135">
        <w:rPr>
          <w:b/>
          <w:bCs/>
          <w:sz w:val="28"/>
          <w:szCs w:val="28"/>
        </w:rPr>
        <w:t xml:space="preserve">Preliminary </w:t>
      </w:r>
    </w:p>
    <w:p w14:paraId="070FFCDD" w14:textId="0ACA01AE" w:rsidR="00E77A79" w:rsidRDefault="0058238F" w:rsidP="005341E6">
      <w:pPr>
        <w:pStyle w:val="Heading1"/>
        <w:spacing w:before="240" w:after="0"/>
        <w:rPr>
          <w:rFonts w:eastAsia="Calibri"/>
        </w:rPr>
      </w:pPr>
      <w:r w:rsidRPr="00121A21">
        <w:rPr>
          <w:rFonts w:eastAsia="Calibri"/>
        </w:rPr>
        <w:t>Section 7: Main object</w:t>
      </w:r>
      <w:r w:rsidR="00DB0438">
        <w:rPr>
          <w:rFonts w:eastAsia="Calibri"/>
        </w:rPr>
        <w:t>s</w:t>
      </w:r>
      <w:r w:rsidRPr="00121A21">
        <w:rPr>
          <w:rFonts w:eastAsia="Calibri"/>
        </w:rPr>
        <w:t xml:space="preserve"> of</w:t>
      </w:r>
      <w:r w:rsidR="00B06C1C">
        <w:rPr>
          <w:rFonts w:eastAsia="Calibri"/>
        </w:rPr>
        <w:t xml:space="preserve"> </w:t>
      </w:r>
      <w:r w:rsidRPr="00121A21">
        <w:rPr>
          <w:rFonts w:eastAsia="Calibri"/>
        </w:rPr>
        <w:t>Act</w:t>
      </w:r>
    </w:p>
    <w:p w14:paraId="2B53D517" w14:textId="17E76BB1" w:rsidR="00E77A79" w:rsidRPr="005341E6" w:rsidRDefault="00BA0B7F" w:rsidP="005341E6">
      <w:pPr>
        <w:pStyle w:val="Style4"/>
        <w:spacing w:before="240" w:after="0"/>
        <w:rPr>
          <w:rFonts w:eastAsia="Calibri"/>
        </w:rPr>
      </w:pPr>
      <w:bookmarkStart w:id="2" w:name="_Hlk146706045"/>
      <w:r w:rsidRPr="005341E6">
        <w:rPr>
          <w:rFonts w:eastAsia="Calibri"/>
        </w:rPr>
        <w:t>Clause 5</w:t>
      </w:r>
      <w:r w:rsidR="009E5B5E" w:rsidRPr="005341E6">
        <w:rPr>
          <w:rFonts w:eastAsia="Calibri"/>
        </w:rPr>
        <w:t xml:space="preserve"> </w:t>
      </w:r>
      <w:r w:rsidRPr="005341E6">
        <w:rPr>
          <w:rFonts w:eastAsia="Calibri"/>
        </w:rPr>
        <w:t>propose</w:t>
      </w:r>
      <w:r w:rsidR="009E5B5E" w:rsidRPr="005341E6">
        <w:rPr>
          <w:rFonts w:eastAsia="Calibri"/>
        </w:rPr>
        <w:t xml:space="preserve">s to </w:t>
      </w:r>
      <w:r w:rsidR="00066194" w:rsidRPr="005341E6">
        <w:rPr>
          <w:rFonts w:eastAsia="Calibri"/>
        </w:rPr>
        <w:t>amend</w:t>
      </w:r>
      <w:r w:rsidR="009E5B5E" w:rsidRPr="005341E6">
        <w:rPr>
          <w:rFonts w:eastAsia="Calibri"/>
        </w:rPr>
        <w:t xml:space="preserve"> section</w:t>
      </w:r>
      <w:r w:rsidR="00A47DFD" w:rsidRPr="005341E6">
        <w:rPr>
          <w:rFonts w:eastAsia="Calibri"/>
        </w:rPr>
        <w:t>s</w:t>
      </w:r>
      <w:r w:rsidR="009E5B5E" w:rsidRPr="005341E6">
        <w:rPr>
          <w:rFonts w:eastAsia="Calibri"/>
        </w:rPr>
        <w:t xml:space="preserve"> 7(a) and (b) </w:t>
      </w:r>
      <w:r w:rsidR="00066194" w:rsidRPr="005341E6">
        <w:rPr>
          <w:rFonts w:eastAsia="Calibri"/>
        </w:rPr>
        <w:t xml:space="preserve">from providing for and promoting the </w:t>
      </w:r>
      <w:r w:rsidR="00D122B3">
        <w:rPr>
          <w:rFonts w:eastAsia="Calibri"/>
        </w:rPr>
        <w:t>“</w:t>
      </w:r>
      <w:r w:rsidR="00066194" w:rsidRPr="005341E6">
        <w:rPr>
          <w:rFonts w:eastAsia="Calibri"/>
        </w:rPr>
        <w:t>wellbeing, care and protection</w:t>
      </w:r>
      <w:r w:rsidR="00D122B3">
        <w:rPr>
          <w:rFonts w:eastAsia="Calibri"/>
        </w:rPr>
        <w:t>”</w:t>
      </w:r>
      <w:r w:rsidR="00066194" w:rsidRPr="005341E6">
        <w:rPr>
          <w:rFonts w:eastAsia="Calibri"/>
        </w:rPr>
        <w:t xml:space="preserve"> of children and young people</w:t>
      </w:r>
      <w:r w:rsidR="008D250D" w:rsidRPr="005341E6">
        <w:rPr>
          <w:rStyle w:val="FootnoteReference"/>
          <w:rFonts w:eastAsia="Calibri"/>
          <w:sz w:val="22"/>
        </w:rPr>
        <w:footnoteReference w:id="2"/>
      </w:r>
      <w:r w:rsidR="00492FD6" w:rsidRPr="005341E6">
        <w:rPr>
          <w:rFonts w:eastAsia="Calibri"/>
        </w:rPr>
        <w:t xml:space="preserve"> </w:t>
      </w:r>
      <w:r w:rsidR="00066194" w:rsidRPr="005341E6">
        <w:rPr>
          <w:rFonts w:eastAsia="Calibri"/>
        </w:rPr>
        <w:t xml:space="preserve">to </w:t>
      </w:r>
      <w:r w:rsidR="00D122B3">
        <w:rPr>
          <w:rFonts w:eastAsia="Calibri"/>
        </w:rPr>
        <w:t>“</w:t>
      </w:r>
      <w:r w:rsidR="00066194" w:rsidRPr="005341E6">
        <w:rPr>
          <w:rFonts w:eastAsia="Calibri"/>
        </w:rPr>
        <w:t>safety, welfare</w:t>
      </w:r>
      <w:r w:rsidR="004B6C63" w:rsidRPr="005341E6">
        <w:rPr>
          <w:rFonts w:eastAsia="Calibri"/>
        </w:rPr>
        <w:t xml:space="preserve"> </w:t>
      </w:r>
      <w:r w:rsidR="00066194" w:rsidRPr="005341E6">
        <w:rPr>
          <w:rFonts w:eastAsia="Calibri"/>
        </w:rPr>
        <w:t>and wellbein</w:t>
      </w:r>
      <w:r w:rsidR="00D76612" w:rsidRPr="005341E6">
        <w:rPr>
          <w:rFonts w:eastAsia="Calibri"/>
        </w:rPr>
        <w:t>g</w:t>
      </w:r>
      <w:r w:rsidR="00D122B3">
        <w:rPr>
          <w:rFonts w:eastAsia="Calibri"/>
        </w:rPr>
        <w:t>”</w:t>
      </w:r>
      <w:r w:rsidR="009E5B5E" w:rsidRPr="005341E6">
        <w:rPr>
          <w:rFonts w:eastAsia="Calibri"/>
        </w:rPr>
        <w:t xml:space="preserve">. </w:t>
      </w:r>
      <w:bookmarkEnd w:id="2"/>
      <w:r w:rsidR="00066194" w:rsidRPr="005341E6">
        <w:rPr>
          <w:rFonts w:eastAsia="Calibri"/>
        </w:rPr>
        <w:t xml:space="preserve">This amendment is applicable throughout the </w:t>
      </w:r>
      <w:r w:rsidR="00A631D9" w:rsidRPr="005341E6">
        <w:rPr>
          <w:rFonts w:eastAsia="Calibri"/>
        </w:rPr>
        <w:t>CYP</w:t>
      </w:r>
      <w:r w:rsidR="00EE377E" w:rsidRPr="005341E6">
        <w:rPr>
          <w:rFonts w:eastAsia="Calibri"/>
        </w:rPr>
        <w:t>A</w:t>
      </w:r>
      <w:r w:rsidR="00066194" w:rsidRPr="005341E6">
        <w:rPr>
          <w:rFonts w:eastAsia="Calibri"/>
        </w:rPr>
        <w:t>.</w:t>
      </w:r>
      <w:r w:rsidR="000C2534" w:rsidRPr="005341E6">
        <w:rPr>
          <w:rFonts w:eastAsia="Calibri"/>
        </w:rPr>
        <w:t xml:space="preserve"> </w:t>
      </w:r>
      <w:r w:rsidR="00AF7C4B" w:rsidRPr="005341E6">
        <w:rPr>
          <w:rFonts w:eastAsia="Calibri"/>
        </w:rPr>
        <w:t xml:space="preserve">Relevantly, </w:t>
      </w:r>
      <w:r w:rsidR="005E5BF2" w:rsidRPr="005341E6">
        <w:rPr>
          <w:rFonts w:eastAsia="Calibri"/>
        </w:rPr>
        <w:t xml:space="preserve">while </w:t>
      </w:r>
      <w:r w:rsidR="00B41791" w:rsidRPr="005341E6">
        <w:rPr>
          <w:rFonts w:eastAsia="Calibri"/>
        </w:rPr>
        <w:t xml:space="preserve">the </w:t>
      </w:r>
      <w:r w:rsidR="00326862" w:rsidRPr="005341E6">
        <w:rPr>
          <w:rFonts w:eastAsia="Calibri"/>
        </w:rPr>
        <w:t xml:space="preserve">director-general </w:t>
      </w:r>
      <w:r w:rsidR="005E5BF2" w:rsidRPr="005341E6">
        <w:rPr>
          <w:rFonts w:eastAsia="Calibri"/>
        </w:rPr>
        <w:t xml:space="preserve">plays a </w:t>
      </w:r>
      <w:r w:rsidR="00B41791" w:rsidRPr="005341E6">
        <w:rPr>
          <w:rFonts w:eastAsia="Calibri"/>
        </w:rPr>
        <w:t xml:space="preserve">central </w:t>
      </w:r>
      <w:r w:rsidR="005E5BF2" w:rsidRPr="005341E6">
        <w:rPr>
          <w:rFonts w:eastAsia="Calibri"/>
        </w:rPr>
        <w:t xml:space="preserve">role in </w:t>
      </w:r>
      <w:r w:rsidR="00B41791" w:rsidRPr="005341E6">
        <w:rPr>
          <w:rFonts w:eastAsia="Calibri"/>
        </w:rPr>
        <w:t xml:space="preserve">the administration of the CYPA, </w:t>
      </w:r>
      <w:r w:rsidR="005E5BF2" w:rsidRPr="005341E6">
        <w:rPr>
          <w:rFonts w:eastAsia="Calibri"/>
        </w:rPr>
        <w:t>the</w:t>
      </w:r>
      <w:r w:rsidR="00B41791" w:rsidRPr="005341E6">
        <w:rPr>
          <w:rFonts w:eastAsia="Calibri"/>
        </w:rPr>
        <w:t xml:space="preserve"> main</w:t>
      </w:r>
      <w:r w:rsidR="005E5BF2" w:rsidRPr="005341E6">
        <w:rPr>
          <w:rFonts w:eastAsia="Calibri"/>
        </w:rPr>
        <w:t xml:space="preserve"> object</w:t>
      </w:r>
      <w:r w:rsidR="00B41791" w:rsidRPr="005341E6">
        <w:rPr>
          <w:rFonts w:eastAsia="Calibri"/>
        </w:rPr>
        <w:t>s of</w:t>
      </w:r>
      <w:r w:rsidR="00EF6A42" w:rsidRPr="005341E6">
        <w:rPr>
          <w:rFonts w:eastAsia="Calibri"/>
        </w:rPr>
        <w:t xml:space="preserve"> </w:t>
      </w:r>
      <w:r w:rsidR="00B41791" w:rsidRPr="005341E6">
        <w:rPr>
          <w:rFonts w:eastAsia="Calibri"/>
        </w:rPr>
        <w:t xml:space="preserve">Act </w:t>
      </w:r>
      <w:r w:rsidR="005E5BF2" w:rsidRPr="005341E6">
        <w:rPr>
          <w:rFonts w:eastAsia="Calibri"/>
        </w:rPr>
        <w:t>and</w:t>
      </w:r>
      <w:r w:rsidR="00B41791" w:rsidRPr="005341E6">
        <w:rPr>
          <w:rFonts w:eastAsia="Calibri"/>
        </w:rPr>
        <w:t xml:space="preserve"> its guiding </w:t>
      </w:r>
      <w:r w:rsidR="005E5BF2" w:rsidRPr="005341E6">
        <w:rPr>
          <w:rFonts w:eastAsia="Calibri"/>
        </w:rPr>
        <w:t xml:space="preserve">principles apply to all </w:t>
      </w:r>
      <w:bookmarkStart w:id="3" w:name="_Hlk146613646"/>
      <w:r w:rsidR="005E5BF2" w:rsidRPr="005341E6">
        <w:rPr>
          <w:rFonts w:eastAsia="Calibri"/>
        </w:rPr>
        <w:t xml:space="preserve">agencies and individuals who </w:t>
      </w:r>
      <w:r w:rsidR="00B41791" w:rsidRPr="005341E6">
        <w:rPr>
          <w:rFonts w:eastAsia="Calibri"/>
        </w:rPr>
        <w:t xml:space="preserve">provide </w:t>
      </w:r>
      <w:r w:rsidR="005E5BF2" w:rsidRPr="005341E6">
        <w:rPr>
          <w:rFonts w:eastAsia="Calibri"/>
        </w:rPr>
        <w:t>support and services to children and families</w:t>
      </w:r>
      <w:r w:rsidR="00790FE0" w:rsidRPr="005341E6">
        <w:rPr>
          <w:rFonts w:eastAsia="Calibri"/>
        </w:rPr>
        <w:t xml:space="preserve"> under the CYPA</w:t>
      </w:r>
      <w:r w:rsidR="005E5BF2" w:rsidRPr="005341E6">
        <w:rPr>
          <w:rFonts w:eastAsia="Calibri"/>
        </w:rPr>
        <w:t>.</w:t>
      </w:r>
      <w:bookmarkEnd w:id="3"/>
    </w:p>
    <w:p w14:paraId="66D1FA65" w14:textId="60530E13" w:rsidR="005046CD" w:rsidRPr="005341E6" w:rsidRDefault="00227C02" w:rsidP="005341E6">
      <w:pPr>
        <w:pStyle w:val="Style4"/>
        <w:spacing w:before="240" w:after="0"/>
        <w:rPr>
          <w:rFonts w:eastAsia="Calibri"/>
        </w:rPr>
      </w:pPr>
      <w:r w:rsidRPr="005341E6">
        <w:rPr>
          <w:rFonts w:eastAsia="Calibri" w:cs="Calibri"/>
        </w:rPr>
        <w:lastRenderedPageBreak/>
        <w:t xml:space="preserve">The </w:t>
      </w:r>
      <w:r w:rsidR="00A631D9" w:rsidRPr="005341E6">
        <w:rPr>
          <w:rFonts w:eastAsia="Calibri" w:cs="Calibri"/>
        </w:rPr>
        <w:t xml:space="preserve">concept of </w:t>
      </w:r>
      <w:r w:rsidRPr="005341E6">
        <w:rPr>
          <w:rFonts w:eastAsia="Calibri" w:cs="Calibri"/>
        </w:rPr>
        <w:t xml:space="preserve">care and protection has often been interpreted as a statutory </w:t>
      </w:r>
      <w:r w:rsidR="00DF1D9C" w:rsidRPr="005341E6">
        <w:rPr>
          <w:rFonts w:eastAsia="Calibri" w:cs="Calibri"/>
        </w:rPr>
        <w:t xml:space="preserve">function and </w:t>
      </w:r>
      <w:r w:rsidR="00B06C1C" w:rsidRPr="005341E6">
        <w:rPr>
          <w:rFonts w:eastAsia="Calibri" w:cs="Calibri"/>
        </w:rPr>
        <w:t xml:space="preserve">an </w:t>
      </w:r>
      <w:r w:rsidR="00DF1D9C" w:rsidRPr="005341E6">
        <w:rPr>
          <w:rFonts w:eastAsia="Calibri" w:cs="Calibri"/>
        </w:rPr>
        <w:t xml:space="preserve">obligation </w:t>
      </w:r>
      <w:r w:rsidRPr="005341E6">
        <w:rPr>
          <w:rFonts w:eastAsia="Calibri" w:cs="Calibri"/>
        </w:rPr>
        <w:t xml:space="preserve">primarily under government purview. While </w:t>
      </w:r>
      <w:r w:rsidR="00492FD6" w:rsidRPr="005341E6">
        <w:rPr>
          <w:rFonts w:eastAsia="Calibri" w:cs="Calibri"/>
        </w:rPr>
        <w:t>tertiary </w:t>
      </w:r>
      <w:r w:rsidRPr="005341E6">
        <w:rPr>
          <w:rFonts w:eastAsia="Calibri" w:cs="Calibri"/>
        </w:rPr>
        <w:t xml:space="preserve">services play an indispensable role in this regard, it has become increasingly evident that </w:t>
      </w:r>
      <w:r w:rsidR="00242168" w:rsidRPr="005341E6">
        <w:rPr>
          <w:rFonts w:eastAsia="Calibri" w:cs="Calibri"/>
        </w:rPr>
        <w:t>reliance on</w:t>
      </w:r>
      <w:r w:rsidRPr="005341E6">
        <w:rPr>
          <w:rFonts w:eastAsia="Calibri" w:cs="Calibri"/>
        </w:rPr>
        <w:t xml:space="preserve"> statutory functions to address the complex issue of child maltreatment is insufficient.</w:t>
      </w:r>
      <w:r w:rsidR="002D79EB" w:rsidRPr="005341E6">
        <w:rPr>
          <w:rFonts w:eastAsia="Calibri" w:cs="Calibri"/>
        </w:rPr>
        <w:t xml:space="preserve"> </w:t>
      </w:r>
    </w:p>
    <w:p w14:paraId="3BFB04EE" w14:textId="37E466F1" w:rsidR="00E77A79" w:rsidRPr="005341E6" w:rsidRDefault="00A47DFD" w:rsidP="005341E6">
      <w:pPr>
        <w:pStyle w:val="Style4"/>
        <w:spacing w:before="240" w:after="0"/>
        <w:rPr>
          <w:rFonts w:eastAsia="Calibri"/>
        </w:rPr>
      </w:pPr>
      <w:r w:rsidRPr="005341E6">
        <w:rPr>
          <w:rFonts w:eastAsia="Calibri"/>
        </w:rPr>
        <w:t>The preferred way of protecting children</w:t>
      </w:r>
      <w:r w:rsidR="00D122B3">
        <w:rPr>
          <w:rFonts w:eastAsia="Calibri"/>
        </w:rPr>
        <w:t>’</w:t>
      </w:r>
      <w:r w:rsidRPr="005341E6">
        <w:rPr>
          <w:rFonts w:eastAsia="Calibri"/>
        </w:rPr>
        <w:t>s safety, welfare and wellbeing is through providing information and support services to families</w:t>
      </w:r>
      <w:r w:rsidR="005046CD" w:rsidRPr="005341E6">
        <w:rPr>
          <w:rFonts w:eastAsia="Calibri"/>
        </w:rPr>
        <w:t xml:space="preserve">. </w:t>
      </w:r>
      <w:r w:rsidR="00227C02" w:rsidRPr="005341E6">
        <w:rPr>
          <w:rFonts w:eastAsia="Calibri"/>
        </w:rPr>
        <w:t xml:space="preserve">Aligned with the </w:t>
      </w:r>
      <w:r w:rsidR="00227C02" w:rsidRPr="00D122B3">
        <w:rPr>
          <w:rFonts w:eastAsia="Calibri"/>
          <w:i/>
          <w:iCs/>
        </w:rPr>
        <w:t>Safe and Supported: The National Framework for Protecting Australia</w:t>
      </w:r>
      <w:r w:rsidR="00D122B3" w:rsidRPr="00D122B3">
        <w:rPr>
          <w:rFonts w:eastAsia="Calibri"/>
          <w:i/>
          <w:iCs/>
        </w:rPr>
        <w:t>’</w:t>
      </w:r>
      <w:r w:rsidR="00227C02" w:rsidRPr="00D122B3">
        <w:rPr>
          <w:rFonts w:eastAsia="Calibri"/>
          <w:i/>
          <w:iCs/>
        </w:rPr>
        <w:t>s Children 2021-2031</w:t>
      </w:r>
      <w:r w:rsidR="00F74096" w:rsidRPr="005341E6">
        <w:rPr>
          <w:rFonts w:eastAsia="Calibri"/>
        </w:rPr>
        <w:t>,</w:t>
      </w:r>
      <w:r w:rsidR="00227C02" w:rsidRPr="005341E6">
        <w:rPr>
          <w:rFonts w:eastAsia="Calibri"/>
        </w:rPr>
        <w:t xml:space="preserve"> the Bill recognises that the optimal approach to child protection lies in preventing child maltreatment</w:t>
      </w:r>
      <w:r w:rsidR="000C21F0" w:rsidRPr="005341E6">
        <w:rPr>
          <w:rFonts w:eastAsia="Calibri"/>
        </w:rPr>
        <w:t xml:space="preserve"> from occurring in the first place</w:t>
      </w:r>
      <w:r w:rsidR="00B578DA" w:rsidRPr="005341E6">
        <w:rPr>
          <w:rFonts w:eastAsia="Calibri"/>
        </w:rPr>
        <w:t>.</w:t>
      </w:r>
      <w:r w:rsidR="00063699" w:rsidRPr="005341E6">
        <w:rPr>
          <w:rStyle w:val="FootnoteReference"/>
          <w:rFonts w:eastAsia="Calibri"/>
          <w:sz w:val="22"/>
        </w:rPr>
        <w:footnoteReference w:id="3"/>
      </w:r>
      <w:r w:rsidR="00227C02" w:rsidRPr="005341E6">
        <w:rPr>
          <w:rFonts w:eastAsia="Calibri"/>
        </w:rPr>
        <w:t xml:space="preserve"> It emphasises the necessity of proactive, preventative measures driven by collaboration across government, commun</w:t>
      </w:r>
      <w:r w:rsidR="00492FD6" w:rsidRPr="005341E6">
        <w:rPr>
          <w:rFonts w:eastAsia="Calibri"/>
        </w:rPr>
        <w:t>ities</w:t>
      </w:r>
      <w:r w:rsidR="00227C02" w:rsidRPr="005341E6">
        <w:rPr>
          <w:rFonts w:eastAsia="Calibri"/>
        </w:rPr>
        <w:t xml:space="preserve"> and sectors that </w:t>
      </w:r>
      <w:r w:rsidR="00063699" w:rsidRPr="005341E6">
        <w:rPr>
          <w:rFonts w:eastAsia="Calibri"/>
        </w:rPr>
        <w:t>have</w:t>
      </w:r>
      <w:r w:rsidR="00C35677" w:rsidRPr="005341E6">
        <w:rPr>
          <w:rFonts w:eastAsia="Calibri"/>
        </w:rPr>
        <w:t xml:space="preserve"> an</w:t>
      </w:r>
      <w:r w:rsidR="00063699" w:rsidRPr="005341E6">
        <w:rPr>
          <w:rFonts w:eastAsia="Calibri"/>
        </w:rPr>
        <w:t xml:space="preserve"> </w:t>
      </w:r>
      <w:r w:rsidR="00227C02" w:rsidRPr="005341E6">
        <w:rPr>
          <w:rFonts w:eastAsia="Calibri"/>
        </w:rPr>
        <w:t>impact</w:t>
      </w:r>
      <w:r w:rsidR="00063699" w:rsidRPr="005341E6">
        <w:rPr>
          <w:rFonts w:eastAsia="Calibri"/>
        </w:rPr>
        <w:t xml:space="preserve"> on</w:t>
      </w:r>
      <w:r w:rsidR="00227C02" w:rsidRPr="005341E6">
        <w:rPr>
          <w:rFonts w:eastAsia="Calibri"/>
        </w:rPr>
        <w:t xml:space="preserve"> children and young people</w:t>
      </w:r>
      <w:r w:rsidR="00D122B3">
        <w:rPr>
          <w:rFonts w:eastAsia="Calibri"/>
        </w:rPr>
        <w:t>’</w:t>
      </w:r>
      <w:r w:rsidR="00227C02" w:rsidRPr="005341E6">
        <w:rPr>
          <w:rFonts w:eastAsia="Calibri"/>
        </w:rPr>
        <w:t>s safety, welfare and wellbeing.</w:t>
      </w:r>
    </w:p>
    <w:p w14:paraId="2455C846" w14:textId="38D655C5" w:rsidR="00E77A79" w:rsidRPr="005341E6" w:rsidRDefault="00B41791" w:rsidP="005341E6">
      <w:pPr>
        <w:pStyle w:val="Style4"/>
        <w:spacing w:before="240" w:after="0"/>
        <w:rPr>
          <w:rFonts w:eastAsia="Calibri"/>
        </w:rPr>
      </w:pPr>
      <w:bookmarkStart w:id="4" w:name="_Hlk147843197"/>
      <w:r w:rsidRPr="005341E6">
        <w:rPr>
          <w:rFonts w:eastAsia="Calibri" w:cs="Calibri"/>
        </w:rPr>
        <w:t>The Bill seeks to proactively recalibrate the CYP</w:t>
      </w:r>
      <w:r w:rsidR="00EE377E" w:rsidRPr="005341E6">
        <w:rPr>
          <w:rFonts w:eastAsia="Calibri" w:cs="Calibri"/>
        </w:rPr>
        <w:t xml:space="preserve">A </w:t>
      </w:r>
      <w:r w:rsidRPr="005341E6">
        <w:rPr>
          <w:rFonts w:eastAsia="Calibri" w:cs="Calibri"/>
        </w:rPr>
        <w:t xml:space="preserve">by rebalancing its current emphasis on statutory child protection, redirecting </w:t>
      </w:r>
      <w:r w:rsidR="00877F5C" w:rsidRPr="005341E6">
        <w:rPr>
          <w:rFonts w:eastAsia="Calibri" w:cs="Calibri"/>
        </w:rPr>
        <w:t>greater attention toward supporting families at an earlier stage to promote the</w:t>
      </w:r>
      <w:r w:rsidR="00747358" w:rsidRPr="005341E6">
        <w:rPr>
          <w:rFonts w:eastAsia="Calibri" w:cs="Calibri"/>
        </w:rPr>
        <w:t xml:space="preserve"> </w:t>
      </w:r>
      <w:r w:rsidR="00877F5C" w:rsidRPr="005341E6">
        <w:rPr>
          <w:rFonts w:eastAsia="Calibri" w:cs="Calibri"/>
        </w:rPr>
        <w:t>safety, welfare and wellbeing</w:t>
      </w:r>
      <w:r w:rsidR="00B06C1C" w:rsidRPr="005341E6">
        <w:rPr>
          <w:rFonts w:eastAsia="Calibri" w:cs="Calibri"/>
        </w:rPr>
        <w:t xml:space="preserve"> of children and young people</w:t>
      </w:r>
      <w:r w:rsidR="00747358" w:rsidRPr="005341E6">
        <w:rPr>
          <w:rFonts w:eastAsia="Calibri" w:cs="Calibri"/>
        </w:rPr>
        <w:t>.</w:t>
      </w:r>
    </w:p>
    <w:bookmarkEnd w:id="4"/>
    <w:p w14:paraId="3E3912F2" w14:textId="0DE0ABA4" w:rsidR="005E020E" w:rsidRPr="005341E6" w:rsidRDefault="00A47DFD" w:rsidP="005341E6">
      <w:pPr>
        <w:pStyle w:val="Style4"/>
        <w:spacing w:before="240" w:after="0"/>
        <w:rPr>
          <w:rFonts w:eastAsia="Calibri"/>
        </w:rPr>
      </w:pPr>
      <w:r w:rsidRPr="005341E6">
        <w:rPr>
          <w:rFonts w:eastAsia="Calibri" w:cs="Calibri"/>
        </w:rPr>
        <w:t>T</w:t>
      </w:r>
      <w:r w:rsidR="00B41791" w:rsidRPr="005341E6">
        <w:rPr>
          <w:rFonts w:eastAsia="Calibri" w:cs="Calibri"/>
        </w:rPr>
        <w:t xml:space="preserve">he change in language from </w:t>
      </w:r>
      <w:r w:rsidR="00D122B3">
        <w:rPr>
          <w:rFonts w:eastAsia="Calibri" w:cs="Calibri"/>
        </w:rPr>
        <w:t>“</w:t>
      </w:r>
      <w:r w:rsidR="00B41791" w:rsidRPr="005341E6">
        <w:rPr>
          <w:rFonts w:eastAsia="Calibri" w:cs="Calibri"/>
        </w:rPr>
        <w:t>wellbeing, care and protection</w:t>
      </w:r>
      <w:r w:rsidR="00D122B3">
        <w:rPr>
          <w:rFonts w:eastAsia="Calibri" w:cs="Calibri"/>
        </w:rPr>
        <w:t>”</w:t>
      </w:r>
      <w:r w:rsidR="00B41791" w:rsidRPr="005341E6">
        <w:rPr>
          <w:rFonts w:eastAsia="Calibri" w:cs="Calibri"/>
        </w:rPr>
        <w:t xml:space="preserve"> to </w:t>
      </w:r>
      <w:r w:rsidR="00D122B3">
        <w:rPr>
          <w:rFonts w:eastAsia="Calibri" w:cs="Calibri"/>
        </w:rPr>
        <w:t>“</w:t>
      </w:r>
      <w:r w:rsidR="00B41791" w:rsidRPr="005341E6">
        <w:rPr>
          <w:rFonts w:eastAsia="Calibri" w:cs="Calibri"/>
        </w:rPr>
        <w:t>safety, welfare and wellbeing</w:t>
      </w:r>
      <w:r w:rsidR="00D122B3">
        <w:rPr>
          <w:rFonts w:eastAsia="Calibri" w:cs="Calibri"/>
        </w:rPr>
        <w:t>”</w:t>
      </w:r>
      <w:r w:rsidR="00D76612" w:rsidRPr="005341E6">
        <w:rPr>
          <w:rFonts w:eastAsia="Calibri" w:cs="Calibri"/>
        </w:rPr>
        <w:t xml:space="preserve"> </w:t>
      </w:r>
      <w:r w:rsidR="00B41791" w:rsidRPr="005341E6">
        <w:rPr>
          <w:rFonts w:eastAsia="Calibri" w:cs="Calibri"/>
        </w:rPr>
        <w:t>represents a fundamental shift from how child protection has traditionally been conceived and approached.</w:t>
      </w:r>
      <w:r w:rsidR="00242168" w:rsidRPr="005341E6">
        <w:rPr>
          <w:rFonts w:eastAsia="Calibri" w:cs="Calibri"/>
        </w:rPr>
        <w:t xml:space="preserve"> </w:t>
      </w:r>
      <w:r w:rsidR="005F3048" w:rsidRPr="005341E6">
        <w:t>This shift signifies a reordering of priorities within the CYPA</w:t>
      </w:r>
      <w:r w:rsidR="00356548" w:rsidRPr="005341E6">
        <w:t>, affirming</w:t>
      </w:r>
      <w:r w:rsidR="005F3048" w:rsidRPr="005341E6">
        <w:t xml:space="preserve"> </w:t>
      </w:r>
      <w:r w:rsidR="00E6083E" w:rsidRPr="005341E6">
        <w:t>an</w:t>
      </w:r>
      <w:r w:rsidR="005F3048" w:rsidRPr="005341E6">
        <w:t xml:space="preserve"> </w:t>
      </w:r>
      <w:r w:rsidR="00E6083E" w:rsidRPr="005341E6">
        <w:t xml:space="preserve">increased focus on </w:t>
      </w:r>
      <w:r w:rsidR="005F3048" w:rsidRPr="005341E6">
        <w:t>addressing the underlying cause of child maltreatment</w:t>
      </w:r>
      <w:r w:rsidR="0063408A" w:rsidRPr="005341E6">
        <w:t xml:space="preserve"> and</w:t>
      </w:r>
      <w:r w:rsidR="00AD4842" w:rsidRPr="005341E6">
        <w:t xml:space="preserve"> reducing the </w:t>
      </w:r>
      <w:r w:rsidR="00356548" w:rsidRPr="005341E6">
        <w:t xml:space="preserve">associated </w:t>
      </w:r>
      <w:r w:rsidR="00AD4842" w:rsidRPr="005341E6">
        <w:t>risk</w:t>
      </w:r>
      <w:r w:rsidR="00DB2078" w:rsidRPr="005341E6">
        <w:t>s of</w:t>
      </w:r>
      <w:r w:rsidR="00356548" w:rsidRPr="005341E6">
        <w:t xml:space="preserve"> i</w:t>
      </w:r>
      <w:r w:rsidR="00AD4842" w:rsidRPr="005341E6">
        <w:t>ntergenerational transmission</w:t>
      </w:r>
      <w:r w:rsidR="00B578DA" w:rsidRPr="005341E6">
        <w:t>.</w:t>
      </w:r>
      <w:r w:rsidR="0063408A" w:rsidRPr="005341E6">
        <w:rPr>
          <w:rStyle w:val="FootnoteReference"/>
          <w:sz w:val="22"/>
        </w:rPr>
        <w:footnoteReference w:id="4"/>
      </w:r>
    </w:p>
    <w:p w14:paraId="5518ABA6" w14:textId="1922029C" w:rsidR="00790FE0" w:rsidRPr="005341E6" w:rsidRDefault="00B06C1C" w:rsidP="005341E6">
      <w:pPr>
        <w:pStyle w:val="Style4"/>
        <w:spacing w:before="240" w:after="0"/>
        <w:rPr>
          <w:rFonts w:eastAsia="Calibri"/>
        </w:rPr>
      </w:pPr>
      <w:r w:rsidRPr="005341E6">
        <w:rPr>
          <w:rFonts w:eastAsia="Calibri"/>
        </w:rPr>
        <w:t>The purpose of the amendment is to reflect the child protection and family support system</w:t>
      </w:r>
      <w:r w:rsidR="00D122B3">
        <w:rPr>
          <w:rFonts w:eastAsia="Calibri"/>
        </w:rPr>
        <w:t>’</w:t>
      </w:r>
      <w:r w:rsidRPr="005341E6">
        <w:rPr>
          <w:rFonts w:eastAsia="Calibri"/>
        </w:rPr>
        <w:t>s contemporary role and ensure alignment with the director-general</w:t>
      </w:r>
      <w:r w:rsidR="00D122B3">
        <w:rPr>
          <w:rFonts w:eastAsia="Calibri"/>
        </w:rPr>
        <w:t>’</w:t>
      </w:r>
      <w:r w:rsidRPr="005341E6">
        <w:rPr>
          <w:rFonts w:eastAsia="Calibri"/>
        </w:rPr>
        <w:t>s functions, as set out in section</w:t>
      </w:r>
      <w:r w:rsidR="00D122B3">
        <w:rPr>
          <w:rFonts w:eastAsia="Calibri"/>
        </w:rPr>
        <w:t> </w:t>
      </w:r>
      <w:r w:rsidRPr="005341E6">
        <w:rPr>
          <w:rFonts w:eastAsia="Calibri"/>
        </w:rPr>
        <w:t>22. This revised purpose does not intend to broaden the scope of the CYPA, change the criteria for statutory intervention, or compel the director-general to provide support to a wider range of families beyond those already covered by the Act.</w:t>
      </w:r>
    </w:p>
    <w:p w14:paraId="277A72EE" w14:textId="0587BEFC" w:rsidR="00E16249" w:rsidRPr="00DE69A9" w:rsidRDefault="00E16249" w:rsidP="005341E6">
      <w:pPr>
        <w:spacing w:before="240" w:after="0"/>
        <w:rPr>
          <w:b/>
          <w:bCs/>
          <w:sz w:val="28"/>
          <w:szCs w:val="28"/>
        </w:rPr>
      </w:pPr>
      <w:r w:rsidRPr="00DE69A9">
        <w:rPr>
          <w:b/>
          <w:bCs/>
          <w:sz w:val="28"/>
          <w:szCs w:val="28"/>
        </w:rPr>
        <w:t>Chapter 2 Administration</w:t>
      </w:r>
    </w:p>
    <w:p w14:paraId="69EE7D91" w14:textId="7263A006" w:rsidR="00E16249" w:rsidRDefault="00E16249" w:rsidP="005341E6">
      <w:pPr>
        <w:pStyle w:val="Heading1"/>
        <w:spacing w:before="240" w:after="0"/>
        <w:rPr>
          <w:rFonts w:eastAsia="Calibri"/>
        </w:rPr>
      </w:pPr>
      <w:r w:rsidRPr="00121A21">
        <w:rPr>
          <w:rFonts w:eastAsia="Calibri"/>
        </w:rPr>
        <w:t>Section 22: Director-general</w:t>
      </w:r>
      <w:r w:rsidR="00D122B3">
        <w:rPr>
          <w:rFonts w:eastAsia="Calibri"/>
        </w:rPr>
        <w:t>’</w:t>
      </w:r>
      <w:r w:rsidRPr="00121A21">
        <w:rPr>
          <w:rFonts w:eastAsia="Calibri"/>
        </w:rPr>
        <w:t>s functions</w:t>
      </w:r>
    </w:p>
    <w:p w14:paraId="0FFFC5B8" w14:textId="3ADBA3D6" w:rsidR="00823842" w:rsidRPr="005341E6" w:rsidRDefault="00261CDD" w:rsidP="005341E6">
      <w:pPr>
        <w:pStyle w:val="Style4"/>
        <w:spacing w:before="240" w:after="0"/>
      </w:pPr>
      <w:r w:rsidRPr="005341E6">
        <w:t xml:space="preserve">The Bill </w:t>
      </w:r>
      <w:r w:rsidR="00326862" w:rsidRPr="005341E6">
        <w:t xml:space="preserve">amends </w:t>
      </w:r>
      <w:r w:rsidRPr="005341E6">
        <w:t xml:space="preserve">the </w:t>
      </w:r>
      <w:r w:rsidR="00326862" w:rsidRPr="005341E6">
        <w:t>director-general</w:t>
      </w:r>
      <w:r w:rsidR="00D122B3">
        <w:t>’</w:t>
      </w:r>
      <w:r w:rsidR="00326862" w:rsidRPr="005341E6">
        <w:t xml:space="preserve">s </w:t>
      </w:r>
      <w:r w:rsidR="00747358" w:rsidRPr="005341E6">
        <w:t>responsibility t</w:t>
      </w:r>
      <w:r w:rsidRPr="005341E6">
        <w:t>o intervene to protect children</w:t>
      </w:r>
      <w:r w:rsidR="00823842" w:rsidRPr="005341E6">
        <w:t xml:space="preserve"> from significant harm</w:t>
      </w:r>
      <w:r w:rsidRPr="005341E6">
        <w:t xml:space="preserve"> while recognising that the primary responsibility for the care and protection of children lies with the family.</w:t>
      </w:r>
      <w:r w:rsidR="00823842" w:rsidRPr="005341E6">
        <w:t xml:space="preserve"> </w:t>
      </w:r>
    </w:p>
    <w:p w14:paraId="3DAA81DF" w14:textId="13675808" w:rsidR="00823842" w:rsidRPr="005341E6" w:rsidRDefault="00823842" w:rsidP="005341E6">
      <w:pPr>
        <w:pStyle w:val="Style4"/>
        <w:spacing w:before="240" w:after="0"/>
      </w:pPr>
      <w:r w:rsidRPr="005341E6">
        <w:t>The functions of the director</w:t>
      </w:r>
      <w:r w:rsidR="00DB0438" w:rsidRPr="005341E6">
        <w:t>-</w:t>
      </w:r>
      <w:r w:rsidRPr="005341E6">
        <w:t>general relate to the provision of services to prevent harm to children, to</w:t>
      </w:r>
      <w:r w:rsidR="00AF7C4B" w:rsidRPr="005341E6">
        <w:t xml:space="preserve"> support the community to</w:t>
      </w:r>
      <w:r w:rsidRPr="005341E6">
        <w:t xml:space="preserve"> intervene at an early stage to assist vulnerable families and to respond to the needs of children and families when harm or risk of harm occurs. These functions are part of the broader context within which the powers and obligations outlined in the Bill take effect.</w:t>
      </w:r>
    </w:p>
    <w:p w14:paraId="128F40F1" w14:textId="1DC9272D" w:rsidR="00261CDD" w:rsidRPr="005341E6" w:rsidRDefault="00B1404F" w:rsidP="005341E6">
      <w:pPr>
        <w:pStyle w:val="Style4"/>
        <w:spacing w:before="240" w:after="0"/>
      </w:pPr>
      <w:r w:rsidRPr="005341E6">
        <w:rPr>
          <w:rFonts w:eastAsia="Calibri" w:cs="Calibri"/>
        </w:rPr>
        <w:lastRenderedPageBreak/>
        <w:t>Clause</w:t>
      </w:r>
      <w:r w:rsidR="00AF7C4B" w:rsidRPr="005341E6">
        <w:rPr>
          <w:rFonts w:eastAsia="Calibri" w:cs="Calibri"/>
        </w:rPr>
        <w:t>s</w:t>
      </w:r>
      <w:r w:rsidRPr="005341E6">
        <w:rPr>
          <w:rFonts w:eastAsia="Calibri" w:cs="Calibri"/>
        </w:rPr>
        <w:t xml:space="preserve"> 11 and 12 propose</w:t>
      </w:r>
      <w:r w:rsidR="00061471" w:rsidRPr="005341E6">
        <w:rPr>
          <w:rFonts w:eastAsia="Calibri" w:cs="Calibri"/>
        </w:rPr>
        <w:t>s</w:t>
      </w:r>
      <w:r w:rsidRPr="005341E6">
        <w:rPr>
          <w:rFonts w:eastAsia="Calibri" w:cs="Calibri"/>
        </w:rPr>
        <w:t xml:space="preserve"> to amend section 7(a</w:t>
      </w:r>
      <w:r w:rsidR="00B578DA" w:rsidRPr="005341E6">
        <w:rPr>
          <w:rFonts w:eastAsia="Calibri" w:cs="Calibri"/>
        </w:rPr>
        <w:t>)–</w:t>
      </w:r>
      <w:r w:rsidRPr="005341E6">
        <w:rPr>
          <w:rFonts w:eastAsia="Calibri" w:cs="Calibri"/>
        </w:rPr>
        <w:t xml:space="preserve">(d) </w:t>
      </w:r>
      <w:r w:rsidR="008F2A3C" w:rsidRPr="005341E6">
        <w:rPr>
          <w:rFonts w:eastAsia="Calibri" w:cs="Calibri"/>
        </w:rPr>
        <w:t xml:space="preserve">that </w:t>
      </w:r>
      <w:r w:rsidR="007D7D1D" w:rsidRPr="005341E6">
        <w:t>sets out the functions of the director-general of the ACT Community Services Directorate</w:t>
      </w:r>
      <w:r w:rsidRPr="005341E6">
        <w:t xml:space="preserve"> (s 22)</w:t>
      </w:r>
      <w:r w:rsidR="007D7D1D" w:rsidRPr="005341E6">
        <w:t xml:space="preserve">. The primary amendments made to this section include references to the </w:t>
      </w:r>
      <w:r w:rsidR="00D122B3">
        <w:t>“</w:t>
      </w:r>
      <w:r w:rsidR="007D7D1D" w:rsidRPr="005341E6">
        <w:t>safety, welfare and wellbeing</w:t>
      </w:r>
      <w:r w:rsidR="00D122B3">
        <w:t>”</w:t>
      </w:r>
      <w:r w:rsidR="00D76612" w:rsidRPr="005341E6">
        <w:t xml:space="preserve"> </w:t>
      </w:r>
      <w:r w:rsidR="007D7D1D" w:rsidRPr="005341E6">
        <w:t xml:space="preserve">of children in alignment with the </w:t>
      </w:r>
      <w:r w:rsidR="00356548" w:rsidRPr="005341E6">
        <w:t xml:space="preserve">main </w:t>
      </w:r>
      <w:r w:rsidR="007D7D1D" w:rsidRPr="005341E6">
        <w:t>object</w:t>
      </w:r>
      <w:r w:rsidR="00DB0438" w:rsidRPr="005341E6">
        <w:t>s</w:t>
      </w:r>
      <w:r w:rsidR="007D7D1D" w:rsidRPr="005341E6">
        <w:t xml:space="preserve"> of </w:t>
      </w:r>
      <w:r w:rsidR="00B06C1C" w:rsidRPr="005341E6">
        <w:t>A</w:t>
      </w:r>
      <w:r w:rsidR="007D7D1D" w:rsidRPr="005341E6">
        <w:t xml:space="preserve">ct. Additionally, references to abuse and neglect have been amended to </w:t>
      </w:r>
      <w:r w:rsidR="00D122B3">
        <w:t>“</w:t>
      </w:r>
      <w:r w:rsidR="007D7D1D" w:rsidRPr="005341E6">
        <w:t>significant harm</w:t>
      </w:r>
      <w:r w:rsidR="00AF7C4B" w:rsidRPr="005341E6">
        <w:t>,</w:t>
      </w:r>
      <w:r w:rsidR="00D122B3">
        <w:t>”</w:t>
      </w:r>
      <w:r w:rsidR="00D76612" w:rsidRPr="005341E6">
        <w:t xml:space="preserve"> </w:t>
      </w:r>
      <w:r w:rsidR="007D7D1D" w:rsidRPr="005341E6">
        <w:t xml:space="preserve">as </w:t>
      </w:r>
      <w:r w:rsidRPr="005341E6">
        <w:t xml:space="preserve">redefined at </w:t>
      </w:r>
      <w:r w:rsidR="00790FE0" w:rsidRPr="005341E6">
        <w:t xml:space="preserve">proposed </w:t>
      </w:r>
      <w:r w:rsidRPr="005341E6">
        <w:t xml:space="preserve">section </w:t>
      </w:r>
      <w:r w:rsidR="007D7D1D" w:rsidRPr="005341E6">
        <w:t xml:space="preserve">344. </w:t>
      </w:r>
    </w:p>
    <w:p w14:paraId="11254CAB" w14:textId="67264F90" w:rsidR="00975D93" w:rsidRPr="005341E6" w:rsidRDefault="007D7D1D" w:rsidP="005341E6">
      <w:pPr>
        <w:pStyle w:val="Style4"/>
        <w:spacing w:before="240" w:after="0"/>
      </w:pPr>
      <w:r w:rsidRPr="005341E6">
        <w:t xml:space="preserve">These revisions aim to better reflect the legislative intent and the broader </w:t>
      </w:r>
      <w:r w:rsidR="00356548" w:rsidRPr="005341E6">
        <w:t xml:space="preserve">child protection and family support </w:t>
      </w:r>
      <w:r w:rsidRPr="005341E6">
        <w:t>reform agenda, emphasising a stronger focus on early intervention</w:t>
      </w:r>
      <w:r w:rsidR="00356548" w:rsidRPr="005341E6">
        <w:t xml:space="preserve"> and </w:t>
      </w:r>
      <w:r w:rsidRPr="005341E6">
        <w:t>prevent</w:t>
      </w:r>
      <w:r w:rsidR="00061471" w:rsidRPr="005341E6">
        <w:t>ative</w:t>
      </w:r>
      <w:r w:rsidRPr="005341E6">
        <w:t xml:space="preserve"> </w:t>
      </w:r>
      <w:r w:rsidR="00061471" w:rsidRPr="005341E6">
        <w:t>measures</w:t>
      </w:r>
      <w:r w:rsidR="00A25A72" w:rsidRPr="005341E6">
        <w:t xml:space="preserve"> </w:t>
      </w:r>
      <w:r w:rsidRPr="005341E6">
        <w:t>to strengthen families and address the underlying causes of child maltreatment.</w:t>
      </w:r>
    </w:p>
    <w:p w14:paraId="53AD6DC6" w14:textId="77777777" w:rsidR="007D0370" w:rsidRPr="007D0370" w:rsidRDefault="00642135" w:rsidP="005341E6">
      <w:pPr>
        <w:spacing w:before="240" w:after="0"/>
        <w:rPr>
          <w:b/>
          <w:bCs/>
          <w:sz w:val="28"/>
          <w:szCs w:val="28"/>
        </w:rPr>
      </w:pPr>
      <w:r w:rsidRPr="00D86237">
        <w:rPr>
          <w:b/>
          <w:bCs/>
          <w:sz w:val="28"/>
          <w:szCs w:val="28"/>
        </w:rPr>
        <w:t>Chap</w:t>
      </w:r>
      <w:r w:rsidRPr="00642135">
        <w:rPr>
          <w:b/>
          <w:bCs/>
          <w:sz w:val="28"/>
          <w:szCs w:val="28"/>
        </w:rPr>
        <w:t xml:space="preserve">ter 1 Preliminary </w:t>
      </w:r>
    </w:p>
    <w:p w14:paraId="58F37548" w14:textId="61046A0A" w:rsidR="00E06792" w:rsidRPr="00E06792" w:rsidRDefault="00642135" w:rsidP="005341E6">
      <w:pPr>
        <w:pStyle w:val="Heading1"/>
        <w:spacing w:before="240" w:after="0"/>
      </w:pPr>
      <w:r w:rsidRPr="00450873">
        <w:t xml:space="preserve">Section 10: Aboriginal and Torres Strait Islander children and young people </w:t>
      </w:r>
      <w:r w:rsidR="00E06792" w:rsidRPr="00E06792">
        <w:t>—</w:t>
      </w:r>
      <w:r w:rsidR="00E06792">
        <w:t>placement principles</w:t>
      </w:r>
    </w:p>
    <w:p w14:paraId="51D657A7" w14:textId="586EB99E" w:rsidR="00433BFF" w:rsidRPr="005341E6" w:rsidRDefault="00433BFF" w:rsidP="005341E6">
      <w:pPr>
        <w:pStyle w:val="Style4"/>
        <w:spacing w:before="240" w:after="0"/>
        <w:rPr>
          <w:rFonts w:eastAsia="Calibri" w:cs="Calibri"/>
        </w:rPr>
      </w:pPr>
      <w:r w:rsidRPr="005341E6">
        <w:t xml:space="preserve">Clause 10 </w:t>
      </w:r>
      <w:r w:rsidR="000F621F" w:rsidRPr="005341E6">
        <w:t xml:space="preserve">gives </w:t>
      </w:r>
      <w:bookmarkStart w:id="5" w:name="_Hlk147843098"/>
      <w:r w:rsidR="000F621F" w:rsidRPr="005341E6">
        <w:t xml:space="preserve">effect to the commitment to embed the Aboriginal and Torres Strait Islander Child Placement Principle </w:t>
      </w:r>
      <w:bookmarkEnd w:id="5"/>
      <w:r w:rsidR="000F621F" w:rsidRPr="005341E6">
        <w:t>(</w:t>
      </w:r>
      <w:r w:rsidR="00A84A02" w:rsidRPr="005341E6">
        <w:t>Child Placement Principle</w:t>
      </w:r>
      <w:r w:rsidR="000F621F" w:rsidRPr="005341E6">
        <w:t>) into the CYP</w:t>
      </w:r>
      <w:r w:rsidR="00EE377E" w:rsidRPr="005341E6">
        <w:t>A</w:t>
      </w:r>
      <w:r w:rsidR="000F621F" w:rsidRPr="005341E6">
        <w:t xml:space="preserve"> </w:t>
      </w:r>
      <w:bookmarkStart w:id="6" w:name="_Hlk147843124"/>
      <w:r w:rsidR="000F621F" w:rsidRPr="005341E6">
        <w:t xml:space="preserve">as part of the comprehensive system change needed to </w:t>
      </w:r>
      <w:r w:rsidR="000F631B" w:rsidRPr="005341E6">
        <w:t xml:space="preserve">address </w:t>
      </w:r>
      <w:r w:rsidR="000F621F" w:rsidRPr="005341E6">
        <w:t>over-representation.</w:t>
      </w:r>
      <w:r w:rsidR="00B1404F" w:rsidRPr="005341E6">
        <w:t xml:space="preserve"> </w:t>
      </w:r>
      <w:bookmarkEnd w:id="6"/>
    </w:p>
    <w:p w14:paraId="3155BD5C" w14:textId="248E31FE" w:rsidR="00433BFF" w:rsidRPr="005341E6" w:rsidRDefault="00B1404F" w:rsidP="005341E6">
      <w:pPr>
        <w:pStyle w:val="Style4"/>
        <w:spacing w:before="240" w:after="0"/>
        <w:rPr>
          <w:rFonts w:eastAsia="Calibri" w:cs="Calibri"/>
        </w:rPr>
      </w:pPr>
      <w:r w:rsidRPr="005341E6">
        <w:rPr>
          <w:rFonts w:eastAsia="Calibri" w:cs="Calibri"/>
        </w:rPr>
        <w:t>Clause 10 proposes to amend section</w:t>
      </w:r>
      <w:r w:rsidR="004F26F1" w:rsidRPr="005341E6">
        <w:t xml:space="preserve"> </w:t>
      </w:r>
      <w:r w:rsidR="00642135" w:rsidRPr="005341E6">
        <w:t>10</w:t>
      </w:r>
      <w:r w:rsidRPr="005341E6">
        <w:t xml:space="preserve"> to</w:t>
      </w:r>
      <w:r w:rsidR="00642135" w:rsidRPr="005341E6">
        <w:rPr>
          <w:rFonts w:eastAsia="Calibri" w:cs="Calibri"/>
        </w:rPr>
        <w:t xml:space="preserve"> specif</w:t>
      </w:r>
      <w:r w:rsidRPr="005341E6">
        <w:rPr>
          <w:rFonts w:eastAsia="Calibri" w:cs="Calibri"/>
        </w:rPr>
        <w:t>y</w:t>
      </w:r>
      <w:r w:rsidR="00642135" w:rsidRPr="005341E6">
        <w:rPr>
          <w:rFonts w:eastAsia="Calibri" w:cs="Calibri"/>
        </w:rPr>
        <w:t xml:space="preserve"> that </w:t>
      </w:r>
      <w:r w:rsidR="00433BFF" w:rsidRPr="005341E6">
        <w:rPr>
          <w:rFonts w:eastAsia="Calibri" w:cs="Calibri"/>
        </w:rPr>
        <w:t xml:space="preserve">in making a decision under </w:t>
      </w:r>
      <w:r w:rsidR="00A25A72" w:rsidRPr="005341E6">
        <w:rPr>
          <w:rFonts w:eastAsia="Calibri" w:cs="Calibri"/>
        </w:rPr>
        <w:t xml:space="preserve">CYPA </w:t>
      </w:r>
      <w:r w:rsidR="00433BFF" w:rsidRPr="005341E6">
        <w:rPr>
          <w:rFonts w:eastAsia="Calibri" w:cs="Calibri"/>
        </w:rPr>
        <w:t>in relation to an Aboriginal or Torres Strait Islander child or young person, the decision-maker must take into account the Aboriginal and Torres Strait Islander children and young people placement principles</w:t>
      </w:r>
      <w:r w:rsidR="002C3D26" w:rsidRPr="005341E6">
        <w:rPr>
          <w:rFonts w:eastAsia="Calibri" w:cs="Calibri"/>
        </w:rPr>
        <w:t>,</w:t>
      </w:r>
      <w:r w:rsidR="00433BFF" w:rsidRPr="005341E6">
        <w:rPr>
          <w:rFonts w:eastAsia="Calibri" w:cs="Calibri"/>
        </w:rPr>
        <w:t xml:space="preserve"> in addition to the matters in section 8 </w:t>
      </w:r>
      <w:r w:rsidR="0031222A" w:rsidRPr="005341E6">
        <w:rPr>
          <w:rFonts w:eastAsia="Calibri" w:cs="Calibri"/>
        </w:rPr>
        <w:t>[</w:t>
      </w:r>
      <w:r w:rsidR="00433BFF" w:rsidRPr="005341E6">
        <w:rPr>
          <w:rFonts w:eastAsia="Calibri" w:cs="Calibri"/>
        </w:rPr>
        <w:t>best interest of children and young people as paramount</w:t>
      </w:r>
      <w:r w:rsidR="0031222A" w:rsidRPr="005341E6">
        <w:rPr>
          <w:rFonts w:eastAsia="Calibri" w:cs="Calibri"/>
        </w:rPr>
        <w:t>]</w:t>
      </w:r>
      <w:r w:rsidR="00433BFF" w:rsidRPr="005341E6">
        <w:rPr>
          <w:rFonts w:eastAsia="Calibri" w:cs="Calibri"/>
        </w:rPr>
        <w:t xml:space="preserve"> and section 9 </w:t>
      </w:r>
      <w:r w:rsidR="0031222A" w:rsidRPr="005341E6">
        <w:rPr>
          <w:rFonts w:eastAsia="Calibri" w:cs="Calibri"/>
        </w:rPr>
        <w:t>[</w:t>
      </w:r>
      <w:r w:rsidR="00433BFF" w:rsidRPr="005341E6">
        <w:rPr>
          <w:rFonts w:eastAsia="Calibri" w:cs="Calibri"/>
        </w:rPr>
        <w:t>principles applying to the Act</w:t>
      </w:r>
      <w:r w:rsidR="0031222A" w:rsidRPr="005341E6">
        <w:rPr>
          <w:rFonts w:eastAsia="Calibri" w:cs="Calibri"/>
        </w:rPr>
        <w:t>]</w:t>
      </w:r>
      <w:r w:rsidR="00433BFF" w:rsidRPr="005341E6">
        <w:rPr>
          <w:rFonts w:eastAsia="Calibri" w:cs="Calibri"/>
        </w:rPr>
        <w:t>.</w:t>
      </w:r>
    </w:p>
    <w:p w14:paraId="18FBCA1E" w14:textId="311F807B" w:rsidR="007B48E0" w:rsidRPr="005341E6" w:rsidRDefault="007B48E0" w:rsidP="005341E6">
      <w:pPr>
        <w:pStyle w:val="Style4"/>
        <w:spacing w:before="240" w:after="0"/>
        <w:rPr>
          <w:rFonts w:eastAsia="Calibri" w:cs="Calibri"/>
        </w:rPr>
      </w:pPr>
      <w:r w:rsidRPr="005341E6">
        <w:rPr>
          <w:rFonts w:eastAsia="Calibri" w:cs="Calibri"/>
        </w:rPr>
        <w:t>Proposed section 10, defines the</w:t>
      </w:r>
      <w:r w:rsidR="00B06C1C" w:rsidRPr="005341E6">
        <w:rPr>
          <w:rFonts w:eastAsia="Calibri" w:cs="Calibri"/>
        </w:rPr>
        <w:t xml:space="preserve"> </w:t>
      </w:r>
      <w:r w:rsidRPr="005341E6">
        <w:t>Child Placement Principle</w:t>
      </w:r>
      <w:r w:rsidRPr="005341E6">
        <w:rPr>
          <w:rFonts w:eastAsia="Calibri" w:cs="Calibri"/>
        </w:rPr>
        <w:t xml:space="preserve"> as:</w:t>
      </w:r>
    </w:p>
    <w:p w14:paraId="1E851FB5" w14:textId="41B50538" w:rsidR="007B48E0" w:rsidRPr="005341E6" w:rsidRDefault="007B48E0" w:rsidP="005341E6">
      <w:pPr>
        <w:pStyle w:val="Style1"/>
        <w:numPr>
          <w:ilvl w:val="0"/>
          <w:numId w:val="14"/>
        </w:numPr>
        <w:spacing w:before="120" w:after="0"/>
        <w:ind w:hanging="357"/>
        <w:rPr>
          <w:rFonts w:eastAsia="Calibri"/>
          <w:sz w:val="22"/>
          <w:szCs w:val="22"/>
        </w:rPr>
      </w:pPr>
      <w:r w:rsidRPr="005341E6">
        <w:rPr>
          <w:rFonts w:eastAsia="Calibri"/>
          <w:b/>
          <w:bCs/>
          <w:i/>
          <w:iCs w:val="0"/>
          <w:sz w:val="22"/>
          <w:szCs w:val="22"/>
        </w:rPr>
        <w:t>The Prevention Principle:</w:t>
      </w:r>
      <w:r w:rsidRPr="005341E6">
        <w:rPr>
          <w:rFonts w:eastAsia="Calibri"/>
          <w:sz w:val="22"/>
          <w:szCs w:val="22"/>
        </w:rPr>
        <w:t xml:space="preserve"> The principle that children and young people should be brought up within their own family, community</w:t>
      </w:r>
      <w:r w:rsidR="00A25A72" w:rsidRPr="005341E6">
        <w:rPr>
          <w:rFonts w:eastAsia="Calibri"/>
          <w:sz w:val="22"/>
          <w:szCs w:val="22"/>
        </w:rPr>
        <w:t xml:space="preserve"> </w:t>
      </w:r>
      <w:r w:rsidRPr="005341E6">
        <w:rPr>
          <w:rFonts w:eastAsia="Calibri"/>
          <w:sz w:val="22"/>
          <w:szCs w:val="22"/>
        </w:rPr>
        <w:t>and culture.</w:t>
      </w:r>
    </w:p>
    <w:p w14:paraId="741E3865" w14:textId="3926140D" w:rsidR="007B48E0" w:rsidRPr="005341E6" w:rsidRDefault="007B48E0" w:rsidP="005341E6">
      <w:pPr>
        <w:pStyle w:val="Style1"/>
        <w:numPr>
          <w:ilvl w:val="0"/>
          <w:numId w:val="14"/>
        </w:numPr>
        <w:spacing w:before="120" w:after="0"/>
        <w:ind w:hanging="357"/>
        <w:rPr>
          <w:rFonts w:eastAsia="Calibri"/>
          <w:sz w:val="22"/>
          <w:szCs w:val="22"/>
        </w:rPr>
      </w:pPr>
      <w:r w:rsidRPr="005341E6">
        <w:rPr>
          <w:rFonts w:eastAsia="Calibri"/>
          <w:b/>
          <w:bCs/>
          <w:i/>
          <w:iCs w:val="0"/>
          <w:sz w:val="22"/>
          <w:szCs w:val="22"/>
        </w:rPr>
        <w:t>The Partnership Principle:</w:t>
      </w:r>
      <w:r w:rsidRPr="005341E6">
        <w:rPr>
          <w:rFonts w:eastAsia="Calibri"/>
          <w:sz w:val="22"/>
          <w:szCs w:val="22"/>
        </w:rPr>
        <w:t xml:space="preserve"> The principle that Aboriginal and Torres Strait Islander community representatives should be given opportunities to participate in:</w:t>
      </w:r>
    </w:p>
    <w:p w14:paraId="46666C22" w14:textId="29225DBA" w:rsidR="007B48E0" w:rsidRPr="005341E6" w:rsidRDefault="007B48E0" w:rsidP="005341E6">
      <w:pPr>
        <w:pStyle w:val="Style1"/>
        <w:numPr>
          <w:ilvl w:val="1"/>
          <w:numId w:val="15"/>
        </w:numPr>
        <w:spacing w:before="120" w:after="0"/>
        <w:ind w:hanging="357"/>
        <w:rPr>
          <w:rFonts w:eastAsia="Calibri"/>
          <w:sz w:val="22"/>
          <w:szCs w:val="22"/>
        </w:rPr>
      </w:pPr>
      <w:r w:rsidRPr="005341E6">
        <w:rPr>
          <w:rFonts w:eastAsia="Calibri"/>
          <w:sz w:val="22"/>
          <w:szCs w:val="22"/>
        </w:rPr>
        <w:t>the design and delivery of services for children and young people; and</w:t>
      </w:r>
    </w:p>
    <w:p w14:paraId="624F2E7D" w14:textId="1DA72405" w:rsidR="007B48E0" w:rsidRPr="005341E6" w:rsidRDefault="007B48E0" w:rsidP="005341E6">
      <w:pPr>
        <w:pStyle w:val="Style1"/>
        <w:numPr>
          <w:ilvl w:val="1"/>
          <w:numId w:val="15"/>
        </w:numPr>
        <w:spacing w:before="120" w:after="0"/>
        <w:ind w:hanging="357"/>
        <w:rPr>
          <w:rFonts w:eastAsia="Calibri"/>
          <w:sz w:val="22"/>
          <w:szCs w:val="22"/>
        </w:rPr>
      </w:pPr>
      <w:r w:rsidRPr="005341E6">
        <w:rPr>
          <w:rFonts w:eastAsia="Calibri"/>
          <w:sz w:val="22"/>
          <w:szCs w:val="22"/>
        </w:rPr>
        <w:t>decisions under this Act about children and young people.</w:t>
      </w:r>
    </w:p>
    <w:p w14:paraId="12B75EF5" w14:textId="3A0CF1DB" w:rsidR="007B48E0" w:rsidRPr="005341E6" w:rsidRDefault="007B48E0" w:rsidP="005341E6">
      <w:pPr>
        <w:pStyle w:val="Style1"/>
        <w:numPr>
          <w:ilvl w:val="0"/>
          <w:numId w:val="14"/>
        </w:numPr>
        <w:spacing w:before="120" w:after="0"/>
        <w:ind w:hanging="357"/>
        <w:rPr>
          <w:rFonts w:eastAsia="Calibri"/>
          <w:sz w:val="22"/>
          <w:szCs w:val="22"/>
        </w:rPr>
      </w:pPr>
      <w:r w:rsidRPr="005341E6">
        <w:rPr>
          <w:rFonts w:eastAsia="Calibri"/>
          <w:b/>
          <w:bCs/>
          <w:i/>
          <w:iCs w:val="0"/>
          <w:sz w:val="22"/>
          <w:szCs w:val="22"/>
        </w:rPr>
        <w:t>The Placement Principle:</w:t>
      </w:r>
      <w:r w:rsidRPr="005341E6">
        <w:rPr>
          <w:rFonts w:eastAsia="Calibri"/>
          <w:sz w:val="22"/>
          <w:szCs w:val="22"/>
        </w:rPr>
        <w:t xml:space="preserve"> The principle that a child or young person who is to be placed with an out-of-home carer must be placed in accordance with the priorities for placement set out in Section 513.</w:t>
      </w:r>
    </w:p>
    <w:p w14:paraId="1FC2A5E9" w14:textId="013DEBF0" w:rsidR="007B48E0" w:rsidRPr="005341E6" w:rsidRDefault="007B48E0" w:rsidP="005341E6">
      <w:pPr>
        <w:pStyle w:val="Style1"/>
        <w:numPr>
          <w:ilvl w:val="0"/>
          <w:numId w:val="14"/>
        </w:numPr>
        <w:spacing w:before="120" w:after="0"/>
        <w:ind w:hanging="357"/>
        <w:rPr>
          <w:rFonts w:eastAsia="Calibri"/>
          <w:sz w:val="22"/>
          <w:szCs w:val="22"/>
        </w:rPr>
      </w:pPr>
      <w:r w:rsidRPr="005341E6">
        <w:rPr>
          <w:rFonts w:eastAsia="Calibri"/>
          <w:b/>
          <w:bCs/>
          <w:i/>
          <w:iCs w:val="0"/>
          <w:sz w:val="22"/>
          <w:szCs w:val="22"/>
        </w:rPr>
        <w:t>The Participation Principle:</w:t>
      </w:r>
      <w:r w:rsidRPr="005341E6">
        <w:rPr>
          <w:rFonts w:eastAsia="Calibri"/>
          <w:sz w:val="22"/>
          <w:szCs w:val="22"/>
        </w:rPr>
        <w:t xml:space="preserve"> The principle that a child or young person, their parents, and other family members should be given opportunities to participate in decision-making processes about care arrangements for the child or young person, including placement and contact.</w:t>
      </w:r>
    </w:p>
    <w:p w14:paraId="7EBAB13D" w14:textId="35E80CE8" w:rsidR="007B48E0" w:rsidRPr="005341E6" w:rsidRDefault="007B48E0" w:rsidP="005341E6">
      <w:pPr>
        <w:pStyle w:val="Style1"/>
        <w:numPr>
          <w:ilvl w:val="0"/>
          <w:numId w:val="14"/>
        </w:numPr>
        <w:spacing w:before="120" w:after="0"/>
        <w:ind w:hanging="357"/>
        <w:rPr>
          <w:rFonts w:eastAsia="Calibri"/>
          <w:sz w:val="22"/>
          <w:szCs w:val="22"/>
        </w:rPr>
      </w:pPr>
      <w:r w:rsidRPr="005341E6">
        <w:rPr>
          <w:rFonts w:eastAsia="Calibri"/>
          <w:b/>
          <w:bCs/>
          <w:i/>
          <w:iCs w:val="0"/>
          <w:sz w:val="22"/>
          <w:szCs w:val="22"/>
        </w:rPr>
        <w:t>The Connection Principle</w:t>
      </w:r>
      <w:r w:rsidRPr="005341E6">
        <w:rPr>
          <w:rFonts w:eastAsia="Calibri"/>
          <w:b/>
          <w:bCs/>
          <w:sz w:val="22"/>
          <w:szCs w:val="22"/>
        </w:rPr>
        <w:t>:</w:t>
      </w:r>
      <w:r w:rsidRPr="005341E6">
        <w:rPr>
          <w:rFonts w:eastAsia="Calibri"/>
          <w:sz w:val="22"/>
          <w:szCs w:val="22"/>
        </w:rPr>
        <w:t xml:space="preserve"> The principle that children and young people should have their connections to family, community, culture, and </w:t>
      </w:r>
      <w:r w:rsidR="00B06C1C" w:rsidRPr="005341E6">
        <w:rPr>
          <w:rFonts w:eastAsia="Calibri"/>
          <w:sz w:val="22"/>
          <w:szCs w:val="22"/>
        </w:rPr>
        <w:t>C</w:t>
      </w:r>
      <w:r w:rsidRPr="005341E6">
        <w:rPr>
          <w:rFonts w:eastAsia="Calibri"/>
          <w:sz w:val="22"/>
          <w:szCs w:val="22"/>
        </w:rPr>
        <w:t>ountry supported and maintained.</w:t>
      </w:r>
    </w:p>
    <w:p w14:paraId="46A8767D" w14:textId="03DA995E" w:rsidR="0090463E" w:rsidRPr="005341E6" w:rsidRDefault="0031222A" w:rsidP="005341E6">
      <w:pPr>
        <w:pStyle w:val="Style4"/>
        <w:spacing w:before="240" w:after="0"/>
        <w:rPr>
          <w:rFonts w:eastAsia="Calibri"/>
        </w:rPr>
      </w:pPr>
      <w:bookmarkStart w:id="7" w:name="_Hlk147840012"/>
      <w:r w:rsidRPr="005341E6">
        <w:rPr>
          <w:rFonts w:eastAsia="Calibri"/>
        </w:rPr>
        <w:t>These principles</w:t>
      </w:r>
      <w:r w:rsidR="00A25A72" w:rsidRPr="005341E6">
        <w:rPr>
          <w:rFonts w:eastAsia="Calibri"/>
        </w:rPr>
        <w:t xml:space="preserve"> are</w:t>
      </w:r>
      <w:r w:rsidRPr="005341E6">
        <w:rPr>
          <w:rFonts w:eastAsia="Calibri"/>
        </w:rPr>
        <w:t xml:space="preserve"> recognise</w:t>
      </w:r>
      <w:r w:rsidR="00A25A72" w:rsidRPr="005341E6">
        <w:rPr>
          <w:rFonts w:eastAsia="Calibri"/>
        </w:rPr>
        <w:t xml:space="preserve">d as being </w:t>
      </w:r>
      <w:r w:rsidR="00E06792" w:rsidRPr="005341E6">
        <w:rPr>
          <w:rFonts w:eastAsia="Calibri"/>
        </w:rPr>
        <w:t xml:space="preserve">a </w:t>
      </w:r>
      <w:r w:rsidR="00A25A72" w:rsidRPr="005341E6">
        <w:rPr>
          <w:rFonts w:eastAsia="Calibri"/>
        </w:rPr>
        <w:t>best interest</w:t>
      </w:r>
      <w:r w:rsidR="00E06792" w:rsidRPr="005341E6">
        <w:rPr>
          <w:rFonts w:eastAsia="Calibri"/>
        </w:rPr>
        <w:t xml:space="preserve"> consideration</w:t>
      </w:r>
      <w:r w:rsidR="00A25A72" w:rsidRPr="005341E6">
        <w:rPr>
          <w:rFonts w:eastAsia="Calibri"/>
        </w:rPr>
        <w:t xml:space="preserve">, as set out in proposed section 349(2)(f). </w:t>
      </w:r>
    </w:p>
    <w:p w14:paraId="1876613A" w14:textId="608997CF" w:rsidR="001D561C" w:rsidRPr="005341E6" w:rsidRDefault="001D561C" w:rsidP="005341E6">
      <w:pPr>
        <w:pStyle w:val="Style4"/>
        <w:spacing w:before="240" w:after="0"/>
        <w:rPr>
          <w:rFonts w:eastAsia="Calibri"/>
        </w:rPr>
      </w:pPr>
      <w:r w:rsidRPr="005341E6">
        <w:rPr>
          <w:rFonts w:eastAsia="Calibri"/>
        </w:rPr>
        <w:lastRenderedPageBreak/>
        <w:t>The Child Placement Principle, as outlined in the Bill, reinforces the importance of enhancing and preserving Aboriginal and Torres Strait Islander children</w:t>
      </w:r>
      <w:r w:rsidR="00D122B3">
        <w:rPr>
          <w:rFonts w:eastAsia="Calibri"/>
        </w:rPr>
        <w:t>’</w:t>
      </w:r>
      <w:r w:rsidRPr="005341E6">
        <w:rPr>
          <w:rFonts w:eastAsia="Calibri"/>
        </w:rPr>
        <w:t>s connection to family, community and culture. The principles acknowledge the child</w:t>
      </w:r>
      <w:r w:rsidR="00D122B3">
        <w:rPr>
          <w:rFonts w:eastAsia="Calibri"/>
        </w:rPr>
        <w:t>’</w:t>
      </w:r>
      <w:r w:rsidRPr="005341E6">
        <w:rPr>
          <w:rFonts w:eastAsia="Calibri"/>
        </w:rPr>
        <w:t>s right to be raised in their own culture and highlight the importance of family participation and community involvement in child protection decision-making. By recognising culture and connection as sources of strength and protection for Aboriginal and Torres Strait Islander children, the Bill affirms the essential role played by family, extended family, kinship networks, and the community in the upbringing and welfare of Aboriginal and Torres Strait Islander children.</w:t>
      </w:r>
    </w:p>
    <w:p w14:paraId="11713EB9" w14:textId="4678C7FC" w:rsidR="002C3D26" w:rsidRPr="005341E6" w:rsidRDefault="002C3D26" w:rsidP="005341E6">
      <w:pPr>
        <w:pStyle w:val="Style4"/>
        <w:spacing w:before="240" w:after="0"/>
        <w:rPr>
          <w:rFonts w:eastAsia="Calibri"/>
        </w:rPr>
      </w:pPr>
      <w:r w:rsidRPr="005341E6">
        <w:rPr>
          <w:rFonts w:eastAsia="Calibri"/>
        </w:rPr>
        <w:t xml:space="preserve">In accordance with section 513, the aim is to ensure that whenever possible and when safe to do so, Aboriginal and Torres Strait Islander children and young people are placed with their biological family, extended </w:t>
      </w:r>
      <w:r w:rsidRPr="005341E6">
        <w:rPr>
          <w:color w:val="000000" w:themeColor="text1"/>
        </w:rPr>
        <w:t>family, local Aboriginal community or wider Aboriginal community in accordance with the child placement hierarchy</w:t>
      </w:r>
      <w:r w:rsidR="005E020E" w:rsidRPr="005341E6">
        <w:rPr>
          <w:color w:val="000000" w:themeColor="text1"/>
        </w:rPr>
        <w:t>.</w:t>
      </w:r>
    </w:p>
    <w:p w14:paraId="5657D43A" w14:textId="087DCD95" w:rsidR="00B23D0C" w:rsidRPr="005341E6" w:rsidRDefault="00AB7B57" w:rsidP="005341E6">
      <w:pPr>
        <w:pStyle w:val="Style4"/>
        <w:spacing w:before="240" w:after="0"/>
        <w:rPr>
          <w:rFonts w:eastAsia="Calibri"/>
        </w:rPr>
      </w:pPr>
      <w:r w:rsidRPr="005341E6">
        <w:rPr>
          <w:color w:val="000000" w:themeColor="text1"/>
        </w:rPr>
        <w:t xml:space="preserve">Embedding the </w:t>
      </w:r>
      <w:r w:rsidR="00137033" w:rsidRPr="005341E6">
        <w:rPr>
          <w:color w:val="000000" w:themeColor="text1"/>
        </w:rPr>
        <w:t>C</w:t>
      </w:r>
      <w:r w:rsidRPr="005341E6">
        <w:rPr>
          <w:color w:val="000000" w:themeColor="text1"/>
        </w:rPr>
        <w:t xml:space="preserve">hild </w:t>
      </w:r>
      <w:r w:rsidR="00137033" w:rsidRPr="005341E6">
        <w:rPr>
          <w:color w:val="000000" w:themeColor="text1"/>
        </w:rPr>
        <w:t>P</w:t>
      </w:r>
      <w:r w:rsidRPr="005341E6">
        <w:rPr>
          <w:color w:val="000000" w:themeColor="text1"/>
        </w:rPr>
        <w:t xml:space="preserve">lacement </w:t>
      </w:r>
      <w:r w:rsidR="00137033" w:rsidRPr="005341E6">
        <w:rPr>
          <w:color w:val="000000" w:themeColor="text1"/>
        </w:rPr>
        <w:t>P</w:t>
      </w:r>
      <w:r w:rsidRPr="005341E6">
        <w:rPr>
          <w:color w:val="000000" w:themeColor="text1"/>
        </w:rPr>
        <w:t xml:space="preserve">rinciple in legislation is </w:t>
      </w:r>
      <w:r w:rsidR="005F4651" w:rsidRPr="005341E6">
        <w:rPr>
          <w:color w:val="000000" w:themeColor="text1"/>
        </w:rPr>
        <w:t>an</w:t>
      </w:r>
      <w:r w:rsidRPr="005341E6">
        <w:rPr>
          <w:color w:val="000000" w:themeColor="text1"/>
        </w:rPr>
        <w:t xml:space="preserve"> ACT Government priority, </w:t>
      </w:r>
      <w:r w:rsidR="00611ACE" w:rsidRPr="005341E6">
        <w:rPr>
          <w:color w:val="000000" w:themeColor="text1"/>
        </w:rPr>
        <w:t xml:space="preserve">aligned with strong </w:t>
      </w:r>
      <w:r w:rsidRPr="005341E6">
        <w:rPr>
          <w:color w:val="000000" w:themeColor="text1"/>
        </w:rPr>
        <w:t xml:space="preserve">commitments to the </w:t>
      </w:r>
      <w:r w:rsidR="0085322A" w:rsidRPr="005341E6">
        <w:rPr>
          <w:color w:val="000000" w:themeColor="text1"/>
        </w:rPr>
        <w:t>Our Booris, Our Way Review</w:t>
      </w:r>
      <w:r w:rsidR="003169DA" w:rsidRPr="005341E6">
        <w:rPr>
          <w:color w:val="000000" w:themeColor="text1"/>
        </w:rPr>
        <w:t>,</w:t>
      </w:r>
      <w:r w:rsidR="0085322A" w:rsidRPr="005341E6">
        <w:rPr>
          <w:rStyle w:val="FootnoteReference"/>
          <w:sz w:val="22"/>
        </w:rPr>
        <w:footnoteReference w:id="5"/>
      </w:r>
      <w:r w:rsidR="0085322A" w:rsidRPr="005341E6">
        <w:rPr>
          <w:color w:val="000000" w:themeColor="text1"/>
        </w:rPr>
        <w:t xml:space="preserve"> the National Framework for Protecting Australia</w:t>
      </w:r>
      <w:r w:rsidR="00D122B3">
        <w:rPr>
          <w:color w:val="000000" w:themeColor="text1"/>
        </w:rPr>
        <w:t>’</w:t>
      </w:r>
      <w:r w:rsidR="0085322A" w:rsidRPr="005341E6">
        <w:rPr>
          <w:color w:val="000000" w:themeColor="text1"/>
        </w:rPr>
        <w:t>s Children</w:t>
      </w:r>
      <w:r w:rsidR="0085322A" w:rsidRPr="005341E6">
        <w:rPr>
          <w:rStyle w:val="FootnoteReference"/>
          <w:rFonts w:eastAsia="Calibri"/>
          <w:sz w:val="22"/>
        </w:rPr>
        <w:footnoteReference w:id="6"/>
      </w:r>
      <w:r w:rsidR="0085322A" w:rsidRPr="005341E6">
        <w:rPr>
          <w:rStyle w:val="FootnoteReference"/>
          <w:rFonts w:eastAsia="Calibri"/>
          <w:sz w:val="22"/>
        </w:rPr>
        <w:t xml:space="preserve"> </w:t>
      </w:r>
      <w:r w:rsidR="0085322A" w:rsidRPr="005341E6">
        <w:rPr>
          <w:color w:val="000000" w:themeColor="text1"/>
        </w:rPr>
        <w:t>and the National Agreement on Closing the Gap</w:t>
      </w:r>
      <w:r w:rsidR="003169DA" w:rsidRPr="005341E6">
        <w:rPr>
          <w:color w:val="000000" w:themeColor="text1"/>
        </w:rPr>
        <w:t>.</w:t>
      </w:r>
      <w:r w:rsidR="0085322A" w:rsidRPr="005341E6">
        <w:rPr>
          <w:rStyle w:val="FootnoteReference"/>
          <w:rFonts w:eastAsia="Calibri"/>
          <w:sz w:val="22"/>
        </w:rPr>
        <w:footnoteReference w:id="7"/>
      </w:r>
      <w:r w:rsidR="0085322A" w:rsidRPr="005341E6">
        <w:rPr>
          <w:color w:val="000000" w:themeColor="text1"/>
        </w:rPr>
        <w:t xml:space="preserve"> This commitment is also reflected in the Parliamentary </w:t>
      </w:r>
      <w:r w:rsidR="001412C9" w:rsidRPr="005341E6">
        <w:rPr>
          <w:color w:val="000000" w:themeColor="text1"/>
        </w:rPr>
        <w:t>and G</w:t>
      </w:r>
      <w:r w:rsidR="0085322A" w:rsidRPr="005341E6">
        <w:rPr>
          <w:color w:val="000000" w:themeColor="text1"/>
        </w:rPr>
        <w:t xml:space="preserve">overning </w:t>
      </w:r>
      <w:r w:rsidR="001412C9" w:rsidRPr="005341E6">
        <w:rPr>
          <w:color w:val="000000" w:themeColor="text1"/>
        </w:rPr>
        <w:t>A</w:t>
      </w:r>
      <w:r w:rsidR="0085322A" w:rsidRPr="005341E6">
        <w:rPr>
          <w:color w:val="000000" w:themeColor="text1"/>
        </w:rPr>
        <w:t>greement: 10th Legislative Assembly</w:t>
      </w:r>
      <w:r w:rsidR="001412C9" w:rsidRPr="005341E6">
        <w:rPr>
          <w:color w:val="000000" w:themeColor="text1"/>
        </w:rPr>
        <w:t xml:space="preserve"> (2020</w:t>
      </w:r>
      <w:r w:rsidR="0085322A" w:rsidRPr="005341E6">
        <w:rPr>
          <w:color w:val="000000" w:themeColor="text1"/>
        </w:rPr>
        <w:t>)</w:t>
      </w:r>
      <w:r w:rsidR="003169DA" w:rsidRPr="005341E6">
        <w:rPr>
          <w:color w:val="000000" w:themeColor="text1"/>
        </w:rPr>
        <w:t>.</w:t>
      </w:r>
      <w:r w:rsidR="0085322A" w:rsidRPr="005341E6">
        <w:rPr>
          <w:rStyle w:val="FootnoteReference"/>
          <w:sz w:val="22"/>
        </w:rPr>
        <w:footnoteReference w:id="8"/>
      </w:r>
    </w:p>
    <w:bookmarkEnd w:id="7"/>
    <w:p w14:paraId="3F1E47A3" w14:textId="6FC5FD48" w:rsidR="007D7D1D" w:rsidRPr="005341E6" w:rsidRDefault="00F45038" w:rsidP="005341E6">
      <w:pPr>
        <w:pStyle w:val="Style4"/>
        <w:spacing w:before="240" w:after="0"/>
        <w:rPr>
          <w:rFonts w:eastAsia="Calibri"/>
        </w:rPr>
      </w:pPr>
      <w:r w:rsidRPr="005341E6">
        <w:rPr>
          <w:color w:val="000000" w:themeColor="text1"/>
        </w:rPr>
        <w:t xml:space="preserve">While the incorporation of the </w:t>
      </w:r>
      <w:r w:rsidR="00A84A02" w:rsidRPr="005341E6">
        <w:t xml:space="preserve">Child Placement Principle </w:t>
      </w:r>
      <w:r w:rsidRPr="005341E6">
        <w:rPr>
          <w:color w:val="000000" w:themeColor="text1"/>
        </w:rPr>
        <w:t>in legislation is a critical step toward addressing the over-representation</w:t>
      </w:r>
      <w:r w:rsidRPr="005341E6">
        <w:rPr>
          <w:rFonts w:eastAsia="Calibri"/>
        </w:rPr>
        <w:t xml:space="preserve"> of Aboriginal and Torres Strait Islander children in the child protection </w:t>
      </w:r>
      <w:r w:rsidR="001412C9" w:rsidRPr="005341E6">
        <w:rPr>
          <w:rFonts w:eastAsia="Calibri"/>
        </w:rPr>
        <w:t xml:space="preserve">and out-of-home care </w:t>
      </w:r>
      <w:r w:rsidRPr="005341E6">
        <w:rPr>
          <w:rFonts w:eastAsia="Calibri"/>
        </w:rPr>
        <w:t xml:space="preserve">system, achieving </w:t>
      </w:r>
      <w:r w:rsidR="001412C9" w:rsidRPr="005341E6">
        <w:rPr>
          <w:rFonts w:eastAsia="Calibri"/>
        </w:rPr>
        <w:t>full</w:t>
      </w:r>
      <w:r w:rsidRPr="005341E6">
        <w:rPr>
          <w:rFonts w:eastAsia="Calibri"/>
        </w:rPr>
        <w:t xml:space="preserve"> implementation will necessitate improving links between legislation, policy and practice, providing earlier supports for families</w:t>
      </w:r>
      <w:r w:rsidR="00933CC9" w:rsidRPr="005341E6">
        <w:rPr>
          <w:rFonts w:eastAsia="Calibri"/>
        </w:rPr>
        <w:t xml:space="preserve"> and</w:t>
      </w:r>
      <w:r w:rsidRPr="005341E6">
        <w:rPr>
          <w:rFonts w:eastAsia="Calibri"/>
        </w:rPr>
        <w:t xml:space="preserve"> recognising and enhancing leadership, participation and decision-making among Aboriginal and Torres Strait Islander peoples</w:t>
      </w:r>
      <w:r w:rsidR="003169DA" w:rsidRPr="005341E6">
        <w:rPr>
          <w:rFonts w:eastAsia="Calibri"/>
        </w:rPr>
        <w:t>.</w:t>
      </w:r>
      <w:r w:rsidRPr="005341E6">
        <w:rPr>
          <w:rStyle w:val="FootnoteReference"/>
          <w:sz w:val="22"/>
        </w:rPr>
        <w:footnoteReference w:id="9"/>
      </w:r>
    </w:p>
    <w:p w14:paraId="3B54FE1B" w14:textId="17DFED83" w:rsidR="00EA365F" w:rsidRPr="00A63750" w:rsidRDefault="00642135" w:rsidP="005341E6">
      <w:pPr>
        <w:pStyle w:val="Heading1"/>
        <w:spacing w:before="240" w:after="0"/>
      </w:pPr>
      <w:bookmarkStart w:id="8" w:name="_Hlk147840402"/>
      <w:r w:rsidRPr="00450873">
        <w:t>Section 10A</w:t>
      </w:r>
      <w:r w:rsidR="00DE3E0A" w:rsidRPr="00450873">
        <w:t xml:space="preserve"> (a)</w:t>
      </w:r>
      <w:r w:rsidR="00B1404F">
        <w:t xml:space="preserve"> and </w:t>
      </w:r>
      <w:r w:rsidR="00DE3E0A" w:rsidRPr="00450873">
        <w:t>(b)</w:t>
      </w:r>
      <w:r w:rsidRPr="00450873">
        <w:t xml:space="preserve">: Aboriginal and Torres Strait Islander children and </w:t>
      </w:r>
      <w:r w:rsidR="00D83CB1" w:rsidRPr="00450873">
        <w:t xml:space="preserve">young </w:t>
      </w:r>
      <w:r w:rsidR="00D83CB1" w:rsidRPr="00A63750">
        <w:t>people</w:t>
      </w:r>
      <w:r w:rsidRPr="00A63750">
        <w:t xml:space="preserve">—other </w:t>
      </w:r>
      <w:r w:rsidR="00D83CB1" w:rsidRPr="00A63750">
        <w:t>P</w:t>
      </w:r>
      <w:r w:rsidRPr="00A63750">
        <w:t>rinciples</w:t>
      </w:r>
    </w:p>
    <w:bookmarkEnd w:id="8"/>
    <w:p w14:paraId="192B9743" w14:textId="39537F76" w:rsidR="00A63750" w:rsidRPr="005341E6" w:rsidRDefault="00B1404F" w:rsidP="005341E6">
      <w:pPr>
        <w:pStyle w:val="Style4"/>
        <w:spacing w:before="240" w:after="0"/>
        <w:rPr>
          <w:rFonts w:eastAsia="Calibri"/>
        </w:rPr>
      </w:pPr>
      <w:r w:rsidRPr="005341E6">
        <w:t>Clause 10</w:t>
      </w:r>
      <w:r w:rsidR="001A0A27" w:rsidRPr="005341E6">
        <w:t xml:space="preserve"> </w:t>
      </w:r>
      <w:bookmarkStart w:id="9" w:name="_Hlk147840174"/>
      <w:r w:rsidR="00A63750" w:rsidRPr="005341E6">
        <w:t xml:space="preserve">introduces two new principles to be applied when administering the </w:t>
      </w:r>
      <w:r w:rsidR="00DA7710" w:rsidRPr="005341E6">
        <w:t>CYP</w:t>
      </w:r>
      <w:r w:rsidR="00A63750" w:rsidRPr="005341E6">
        <w:t xml:space="preserve">A. </w:t>
      </w:r>
      <w:bookmarkEnd w:id="9"/>
    </w:p>
    <w:p w14:paraId="2ACA3F06" w14:textId="743A6D02" w:rsidR="00B23D0C" w:rsidRPr="005341E6" w:rsidRDefault="00B1404F" w:rsidP="005341E6">
      <w:pPr>
        <w:pStyle w:val="Style4"/>
        <w:spacing w:before="240" w:after="0"/>
        <w:rPr>
          <w:rFonts w:eastAsia="Calibri"/>
        </w:rPr>
      </w:pPr>
      <w:bookmarkStart w:id="10" w:name="_Hlk147840293"/>
      <w:r w:rsidRPr="005341E6">
        <w:rPr>
          <w:rFonts w:cs="Calibri"/>
          <w:color w:val="000000" w:themeColor="text1"/>
        </w:rPr>
        <w:t>N</w:t>
      </w:r>
      <w:r w:rsidR="009E5B5E" w:rsidRPr="005341E6">
        <w:rPr>
          <w:rFonts w:cs="Calibri"/>
          <w:color w:val="000000" w:themeColor="text1"/>
        </w:rPr>
        <w:t>ew s</w:t>
      </w:r>
      <w:r w:rsidR="00DE3E0A" w:rsidRPr="005341E6">
        <w:rPr>
          <w:rFonts w:cs="Calibri"/>
          <w:color w:val="000000" w:themeColor="text1"/>
        </w:rPr>
        <w:t>ection 10A</w:t>
      </w:r>
      <w:r w:rsidRPr="005341E6">
        <w:rPr>
          <w:rFonts w:cs="Calibri"/>
          <w:color w:val="000000" w:themeColor="text1"/>
        </w:rPr>
        <w:t>(a)</w:t>
      </w:r>
      <w:r w:rsidR="00C41901" w:rsidRPr="005341E6">
        <w:rPr>
          <w:rFonts w:cs="Calibri"/>
          <w:color w:val="000000" w:themeColor="text1"/>
        </w:rPr>
        <w:t> </w:t>
      </w:r>
      <w:r w:rsidR="00DE3E0A" w:rsidRPr="005341E6">
        <w:rPr>
          <w:rFonts w:cs="Calibri"/>
          <w:color w:val="000000" w:themeColor="text1"/>
        </w:rPr>
        <w:t xml:space="preserve">recognises </w:t>
      </w:r>
      <w:r w:rsidR="00172A30" w:rsidRPr="005341E6">
        <w:rPr>
          <w:rFonts w:cs="Calibri"/>
          <w:color w:val="000000" w:themeColor="text1"/>
        </w:rPr>
        <w:t xml:space="preserve">Aboriginal and Torres Strait Islander people should participate in the care and protection of their children with as much self-determination as possible. This principle </w:t>
      </w:r>
      <w:r w:rsidR="00F86B70" w:rsidRPr="005341E6">
        <w:rPr>
          <w:rFonts w:cs="Calibri"/>
          <w:color w:val="000000" w:themeColor="text1"/>
        </w:rPr>
        <w:t>emphasise</w:t>
      </w:r>
      <w:r w:rsidR="00172A30" w:rsidRPr="005341E6">
        <w:rPr>
          <w:rFonts w:cs="Calibri"/>
          <w:color w:val="000000" w:themeColor="text1"/>
        </w:rPr>
        <w:t xml:space="preserve">s Aboriginal and Torres Strait Islander children, </w:t>
      </w:r>
      <w:r w:rsidR="006F5245" w:rsidRPr="005341E6">
        <w:rPr>
          <w:rFonts w:cs="Calibri"/>
          <w:color w:val="000000" w:themeColor="text1"/>
        </w:rPr>
        <w:t>young pe</w:t>
      </w:r>
      <w:r w:rsidR="005160AB" w:rsidRPr="005341E6">
        <w:rPr>
          <w:rFonts w:cs="Calibri"/>
          <w:color w:val="000000" w:themeColor="text1"/>
        </w:rPr>
        <w:t>ople</w:t>
      </w:r>
      <w:r w:rsidR="006F5245" w:rsidRPr="005341E6">
        <w:rPr>
          <w:rFonts w:cs="Calibri"/>
          <w:color w:val="000000" w:themeColor="text1"/>
        </w:rPr>
        <w:t xml:space="preserve">, </w:t>
      </w:r>
      <w:r w:rsidR="00172A30" w:rsidRPr="005341E6">
        <w:rPr>
          <w:rFonts w:cs="Calibri"/>
          <w:color w:val="000000" w:themeColor="text1"/>
        </w:rPr>
        <w:t xml:space="preserve">parents and family members </w:t>
      </w:r>
      <w:r w:rsidR="00097F9A" w:rsidRPr="005341E6">
        <w:rPr>
          <w:rFonts w:cs="Calibri"/>
          <w:color w:val="000000" w:themeColor="text1"/>
        </w:rPr>
        <w:t>should</w:t>
      </w:r>
      <w:r w:rsidR="00172A30" w:rsidRPr="005341E6">
        <w:rPr>
          <w:rFonts w:cs="Calibri"/>
          <w:color w:val="000000" w:themeColor="text1"/>
        </w:rPr>
        <w:t xml:space="preserve"> participate in all child protection decisions affecting them, including intervention, placement and care and judicial decisions</w:t>
      </w:r>
      <w:r w:rsidR="003169DA" w:rsidRPr="005341E6">
        <w:rPr>
          <w:rFonts w:cs="Calibri"/>
          <w:color w:val="000000" w:themeColor="text1"/>
        </w:rPr>
        <w:t>.</w:t>
      </w:r>
      <w:r w:rsidR="00DB192C" w:rsidRPr="005341E6">
        <w:rPr>
          <w:rStyle w:val="FootnoteReference"/>
          <w:rFonts w:eastAsia="Calibri" w:cs="Calibri"/>
          <w:sz w:val="22"/>
        </w:rPr>
        <w:footnoteReference w:id="10"/>
      </w:r>
    </w:p>
    <w:p w14:paraId="086839BB" w14:textId="65D2CE39" w:rsidR="00121A21" w:rsidRPr="005341E6" w:rsidRDefault="009E5B5E" w:rsidP="005341E6">
      <w:pPr>
        <w:pStyle w:val="Style4"/>
        <w:spacing w:before="240" w:after="0"/>
        <w:rPr>
          <w:rFonts w:eastAsia="Calibri"/>
        </w:rPr>
      </w:pPr>
      <w:r w:rsidRPr="005341E6">
        <w:rPr>
          <w:rFonts w:cs="Calibri"/>
          <w:color w:val="000000" w:themeColor="text1"/>
        </w:rPr>
        <w:lastRenderedPageBreak/>
        <w:t>New s</w:t>
      </w:r>
      <w:r w:rsidR="00DE3E0A" w:rsidRPr="005341E6">
        <w:rPr>
          <w:rFonts w:cs="Calibri"/>
          <w:color w:val="000000" w:themeColor="text1"/>
        </w:rPr>
        <w:t>ection 10</w:t>
      </w:r>
      <w:r w:rsidRPr="005341E6">
        <w:rPr>
          <w:rFonts w:cs="Calibri"/>
          <w:color w:val="000000" w:themeColor="text1"/>
        </w:rPr>
        <w:t>A</w:t>
      </w:r>
      <w:r w:rsidR="00DE3E0A" w:rsidRPr="005341E6">
        <w:rPr>
          <w:rFonts w:cs="Calibri"/>
          <w:color w:val="000000" w:themeColor="text1"/>
        </w:rPr>
        <w:t>(</w:t>
      </w:r>
      <w:r w:rsidR="00590D94" w:rsidRPr="005341E6">
        <w:rPr>
          <w:rFonts w:cs="Calibri"/>
          <w:color w:val="000000" w:themeColor="text1"/>
        </w:rPr>
        <w:t>b</w:t>
      </w:r>
      <w:r w:rsidR="00DE3E0A" w:rsidRPr="005341E6">
        <w:rPr>
          <w:rFonts w:cs="Calibri"/>
          <w:color w:val="000000" w:themeColor="text1"/>
        </w:rPr>
        <w:t xml:space="preserve">) </w:t>
      </w:r>
      <w:r w:rsidR="00F86B70" w:rsidRPr="005341E6">
        <w:rPr>
          <w:rFonts w:cs="Calibri"/>
          <w:color w:val="000000" w:themeColor="text1"/>
        </w:rPr>
        <w:t>r</w:t>
      </w:r>
      <w:r w:rsidR="00147609" w:rsidRPr="005341E6">
        <w:rPr>
          <w:rFonts w:cs="Calibri"/>
          <w:color w:val="000000" w:themeColor="text1"/>
        </w:rPr>
        <w:t xml:space="preserve">ecognises the </w:t>
      </w:r>
      <w:r w:rsidR="00B06C1C" w:rsidRPr="005341E6">
        <w:rPr>
          <w:rFonts w:cs="Calibri"/>
          <w:color w:val="000000" w:themeColor="text1"/>
        </w:rPr>
        <w:t>ACT G</w:t>
      </w:r>
      <w:r w:rsidR="00147609" w:rsidRPr="005341E6">
        <w:rPr>
          <w:rFonts w:cs="Calibri"/>
          <w:color w:val="000000" w:themeColor="text1"/>
        </w:rPr>
        <w:t>overnment</w:t>
      </w:r>
      <w:r w:rsidR="00D122B3">
        <w:rPr>
          <w:rFonts w:cs="Calibri"/>
          <w:color w:val="000000" w:themeColor="text1"/>
        </w:rPr>
        <w:t>’</w:t>
      </w:r>
      <w:r w:rsidR="00147609" w:rsidRPr="005341E6">
        <w:rPr>
          <w:rFonts w:cs="Calibri"/>
          <w:color w:val="000000" w:themeColor="text1"/>
        </w:rPr>
        <w:t>s</w:t>
      </w:r>
      <w:r w:rsidR="00147609" w:rsidRPr="005341E6">
        <w:rPr>
          <w:rFonts w:eastAsia="Calibri" w:cs="Calibri"/>
        </w:rPr>
        <w:t xml:space="preserve"> role to protect and promote an Aboriginal and Torres Strait Islander child</w:t>
      </w:r>
      <w:r w:rsidR="00D122B3">
        <w:rPr>
          <w:rFonts w:eastAsia="Calibri" w:cs="Calibri"/>
        </w:rPr>
        <w:t>’</w:t>
      </w:r>
      <w:r w:rsidR="00147609" w:rsidRPr="005341E6">
        <w:rPr>
          <w:rFonts w:eastAsia="Calibri" w:cs="Calibri"/>
        </w:rPr>
        <w:t xml:space="preserve">s cultural identity. </w:t>
      </w:r>
      <w:r w:rsidR="00F052CC" w:rsidRPr="005341E6">
        <w:rPr>
          <w:rFonts w:eastAsia="Calibri" w:cs="Calibri"/>
        </w:rPr>
        <w:t>In the context of statutory services, t</w:t>
      </w:r>
      <w:r w:rsidR="00172A30" w:rsidRPr="005341E6">
        <w:rPr>
          <w:rFonts w:eastAsia="Calibri" w:cs="Calibri"/>
        </w:rPr>
        <w:t xml:space="preserve">his principle </w:t>
      </w:r>
      <w:r w:rsidR="00147609" w:rsidRPr="005341E6">
        <w:rPr>
          <w:rFonts w:eastAsia="Calibri" w:cs="Calibri"/>
        </w:rPr>
        <w:t xml:space="preserve">articulates the need to actively support children in out-of-home care to maintain or </w:t>
      </w:r>
      <w:r w:rsidR="00A7235C" w:rsidRPr="005341E6">
        <w:rPr>
          <w:rFonts w:eastAsia="Calibri" w:cs="Calibri"/>
        </w:rPr>
        <w:t>re-establish</w:t>
      </w:r>
      <w:r w:rsidR="00147609" w:rsidRPr="005341E6">
        <w:rPr>
          <w:rFonts w:eastAsia="Calibri" w:cs="Calibri"/>
        </w:rPr>
        <w:t xml:space="preserve"> their connections to family, community, culture and </w:t>
      </w:r>
      <w:r w:rsidR="00B06C1C" w:rsidRPr="005341E6">
        <w:rPr>
          <w:rFonts w:eastAsia="Calibri" w:cs="Calibri"/>
        </w:rPr>
        <w:t>C</w:t>
      </w:r>
      <w:r w:rsidR="00147609" w:rsidRPr="005341E6">
        <w:rPr>
          <w:rFonts w:eastAsia="Calibri" w:cs="Calibri"/>
        </w:rPr>
        <w:t>ountry.</w:t>
      </w:r>
      <w:bookmarkStart w:id="11" w:name="_Hlk140855509"/>
    </w:p>
    <w:bookmarkEnd w:id="10"/>
    <w:p w14:paraId="5ED31E5D" w14:textId="62699AE5" w:rsidR="00D83CB1" w:rsidRPr="00121A21" w:rsidRDefault="00D83CB1" w:rsidP="005341E6">
      <w:pPr>
        <w:spacing w:before="240" w:after="0" w:line="259" w:lineRule="auto"/>
        <w:rPr>
          <w:rFonts w:eastAsia="Calibri" w:cs="Calibri"/>
          <w:b/>
          <w:bCs/>
          <w:sz w:val="28"/>
          <w:szCs w:val="28"/>
        </w:rPr>
      </w:pPr>
      <w:r w:rsidRPr="00121A21">
        <w:rPr>
          <w:rFonts w:eastAsia="Calibri" w:cs="Calibri"/>
          <w:b/>
          <w:bCs/>
          <w:sz w:val="28"/>
          <w:szCs w:val="28"/>
        </w:rPr>
        <w:t>Chapter 10 Care and Protection—General</w:t>
      </w:r>
    </w:p>
    <w:p w14:paraId="75CF97AC" w14:textId="5A31FF51" w:rsidR="00D83CB1" w:rsidRDefault="00D83CB1" w:rsidP="005341E6">
      <w:pPr>
        <w:pStyle w:val="Heading1"/>
        <w:spacing w:before="240" w:after="0"/>
        <w:rPr>
          <w:rFonts w:eastAsia="Calibri"/>
        </w:rPr>
      </w:pPr>
      <w:r w:rsidRPr="00121A21">
        <w:rPr>
          <w:rFonts w:eastAsia="Calibri"/>
        </w:rPr>
        <w:t>Section 344: What is significant harm?</w:t>
      </w:r>
    </w:p>
    <w:p w14:paraId="2A6F9D0A" w14:textId="5587950F" w:rsidR="005C05B4" w:rsidRPr="005341E6" w:rsidRDefault="007914B4" w:rsidP="005341E6">
      <w:pPr>
        <w:pStyle w:val="Style4"/>
        <w:spacing w:before="240" w:after="0"/>
        <w:rPr>
          <w:rFonts w:eastAsia="Calibri"/>
        </w:rPr>
      </w:pPr>
      <w:r w:rsidRPr="005341E6">
        <w:rPr>
          <w:rFonts w:eastAsia="Calibri"/>
        </w:rPr>
        <w:t xml:space="preserve">Clause 22 proposes, in section 344, a new concept of </w:t>
      </w:r>
      <w:r w:rsidR="00D122B3">
        <w:rPr>
          <w:rFonts w:eastAsia="Calibri"/>
        </w:rPr>
        <w:t>“</w:t>
      </w:r>
      <w:r w:rsidRPr="005341E6">
        <w:rPr>
          <w:rFonts w:eastAsia="Calibri"/>
        </w:rPr>
        <w:t>significant harm</w:t>
      </w:r>
      <w:r w:rsidR="00D122B3">
        <w:rPr>
          <w:rFonts w:eastAsia="Calibri"/>
        </w:rPr>
        <w:t>”</w:t>
      </w:r>
      <w:r w:rsidRPr="005341E6">
        <w:rPr>
          <w:rFonts w:eastAsia="Calibri"/>
        </w:rPr>
        <w:t xml:space="preserve"> as the threshold that justifies statutory intervention in the best interests of children</w:t>
      </w:r>
      <w:r w:rsidR="00E41C1C" w:rsidRPr="005341E6">
        <w:rPr>
          <w:rFonts w:eastAsia="Calibri"/>
        </w:rPr>
        <w:t>.</w:t>
      </w:r>
      <w:r w:rsidR="00E019BD" w:rsidRPr="005341E6">
        <w:rPr>
          <w:rFonts w:eastAsia="Calibri"/>
        </w:rPr>
        <w:t xml:space="preserve"> </w:t>
      </w:r>
      <w:r w:rsidR="00097F9A" w:rsidRPr="005341E6">
        <w:rPr>
          <w:rFonts w:eastAsia="Calibri"/>
        </w:rPr>
        <w:t>S</w:t>
      </w:r>
      <w:r w:rsidR="00E41C1C" w:rsidRPr="005341E6">
        <w:rPr>
          <w:rFonts w:eastAsia="Calibri"/>
        </w:rPr>
        <w:t>ignificant harm</w:t>
      </w:r>
      <w:r w:rsidR="00036638" w:rsidRPr="005341E6">
        <w:rPr>
          <w:rFonts w:eastAsia="Calibri"/>
        </w:rPr>
        <w:t xml:space="preserve"> is defined</w:t>
      </w:r>
      <w:r w:rsidR="00E41C1C" w:rsidRPr="005341E6">
        <w:rPr>
          <w:rFonts w:eastAsia="Calibri"/>
        </w:rPr>
        <w:t xml:space="preserve"> as </w:t>
      </w:r>
      <w:r w:rsidR="00D122B3">
        <w:rPr>
          <w:rFonts w:eastAsia="Calibri"/>
        </w:rPr>
        <w:t>“</w:t>
      </w:r>
      <w:r w:rsidR="00E41C1C" w:rsidRPr="005341E6">
        <w:rPr>
          <w:rFonts w:eastAsia="Calibri"/>
        </w:rPr>
        <w:t>any detrimental e</w:t>
      </w:r>
      <w:r w:rsidR="00911D50" w:rsidRPr="005341E6">
        <w:rPr>
          <w:rFonts w:eastAsia="Calibri"/>
        </w:rPr>
        <w:t>f</w:t>
      </w:r>
      <w:r w:rsidR="00E41C1C" w:rsidRPr="005341E6">
        <w:rPr>
          <w:rFonts w:eastAsia="Calibri"/>
        </w:rPr>
        <w:t>fect of a significant nature on the safety, welfare or wellbeing of the child or young person</w:t>
      </w:r>
      <w:r w:rsidR="00D122B3">
        <w:rPr>
          <w:rFonts w:eastAsia="Calibri"/>
        </w:rPr>
        <w:t>”</w:t>
      </w:r>
      <w:r w:rsidR="00747358" w:rsidRPr="005341E6">
        <w:rPr>
          <w:rFonts w:eastAsia="Calibri"/>
        </w:rPr>
        <w:t xml:space="preserve">. </w:t>
      </w:r>
      <w:r w:rsidR="00790FE0" w:rsidRPr="005341E6">
        <w:rPr>
          <w:rFonts w:eastAsia="Calibri"/>
        </w:rPr>
        <w:t xml:space="preserve">This definition replaces the </w:t>
      </w:r>
      <w:r w:rsidR="00B06C1C" w:rsidRPr="005341E6">
        <w:rPr>
          <w:rFonts w:eastAsia="Calibri"/>
        </w:rPr>
        <w:t xml:space="preserve">concept </w:t>
      </w:r>
      <w:r w:rsidR="00790FE0" w:rsidRPr="005341E6">
        <w:rPr>
          <w:rFonts w:eastAsia="Calibri"/>
        </w:rPr>
        <w:t xml:space="preserve">of </w:t>
      </w:r>
      <w:r w:rsidR="00D122B3">
        <w:rPr>
          <w:rFonts w:eastAsia="Calibri"/>
        </w:rPr>
        <w:t>“</w:t>
      </w:r>
      <w:r w:rsidR="00036638" w:rsidRPr="005341E6">
        <w:rPr>
          <w:rFonts w:eastAsia="Calibri"/>
        </w:rPr>
        <w:t xml:space="preserve">at </w:t>
      </w:r>
      <w:r w:rsidR="00790FE0" w:rsidRPr="005341E6">
        <w:rPr>
          <w:rFonts w:eastAsia="Calibri"/>
        </w:rPr>
        <w:t>risk of abuse and neglect</w:t>
      </w:r>
      <w:r w:rsidR="00D122B3">
        <w:rPr>
          <w:rFonts w:eastAsia="Calibri"/>
        </w:rPr>
        <w:t>”</w:t>
      </w:r>
      <w:r w:rsidR="00790FE0" w:rsidRPr="005341E6">
        <w:rPr>
          <w:rFonts w:eastAsia="Calibri"/>
        </w:rPr>
        <w:t>.</w:t>
      </w:r>
    </w:p>
    <w:p w14:paraId="65B82C5E" w14:textId="09191CD7" w:rsidR="005E020E" w:rsidRPr="005341E6" w:rsidRDefault="005F0848" w:rsidP="005341E6">
      <w:pPr>
        <w:pStyle w:val="Style4"/>
        <w:spacing w:before="240" w:after="0"/>
        <w:rPr>
          <w:rFonts w:eastAsia="Calibri"/>
        </w:rPr>
      </w:pPr>
      <w:r w:rsidRPr="005341E6">
        <w:rPr>
          <w:rFonts w:eastAsia="Calibri"/>
        </w:rPr>
        <w:t>The threshold condition serves as a safeguard to protect the child and their family from unwarranted interference by the Territory.</w:t>
      </w:r>
    </w:p>
    <w:p w14:paraId="7F3822F7" w14:textId="6CE2746D" w:rsidR="00B23D0C" w:rsidRPr="005341E6" w:rsidRDefault="005F0848" w:rsidP="005341E6">
      <w:pPr>
        <w:pStyle w:val="Style4"/>
        <w:spacing w:before="240" w:after="0"/>
        <w:rPr>
          <w:rFonts w:eastAsia="Calibri"/>
        </w:rPr>
      </w:pPr>
      <w:r w:rsidRPr="005341E6">
        <w:rPr>
          <w:rFonts w:eastAsia="Calibri"/>
        </w:rPr>
        <w:t>In cases where statutory services have reasonable cause to suspect that a child is experiencing or is at risk of experiencing significant harm, the Territory is</w:t>
      </w:r>
      <w:r w:rsidR="005C05B4" w:rsidRPr="005341E6">
        <w:rPr>
          <w:rFonts w:eastAsia="Calibri"/>
        </w:rPr>
        <w:t xml:space="preserve"> positively</w:t>
      </w:r>
      <w:r w:rsidRPr="005341E6">
        <w:rPr>
          <w:rFonts w:eastAsia="Calibri"/>
        </w:rPr>
        <w:t xml:space="preserve"> obligated to </w:t>
      </w:r>
      <w:r w:rsidR="008B7F79" w:rsidRPr="005341E6">
        <w:rPr>
          <w:rFonts w:eastAsia="Calibri"/>
        </w:rPr>
        <w:t>carry out the assessment considered</w:t>
      </w:r>
      <w:r w:rsidRPr="005341E6">
        <w:rPr>
          <w:rFonts w:eastAsia="Calibri"/>
        </w:rPr>
        <w:t xml:space="preserve"> necessary as </w:t>
      </w:r>
      <w:r w:rsidR="00E019BD" w:rsidRPr="005341E6">
        <w:rPr>
          <w:rFonts w:eastAsia="Calibri"/>
        </w:rPr>
        <w:t>proposed in clause 36</w:t>
      </w:r>
      <w:r w:rsidR="008F2A3C" w:rsidRPr="005341E6">
        <w:rPr>
          <w:rFonts w:eastAsia="Calibri"/>
        </w:rPr>
        <w:t xml:space="preserve"> (</w:t>
      </w:r>
      <w:r w:rsidR="0031222A" w:rsidRPr="005341E6">
        <w:rPr>
          <w:rFonts w:eastAsia="Calibri"/>
        </w:rPr>
        <w:t xml:space="preserve">proposed new </w:t>
      </w:r>
      <w:r w:rsidR="008F2A3C" w:rsidRPr="005341E6">
        <w:rPr>
          <w:rFonts w:eastAsia="Calibri"/>
        </w:rPr>
        <w:t>s 344)</w:t>
      </w:r>
      <w:r w:rsidRPr="005341E6">
        <w:rPr>
          <w:rFonts w:eastAsia="Calibri"/>
        </w:rPr>
        <w:t xml:space="preserve">. These </w:t>
      </w:r>
      <w:r w:rsidR="008B7F79" w:rsidRPr="005341E6">
        <w:rPr>
          <w:rFonts w:eastAsia="Calibri"/>
        </w:rPr>
        <w:t>assessments</w:t>
      </w:r>
      <w:r w:rsidR="003F69CA" w:rsidRPr="005341E6">
        <w:rPr>
          <w:rFonts w:eastAsia="Calibri"/>
        </w:rPr>
        <w:t xml:space="preserve"> are</w:t>
      </w:r>
      <w:r w:rsidRPr="005341E6">
        <w:rPr>
          <w:rFonts w:eastAsia="Calibri"/>
        </w:rPr>
        <w:t xml:space="preserve"> conducted to enable the Territory to make informed decisions regarding whether </w:t>
      </w:r>
      <w:r w:rsidR="008769F5" w:rsidRPr="005341E6">
        <w:rPr>
          <w:rFonts w:eastAsia="Calibri"/>
        </w:rPr>
        <w:t>the child or young person is at risk of significant harm.</w:t>
      </w:r>
    </w:p>
    <w:p w14:paraId="09F2CDE5" w14:textId="39828C3D" w:rsidR="00C46454" w:rsidRPr="005341E6" w:rsidRDefault="005F0848" w:rsidP="005341E6">
      <w:pPr>
        <w:pStyle w:val="Style4"/>
        <w:spacing w:before="240" w:after="0"/>
        <w:rPr>
          <w:rFonts w:eastAsia="Calibri"/>
        </w:rPr>
      </w:pPr>
      <w:r w:rsidRPr="005341E6">
        <w:rPr>
          <w:rFonts w:eastAsia="Calibri" w:cs="Calibri"/>
          <w:bCs/>
        </w:rPr>
        <w:t>S</w:t>
      </w:r>
      <w:r w:rsidR="00E41C1C" w:rsidRPr="005341E6">
        <w:rPr>
          <w:rFonts w:eastAsia="Calibri" w:cs="Calibri"/>
          <w:bCs/>
        </w:rPr>
        <w:t>ignificant harm shares a common characteristic with the previous concept of abuse and neglect in that there are no fixed or absolute criteria for determining what constitutes significant harm to a child.</w:t>
      </w:r>
    </w:p>
    <w:p w14:paraId="2C1BC1A9" w14:textId="75EFA6EF" w:rsidR="00C46454" w:rsidRPr="005341E6" w:rsidRDefault="00C46454" w:rsidP="005341E6">
      <w:pPr>
        <w:pStyle w:val="Style4"/>
        <w:spacing w:before="240" w:after="0"/>
        <w:rPr>
          <w:rFonts w:eastAsia="Calibri"/>
        </w:rPr>
      </w:pPr>
      <w:r w:rsidRPr="005341E6">
        <w:rPr>
          <w:rFonts w:eastAsia="Calibri"/>
        </w:rPr>
        <w:t>The nature of harm may arise from the result of physical, psychological or emotional abuse or neglect of a child or the result of family violence, sexual abuse or exploitation</w:t>
      </w:r>
      <w:r w:rsidR="006976E2" w:rsidRPr="005341E6">
        <w:rPr>
          <w:rFonts w:eastAsia="Calibri"/>
        </w:rPr>
        <w:t xml:space="preserve"> </w:t>
      </w:r>
      <w:r w:rsidRPr="005341E6">
        <w:rPr>
          <w:rFonts w:eastAsia="Calibri"/>
        </w:rPr>
        <w:t xml:space="preserve">but is not limited as to its cause. The </w:t>
      </w:r>
      <w:r w:rsidR="00D122B3">
        <w:rPr>
          <w:rFonts w:eastAsia="Calibri"/>
        </w:rPr>
        <w:t>“</w:t>
      </w:r>
      <w:r w:rsidRPr="005341E6">
        <w:rPr>
          <w:rFonts w:eastAsia="Calibri"/>
        </w:rPr>
        <w:t>risk of significant harm</w:t>
      </w:r>
      <w:r w:rsidR="00D122B3">
        <w:rPr>
          <w:rFonts w:eastAsia="Calibri"/>
        </w:rPr>
        <w:t>”</w:t>
      </w:r>
      <w:r w:rsidR="006976E2" w:rsidRPr="005341E6">
        <w:rPr>
          <w:rFonts w:eastAsia="Calibri"/>
        </w:rPr>
        <w:t xml:space="preserve"> concept</w:t>
      </w:r>
      <w:r w:rsidRPr="005341E6">
        <w:rPr>
          <w:rFonts w:eastAsia="Calibri"/>
        </w:rPr>
        <w:t xml:space="preserve"> includes circumstances where harm has not yet occurred but is likely to occur if no action is taken to protect the child.</w:t>
      </w:r>
    </w:p>
    <w:p w14:paraId="177BF74E" w14:textId="68135F1A" w:rsidR="00B23D0C" w:rsidRPr="005341E6" w:rsidRDefault="00E41C1C" w:rsidP="005341E6">
      <w:pPr>
        <w:pStyle w:val="Style4"/>
        <w:spacing w:before="240" w:after="0"/>
        <w:rPr>
          <w:rFonts w:eastAsia="Calibri"/>
        </w:rPr>
      </w:pPr>
      <w:r w:rsidRPr="005341E6">
        <w:rPr>
          <w:rFonts w:eastAsia="Calibri" w:cs="Calibri"/>
          <w:bCs/>
        </w:rPr>
        <w:t xml:space="preserve">A singular act, omission or circumstance may meet the threshold for </w:t>
      </w:r>
      <w:r w:rsidR="007E2024" w:rsidRPr="005341E6">
        <w:rPr>
          <w:rFonts w:eastAsia="Calibri" w:cs="Calibri"/>
          <w:bCs/>
        </w:rPr>
        <w:t>s</w:t>
      </w:r>
      <w:r w:rsidRPr="005341E6">
        <w:rPr>
          <w:rFonts w:eastAsia="Calibri" w:cs="Calibri"/>
          <w:bCs/>
        </w:rPr>
        <w:t xml:space="preserve">ignificant </w:t>
      </w:r>
      <w:r w:rsidR="007E2024" w:rsidRPr="005341E6">
        <w:rPr>
          <w:rFonts w:eastAsia="Calibri" w:cs="Calibri"/>
          <w:bCs/>
        </w:rPr>
        <w:t>h</w:t>
      </w:r>
      <w:r w:rsidRPr="005341E6">
        <w:rPr>
          <w:rFonts w:eastAsia="Calibri" w:cs="Calibri"/>
          <w:bCs/>
        </w:rPr>
        <w:t xml:space="preserve">arm. In other situations, </w:t>
      </w:r>
      <w:r w:rsidR="007E2024" w:rsidRPr="005341E6">
        <w:rPr>
          <w:rFonts w:eastAsia="Calibri" w:cs="Calibri"/>
          <w:bCs/>
        </w:rPr>
        <w:t>s</w:t>
      </w:r>
      <w:r w:rsidRPr="005341E6">
        <w:rPr>
          <w:rFonts w:eastAsia="Calibri" w:cs="Calibri"/>
          <w:bCs/>
        </w:rPr>
        <w:t xml:space="preserve">ignificant </w:t>
      </w:r>
      <w:r w:rsidR="007E2024" w:rsidRPr="005341E6">
        <w:rPr>
          <w:rFonts w:eastAsia="Calibri" w:cs="Calibri"/>
          <w:bCs/>
        </w:rPr>
        <w:t>h</w:t>
      </w:r>
      <w:r w:rsidRPr="005341E6">
        <w:rPr>
          <w:rFonts w:eastAsia="Calibri" w:cs="Calibri"/>
          <w:bCs/>
        </w:rPr>
        <w:t>arm may arise from the combination or accumulation of acts, omissions</w:t>
      </w:r>
      <w:r w:rsidR="00911D50" w:rsidRPr="005341E6">
        <w:rPr>
          <w:rFonts w:eastAsia="Calibri" w:cs="Calibri"/>
          <w:bCs/>
        </w:rPr>
        <w:t xml:space="preserve"> </w:t>
      </w:r>
      <w:r w:rsidRPr="005341E6">
        <w:rPr>
          <w:rFonts w:eastAsia="Calibri" w:cs="Calibri"/>
          <w:bCs/>
        </w:rPr>
        <w:t>or circumstances, both immediate and enduring, which disrupt, alter or harm the child</w:t>
      </w:r>
      <w:r w:rsidR="00D122B3">
        <w:rPr>
          <w:rFonts w:eastAsia="Calibri" w:cs="Calibri"/>
          <w:bCs/>
        </w:rPr>
        <w:t>’</w:t>
      </w:r>
      <w:r w:rsidRPr="005341E6">
        <w:rPr>
          <w:rFonts w:eastAsia="Calibri" w:cs="Calibri"/>
          <w:bCs/>
        </w:rPr>
        <w:t>s safety, welfar</w:t>
      </w:r>
      <w:r w:rsidR="002B718B" w:rsidRPr="005341E6">
        <w:rPr>
          <w:rFonts w:eastAsia="Calibri" w:cs="Calibri"/>
          <w:bCs/>
        </w:rPr>
        <w:t>e</w:t>
      </w:r>
      <w:r w:rsidRPr="005341E6">
        <w:rPr>
          <w:rFonts w:eastAsia="Calibri" w:cs="Calibri"/>
          <w:bCs/>
        </w:rPr>
        <w:t xml:space="preserve"> or wellbeing.</w:t>
      </w:r>
    </w:p>
    <w:p w14:paraId="7858FFD7" w14:textId="01307AE2" w:rsidR="00426828" w:rsidRPr="005341E6" w:rsidRDefault="002B718B" w:rsidP="005341E6">
      <w:pPr>
        <w:pStyle w:val="Style4"/>
        <w:spacing w:before="240" w:after="0"/>
        <w:rPr>
          <w:rFonts w:eastAsia="Calibri"/>
        </w:rPr>
      </w:pPr>
      <w:r w:rsidRPr="005341E6">
        <w:rPr>
          <w:rFonts w:eastAsia="Calibri" w:cs="Calibri"/>
          <w:bCs/>
        </w:rPr>
        <w:t>Th</w:t>
      </w:r>
      <w:r w:rsidR="00E01204" w:rsidRPr="005341E6">
        <w:rPr>
          <w:rFonts w:eastAsia="Calibri" w:cs="Calibri"/>
          <w:bCs/>
        </w:rPr>
        <w:t xml:space="preserve">e absence of a fixed criteria </w:t>
      </w:r>
      <w:r w:rsidRPr="005341E6">
        <w:rPr>
          <w:rFonts w:eastAsia="Calibri" w:cs="Calibri"/>
          <w:bCs/>
        </w:rPr>
        <w:t xml:space="preserve">is a </w:t>
      </w:r>
      <w:r w:rsidR="007E36B2" w:rsidRPr="005341E6">
        <w:rPr>
          <w:rFonts w:eastAsia="Calibri" w:cs="Calibri"/>
          <w:bCs/>
        </w:rPr>
        <w:t>shared</w:t>
      </w:r>
      <w:r w:rsidRPr="005341E6">
        <w:rPr>
          <w:rFonts w:eastAsia="Calibri" w:cs="Calibri"/>
          <w:bCs/>
        </w:rPr>
        <w:t xml:space="preserve"> </w:t>
      </w:r>
      <w:r w:rsidR="005160AB" w:rsidRPr="005341E6">
        <w:rPr>
          <w:rFonts w:eastAsia="Calibri" w:cs="Calibri"/>
          <w:bCs/>
        </w:rPr>
        <w:t>feature</w:t>
      </w:r>
      <w:r w:rsidR="006D49DE" w:rsidRPr="005341E6">
        <w:rPr>
          <w:rFonts w:eastAsia="Calibri" w:cs="Calibri"/>
          <w:bCs/>
        </w:rPr>
        <w:t xml:space="preserve"> </w:t>
      </w:r>
      <w:r w:rsidRPr="005341E6">
        <w:rPr>
          <w:rFonts w:eastAsia="Calibri" w:cs="Calibri"/>
          <w:bCs/>
        </w:rPr>
        <w:t xml:space="preserve">across all child protection </w:t>
      </w:r>
      <w:r w:rsidR="007E2024" w:rsidRPr="005341E6">
        <w:rPr>
          <w:rFonts w:eastAsia="Calibri" w:cs="Calibri"/>
          <w:bCs/>
        </w:rPr>
        <w:t xml:space="preserve">systems and </w:t>
      </w:r>
      <w:r w:rsidRPr="005341E6">
        <w:rPr>
          <w:rFonts w:eastAsia="Calibri" w:cs="Calibri"/>
          <w:bCs/>
        </w:rPr>
        <w:t xml:space="preserve">legislation and underscores </w:t>
      </w:r>
      <w:r w:rsidR="00E41C1C" w:rsidRPr="005341E6">
        <w:rPr>
          <w:rFonts w:eastAsia="Calibri" w:cs="Calibri"/>
          <w:bCs/>
        </w:rPr>
        <w:t>the complex</w:t>
      </w:r>
      <w:r w:rsidRPr="005341E6">
        <w:rPr>
          <w:rFonts w:eastAsia="Calibri" w:cs="Calibri"/>
          <w:bCs/>
        </w:rPr>
        <w:t>, evolving</w:t>
      </w:r>
      <w:r w:rsidR="00E41C1C" w:rsidRPr="005341E6">
        <w:rPr>
          <w:rFonts w:eastAsia="Calibri" w:cs="Calibri"/>
          <w:bCs/>
        </w:rPr>
        <w:t xml:space="preserve"> and context-dependent nature of assessing </w:t>
      </w:r>
      <w:r w:rsidR="00911D50" w:rsidRPr="005341E6">
        <w:rPr>
          <w:rFonts w:eastAsia="Calibri" w:cs="Calibri"/>
          <w:bCs/>
        </w:rPr>
        <w:t>child maltreatment</w:t>
      </w:r>
      <w:r w:rsidR="00E41C1C" w:rsidRPr="005341E6">
        <w:rPr>
          <w:rFonts w:eastAsia="Calibri" w:cs="Calibri"/>
          <w:bCs/>
        </w:rPr>
        <w:t xml:space="preserve">. </w:t>
      </w:r>
      <w:r w:rsidR="00A10578" w:rsidRPr="005341E6">
        <w:rPr>
          <w:rFonts w:eastAsia="Calibri" w:cs="Calibri"/>
          <w:bCs/>
        </w:rPr>
        <w:t>As such, c</w:t>
      </w:r>
      <w:r w:rsidR="007E36B2" w:rsidRPr="005341E6">
        <w:rPr>
          <w:rFonts w:eastAsia="Calibri" w:cs="Calibri"/>
          <w:bCs/>
        </w:rPr>
        <w:t xml:space="preserve">hild protection laws </w:t>
      </w:r>
      <w:r w:rsidR="006976E2" w:rsidRPr="005341E6">
        <w:rPr>
          <w:rFonts w:eastAsia="Calibri" w:cs="Calibri"/>
          <w:bCs/>
        </w:rPr>
        <w:t>must</w:t>
      </w:r>
      <w:r w:rsidR="007E36B2" w:rsidRPr="005341E6">
        <w:rPr>
          <w:rFonts w:eastAsia="Calibri" w:cs="Calibri"/>
          <w:bCs/>
        </w:rPr>
        <w:t xml:space="preserve"> exhibit flexibility and adaptability to accommodate the diverse range of circumstances that can influence a child</w:t>
      </w:r>
      <w:r w:rsidR="00D122B3">
        <w:rPr>
          <w:rFonts w:eastAsia="Calibri" w:cs="Calibri"/>
          <w:bCs/>
        </w:rPr>
        <w:t>’</w:t>
      </w:r>
      <w:r w:rsidR="007E36B2" w:rsidRPr="005341E6">
        <w:rPr>
          <w:rFonts w:eastAsia="Calibri" w:cs="Calibri"/>
          <w:bCs/>
        </w:rPr>
        <w:t>s safety, welfare and wellbeing. This is essential</w:t>
      </w:r>
      <w:r w:rsidR="008F2A3C" w:rsidRPr="005341E6">
        <w:rPr>
          <w:rFonts w:eastAsia="Calibri" w:cs="Calibri"/>
          <w:bCs/>
        </w:rPr>
        <w:t xml:space="preserve"> as </w:t>
      </w:r>
      <w:r w:rsidR="007E36B2" w:rsidRPr="005341E6">
        <w:rPr>
          <w:rFonts w:eastAsia="Calibri" w:cs="Calibri"/>
          <w:bCs/>
        </w:rPr>
        <w:t>children</w:t>
      </w:r>
      <w:r w:rsidR="00D122B3">
        <w:rPr>
          <w:rFonts w:eastAsia="Calibri" w:cs="Calibri"/>
          <w:bCs/>
        </w:rPr>
        <w:t>’</w:t>
      </w:r>
      <w:r w:rsidR="007E36B2" w:rsidRPr="005341E6">
        <w:rPr>
          <w:rFonts w:eastAsia="Calibri" w:cs="Calibri"/>
          <w:bCs/>
        </w:rPr>
        <w:t>s situations and experiences can vary widely.</w:t>
      </w:r>
    </w:p>
    <w:p w14:paraId="074DDDFA" w14:textId="23FD5335" w:rsidR="00426828" w:rsidRPr="005341E6" w:rsidRDefault="007E2024" w:rsidP="005341E6">
      <w:pPr>
        <w:pStyle w:val="Style4"/>
        <w:spacing w:before="240" w:after="0"/>
        <w:rPr>
          <w:rFonts w:eastAsia="Calibri"/>
        </w:rPr>
      </w:pPr>
      <w:r w:rsidRPr="005341E6">
        <w:rPr>
          <w:rFonts w:eastAsia="Calibri" w:cs="Calibri"/>
          <w:bCs/>
        </w:rPr>
        <w:t>In effect, t</w:t>
      </w:r>
      <w:r w:rsidR="00E41C1C" w:rsidRPr="005341E6">
        <w:rPr>
          <w:rFonts w:eastAsia="Calibri" w:cs="Calibri"/>
          <w:bCs/>
        </w:rPr>
        <w:t xml:space="preserve">he Bill aims to </w:t>
      </w:r>
      <w:r w:rsidR="00690422" w:rsidRPr="005341E6">
        <w:rPr>
          <w:rFonts w:eastAsia="Calibri" w:cs="Calibri"/>
          <w:bCs/>
        </w:rPr>
        <w:t xml:space="preserve">provide </w:t>
      </w:r>
      <w:r w:rsidR="00E41C1C" w:rsidRPr="005341E6">
        <w:rPr>
          <w:rFonts w:eastAsia="Calibri" w:cs="Calibri"/>
          <w:bCs/>
        </w:rPr>
        <w:t xml:space="preserve">guidance rather than enforce strict limitations on the interpretation of child maltreatment, recognising that imposing such restrictions would be contrary to the </w:t>
      </w:r>
      <w:r w:rsidR="006976E2" w:rsidRPr="005341E6">
        <w:rPr>
          <w:rFonts w:eastAsia="Calibri" w:cs="Calibri"/>
          <w:bCs/>
        </w:rPr>
        <w:t>child</w:t>
      </w:r>
      <w:r w:rsidR="00D122B3">
        <w:rPr>
          <w:rFonts w:eastAsia="Calibri" w:cs="Calibri"/>
          <w:bCs/>
        </w:rPr>
        <w:t>’</w:t>
      </w:r>
      <w:r w:rsidR="006976E2" w:rsidRPr="005341E6">
        <w:rPr>
          <w:rFonts w:eastAsia="Calibri" w:cs="Calibri"/>
          <w:bCs/>
        </w:rPr>
        <w:t xml:space="preserve">s </w:t>
      </w:r>
      <w:r w:rsidR="00E41C1C" w:rsidRPr="005341E6">
        <w:rPr>
          <w:rFonts w:eastAsia="Calibri" w:cs="Calibri"/>
          <w:bCs/>
        </w:rPr>
        <w:t>best interests</w:t>
      </w:r>
      <w:r w:rsidR="006976E2" w:rsidRPr="005341E6">
        <w:rPr>
          <w:rFonts w:eastAsia="Calibri" w:cs="Calibri"/>
          <w:bCs/>
        </w:rPr>
        <w:t>.</w:t>
      </w:r>
    </w:p>
    <w:bookmarkEnd w:id="11"/>
    <w:p w14:paraId="5D60A0F2" w14:textId="77777777" w:rsidR="005341E6" w:rsidRDefault="005341E6" w:rsidP="005341E6">
      <w:pPr>
        <w:spacing w:before="240" w:after="0"/>
        <w:rPr>
          <w:rFonts w:cs="Calibri"/>
          <w:b/>
          <w:bCs/>
          <w:i/>
          <w:iCs/>
          <w:color w:val="000000" w:themeColor="text1"/>
          <w:sz w:val="24"/>
          <w:szCs w:val="24"/>
        </w:rPr>
      </w:pPr>
    </w:p>
    <w:p w14:paraId="2144FF30" w14:textId="1BCB3298" w:rsidR="00D560B4" w:rsidRPr="005341E6" w:rsidRDefault="006123FB" w:rsidP="005341E6">
      <w:pPr>
        <w:spacing w:before="240" w:after="0"/>
        <w:rPr>
          <w:rFonts w:cs="Calibri"/>
          <w:b/>
          <w:bCs/>
          <w:i/>
          <w:iCs/>
          <w:color w:val="000000" w:themeColor="text1"/>
          <w:sz w:val="24"/>
          <w:szCs w:val="24"/>
        </w:rPr>
      </w:pPr>
      <w:r w:rsidRPr="005341E6">
        <w:rPr>
          <w:rFonts w:cs="Calibri"/>
          <w:b/>
          <w:bCs/>
          <w:i/>
          <w:iCs/>
          <w:color w:val="000000" w:themeColor="text1"/>
          <w:sz w:val="24"/>
          <w:szCs w:val="24"/>
        </w:rPr>
        <w:lastRenderedPageBreak/>
        <w:t>C</w:t>
      </w:r>
      <w:r w:rsidR="00D560B4" w:rsidRPr="005341E6">
        <w:rPr>
          <w:rFonts w:cs="Calibri"/>
          <w:b/>
          <w:bCs/>
          <w:i/>
          <w:iCs/>
          <w:color w:val="000000" w:themeColor="text1"/>
          <w:sz w:val="24"/>
          <w:szCs w:val="24"/>
        </w:rPr>
        <w:t>oncepts of child maltreatment</w:t>
      </w:r>
    </w:p>
    <w:p w14:paraId="263E3FC1" w14:textId="1A9E4604" w:rsidR="00426828" w:rsidRPr="005341E6" w:rsidRDefault="007914B4" w:rsidP="005341E6">
      <w:pPr>
        <w:pStyle w:val="Style4"/>
        <w:spacing w:before="240" w:after="0"/>
        <w:rPr>
          <w:rFonts w:eastAsia="Calibri"/>
        </w:rPr>
      </w:pPr>
      <w:r w:rsidRPr="005341E6">
        <w:rPr>
          <w:rFonts w:eastAsia="Calibri"/>
        </w:rPr>
        <w:t>Clause 22 proposes to collapse section</w:t>
      </w:r>
      <w:r w:rsidR="006976E2" w:rsidRPr="005341E6">
        <w:rPr>
          <w:rFonts w:eastAsia="Calibri"/>
        </w:rPr>
        <w:t>s</w:t>
      </w:r>
      <w:r w:rsidRPr="005341E6">
        <w:rPr>
          <w:rFonts w:eastAsia="Calibri"/>
        </w:rPr>
        <w:t xml:space="preserve"> 342 and 343 and unify information under section 344. As well as the definition of significant harm, clause 22 provides </w:t>
      </w:r>
      <w:r w:rsidR="008769F5" w:rsidRPr="005341E6">
        <w:rPr>
          <w:rFonts w:eastAsia="Calibri"/>
        </w:rPr>
        <w:t>circumstances of</w:t>
      </w:r>
      <w:r w:rsidRPr="005341E6">
        <w:rPr>
          <w:rFonts w:eastAsia="Calibri"/>
        </w:rPr>
        <w:t xml:space="preserve"> child maltreatment that </w:t>
      </w:r>
      <w:r w:rsidR="002B2C06" w:rsidRPr="005341E6">
        <w:rPr>
          <w:rFonts w:eastAsia="Calibri"/>
        </w:rPr>
        <w:t>provide clarity to</w:t>
      </w:r>
      <w:r w:rsidRPr="005341E6">
        <w:rPr>
          <w:rFonts w:eastAsia="Calibri"/>
        </w:rPr>
        <w:t xml:space="preserve"> the concept of significant harm</w:t>
      </w:r>
      <w:r w:rsidR="0031222A" w:rsidRPr="005341E6">
        <w:rPr>
          <w:rFonts w:eastAsia="Calibri"/>
        </w:rPr>
        <w:t>. These are</w:t>
      </w:r>
      <w:r w:rsidRPr="005341E6">
        <w:rPr>
          <w:rFonts w:eastAsia="Calibri"/>
        </w:rPr>
        <w:t xml:space="preserve"> broader </w:t>
      </w:r>
      <w:r w:rsidR="0031222A" w:rsidRPr="005341E6">
        <w:rPr>
          <w:rFonts w:eastAsia="Calibri"/>
        </w:rPr>
        <w:t xml:space="preserve">in </w:t>
      </w:r>
      <w:r w:rsidRPr="005341E6">
        <w:rPr>
          <w:rFonts w:eastAsia="Calibri"/>
        </w:rPr>
        <w:t xml:space="preserve">scope than the existing abuse and neglect </w:t>
      </w:r>
      <w:r w:rsidR="005160AB" w:rsidRPr="005341E6">
        <w:rPr>
          <w:rFonts w:eastAsia="Calibri"/>
        </w:rPr>
        <w:t>concepts</w:t>
      </w:r>
      <w:r w:rsidRPr="005341E6">
        <w:rPr>
          <w:rFonts w:eastAsia="Calibri"/>
        </w:rPr>
        <w:t xml:space="preserve"> under the CYP</w:t>
      </w:r>
      <w:r w:rsidR="00EE377E" w:rsidRPr="005341E6">
        <w:rPr>
          <w:rFonts w:eastAsia="Calibri"/>
        </w:rPr>
        <w:t>A</w:t>
      </w:r>
      <w:r w:rsidRPr="005341E6">
        <w:rPr>
          <w:rFonts w:eastAsia="Calibri"/>
        </w:rPr>
        <w:t xml:space="preserve"> (ss 342, 343).</w:t>
      </w:r>
    </w:p>
    <w:p w14:paraId="30334F64" w14:textId="44F0C412" w:rsidR="00B23D0C" w:rsidRPr="005341E6" w:rsidRDefault="007914B4" w:rsidP="005341E6">
      <w:pPr>
        <w:pStyle w:val="Style4"/>
        <w:spacing w:before="240" w:after="0"/>
        <w:rPr>
          <w:rFonts w:eastAsia="Calibri"/>
        </w:rPr>
      </w:pPr>
      <w:r w:rsidRPr="005341E6">
        <w:rPr>
          <w:rFonts w:eastAsia="Calibri"/>
        </w:rPr>
        <w:t xml:space="preserve">The revision aims to establish a more comprehensive and contemporary understanding of child maltreatment, however, </w:t>
      </w:r>
      <w:r w:rsidR="008769F5" w:rsidRPr="005341E6">
        <w:rPr>
          <w:rFonts w:eastAsia="Calibri"/>
        </w:rPr>
        <w:t xml:space="preserve">is </w:t>
      </w:r>
      <w:r w:rsidRPr="005341E6">
        <w:rPr>
          <w:rFonts w:eastAsia="Calibri"/>
        </w:rPr>
        <w:t>not intended to restrict the scope of section 344(1). In other words, while section 344(2) offers additional clarity by listing particular</w:t>
      </w:r>
      <w:r w:rsidR="005160AB" w:rsidRPr="005341E6">
        <w:rPr>
          <w:rFonts w:eastAsia="Calibri"/>
        </w:rPr>
        <w:t xml:space="preserve"> concepts</w:t>
      </w:r>
      <w:r w:rsidRPr="005341E6">
        <w:rPr>
          <w:rFonts w:eastAsia="Calibri"/>
        </w:rPr>
        <w:t xml:space="preserve"> of significant harm, it does not narrow or limit the scope of what can be considered significant harm under section 344(1).</w:t>
      </w:r>
    </w:p>
    <w:p w14:paraId="031FCDD0" w14:textId="6D914F7F" w:rsidR="00B23D0C" w:rsidRPr="005341E6" w:rsidRDefault="00511A60" w:rsidP="005341E6">
      <w:pPr>
        <w:pStyle w:val="Style4"/>
        <w:spacing w:before="240" w:after="0"/>
        <w:rPr>
          <w:rFonts w:eastAsia="Calibri"/>
        </w:rPr>
      </w:pPr>
      <w:r w:rsidRPr="005341E6">
        <w:rPr>
          <w:rFonts w:cs="Calibri"/>
          <w:color w:val="000000" w:themeColor="text1"/>
        </w:rPr>
        <w:t>Abuse and neglect are</w:t>
      </w:r>
      <w:r w:rsidR="008A0269" w:rsidRPr="005341E6">
        <w:t xml:space="preserve"> </w:t>
      </w:r>
      <w:r w:rsidR="008A0269" w:rsidRPr="005341E6">
        <w:rPr>
          <w:rFonts w:cs="Calibri"/>
          <w:color w:val="000000" w:themeColor="text1"/>
        </w:rPr>
        <w:t xml:space="preserve">categories of harm, </w:t>
      </w:r>
      <w:r w:rsidRPr="005341E6">
        <w:rPr>
          <w:rFonts w:cs="Calibri"/>
          <w:color w:val="000000" w:themeColor="text1"/>
        </w:rPr>
        <w:t>focusing on the actions and inactions of adults, involving either the infliction of harm or the failure to act in preventing harm. Neglect is developmentally defined and is related to the degree of dependency on others to provide for the child</w:t>
      </w:r>
      <w:r w:rsidR="00D122B3">
        <w:rPr>
          <w:rFonts w:cs="Calibri"/>
          <w:color w:val="000000" w:themeColor="text1"/>
        </w:rPr>
        <w:t>’</w:t>
      </w:r>
      <w:r w:rsidR="006976E2" w:rsidRPr="005341E6">
        <w:rPr>
          <w:rFonts w:cs="Calibri"/>
          <w:color w:val="000000" w:themeColor="text1"/>
        </w:rPr>
        <w:t>s needs</w:t>
      </w:r>
      <w:r w:rsidRPr="005341E6">
        <w:rPr>
          <w:rFonts w:cs="Calibri"/>
          <w:color w:val="000000" w:themeColor="text1"/>
        </w:rPr>
        <w:t>. In contrast, abuse reli</w:t>
      </w:r>
      <w:r w:rsidR="006976E2" w:rsidRPr="005341E6">
        <w:rPr>
          <w:rFonts w:cs="Calibri"/>
          <w:color w:val="000000" w:themeColor="text1"/>
        </w:rPr>
        <w:t>es not</w:t>
      </w:r>
      <w:r w:rsidRPr="005341E6">
        <w:rPr>
          <w:rFonts w:cs="Calibri"/>
          <w:color w:val="000000" w:themeColor="text1"/>
        </w:rPr>
        <w:t xml:space="preserve"> on the degree of dependence but on the degree of harm inflicted. Both concepts heavily rely on the actions and inactions of adults to be understood; however, in isolation, this construct only accounts for a singular aspect of assessing risk and child safety</w:t>
      </w:r>
      <w:r w:rsidR="00A10578" w:rsidRPr="005341E6">
        <w:rPr>
          <w:rFonts w:cs="Calibri"/>
          <w:color w:val="000000" w:themeColor="text1"/>
        </w:rPr>
        <w:t xml:space="preserve"> and does not account well for the child</w:t>
      </w:r>
      <w:r w:rsidR="00D122B3">
        <w:rPr>
          <w:rFonts w:cs="Calibri"/>
          <w:color w:val="000000" w:themeColor="text1"/>
        </w:rPr>
        <w:t>’</w:t>
      </w:r>
      <w:r w:rsidR="00A10578" w:rsidRPr="005341E6">
        <w:rPr>
          <w:rFonts w:cs="Calibri"/>
          <w:color w:val="000000" w:themeColor="text1"/>
        </w:rPr>
        <w:t>s experience.</w:t>
      </w:r>
    </w:p>
    <w:p w14:paraId="30425787" w14:textId="7872793D" w:rsidR="00B23D0C" w:rsidRPr="005341E6" w:rsidRDefault="00511A60" w:rsidP="005341E6">
      <w:pPr>
        <w:pStyle w:val="Style4"/>
        <w:spacing w:before="240" w:after="0"/>
        <w:rPr>
          <w:rFonts w:eastAsia="Calibri"/>
        </w:rPr>
      </w:pPr>
      <w:r w:rsidRPr="005341E6">
        <w:rPr>
          <w:rFonts w:cs="Calibri"/>
          <w:color w:val="000000" w:themeColor="text1"/>
        </w:rPr>
        <w:t>The existing definitions of abuse and neglect in the CYPA</w:t>
      </w:r>
      <w:r w:rsidR="0041442A" w:rsidRPr="005341E6">
        <w:rPr>
          <w:rFonts w:cs="Calibri"/>
          <w:color w:val="000000" w:themeColor="text1"/>
        </w:rPr>
        <w:t xml:space="preserve"> (see ss 342, 343)</w:t>
      </w:r>
      <w:r w:rsidRPr="005341E6">
        <w:rPr>
          <w:rFonts w:cs="Calibri"/>
          <w:color w:val="000000" w:themeColor="text1"/>
        </w:rPr>
        <w:t xml:space="preserve"> are divided into four subtypes: physical abuse, sexual abuse, emotional abuse and neglect. Focusing on individual forms of abuse can create the misleading impression that there are strong lines of demarcation between the different types of childhood</w:t>
      </w:r>
      <w:r w:rsidR="00634425" w:rsidRPr="005341E6">
        <w:rPr>
          <w:rFonts w:cs="Calibri"/>
          <w:color w:val="000000" w:themeColor="text1"/>
        </w:rPr>
        <w:t xml:space="preserve"> maltreatment and</w:t>
      </w:r>
      <w:r w:rsidRPr="005341E6">
        <w:rPr>
          <w:rFonts w:cs="Calibri"/>
          <w:color w:val="000000" w:themeColor="text1"/>
        </w:rPr>
        <w:t xml:space="preserve"> adversitie</w:t>
      </w:r>
      <w:r w:rsidR="006976E2" w:rsidRPr="005341E6">
        <w:rPr>
          <w:rFonts w:cs="Calibri"/>
          <w:color w:val="000000" w:themeColor="text1"/>
        </w:rPr>
        <w:t>s</w:t>
      </w:r>
      <w:r w:rsidR="00D36572" w:rsidRPr="005341E6">
        <w:rPr>
          <w:rFonts w:cs="Calibri"/>
          <w:color w:val="000000" w:themeColor="text1"/>
        </w:rPr>
        <w:t>.</w:t>
      </w:r>
      <w:r w:rsidR="00D16B8E" w:rsidRPr="005341E6">
        <w:rPr>
          <w:rStyle w:val="FootnoteReference"/>
          <w:color w:val="000000" w:themeColor="text1"/>
          <w:sz w:val="22"/>
        </w:rPr>
        <w:footnoteReference w:id="11"/>
      </w:r>
      <w:r w:rsidRPr="005341E6">
        <w:rPr>
          <w:rFonts w:cs="Calibri"/>
          <w:color w:val="000000" w:themeColor="text1"/>
        </w:rPr>
        <w:t xml:space="preserve"> It is well-established that abuse and neglect seldom happen in isolation. Critical factors that influence </w:t>
      </w:r>
      <w:r w:rsidR="006976E2" w:rsidRPr="005341E6">
        <w:rPr>
          <w:rFonts w:cs="Calibri"/>
          <w:color w:val="000000" w:themeColor="text1"/>
        </w:rPr>
        <w:t xml:space="preserve">how </w:t>
      </w:r>
      <w:r w:rsidRPr="005341E6">
        <w:rPr>
          <w:rFonts w:cs="Calibri"/>
          <w:color w:val="000000" w:themeColor="text1"/>
        </w:rPr>
        <w:t xml:space="preserve">child abuse and neglect affect children and young people include </w:t>
      </w:r>
      <w:r w:rsidR="004322E2" w:rsidRPr="005341E6">
        <w:rPr>
          <w:rFonts w:cs="Calibri"/>
          <w:color w:val="000000" w:themeColor="text1"/>
        </w:rPr>
        <w:t xml:space="preserve">the severity, </w:t>
      </w:r>
      <w:r w:rsidRPr="005341E6">
        <w:rPr>
          <w:rFonts w:cs="Calibri"/>
          <w:color w:val="000000" w:themeColor="text1"/>
        </w:rPr>
        <w:t xml:space="preserve">frequency and duration of </w:t>
      </w:r>
      <w:r w:rsidR="008A0269" w:rsidRPr="005341E6">
        <w:rPr>
          <w:rFonts w:cs="Calibri"/>
          <w:color w:val="000000" w:themeColor="text1"/>
        </w:rPr>
        <w:t xml:space="preserve">harm </w:t>
      </w:r>
      <w:r w:rsidRPr="005341E6">
        <w:rPr>
          <w:rFonts w:cs="Calibri"/>
          <w:color w:val="000000" w:themeColor="text1"/>
        </w:rPr>
        <w:t>and the co-occurrence of multiple forms of maltreatment. It is also recogni</w:t>
      </w:r>
      <w:r w:rsidR="00934B52" w:rsidRPr="005341E6">
        <w:rPr>
          <w:rFonts w:cs="Calibri"/>
          <w:color w:val="000000" w:themeColor="text1"/>
        </w:rPr>
        <w:t>s</w:t>
      </w:r>
      <w:r w:rsidRPr="005341E6">
        <w:rPr>
          <w:rFonts w:cs="Calibri"/>
          <w:color w:val="000000" w:themeColor="text1"/>
        </w:rPr>
        <w:t xml:space="preserve">ed that some </w:t>
      </w:r>
      <w:r w:rsidR="004322E2" w:rsidRPr="005341E6">
        <w:rPr>
          <w:rFonts w:cs="Calibri"/>
          <w:color w:val="000000" w:themeColor="text1"/>
        </w:rPr>
        <w:t xml:space="preserve">harm type </w:t>
      </w:r>
      <w:r w:rsidRPr="005341E6">
        <w:rPr>
          <w:rFonts w:cs="Calibri"/>
          <w:color w:val="000000" w:themeColor="text1"/>
        </w:rPr>
        <w:t xml:space="preserve">combinations are more harmful than others, and the </w:t>
      </w:r>
      <w:r w:rsidR="00B87C4F" w:rsidRPr="005341E6">
        <w:rPr>
          <w:rFonts w:cs="Calibri"/>
          <w:color w:val="000000" w:themeColor="text1"/>
        </w:rPr>
        <w:t xml:space="preserve">age and </w:t>
      </w:r>
      <w:r w:rsidRPr="005341E6">
        <w:rPr>
          <w:rFonts w:cs="Calibri"/>
          <w:color w:val="000000" w:themeColor="text1"/>
        </w:rPr>
        <w:t>order of onset play an important role in understanding the risk</w:t>
      </w:r>
      <w:r w:rsidR="0031222A" w:rsidRPr="005341E6">
        <w:rPr>
          <w:rFonts w:cs="Calibri"/>
          <w:color w:val="000000" w:themeColor="text1"/>
        </w:rPr>
        <w:t>s</w:t>
      </w:r>
      <w:r w:rsidRPr="005341E6">
        <w:rPr>
          <w:rFonts w:cs="Calibri"/>
          <w:color w:val="000000" w:themeColor="text1"/>
        </w:rPr>
        <w:t xml:space="preserve"> to the child</w:t>
      </w:r>
      <w:r w:rsidR="00036638" w:rsidRPr="005341E6">
        <w:rPr>
          <w:rFonts w:cs="Calibri"/>
          <w:color w:val="000000" w:themeColor="text1"/>
        </w:rPr>
        <w:t xml:space="preserve"> and </w:t>
      </w:r>
      <w:r w:rsidR="00B87C4F" w:rsidRPr="005341E6">
        <w:rPr>
          <w:rFonts w:cs="Calibri"/>
          <w:color w:val="000000" w:themeColor="text1"/>
        </w:rPr>
        <w:t xml:space="preserve">the prediction of </w:t>
      </w:r>
      <w:r w:rsidR="00036638" w:rsidRPr="005341E6">
        <w:rPr>
          <w:rFonts w:cs="Calibri"/>
          <w:color w:val="000000" w:themeColor="text1"/>
        </w:rPr>
        <w:t>long</w:t>
      </w:r>
      <w:r w:rsidR="00B87C4F" w:rsidRPr="005341E6">
        <w:rPr>
          <w:rFonts w:cs="Calibri"/>
          <w:color w:val="000000" w:themeColor="text1"/>
        </w:rPr>
        <w:t>er</w:t>
      </w:r>
      <w:r w:rsidR="00036638" w:rsidRPr="005341E6">
        <w:rPr>
          <w:rFonts w:cs="Calibri"/>
          <w:color w:val="000000" w:themeColor="text1"/>
        </w:rPr>
        <w:t xml:space="preserve">-term </w:t>
      </w:r>
      <w:r w:rsidR="0031222A" w:rsidRPr="005341E6">
        <w:rPr>
          <w:rFonts w:cs="Calibri"/>
          <w:color w:val="000000" w:themeColor="text1"/>
        </w:rPr>
        <w:t xml:space="preserve">adverse </w:t>
      </w:r>
      <w:r w:rsidR="00036638" w:rsidRPr="005341E6">
        <w:rPr>
          <w:rFonts w:cs="Calibri"/>
          <w:color w:val="000000" w:themeColor="text1"/>
        </w:rPr>
        <w:t>impacts</w:t>
      </w:r>
      <w:r w:rsidR="0031222A" w:rsidRPr="005341E6">
        <w:rPr>
          <w:rFonts w:cs="Calibri"/>
          <w:color w:val="000000" w:themeColor="text1"/>
        </w:rPr>
        <w:t xml:space="preserve"> across life domains.</w:t>
      </w:r>
      <w:r w:rsidR="0031222A" w:rsidRPr="005341E6">
        <w:rPr>
          <w:rStyle w:val="FootnoteReference"/>
          <w:sz w:val="22"/>
        </w:rPr>
        <w:footnoteReference w:id="12"/>
      </w:r>
    </w:p>
    <w:p w14:paraId="14A5F9B6" w14:textId="77777777" w:rsidR="00634425" w:rsidRPr="005341E6" w:rsidRDefault="00B23D0C" w:rsidP="005341E6">
      <w:pPr>
        <w:pStyle w:val="Style4"/>
        <w:spacing w:before="240" w:after="0"/>
        <w:rPr>
          <w:rFonts w:eastAsia="Calibri"/>
        </w:rPr>
      </w:pPr>
      <w:r w:rsidRPr="005341E6">
        <w:rPr>
          <w:rFonts w:cs="Calibri"/>
          <w:color w:val="000000" w:themeColor="text1"/>
        </w:rPr>
        <w:t>U</w:t>
      </w:r>
      <w:r w:rsidR="00511A60" w:rsidRPr="005341E6">
        <w:rPr>
          <w:rFonts w:cs="Calibri"/>
          <w:color w:val="000000" w:themeColor="text1"/>
        </w:rPr>
        <w:t>nder the current arrangement, the CYPA</w:t>
      </w:r>
      <w:r w:rsidR="00511A60" w:rsidRPr="005341E6">
        <w:t xml:space="preserve"> does </w:t>
      </w:r>
      <w:r w:rsidR="00511A60" w:rsidRPr="005341E6">
        <w:rPr>
          <w:rFonts w:cs="Calibri"/>
          <w:color w:val="000000" w:themeColor="text1"/>
        </w:rPr>
        <w:t xml:space="preserve">not account well </w:t>
      </w:r>
      <w:r w:rsidR="005D14BC" w:rsidRPr="005341E6">
        <w:rPr>
          <w:rFonts w:cs="Calibri"/>
          <w:color w:val="000000" w:themeColor="text1"/>
        </w:rPr>
        <w:t>for the nuances of different harm types and the complex interactions between subtypes</w:t>
      </w:r>
      <w:r w:rsidR="00A10578" w:rsidRPr="005341E6">
        <w:rPr>
          <w:rFonts w:cs="Calibri"/>
          <w:color w:val="000000" w:themeColor="text1"/>
        </w:rPr>
        <w:t xml:space="preserve">. These nuances can be easily undetected, misinterpreted or overlooked, placing the child at an increased risk. </w:t>
      </w:r>
    </w:p>
    <w:p w14:paraId="124699D6" w14:textId="2DC6BD63" w:rsidR="00B23D0C" w:rsidRPr="005341E6" w:rsidRDefault="00634425" w:rsidP="005341E6">
      <w:pPr>
        <w:pStyle w:val="Style4"/>
        <w:spacing w:before="240" w:after="0"/>
        <w:rPr>
          <w:rFonts w:eastAsia="Calibri"/>
        </w:rPr>
      </w:pPr>
      <w:r w:rsidRPr="005341E6">
        <w:rPr>
          <w:rFonts w:eastAsia="Calibri"/>
        </w:rPr>
        <w:t xml:space="preserve">In its current form, the CYPA only associates a concept of significant harm with neglect and emotional abuse. </w:t>
      </w:r>
      <w:r w:rsidR="00511A60" w:rsidRPr="005341E6">
        <w:t xml:space="preserve">Its definition includes </w:t>
      </w:r>
      <w:r w:rsidR="00D122B3">
        <w:t>“</w:t>
      </w:r>
      <w:r w:rsidR="00511A60" w:rsidRPr="005341E6">
        <w:t>a single instance of significant harm and multiple instances of harm that, when considered together, constitute significant harm</w:t>
      </w:r>
      <w:r w:rsidR="00D122B3">
        <w:t>”</w:t>
      </w:r>
      <w:r w:rsidR="00511A60" w:rsidRPr="005341E6">
        <w:t xml:space="preserve">. This </w:t>
      </w:r>
      <w:r w:rsidR="00872DB6" w:rsidRPr="005341E6">
        <w:t xml:space="preserve">existing restricted legislative requirement </w:t>
      </w:r>
      <w:r w:rsidR="005D14BC" w:rsidRPr="005341E6">
        <w:t xml:space="preserve">is </w:t>
      </w:r>
      <w:r w:rsidR="00511A60" w:rsidRPr="005341E6">
        <w:t>misleading, as significant harm has the potential to apply to all forms o</w:t>
      </w:r>
      <w:r w:rsidR="004322E2" w:rsidRPr="005341E6">
        <w:t>f child maltreatment</w:t>
      </w:r>
      <w:r w:rsidR="00511A60" w:rsidRPr="005341E6">
        <w:t xml:space="preserve">, not limited to neglect and emotional abuse. </w:t>
      </w:r>
      <w:r w:rsidRPr="005341E6">
        <w:t xml:space="preserve">Moreover, the definition is event-focused and primarily centred on the actions of adults and their circumstances. This approach falls </w:t>
      </w:r>
      <w:r w:rsidRPr="005341E6">
        <w:lastRenderedPageBreak/>
        <w:t>short of considering the child</w:t>
      </w:r>
      <w:r w:rsidR="00D122B3">
        <w:t>’</w:t>
      </w:r>
      <w:r w:rsidRPr="005341E6">
        <w:t xml:space="preserve">s experience </w:t>
      </w:r>
      <w:r w:rsidR="006976E2" w:rsidRPr="005341E6">
        <w:t>adequately</w:t>
      </w:r>
      <w:r w:rsidR="00A10578" w:rsidRPr="005341E6">
        <w:t>. Th</w:t>
      </w:r>
      <w:r w:rsidR="00872DB6" w:rsidRPr="005341E6">
        <w:t>e</w:t>
      </w:r>
      <w:r w:rsidR="00A10578" w:rsidRPr="005341E6">
        <w:t xml:space="preserve"> deficiency in considering the child</w:t>
      </w:r>
      <w:r w:rsidR="00D122B3">
        <w:t>’</w:t>
      </w:r>
      <w:r w:rsidR="00A10578" w:rsidRPr="005341E6">
        <w:t xml:space="preserve">s experience becomes more pronounced when coupled with the standard of proof required, known as the </w:t>
      </w:r>
      <w:r w:rsidR="00D122B3">
        <w:t>‘</w:t>
      </w:r>
      <w:r w:rsidR="00A10578" w:rsidRPr="005341E6">
        <w:t>balance of probabilities test,</w:t>
      </w:r>
      <w:r w:rsidR="00933F56" w:rsidRPr="005341E6">
        <w:rPr>
          <w:rStyle w:val="FootnoteReference"/>
          <w:sz w:val="22"/>
        </w:rPr>
        <w:footnoteReference w:id="13"/>
      </w:r>
      <w:r w:rsidR="00A10578" w:rsidRPr="005341E6">
        <w:t xml:space="preserve"> being applied early in the assessment process. This burden of proof necessitates evidence of harm before further assessment and interventions can be initiated, which can lead to early warning signs or subtle forms of harm being disregarded or downplayed.</w:t>
      </w:r>
    </w:p>
    <w:p w14:paraId="3D5BFAA4" w14:textId="6EC79AD2" w:rsidR="00B23D0C" w:rsidRPr="005341E6" w:rsidRDefault="00C148E9" w:rsidP="005341E6">
      <w:pPr>
        <w:pStyle w:val="Style4"/>
        <w:spacing w:before="240" w:after="0"/>
        <w:rPr>
          <w:rFonts w:eastAsia="Calibri"/>
        </w:rPr>
      </w:pPr>
      <w:r w:rsidRPr="005341E6">
        <w:rPr>
          <w:rFonts w:cs="Calibri"/>
          <w:color w:val="000000" w:themeColor="text1"/>
        </w:rPr>
        <w:t xml:space="preserve">Across Australia, the focus of child protection systems has increasingly shifted away from </w:t>
      </w:r>
      <w:r w:rsidR="004C7229" w:rsidRPr="005341E6">
        <w:rPr>
          <w:rFonts w:cs="Calibri"/>
          <w:color w:val="000000" w:themeColor="text1"/>
        </w:rPr>
        <w:t xml:space="preserve">exclusively </w:t>
      </w:r>
      <w:r w:rsidRPr="005341E6">
        <w:rPr>
          <w:rFonts w:cs="Calibri"/>
          <w:color w:val="000000" w:themeColor="text1"/>
        </w:rPr>
        <w:t xml:space="preserve">focusing on the actions of parents </w:t>
      </w:r>
      <w:r w:rsidR="00872DB6" w:rsidRPr="005341E6">
        <w:rPr>
          <w:rFonts w:cs="Calibri"/>
          <w:color w:val="000000" w:themeColor="text1"/>
        </w:rPr>
        <w:t xml:space="preserve">or caregivers </w:t>
      </w:r>
      <w:r w:rsidRPr="005341E6">
        <w:rPr>
          <w:rFonts w:cs="Calibri"/>
          <w:color w:val="000000" w:themeColor="text1"/>
        </w:rPr>
        <w:t>toward the outcomes for the child.</w:t>
      </w:r>
      <w:r w:rsidRPr="005341E6">
        <w:rPr>
          <w:rStyle w:val="FootnoteReference"/>
          <w:rFonts w:cs="Calibri"/>
          <w:color w:val="000000" w:themeColor="text1"/>
          <w:sz w:val="22"/>
        </w:rPr>
        <w:footnoteReference w:id="14"/>
      </w:r>
      <w:r w:rsidRPr="005341E6">
        <w:rPr>
          <w:rFonts w:cs="Calibri"/>
          <w:color w:val="000000" w:themeColor="text1"/>
        </w:rPr>
        <w:t xml:space="preserve"> The Standing Committee on Health, Ageing and Community Services (HACS) Interim Report on Child and Youth Protection Services (2020) recommended that the CYPA be amended to better determine the severity of various types of alleged abuse</w:t>
      </w:r>
      <w:r w:rsidR="004322E2" w:rsidRPr="005341E6">
        <w:rPr>
          <w:rFonts w:cs="Calibri"/>
          <w:color w:val="000000" w:themeColor="text1"/>
        </w:rPr>
        <w:t xml:space="preserve"> and neglect</w:t>
      </w:r>
      <w:r w:rsidRPr="005341E6">
        <w:rPr>
          <w:rFonts w:cs="Calibri"/>
          <w:color w:val="000000" w:themeColor="text1"/>
        </w:rPr>
        <w:t xml:space="preserve">. It also recommended amendments to better address the identification of cumulative harm and intervention for children and young people at risk of cumulative harm. </w:t>
      </w:r>
    </w:p>
    <w:p w14:paraId="12089D91" w14:textId="5058C907" w:rsidR="00B23D0C" w:rsidRPr="005341E6" w:rsidRDefault="00C148E9" w:rsidP="005341E6">
      <w:pPr>
        <w:pStyle w:val="Style4"/>
        <w:spacing w:before="240" w:after="0"/>
        <w:rPr>
          <w:rFonts w:eastAsia="Calibri"/>
        </w:rPr>
      </w:pPr>
      <w:r w:rsidRPr="005341E6">
        <w:rPr>
          <w:rFonts w:cs="Calibri"/>
          <w:color w:val="000000" w:themeColor="text1"/>
        </w:rPr>
        <w:t xml:space="preserve">Aligned with the contemporary understanding of child maltreatment, </w:t>
      </w:r>
      <w:r w:rsidR="004322E2" w:rsidRPr="005341E6">
        <w:rPr>
          <w:rFonts w:cs="Calibri"/>
          <w:color w:val="000000" w:themeColor="text1"/>
        </w:rPr>
        <w:t xml:space="preserve">the </w:t>
      </w:r>
      <w:r w:rsidR="00872DB6" w:rsidRPr="005341E6">
        <w:rPr>
          <w:rFonts w:cs="Calibri"/>
          <w:color w:val="000000" w:themeColor="text1"/>
        </w:rPr>
        <w:t xml:space="preserve">proposed </w:t>
      </w:r>
      <w:r w:rsidR="004322E2" w:rsidRPr="005341E6">
        <w:rPr>
          <w:rFonts w:cs="Calibri"/>
          <w:color w:val="000000" w:themeColor="text1"/>
        </w:rPr>
        <w:t xml:space="preserve">significant harm </w:t>
      </w:r>
      <w:r w:rsidRPr="005341E6">
        <w:rPr>
          <w:rFonts w:cs="Calibri"/>
          <w:color w:val="000000" w:themeColor="text1"/>
        </w:rPr>
        <w:t>threshold intends to balance the actions of adults, the risk environment</w:t>
      </w:r>
      <w:r w:rsidR="006976E2" w:rsidRPr="005341E6">
        <w:rPr>
          <w:rFonts w:cs="Calibri"/>
          <w:color w:val="000000" w:themeColor="text1"/>
        </w:rPr>
        <w:t xml:space="preserve"> and</w:t>
      </w:r>
      <w:r w:rsidRPr="005341E6">
        <w:rPr>
          <w:rFonts w:cs="Calibri"/>
          <w:color w:val="000000" w:themeColor="text1"/>
        </w:rPr>
        <w:t xml:space="preserve"> the experiences of children</w:t>
      </w:r>
      <w:r w:rsidR="004322E2" w:rsidRPr="005341E6">
        <w:rPr>
          <w:rFonts w:cs="Calibri"/>
          <w:color w:val="000000" w:themeColor="text1"/>
        </w:rPr>
        <w:t xml:space="preserve"> </w:t>
      </w:r>
      <w:r w:rsidRPr="005341E6">
        <w:rPr>
          <w:rFonts w:cs="Calibri"/>
          <w:color w:val="000000" w:themeColor="text1"/>
        </w:rPr>
        <w:t>and recogni</w:t>
      </w:r>
      <w:r w:rsidR="00934B52" w:rsidRPr="005341E6">
        <w:rPr>
          <w:rFonts w:cs="Calibri"/>
          <w:color w:val="000000" w:themeColor="text1"/>
        </w:rPr>
        <w:t>s</w:t>
      </w:r>
      <w:r w:rsidRPr="005341E6">
        <w:rPr>
          <w:rFonts w:cs="Calibri"/>
          <w:color w:val="000000" w:themeColor="text1"/>
        </w:rPr>
        <w:t>e the accumulation of harm.</w:t>
      </w:r>
    </w:p>
    <w:p w14:paraId="041A5C5F" w14:textId="50F1554B" w:rsidR="00B3757B" w:rsidRPr="005341E6" w:rsidRDefault="00857A54" w:rsidP="005341E6">
      <w:pPr>
        <w:pStyle w:val="Style4"/>
        <w:spacing w:before="240" w:after="0"/>
        <w:rPr>
          <w:rFonts w:eastAsia="Calibri"/>
        </w:rPr>
      </w:pPr>
      <w:r w:rsidRPr="005341E6">
        <w:rPr>
          <w:rFonts w:cs="Calibri"/>
          <w:color w:val="000000" w:themeColor="text1"/>
        </w:rPr>
        <w:t>As highlighted, u</w:t>
      </w:r>
      <w:r w:rsidR="00902BBE" w:rsidRPr="005341E6">
        <w:rPr>
          <w:rFonts w:cs="Calibri"/>
          <w:color w:val="000000" w:themeColor="text1"/>
        </w:rPr>
        <w:t xml:space="preserve">nder the threshold of significant harm, the Bill introduces </w:t>
      </w:r>
      <w:r w:rsidR="008769F5" w:rsidRPr="005341E6">
        <w:rPr>
          <w:rFonts w:cs="Calibri"/>
          <w:color w:val="000000" w:themeColor="text1"/>
        </w:rPr>
        <w:t xml:space="preserve">circumstances to </w:t>
      </w:r>
      <w:r w:rsidR="00902BBE" w:rsidRPr="005341E6">
        <w:rPr>
          <w:rFonts w:cs="Calibri"/>
          <w:color w:val="000000" w:themeColor="text1"/>
        </w:rPr>
        <w:t>enhance identification and response to child maltreatment</w:t>
      </w:r>
      <w:r w:rsidR="00B3757B" w:rsidRPr="005341E6">
        <w:rPr>
          <w:rFonts w:cs="Calibri"/>
          <w:color w:val="000000" w:themeColor="text1"/>
        </w:rPr>
        <w:t>:</w:t>
      </w:r>
    </w:p>
    <w:p w14:paraId="197D7C12" w14:textId="1DAF4C81" w:rsidR="005D14BC" w:rsidRPr="005341E6" w:rsidRDefault="00C22F32" w:rsidP="005341E6">
      <w:pPr>
        <w:pStyle w:val="ListParagraph"/>
        <w:numPr>
          <w:ilvl w:val="0"/>
          <w:numId w:val="6"/>
        </w:numPr>
        <w:spacing w:before="120" w:line="276" w:lineRule="auto"/>
        <w:rPr>
          <w:color w:val="000000" w:themeColor="text1"/>
        </w:rPr>
      </w:pPr>
      <w:r w:rsidRPr="005341E6">
        <w:rPr>
          <w:color w:val="000000" w:themeColor="text1"/>
        </w:rPr>
        <w:t>New s</w:t>
      </w:r>
      <w:r w:rsidR="005D14BC" w:rsidRPr="005341E6">
        <w:rPr>
          <w:color w:val="000000" w:themeColor="text1"/>
        </w:rPr>
        <w:t>ection 344(2)</w:t>
      </w:r>
      <w:r w:rsidR="00535E73" w:rsidRPr="005341E6">
        <w:rPr>
          <w:color w:val="000000" w:themeColor="text1"/>
        </w:rPr>
        <w:t>(a)(i)</w:t>
      </w:r>
      <w:r w:rsidR="005D14BC" w:rsidRPr="005341E6">
        <w:rPr>
          <w:color w:val="000000" w:themeColor="text1"/>
        </w:rPr>
        <w:t xml:space="preserve"> expands the </w:t>
      </w:r>
      <w:r w:rsidR="008769F5" w:rsidRPr="005341E6">
        <w:rPr>
          <w:color w:val="000000" w:themeColor="text1"/>
        </w:rPr>
        <w:t>types of sexual risk beyond</w:t>
      </w:r>
      <w:r w:rsidR="005D14BC" w:rsidRPr="005341E6">
        <w:rPr>
          <w:color w:val="000000" w:themeColor="text1"/>
        </w:rPr>
        <w:t xml:space="preserve"> sexual abuse to include grooming and sexual exploitation. </w:t>
      </w:r>
      <w:r w:rsidR="006976E2" w:rsidRPr="005341E6">
        <w:rPr>
          <w:color w:val="000000" w:themeColor="text1"/>
        </w:rPr>
        <w:t>D</w:t>
      </w:r>
      <w:r w:rsidR="005D14BC" w:rsidRPr="005341E6">
        <w:rPr>
          <w:color w:val="000000" w:themeColor="text1"/>
        </w:rPr>
        <w:t>oing so, addresses the broader range of harmful behaviours and actions that can cause significant harm to children and young people in these contexts. Grooming behaviour involves the perpetrator manipulating a child to gain their trust, build rapport and exert power over them</w:t>
      </w:r>
      <w:r w:rsidR="006976E2" w:rsidRPr="005341E6">
        <w:rPr>
          <w:color w:val="000000" w:themeColor="text1"/>
        </w:rPr>
        <w:t>;</w:t>
      </w:r>
      <w:r w:rsidR="005D14BC" w:rsidRPr="005341E6">
        <w:rPr>
          <w:color w:val="000000" w:themeColor="text1"/>
        </w:rPr>
        <w:t xml:space="preserve"> a serious criminal offen</w:t>
      </w:r>
      <w:r w:rsidR="006976E2" w:rsidRPr="005341E6">
        <w:rPr>
          <w:color w:val="000000" w:themeColor="text1"/>
        </w:rPr>
        <w:t>c</w:t>
      </w:r>
      <w:r w:rsidR="005D14BC" w:rsidRPr="005341E6">
        <w:rPr>
          <w:color w:val="000000" w:themeColor="text1"/>
        </w:rPr>
        <w:t>e in the ACT punishable by law</w:t>
      </w:r>
      <w:r w:rsidR="005D14BC" w:rsidRPr="005341E6">
        <w:rPr>
          <w:rStyle w:val="FootnoteReference"/>
          <w:rFonts w:cs="Calibri"/>
          <w:color w:val="000000" w:themeColor="text1"/>
          <w:sz w:val="22"/>
        </w:rPr>
        <w:footnoteReference w:id="15"/>
      </w:r>
      <w:r w:rsidR="005D14BC" w:rsidRPr="005341E6">
        <w:rPr>
          <w:color w:val="000000" w:themeColor="text1"/>
        </w:rPr>
        <w:t xml:space="preserve"> but is not specifically addressed under existing child protection legislation.</w:t>
      </w:r>
      <w:r w:rsidR="005D14BC" w:rsidRPr="005341E6">
        <w:t xml:space="preserve"> </w:t>
      </w:r>
      <w:r w:rsidR="006976E2" w:rsidRPr="005341E6">
        <w:t>A wider concept is expected to allow for a more progressive and responsive policy approach to child sexual abuse.</w:t>
      </w:r>
      <w:r w:rsidR="000673A8" w:rsidRPr="005341E6">
        <w:t xml:space="preserve"> </w:t>
      </w:r>
      <w:r w:rsidR="005D14BC" w:rsidRPr="005341E6">
        <w:t>This aligns with the ACT Government</w:t>
      </w:r>
      <w:r w:rsidR="00D122B3">
        <w:t>’</w:t>
      </w:r>
      <w:r w:rsidR="005D14BC" w:rsidRPr="005341E6">
        <w:t>s commitment to enhancing systemic responses to child sexual abuse.</w:t>
      </w:r>
    </w:p>
    <w:p w14:paraId="1580856E" w14:textId="276D59DB" w:rsidR="005D4564" w:rsidRPr="005341E6" w:rsidRDefault="00C22F32" w:rsidP="005341E6">
      <w:pPr>
        <w:pStyle w:val="ListParagraph"/>
        <w:numPr>
          <w:ilvl w:val="0"/>
          <w:numId w:val="6"/>
        </w:numPr>
        <w:spacing w:before="120" w:line="276" w:lineRule="auto"/>
        <w:rPr>
          <w:color w:val="000000" w:themeColor="text1"/>
        </w:rPr>
      </w:pPr>
      <w:r w:rsidRPr="005341E6">
        <w:rPr>
          <w:color w:val="000000" w:themeColor="text1"/>
        </w:rPr>
        <w:t>New s</w:t>
      </w:r>
      <w:r w:rsidR="005D14BC" w:rsidRPr="005341E6">
        <w:rPr>
          <w:color w:val="000000" w:themeColor="text1"/>
        </w:rPr>
        <w:t>ection 344(2)</w:t>
      </w:r>
      <w:r w:rsidR="00535E73" w:rsidRPr="005341E6">
        <w:rPr>
          <w:color w:val="000000" w:themeColor="text1"/>
        </w:rPr>
        <w:t>(b)</w:t>
      </w:r>
      <w:r w:rsidR="005D14BC" w:rsidRPr="005341E6">
        <w:rPr>
          <w:color w:val="000000" w:themeColor="text1"/>
        </w:rPr>
        <w:t xml:space="preserve"> introduces a revised </w:t>
      </w:r>
      <w:r w:rsidR="008769F5" w:rsidRPr="005341E6">
        <w:rPr>
          <w:color w:val="000000" w:themeColor="text1"/>
        </w:rPr>
        <w:t>concept of</w:t>
      </w:r>
      <w:r w:rsidR="005D14BC" w:rsidRPr="005341E6">
        <w:rPr>
          <w:color w:val="000000" w:themeColor="text1"/>
        </w:rPr>
        <w:t xml:space="preserve"> neglect that includes circumstances where a child or young person</w:t>
      </w:r>
      <w:r w:rsidR="00D122B3">
        <w:rPr>
          <w:color w:val="000000" w:themeColor="text1"/>
        </w:rPr>
        <w:t>’</w:t>
      </w:r>
      <w:r w:rsidR="005D14BC" w:rsidRPr="005341E6">
        <w:rPr>
          <w:color w:val="000000" w:themeColor="text1"/>
        </w:rPr>
        <w:t xml:space="preserve">s </w:t>
      </w:r>
      <w:r w:rsidR="00D122B3">
        <w:rPr>
          <w:color w:val="000000" w:themeColor="text1"/>
        </w:rPr>
        <w:t>“</w:t>
      </w:r>
      <w:r w:rsidR="005D14BC" w:rsidRPr="005341E6">
        <w:rPr>
          <w:color w:val="000000" w:themeColor="text1"/>
        </w:rPr>
        <w:t>basic physical, emotional, developmental, or psychological needs are not being me</w:t>
      </w:r>
      <w:r w:rsidR="004322E2" w:rsidRPr="005341E6">
        <w:rPr>
          <w:color w:val="000000" w:themeColor="text1"/>
        </w:rPr>
        <w:t>t</w:t>
      </w:r>
      <w:r w:rsidR="00D122B3">
        <w:rPr>
          <w:color w:val="000000" w:themeColor="text1"/>
        </w:rPr>
        <w:t>”</w:t>
      </w:r>
      <w:r w:rsidR="005D14BC" w:rsidRPr="005341E6">
        <w:rPr>
          <w:color w:val="000000" w:themeColor="text1"/>
        </w:rPr>
        <w:t xml:space="preserve">. </w:t>
      </w:r>
      <w:r w:rsidR="008769F5" w:rsidRPr="005341E6">
        <w:rPr>
          <w:color w:val="000000" w:themeColor="text1"/>
        </w:rPr>
        <w:t>T</w:t>
      </w:r>
      <w:r w:rsidR="005D14BC" w:rsidRPr="005341E6">
        <w:rPr>
          <w:color w:val="000000" w:themeColor="text1"/>
        </w:rPr>
        <w:t>his broader framing aims to avoid unhelpful stigmatisation and create an environment where families are more likely to seek and receive the necessary help and support to ensure the wellbeing of their children.</w:t>
      </w:r>
    </w:p>
    <w:p w14:paraId="09968E12" w14:textId="6EE3C6A9" w:rsidR="00C22F32" w:rsidRPr="005341E6" w:rsidRDefault="00C22F32" w:rsidP="005341E6">
      <w:pPr>
        <w:pStyle w:val="ListParagraph"/>
        <w:numPr>
          <w:ilvl w:val="0"/>
          <w:numId w:val="6"/>
        </w:numPr>
        <w:spacing w:before="120" w:line="276" w:lineRule="auto"/>
        <w:ind w:left="1077" w:hanging="357"/>
        <w:rPr>
          <w:color w:val="000000" w:themeColor="text1"/>
        </w:rPr>
      </w:pPr>
      <w:r w:rsidRPr="005341E6">
        <w:rPr>
          <w:color w:val="000000" w:themeColor="text1"/>
        </w:rPr>
        <w:t>New s</w:t>
      </w:r>
      <w:r w:rsidR="005D14BC" w:rsidRPr="005341E6">
        <w:rPr>
          <w:color w:val="000000" w:themeColor="text1"/>
        </w:rPr>
        <w:t>ection 344(3</w:t>
      </w:r>
      <w:r w:rsidR="00422BE9" w:rsidRPr="005341E6">
        <w:rPr>
          <w:color w:val="000000" w:themeColor="text1"/>
        </w:rPr>
        <w:t>)</w:t>
      </w:r>
      <w:r w:rsidR="00535E73" w:rsidRPr="005341E6">
        <w:rPr>
          <w:color w:val="000000" w:themeColor="text1"/>
        </w:rPr>
        <w:t>(a) and (b)</w:t>
      </w:r>
      <w:r w:rsidR="000673A8" w:rsidRPr="005341E6">
        <w:rPr>
          <w:color w:val="000000" w:themeColor="text1"/>
        </w:rPr>
        <w:t xml:space="preserve">, </w:t>
      </w:r>
      <w:r w:rsidR="008904A9" w:rsidRPr="005341E6">
        <w:rPr>
          <w:color w:val="000000" w:themeColor="text1"/>
        </w:rPr>
        <w:t xml:space="preserve">in reference to </w:t>
      </w:r>
      <w:r w:rsidR="008C16A4" w:rsidRPr="005341E6">
        <w:rPr>
          <w:color w:val="000000" w:themeColor="text1"/>
        </w:rPr>
        <w:t xml:space="preserve">section </w:t>
      </w:r>
      <w:r w:rsidR="008904A9" w:rsidRPr="005341E6">
        <w:rPr>
          <w:color w:val="000000" w:themeColor="text1"/>
        </w:rPr>
        <w:t>344(2)</w:t>
      </w:r>
      <w:r w:rsidR="000673A8" w:rsidRPr="005341E6">
        <w:rPr>
          <w:color w:val="000000" w:themeColor="text1"/>
        </w:rPr>
        <w:t>,</w:t>
      </w:r>
      <w:r w:rsidR="008904A9" w:rsidRPr="005341E6">
        <w:rPr>
          <w:color w:val="000000" w:themeColor="text1"/>
        </w:rPr>
        <w:t xml:space="preserve"> </w:t>
      </w:r>
      <w:r w:rsidR="00B3757B" w:rsidRPr="005341E6">
        <w:rPr>
          <w:color w:val="000000" w:themeColor="text1"/>
        </w:rPr>
        <w:t>introduces a standalone definition that considers a child or young person</w:t>
      </w:r>
      <w:r w:rsidR="00D122B3">
        <w:rPr>
          <w:color w:val="000000" w:themeColor="text1"/>
        </w:rPr>
        <w:t>’</w:t>
      </w:r>
      <w:r w:rsidR="005D4564" w:rsidRPr="005341E6">
        <w:rPr>
          <w:color w:val="000000" w:themeColor="text1"/>
        </w:rPr>
        <w:t xml:space="preserve">s experience of significant harm, as either </w:t>
      </w:r>
      <w:r w:rsidR="00D122B3">
        <w:rPr>
          <w:color w:val="000000" w:themeColor="text1"/>
        </w:rPr>
        <w:t>“</w:t>
      </w:r>
      <w:r w:rsidR="00B3757B" w:rsidRPr="005341E6">
        <w:rPr>
          <w:color w:val="000000" w:themeColor="text1"/>
        </w:rPr>
        <w:t>a single act, omission or circumstance, or a combination or accumulation of acts, omissions or circumstances</w:t>
      </w:r>
      <w:r w:rsidR="00D122B3">
        <w:rPr>
          <w:color w:val="000000" w:themeColor="text1"/>
        </w:rPr>
        <w:t>”</w:t>
      </w:r>
      <w:r w:rsidR="00B3757B" w:rsidRPr="005341E6">
        <w:rPr>
          <w:color w:val="000000" w:themeColor="text1"/>
        </w:rPr>
        <w:t>.</w:t>
      </w:r>
      <w:r w:rsidR="005D4564" w:rsidRPr="005341E6">
        <w:t xml:space="preserve"> </w:t>
      </w:r>
      <w:r w:rsidR="005D4564" w:rsidRPr="005341E6">
        <w:rPr>
          <w:color w:val="000000" w:themeColor="text1"/>
        </w:rPr>
        <w:t xml:space="preserve">This nuanced understanding recognises that significant harm or the risk of significant harm may not always be readily observable when examined in isolation. Instead, the harm to the child becomes apparent when looking at </w:t>
      </w:r>
      <w:r w:rsidR="005D4564" w:rsidRPr="005341E6">
        <w:rPr>
          <w:color w:val="000000" w:themeColor="text1"/>
        </w:rPr>
        <w:lastRenderedPageBreak/>
        <w:t>the pattern of events</w:t>
      </w:r>
      <w:r w:rsidR="00872DB6" w:rsidRPr="005341E6">
        <w:rPr>
          <w:color w:val="000000" w:themeColor="text1"/>
        </w:rPr>
        <w:t xml:space="preserve">, </w:t>
      </w:r>
      <w:r w:rsidR="005D4564" w:rsidRPr="005341E6">
        <w:rPr>
          <w:color w:val="000000" w:themeColor="text1"/>
        </w:rPr>
        <w:t xml:space="preserve">conditions </w:t>
      </w:r>
      <w:r w:rsidR="00300935" w:rsidRPr="005341E6">
        <w:rPr>
          <w:color w:val="000000" w:themeColor="text1"/>
        </w:rPr>
        <w:t xml:space="preserve">and experiences </w:t>
      </w:r>
      <w:r w:rsidR="005D4564" w:rsidRPr="005341E6">
        <w:rPr>
          <w:color w:val="000000" w:themeColor="text1"/>
        </w:rPr>
        <w:t>over an extended period of time.</w:t>
      </w:r>
      <w:r w:rsidR="005D4564" w:rsidRPr="005341E6">
        <w:t xml:space="preserve"> </w:t>
      </w:r>
      <w:r w:rsidR="005D4564" w:rsidRPr="005341E6">
        <w:rPr>
          <w:color w:val="000000" w:themeColor="text1"/>
        </w:rPr>
        <w:t xml:space="preserve">In essence, this provision reflects a more sophisticated and informed approach to child </w:t>
      </w:r>
      <w:r w:rsidR="008C16A4" w:rsidRPr="005341E6">
        <w:rPr>
          <w:color w:val="000000" w:themeColor="text1"/>
        </w:rPr>
        <w:t>mal</w:t>
      </w:r>
      <w:r w:rsidR="00114AE1" w:rsidRPr="005341E6">
        <w:rPr>
          <w:color w:val="000000" w:themeColor="text1"/>
        </w:rPr>
        <w:t>treatment</w:t>
      </w:r>
      <w:r w:rsidR="005D4564" w:rsidRPr="005341E6">
        <w:rPr>
          <w:color w:val="000000" w:themeColor="text1"/>
        </w:rPr>
        <w:t>, one that recogni</w:t>
      </w:r>
      <w:r w:rsidR="008C16A4" w:rsidRPr="005341E6">
        <w:rPr>
          <w:color w:val="000000" w:themeColor="text1"/>
        </w:rPr>
        <w:t>s</w:t>
      </w:r>
      <w:r w:rsidR="005D4564" w:rsidRPr="005341E6">
        <w:rPr>
          <w:color w:val="000000" w:themeColor="text1"/>
        </w:rPr>
        <w:t xml:space="preserve">es the </w:t>
      </w:r>
      <w:r w:rsidR="00872DB6" w:rsidRPr="005341E6">
        <w:rPr>
          <w:color w:val="000000" w:themeColor="text1"/>
        </w:rPr>
        <w:t xml:space="preserve">complexities </w:t>
      </w:r>
      <w:r w:rsidR="008C16A4" w:rsidRPr="005341E6">
        <w:rPr>
          <w:color w:val="000000" w:themeColor="text1"/>
        </w:rPr>
        <w:t xml:space="preserve">of assessment </w:t>
      </w:r>
      <w:r w:rsidR="005D4564" w:rsidRPr="005341E6">
        <w:rPr>
          <w:color w:val="000000" w:themeColor="text1"/>
        </w:rPr>
        <w:t xml:space="preserve">and </w:t>
      </w:r>
      <w:r w:rsidR="00300935" w:rsidRPr="005341E6">
        <w:rPr>
          <w:color w:val="000000" w:themeColor="text1"/>
        </w:rPr>
        <w:t xml:space="preserve">provides </w:t>
      </w:r>
      <w:r w:rsidR="00F84DE4" w:rsidRPr="005341E6">
        <w:rPr>
          <w:color w:val="000000" w:themeColor="text1"/>
        </w:rPr>
        <w:t xml:space="preserve">for </w:t>
      </w:r>
      <w:r w:rsidR="005D4564" w:rsidRPr="005341E6">
        <w:rPr>
          <w:color w:val="000000" w:themeColor="text1"/>
        </w:rPr>
        <w:t>children</w:t>
      </w:r>
      <w:r w:rsidR="00F84DE4" w:rsidRPr="005341E6">
        <w:rPr>
          <w:color w:val="000000" w:themeColor="text1"/>
        </w:rPr>
        <w:t xml:space="preserve"> to</w:t>
      </w:r>
      <w:r w:rsidR="005D4564" w:rsidRPr="005341E6">
        <w:rPr>
          <w:color w:val="000000" w:themeColor="text1"/>
        </w:rPr>
        <w:t xml:space="preserve"> receive the necessary support and services to address both immediate concerns and the long-term consequences of cumulative harm.</w:t>
      </w:r>
    </w:p>
    <w:p w14:paraId="578A39B0" w14:textId="1E8B080B" w:rsidR="00B23D0C" w:rsidRPr="005341E6" w:rsidRDefault="00C22F32" w:rsidP="005341E6">
      <w:pPr>
        <w:pStyle w:val="ListParagraph"/>
        <w:numPr>
          <w:ilvl w:val="0"/>
          <w:numId w:val="6"/>
        </w:numPr>
        <w:spacing w:before="120" w:line="276" w:lineRule="auto"/>
        <w:ind w:left="1077" w:hanging="357"/>
        <w:rPr>
          <w:color w:val="000000" w:themeColor="text1"/>
        </w:rPr>
      </w:pPr>
      <w:r w:rsidRPr="005341E6">
        <w:rPr>
          <w:color w:val="000000" w:themeColor="text1"/>
        </w:rPr>
        <w:t>New s</w:t>
      </w:r>
      <w:r w:rsidR="005D14BC" w:rsidRPr="005341E6">
        <w:rPr>
          <w:color w:val="000000" w:themeColor="text1"/>
        </w:rPr>
        <w:t xml:space="preserve">ection </w:t>
      </w:r>
      <w:r w:rsidR="008C16A4" w:rsidRPr="005341E6">
        <w:rPr>
          <w:color w:val="000000" w:themeColor="text1"/>
        </w:rPr>
        <w:t>3</w:t>
      </w:r>
      <w:r w:rsidR="005D14BC" w:rsidRPr="005341E6">
        <w:rPr>
          <w:color w:val="000000" w:themeColor="text1"/>
        </w:rPr>
        <w:t xml:space="preserve">44(4) </w:t>
      </w:r>
      <w:r w:rsidR="004C376D" w:rsidRPr="005341E6">
        <w:rPr>
          <w:color w:val="000000" w:themeColor="text1"/>
        </w:rPr>
        <w:t xml:space="preserve">aligns the definition of family violence </w:t>
      </w:r>
      <w:r w:rsidR="008C16A4" w:rsidRPr="005341E6">
        <w:rPr>
          <w:color w:val="000000" w:themeColor="text1"/>
        </w:rPr>
        <w:t xml:space="preserve">in section 344(2) </w:t>
      </w:r>
      <w:r w:rsidR="004C376D" w:rsidRPr="005341E6">
        <w:rPr>
          <w:color w:val="000000" w:themeColor="text1"/>
        </w:rPr>
        <w:t xml:space="preserve">with the </w:t>
      </w:r>
      <w:r w:rsidR="004C376D" w:rsidRPr="005341E6">
        <w:rPr>
          <w:i/>
          <w:iCs/>
          <w:color w:val="000000" w:themeColor="text1"/>
        </w:rPr>
        <w:t>Family Violence Act 2016</w:t>
      </w:r>
      <w:r w:rsidR="00535E73" w:rsidRPr="005341E6">
        <w:rPr>
          <w:color w:val="000000" w:themeColor="text1"/>
        </w:rPr>
        <w:t xml:space="preserve"> (s 8)</w:t>
      </w:r>
      <w:r w:rsidR="004C376D" w:rsidRPr="005341E6">
        <w:rPr>
          <w:color w:val="000000" w:themeColor="text1"/>
        </w:rPr>
        <w:t>, ensuring consistency and comprehensive coverage in addressing</w:t>
      </w:r>
      <w:r w:rsidR="00B54D13" w:rsidRPr="005341E6">
        <w:rPr>
          <w:color w:val="000000" w:themeColor="text1"/>
        </w:rPr>
        <w:t xml:space="preserve"> </w:t>
      </w:r>
      <w:r w:rsidR="004C376D" w:rsidRPr="005341E6">
        <w:rPr>
          <w:color w:val="000000" w:themeColor="text1"/>
        </w:rPr>
        <w:t>family violence concerns related to child protection</w:t>
      </w:r>
      <w:r w:rsidR="00B54D13" w:rsidRPr="005341E6">
        <w:rPr>
          <w:color w:val="000000" w:themeColor="text1"/>
        </w:rPr>
        <w:t xml:space="preserve">. </w:t>
      </w:r>
      <w:r w:rsidR="0054329E" w:rsidRPr="005341E6">
        <w:rPr>
          <w:color w:val="000000" w:themeColor="text1"/>
        </w:rPr>
        <w:t>The existing legal requirement that a child must have either experienced or been at risk of being exposed to incidences of violence that has or would cause significant harm</w:t>
      </w:r>
      <w:r w:rsidR="00F84DE4" w:rsidRPr="005341E6">
        <w:rPr>
          <w:rStyle w:val="FootnoteReference"/>
          <w:sz w:val="22"/>
        </w:rPr>
        <w:footnoteReference w:id="16"/>
      </w:r>
      <w:r w:rsidR="0054329E" w:rsidRPr="005341E6">
        <w:rPr>
          <w:color w:val="000000" w:themeColor="text1"/>
        </w:rPr>
        <w:t xml:space="preserve"> to their wellbeing or development.</w:t>
      </w:r>
      <w:r w:rsidR="0054329E" w:rsidRPr="005341E6">
        <w:rPr>
          <w:iCs/>
          <w:color w:val="000000" w:themeColor="text1"/>
          <w:lang w:eastAsia="en-US"/>
        </w:rPr>
        <w:t xml:space="preserve"> This provision is concerning as it requires a child to be exposed to violence to an extent that it is deemed to cause significant harm</w:t>
      </w:r>
      <w:r w:rsidR="0054329E" w:rsidRPr="005341E6">
        <w:rPr>
          <w:rStyle w:val="FootnoteReference"/>
          <w:iCs/>
          <w:sz w:val="22"/>
          <w:lang w:eastAsia="en-US"/>
        </w:rPr>
        <w:footnoteReference w:id="17"/>
      </w:r>
      <w:r w:rsidR="0054329E" w:rsidRPr="005341E6">
        <w:rPr>
          <w:iCs/>
          <w:color w:val="000000" w:themeColor="text1"/>
          <w:lang w:eastAsia="en-US"/>
        </w:rPr>
        <w:t xml:space="preserve"> </w:t>
      </w:r>
      <w:r w:rsidR="0054329E" w:rsidRPr="005341E6">
        <w:t xml:space="preserve">to their wellbeing or development, without sufficient consideration for their </w:t>
      </w:r>
      <w:r w:rsidR="00F84DE4" w:rsidRPr="005341E6">
        <w:t xml:space="preserve">sense of </w:t>
      </w:r>
      <w:r w:rsidR="0054329E" w:rsidRPr="005341E6">
        <w:t>safety or experience</w:t>
      </w:r>
      <w:r w:rsidR="0054329E" w:rsidRPr="005341E6">
        <w:rPr>
          <w:iCs/>
          <w:color w:val="000000" w:themeColor="text1"/>
          <w:lang w:eastAsia="en-US"/>
        </w:rPr>
        <w:t xml:space="preserve">. </w:t>
      </w:r>
      <w:r w:rsidR="004C376D" w:rsidRPr="005341E6">
        <w:t>Research has shown that the pattern of coercive control used by perpetrators is directed at both adult</w:t>
      </w:r>
      <w:r w:rsidR="000673A8" w:rsidRPr="005341E6">
        <w:t xml:space="preserve"> </w:t>
      </w:r>
      <w:r w:rsidR="004C376D" w:rsidRPr="005341E6">
        <w:t>survivors and children, disrupts global family functioning and has long-term impacts on the normal development of children and young people</w:t>
      </w:r>
      <w:r w:rsidR="00F7587C" w:rsidRPr="005341E6">
        <w:rPr>
          <w:rStyle w:val="FootnoteReference"/>
          <w:sz w:val="22"/>
        </w:rPr>
        <w:footnoteReference w:id="18"/>
      </w:r>
      <w:r w:rsidR="00D36572" w:rsidRPr="005341E6">
        <w:t>.</w:t>
      </w:r>
      <w:r w:rsidR="00C04B47" w:rsidRPr="005341E6">
        <w:t xml:space="preserve"> Extensive research has also challenged the notion that children are passive and unaffected by family violence if it is not directly witnessed.</w:t>
      </w:r>
      <w:r w:rsidR="00880129" w:rsidRPr="005341E6">
        <w:rPr>
          <w:rStyle w:val="FootnoteReference"/>
          <w:rFonts w:cs="Calibri"/>
          <w:iCs/>
          <w:color w:val="000000" w:themeColor="text1"/>
          <w:sz w:val="22"/>
          <w:lang w:eastAsia="en-US"/>
        </w:rPr>
        <w:footnoteReference w:id="19"/>
      </w:r>
    </w:p>
    <w:p w14:paraId="63E12153" w14:textId="6CC03C54" w:rsidR="00C22F32" w:rsidRPr="005341E6" w:rsidRDefault="00B33C04" w:rsidP="005341E6">
      <w:pPr>
        <w:pStyle w:val="Style4"/>
        <w:spacing w:before="240" w:after="0"/>
      </w:pPr>
      <w:r w:rsidRPr="005341E6">
        <w:t>S</w:t>
      </w:r>
      <w:r w:rsidR="00857A54" w:rsidRPr="005341E6">
        <w:t xml:space="preserve">ection 356 maintains the existing </w:t>
      </w:r>
      <w:r w:rsidRPr="005341E6">
        <w:t xml:space="preserve">mandatory </w:t>
      </w:r>
      <w:r w:rsidR="00857A54" w:rsidRPr="005341E6">
        <w:t xml:space="preserve">reporting obligations for sexual abuse and non-accidental injury, meaning </w:t>
      </w:r>
      <w:r w:rsidRPr="005341E6">
        <w:t xml:space="preserve">those with </w:t>
      </w:r>
      <w:r w:rsidR="00857A54" w:rsidRPr="005341E6">
        <w:t xml:space="preserve">a legal duty to report these types of concerns must continue to do so </w:t>
      </w:r>
      <w:r w:rsidRPr="005341E6">
        <w:t xml:space="preserve">in accordance with the </w:t>
      </w:r>
      <w:r w:rsidR="00857A54" w:rsidRPr="005341E6">
        <w:t>CYPA.</w:t>
      </w:r>
    </w:p>
    <w:p w14:paraId="2A86C733" w14:textId="77777777" w:rsidR="007A5339" w:rsidRPr="005341E6" w:rsidRDefault="007A5339" w:rsidP="005341E6">
      <w:pPr>
        <w:spacing w:before="240" w:after="0"/>
        <w:rPr>
          <w:rFonts w:cs="Calibri"/>
          <w:b/>
          <w:bCs/>
          <w:i/>
          <w:iCs/>
          <w:color w:val="000000" w:themeColor="text1"/>
          <w:sz w:val="24"/>
          <w:szCs w:val="24"/>
        </w:rPr>
      </w:pPr>
      <w:r w:rsidRPr="005341E6">
        <w:rPr>
          <w:rFonts w:cs="Calibri"/>
          <w:b/>
          <w:bCs/>
          <w:i/>
          <w:iCs/>
          <w:color w:val="000000" w:themeColor="text1"/>
          <w:sz w:val="24"/>
          <w:szCs w:val="24"/>
        </w:rPr>
        <w:t>The balance of probabilities test</w:t>
      </w:r>
    </w:p>
    <w:p w14:paraId="615CF7D8" w14:textId="0ACD278A" w:rsidR="00A16BC9" w:rsidRPr="005341E6" w:rsidRDefault="00A16BC9" w:rsidP="005341E6">
      <w:pPr>
        <w:pStyle w:val="Style4"/>
        <w:spacing w:before="240" w:after="0"/>
      </w:pPr>
      <w:r w:rsidRPr="005341E6">
        <w:t xml:space="preserve">Section 344 of the CYPA currently employs the threshold </w:t>
      </w:r>
      <w:r w:rsidR="00D122B3">
        <w:t>“</w:t>
      </w:r>
      <w:r w:rsidRPr="005341E6">
        <w:t>at risk of abuse or neglect</w:t>
      </w:r>
      <w:r w:rsidR="00D122B3">
        <w:t>”</w:t>
      </w:r>
      <w:r w:rsidRPr="005341E6">
        <w:t xml:space="preserve"> and uses the balance of probabilities test to determine </w:t>
      </w:r>
      <w:r w:rsidR="00D122B3">
        <w:t>“</w:t>
      </w:r>
      <w:r w:rsidRPr="005341E6">
        <w:t>if, on the balance of probabilities, there is a significant risk of the child or young person being abused or neglected</w:t>
      </w:r>
      <w:r w:rsidR="00D122B3">
        <w:t>”</w:t>
      </w:r>
      <w:r w:rsidRPr="005341E6">
        <w:t>.</w:t>
      </w:r>
    </w:p>
    <w:p w14:paraId="32AE533A" w14:textId="1EC99610" w:rsidR="00A16BC9" w:rsidRPr="005341E6" w:rsidRDefault="00A16BC9" w:rsidP="005341E6">
      <w:pPr>
        <w:pStyle w:val="Style4"/>
        <w:spacing w:before="240" w:after="0"/>
      </w:pPr>
      <w:r w:rsidRPr="005341E6">
        <w:t xml:space="preserve">The definition of balance of probabilities is not defined </w:t>
      </w:r>
      <w:r w:rsidR="001B1E1B" w:rsidRPr="005341E6">
        <w:t xml:space="preserve">under </w:t>
      </w:r>
      <w:r w:rsidRPr="005341E6">
        <w:t>the CYPA. However, in civil</w:t>
      </w:r>
      <w:r w:rsidR="001B1E1B" w:rsidRPr="005341E6">
        <w:rPr>
          <w:rStyle w:val="FootnoteReference"/>
          <w:sz w:val="22"/>
        </w:rPr>
        <w:footnoteReference w:id="20"/>
      </w:r>
      <w:r w:rsidRPr="005341E6">
        <w:t xml:space="preserve"> court proceedings, the test is used to establish the likelihood of an event or fact, which differs from the higher standard of proof, beyond a reasonable doubt applied in criminal</w:t>
      </w:r>
      <w:r w:rsidR="001B1E1B" w:rsidRPr="005341E6">
        <w:rPr>
          <w:rStyle w:val="FootnoteReference"/>
          <w:sz w:val="22"/>
        </w:rPr>
        <w:footnoteReference w:id="21"/>
      </w:r>
      <w:r w:rsidRPr="005341E6">
        <w:t xml:space="preserve"> court proceedings. </w:t>
      </w:r>
    </w:p>
    <w:p w14:paraId="702F23A4" w14:textId="70976AE7" w:rsidR="00A16BC9" w:rsidRPr="005341E6" w:rsidRDefault="00A16BC9" w:rsidP="005341E6">
      <w:pPr>
        <w:pStyle w:val="Style4"/>
        <w:spacing w:before="240" w:after="0"/>
      </w:pPr>
      <w:r w:rsidRPr="005341E6">
        <w:t xml:space="preserve">Currently, the threshold of a child being at risk of abuse and neglect (using the balance of probabilities test) is related to the determination of </w:t>
      </w:r>
      <w:r w:rsidR="00D122B3">
        <w:t>“</w:t>
      </w:r>
      <w:r w:rsidRPr="005341E6">
        <w:t>in need of care and protection,</w:t>
      </w:r>
      <w:r w:rsidR="00D122B3">
        <w:t>”</w:t>
      </w:r>
      <w:r w:rsidRPr="005341E6">
        <w:t xml:space="preserve"> as outlined in section 345. A child or young person may meet this threshold if they have been abused or neglected, are currently experiencing abuse or neglect, or are at risk of abuse or neglect, and when no one with </w:t>
      </w:r>
      <w:r w:rsidRPr="005341E6">
        <w:lastRenderedPageBreak/>
        <w:t>parental responsibility for the child or young person is willing and able to protect them from abuse, neglect, or the risk thereof. This determination is also utilised in section 360 during the assessment process of a child concern report.</w:t>
      </w:r>
    </w:p>
    <w:p w14:paraId="6EA09208" w14:textId="2223B539" w:rsidR="003B28D9" w:rsidRPr="005341E6" w:rsidRDefault="00A16BC9" w:rsidP="005341E6">
      <w:pPr>
        <w:pStyle w:val="Style4"/>
        <w:spacing w:before="240" w:after="0"/>
      </w:pPr>
      <w:r w:rsidRPr="005341E6">
        <w:t xml:space="preserve">In practice, the use of balance of probabilities </w:t>
      </w:r>
      <w:r w:rsidR="001B1E1B" w:rsidRPr="005341E6">
        <w:t xml:space="preserve">test </w:t>
      </w:r>
      <w:r w:rsidRPr="005341E6">
        <w:t>sets a high standard of proof for the evidence needed during an early assessment phase of child protection work</w:t>
      </w:r>
      <w:r w:rsidR="00597F15" w:rsidRPr="005341E6">
        <w:t>.</w:t>
      </w:r>
      <w:r w:rsidRPr="005341E6">
        <w:t xml:space="preserve"> </w:t>
      </w:r>
      <w:r w:rsidR="00597F15" w:rsidRPr="005341E6">
        <w:t>T</w:t>
      </w:r>
      <w:r w:rsidR="001B1E1B" w:rsidRPr="005341E6">
        <w:t xml:space="preserve">he event focus and evidentiary standard of the balance of probabilities test and its consequent impact on the </w:t>
      </w:r>
      <w:r w:rsidR="00597F15" w:rsidRPr="005341E6">
        <w:t>determination</w:t>
      </w:r>
      <w:r w:rsidR="001B1E1B" w:rsidRPr="005341E6">
        <w:t xml:space="preserve"> of </w:t>
      </w:r>
      <w:r w:rsidR="00D122B3">
        <w:t>“</w:t>
      </w:r>
      <w:r w:rsidR="001B1E1B" w:rsidRPr="005341E6">
        <w:t>in need of care and protection</w:t>
      </w:r>
      <w:r w:rsidR="00D122B3">
        <w:t>”</w:t>
      </w:r>
      <w:r w:rsidR="00597F15" w:rsidRPr="005341E6">
        <w:t xml:space="preserve"> </w:t>
      </w:r>
      <w:r w:rsidRPr="005341E6">
        <w:t>impact</w:t>
      </w:r>
      <w:r w:rsidR="00597F15" w:rsidRPr="005341E6">
        <w:t>s</w:t>
      </w:r>
      <w:r w:rsidRPr="005341E6">
        <w:t xml:space="preserve"> the Territory</w:t>
      </w:r>
      <w:r w:rsidR="00D122B3">
        <w:t>’</w:t>
      </w:r>
      <w:r w:rsidRPr="005341E6">
        <w:t>s ability to initiat</w:t>
      </w:r>
      <w:r w:rsidR="00597F15" w:rsidRPr="005341E6">
        <w:t>e</w:t>
      </w:r>
      <w:r w:rsidRPr="005341E6">
        <w:t xml:space="preserve"> proactive measures to protect children from harm, particularly in matters associated with cumulative risk. </w:t>
      </w:r>
    </w:p>
    <w:p w14:paraId="449CCBC0" w14:textId="338F95DA" w:rsidR="00A16BC9" w:rsidRPr="005341E6" w:rsidRDefault="00A16BC9" w:rsidP="005341E6">
      <w:pPr>
        <w:pStyle w:val="Style4"/>
        <w:spacing w:before="240" w:after="0"/>
      </w:pPr>
      <w:r w:rsidRPr="005341E6">
        <w:t xml:space="preserve">The inability to act proactively can expose children to risks in </w:t>
      </w:r>
      <w:r w:rsidR="005A3A96" w:rsidRPr="005341E6">
        <w:t>matters</w:t>
      </w:r>
      <w:r w:rsidRPr="005341E6">
        <w:t xml:space="preserve"> where there is reasonable suspicion that harm might be occurring or is foreseeable but not yet fully evident. In effect, imposing a burden of proof early in the process </w:t>
      </w:r>
      <w:r w:rsidR="00E34802" w:rsidRPr="005341E6">
        <w:t>constrains</w:t>
      </w:r>
      <w:r w:rsidRPr="005341E6">
        <w:t xml:space="preserve"> the Territory to await concrete evidence of harm before intervening. This strict burden of proof can delay </w:t>
      </w:r>
      <w:r w:rsidR="003B28D9" w:rsidRPr="005341E6">
        <w:t xml:space="preserve">early </w:t>
      </w:r>
      <w:r w:rsidRPr="005341E6">
        <w:t>protective measures until the child</w:t>
      </w:r>
      <w:r w:rsidR="00D122B3">
        <w:t>’</w:t>
      </w:r>
      <w:r w:rsidRPr="005341E6">
        <w:t xml:space="preserve">s safety is compromised, reinforcing a common perception that statutory services are either under protective or overly intrusive. </w:t>
      </w:r>
    </w:p>
    <w:p w14:paraId="440A2C65" w14:textId="47BA777C" w:rsidR="00A16BC9" w:rsidRPr="005341E6" w:rsidRDefault="00A16BC9" w:rsidP="005341E6">
      <w:pPr>
        <w:pStyle w:val="Style4"/>
        <w:spacing w:before="240" w:after="0"/>
      </w:pPr>
      <w:r w:rsidRPr="005341E6">
        <w:t>For this reason, a new way to understand</w:t>
      </w:r>
      <w:r w:rsidR="001B1E1B" w:rsidRPr="005341E6">
        <w:t xml:space="preserve">, </w:t>
      </w:r>
      <w:r w:rsidRPr="005341E6">
        <w:t>assess</w:t>
      </w:r>
      <w:r w:rsidR="001B1E1B" w:rsidRPr="005341E6">
        <w:t xml:space="preserve"> and respon</w:t>
      </w:r>
      <w:r w:rsidR="00597F15" w:rsidRPr="005341E6">
        <w:t>d</w:t>
      </w:r>
      <w:r w:rsidR="001B1E1B" w:rsidRPr="005341E6">
        <w:t xml:space="preserve"> to</w:t>
      </w:r>
      <w:r w:rsidRPr="005341E6">
        <w:t xml:space="preserve"> risk is needed. The Bill proposes to remove the balance of probabilities test as the standard of proof required when undertaking early assessments. This allows for proactive support to children and families, that may not require a statutory response and provides avenues for further investigation where not enough is known in an initial assessment. This amendment is based on the important distinction between findings of fact of abuse and neglect and the risk of significant harm.</w:t>
      </w:r>
    </w:p>
    <w:p w14:paraId="107D43D8" w14:textId="522F8762" w:rsidR="00B23D0C" w:rsidRPr="005341E6" w:rsidRDefault="007A5339" w:rsidP="005341E6">
      <w:pPr>
        <w:pStyle w:val="Style4"/>
        <w:spacing w:before="240" w:after="0"/>
      </w:pPr>
      <w:r w:rsidRPr="005341E6">
        <w:t xml:space="preserve">As highlighted above, during the early assessment phase, the threshold that justifies statutory intervention in family life becomes the risk of significant harm as </w:t>
      </w:r>
      <w:r w:rsidR="00181EA3" w:rsidRPr="005341E6">
        <w:t xml:space="preserve">proposed </w:t>
      </w:r>
      <w:r w:rsidR="00C22F32" w:rsidRPr="005341E6">
        <w:t xml:space="preserve">in </w:t>
      </w:r>
      <w:r w:rsidRPr="005341E6">
        <w:t>section 360 of the Bill.</w:t>
      </w:r>
    </w:p>
    <w:p w14:paraId="3E910609" w14:textId="190DC19B" w:rsidR="00B23D0C" w:rsidRPr="005341E6" w:rsidRDefault="007A5339" w:rsidP="005341E6">
      <w:pPr>
        <w:pStyle w:val="Style4"/>
        <w:spacing w:before="240" w:after="0"/>
      </w:pPr>
      <w:r w:rsidRPr="005341E6">
        <w:t>The CYPA will still require the civil standard of proof, balance of probabilities, in Childrens Court proceedings, as specified in section 711 of the CYP</w:t>
      </w:r>
      <w:r w:rsidR="00EE377E" w:rsidRPr="005341E6">
        <w:t>A</w:t>
      </w:r>
      <w:r w:rsidRPr="005341E6">
        <w:t>.</w:t>
      </w:r>
    </w:p>
    <w:p w14:paraId="1986161D" w14:textId="77777777" w:rsidR="00B23D0C" w:rsidRDefault="00522051" w:rsidP="005341E6">
      <w:pPr>
        <w:pStyle w:val="Heading1"/>
        <w:spacing w:before="240" w:after="0"/>
        <w:rPr>
          <w:rFonts w:eastAsia="Calibri"/>
        </w:rPr>
      </w:pPr>
      <w:r w:rsidRPr="00121A21">
        <w:rPr>
          <w:rFonts w:eastAsia="Calibri"/>
        </w:rPr>
        <w:t>Section 349 What is in best interests of child or young person?</w:t>
      </w:r>
    </w:p>
    <w:p w14:paraId="14F3CA51" w14:textId="3E0B538A" w:rsidR="00004158" w:rsidRPr="005341E6" w:rsidRDefault="00A14AFC" w:rsidP="005341E6">
      <w:pPr>
        <w:pStyle w:val="Style4"/>
        <w:spacing w:before="240" w:after="0"/>
      </w:pPr>
      <w:r w:rsidRPr="005341E6">
        <w:rPr>
          <w:rFonts w:eastAsia="Calibri"/>
        </w:rPr>
        <w:t xml:space="preserve">The </w:t>
      </w:r>
      <w:r w:rsidR="004C7229" w:rsidRPr="005341E6">
        <w:rPr>
          <w:rFonts w:eastAsia="Calibri"/>
        </w:rPr>
        <w:t>b</w:t>
      </w:r>
      <w:r w:rsidRPr="005341E6">
        <w:rPr>
          <w:rFonts w:eastAsia="Calibri"/>
        </w:rPr>
        <w:t xml:space="preserve">est </w:t>
      </w:r>
      <w:r w:rsidR="004C7229" w:rsidRPr="005341E6">
        <w:rPr>
          <w:rFonts w:eastAsia="Calibri"/>
        </w:rPr>
        <w:t>i</w:t>
      </w:r>
      <w:r w:rsidRPr="005341E6">
        <w:rPr>
          <w:rFonts w:eastAsia="Calibri"/>
        </w:rPr>
        <w:t xml:space="preserve">nterest </w:t>
      </w:r>
      <w:r w:rsidR="004C7229" w:rsidRPr="005341E6">
        <w:rPr>
          <w:rFonts w:eastAsia="Calibri"/>
        </w:rPr>
        <w:t>p</w:t>
      </w:r>
      <w:r w:rsidRPr="005341E6">
        <w:rPr>
          <w:rFonts w:eastAsia="Calibri"/>
        </w:rPr>
        <w:t>rinciples</w:t>
      </w:r>
      <w:r w:rsidR="004C7229" w:rsidRPr="005341E6">
        <w:rPr>
          <w:rFonts w:eastAsia="Calibri"/>
        </w:rPr>
        <w:t xml:space="preserve"> under </w:t>
      </w:r>
      <w:r w:rsidRPr="005341E6">
        <w:rPr>
          <w:rFonts w:eastAsia="Calibri"/>
        </w:rPr>
        <w:t xml:space="preserve">the </w:t>
      </w:r>
      <w:r w:rsidR="00DA2CBA" w:rsidRPr="005341E6">
        <w:rPr>
          <w:rFonts w:eastAsia="Calibri"/>
        </w:rPr>
        <w:t>CYP</w:t>
      </w:r>
      <w:r w:rsidRPr="005341E6">
        <w:rPr>
          <w:rFonts w:eastAsia="Calibri"/>
        </w:rPr>
        <w:t>A</w:t>
      </w:r>
      <w:r w:rsidR="00DA2CBA" w:rsidRPr="005341E6">
        <w:rPr>
          <w:rFonts w:eastAsia="Calibri"/>
        </w:rPr>
        <w:t xml:space="preserve"> </w:t>
      </w:r>
      <w:r w:rsidRPr="005341E6">
        <w:rPr>
          <w:rFonts w:eastAsia="Calibri"/>
        </w:rPr>
        <w:t>find their origin in the United Nations Convention on the Rights of the Child</w:t>
      </w:r>
      <w:r w:rsidR="00152FEC" w:rsidRPr="005341E6">
        <w:rPr>
          <w:rFonts w:eastAsia="Calibri"/>
        </w:rPr>
        <w:t xml:space="preserve"> (Convention)</w:t>
      </w:r>
      <w:r w:rsidRPr="005341E6">
        <w:rPr>
          <w:rFonts w:eastAsia="Calibri"/>
        </w:rPr>
        <w:t>.</w:t>
      </w:r>
      <w:r w:rsidRPr="005341E6">
        <w:t xml:space="preserve"> </w:t>
      </w:r>
      <w:r w:rsidRPr="005341E6">
        <w:rPr>
          <w:rFonts w:eastAsia="Calibri"/>
        </w:rPr>
        <w:t xml:space="preserve">The Convention refers to the best interests of the child being the primary consideration when </w:t>
      </w:r>
      <w:r w:rsidR="00E47596" w:rsidRPr="005341E6">
        <w:rPr>
          <w:rFonts w:eastAsia="Calibri"/>
        </w:rPr>
        <w:t xml:space="preserve">the </w:t>
      </w:r>
      <w:r w:rsidRPr="005341E6">
        <w:rPr>
          <w:rFonts w:eastAsia="Calibri"/>
        </w:rPr>
        <w:t>government intervenes in family life and to the government respecting and providing support for the responsibilities, rights and duties of parents, extended family or, where applicable, the community</w:t>
      </w:r>
      <w:r w:rsidR="00D36572" w:rsidRPr="005341E6">
        <w:rPr>
          <w:rFonts w:eastAsia="Calibri"/>
        </w:rPr>
        <w:t>.</w:t>
      </w:r>
      <w:r w:rsidR="00575286" w:rsidRPr="005341E6">
        <w:rPr>
          <w:rStyle w:val="FootnoteReference"/>
          <w:rFonts w:eastAsia="Calibri"/>
          <w:bCs/>
          <w:sz w:val="22"/>
        </w:rPr>
        <w:footnoteReference w:id="22"/>
      </w:r>
    </w:p>
    <w:p w14:paraId="00788B95" w14:textId="60015558" w:rsidR="00DE7346" w:rsidRPr="005341E6" w:rsidRDefault="00A14AFC" w:rsidP="005341E6">
      <w:pPr>
        <w:pStyle w:val="Style4"/>
        <w:spacing w:before="240" w:after="0"/>
      </w:pPr>
      <w:r w:rsidRPr="005341E6">
        <w:rPr>
          <w:rFonts w:eastAsia="Calibri"/>
        </w:rPr>
        <w:t xml:space="preserve">The inclusion of the best interest principles in the legislation serves as a recognition that vulnerable children involved with </w:t>
      </w:r>
      <w:r w:rsidR="00C56B93" w:rsidRPr="005341E6">
        <w:rPr>
          <w:rFonts w:eastAsia="Calibri"/>
        </w:rPr>
        <w:t>c</w:t>
      </w:r>
      <w:r w:rsidRPr="005341E6">
        <w:rPr>
          <w:rFonts w:eastAsia="Calibri"/>
        </w:rPr>
        <w:t xml:space="preserve">hild </w:t>
      </w:r>
      <w:r w:rsidR="00C56B93" w:rsidRPr="005341E6">
        <w:rPr>
          <w:rFonts w:eastAsia="Calibri"/>
        </w:rPr>
        <w:t>p</w:t>
      </w:r>
      <w:r w:rsidRPr="005341E6">
        <w:rPr>
          <w:rFonts w:eastAsia="Calibri"/>
        </w:rPr>
        <w:t>rotection, like all children, have a right to grow up safe from harm, to have a relationship with their parents and family members</w:t>
      </w:r>
      <w:r w:rsidR="00575286" w:rsidRPr="005341E6">
        <w:rPr>
          <w:rFonts w:eastAsia="Calibri"/>
        </w:rPr>
        <w:t>, to grow up connected to their culture,</w:t>
      </w:r>
      <w:r w:rsidRPr="005341E6">
        <w:rPr>
          <w:rFonts w:eastAsia="Calibri"/>
        </w:rPr>
        <w:t xml:space="preserve"> and to have their wishes and perspectives heard and considered in any decision or service intervention</w:t>
      </w:r>
      <w:r w:rsidR="00D36572" w:rsidRPr="005341E6">
        <w:rPr>
          <w:rFonts w:eastAsia="Calibri"/>
        </w:rPr>
        <w:t>.</w:t>
      </w:r>
      <w:r w:rsidR="004C7229" w:rsidRPr="005341E6">
        <w:rPr>
          <w:rStyle w:val="FootnoteReference"/>
          <w:rFonts w:eastAsia="Calibri"/>
          <w:bCs/>
          <w:sz w:val="22"/>
        </w:rPr>
        <w:footnoteReference w:id="23"/>
      </w:r>
    </w:p>
    <w:p w14:paraId="2EE05B16" w14:textId="152B4C1C" w:rsidR="00C22F32" w:rsidRPr="005341E6" w:rsidRDefault="00DA2CBA" w:rsidP="005341E6">
      <w:pPr>
        <w:pStyle w:val="Style4"/>
        <w:spacing w:before="240" w:after="0"/>
        <w:rPr>
          <w:rFonts w:eastAsia="Calibri"/>
        </w:rPr>
      </w:pPr>
      <w:r w:rsidRPr="005341E6">
        <w:rPr>
          <w:rFonts w:eastAsia="Calibri"/>
        </w:rPr>
        <w:lastRenderedPageBreak/>
        <w:t xml:space="preserve">Section 8 </w:t>
      </w:r>
      <w:r w:rsidR="004C7229" w:rsidRPr="005341E6">
        <w:rPr>
          <w:rFonts w:eastAsia="Calibri"/>
        </w:rPr>
        <w:t>states</w:t>
      </w:r>
      <w:r w:rsidRPr="005341E6">
        <w:rPr>
          <w:rFonts w:eastAsia="Calibri"/>
        </w:rPr>
        <w:t xml:space="preserve"> that the </w:t>
      </w:r>
      <w:r w:rsidR="004C7229" w:rsidRPr="005341E6">
        <w:rPr>
          <w:rFonts w:eastAsia="Calibri"/>
        </w:rPr>
        <w:t>b</w:t>
      </w:r>
      <w:r w:rsidRPr="005341E6">
        <w:rPr>
          <w:rFonts w:eastAsia="Calibri"/>
        </w:rPr>
        <w:t xml:space="preserve">est </w:t>
      </w:r>
      <w:r w:rsidR="004C7229" w:rsidRPr="005341E6">
        <w:rPr>
          <w:rFonts w:eastAsia="Calibri"/>
        </w:rPr>
        <w:t>i</w:t>
      </w:r>
      <w:r w:rsidRPr="005341E6">
        <w:rPr>
          <w:rFonts w:eastAsia="Calibri"/>
        </w:rPr>
        <w:t>nterest principle must be the paramount consideration in decision-making under the CYPA.</w:t>
      </w:r>
      <w:r w:rsidR="00575286" w:rsidRPr="005341E6">
        <w:rPr>
          <w:rFonts w:eastAsia="Calibri"/>
        </w:rPr>
        <w:t xml:space="preserve"> </w:t>
      </w:r>
      <w:r w:rsidR="00B837E8" w:rsidRPr="005341E6">
        <w:rPr>
          <w:rFonts w:eastAsia="Calibri"/>
        </w:rPr>
        <w:t>This means that the Territory, along with all agencies and individuals responsible for providing support and services to children and families</w:t>
      </w:r>
      <w:r w:rsidR="00225171" w:rsidRPr="005341E6">
        <w:rPr>
          <w:rFonts w:eastAsia="Calibri"/>
        </w:rPr>
        <w:t xml:space="preserve"> under the CYPA</w:t>
      </w:r>
      <w:r w:rsidR="00B837E8" w:rsidRPr="005341E6">
        <w:rPr>
          <w:rFonts w:eastAsia="Calibri"/>
        </w:rPr>
        <w:t xml:space="preserve">, must, in accordance with the best interest principles, take action to protect children from harm, safeguard their rights and promote healthy development through age-appropriate means. </w:t>
      </w:r>
    </w:p>
    <w:p w14:paraId="34054DE7" w14:textId="64A41845" w:rsidR="005D7BCB" w:rsidRPr="005341E6" w:rsidRDefault="005D7BCB" w:rsidP="005341E6">
      <w:pPr>
        <w:pStyle w:val="Style4"/>
        <w:spacing w:before="240" w:after="0"/>
        <w:rPr>
          <w:rFonts w:eastAsia="Calibri"/>
        </w:rPr>
      </w:pPr>
      <w:r w:rsidRPr="005341E6">
        <w:rPr>
          <w:rFonts w:eastAsia="Calibri"/>
        </w:rPr>
        <w:t xml:space="preserve">Building upon this foundation, the </w:t>
      </w:r>
      <w:r w:rsidR="004C7229" w:rsidRPr="005341E6">
        <w:rPr>
          <w:rFonts w:eastAsia="Calibri"/>
        </w:rPr>
        <w:t>b</w:t>
      </w:r>
      <w:r w:rsidRPr="005341E6">
        <w:rPr>
          <w:rFonts w:eastAsia="Calibri"/>
        </w:rPr>
        <w:t xml:space="preserve">est </w:t>
      </w:r>
      <w:r w:rsidR="004C7229" w:rsidRPr="005341E6">
        <w:rPr>
          <w:rFonts w:eastAsia="Calibri"/>
        </w:rPr>
        <w:t>i</w:t>
      </w:r>
      <w:r w:rsidRPr="005341E6">
        <w:rPr>
          <w:rFonts w:eastAsia="Calibri"/>
        </w:rPr>
        <w:t>nterest principles</w:t>
      </w:r>
      <w:r w:rsidR="00DA2CBA" w:rsidRPr="005341E6">
        <w:rPr>
          <w:rFonts w:eastAsia="Calibri"/>
        </w:rPr>
        <w:t xml:space="preserve"> set out </w:t>
      </w:r>
      <w:r w:rsidR="002B3977" w:rsidRPr="005341E6">
        <w:rPr>
          <w:rFonts w:eastAsia="Calibri"/>
        </w:rPr>
        <w:t>in</w:t>
      </w:r>
      <w:r w:rsidR="004B6C63" w:rsidRPr="005341E6">
        <w:rPr>
          <w:rFonts w:eastAsia="Calibri"/>
        </w:rPr>
        <w:t xml:space="preserve"> </w:t>
      </w:r>
      <w:r w:rsidR="00C22F32" w:rsidRPr="005341E6">
        <w:rPr>
          <w:rFonts w:eastAsia="Calibri"/>
        </w:rPr>
        <w:t>s</w:t>
      </w:r>
      <w:r w:rsidR="00DA2CBA" w:rsidRPr="005341E6">
        <w:rPr>
          <w:rFonts w:eastAsia="Calibri"/>
        </w:rPr>
        <w:t>ection 349</w:t>
      </w:r>
      <w:r w:rsidR="00476243" w:rsidRPr="005341E6">
        <w:rPr>
          <w:rFonts w:eastAsia="Calibri"/>
        </w:rPr>
        <w:t>(1) and (2)</w:t>
      </w:r>
      <w:r w:rsidRPr="005341E6">
        <w:rPr>
          <w:rFonts w:eastAsia="Calibri"/>
        </w:rPr>
        <w:t xml:space="preserve"> offer further guidance o</w:t>
      </w:r>
      <w:r w:rsidR="004C7229" w:rsidRPr="005341E6">
        <w:rPr>
          <w:rFonts w:eastAsia="Calibri"/>
        </w:rPr>
        <w:t>n</w:t>
      </w:r>
      <w:r w:rsidRPr="005341E6">
        <w:rPr>
          <w:rFonts w:eastAsia="Calibri"/>
        </w:rPr>
        <w:t xml:space="preserve"> considerations to achieve the objectives</w:t>
      </w:r>
      <w:r w:rsidR="00225171" w:rsidRPr="005341E6">
        <w:rPr>
          <w:rFonts w:eastAsia="Calibri"/>
        </w:rPr>
        <w:t xml:space="preserve"> for this vulnerable cohort</w:t>
      </w:r>
      <w:r w:rsidRPr="005341E6">
        <w:rPr>
          <w:rFonts w:eastAsia="Calibri"/>
        </w:rPr>
        <w:t xml:space="preserve"> outlined in the Next Steps for our Kids 2022-2030: ACT Strategy to Strengthen Families and Keep Children and Young People Safe (Next Steps)</w:t>
      </w:r>
      <w:r w:rsidR="00D36572" w:rsidRPr="005341E6">
        <w:rPr>
          <w:rFonts w:eastAsia="Calibri"/>
        </w:rPr>
        <w:t>.</w:t>
      </w:r>
      <w:r w:rsidR="004C7229" w:rsidRPr="005341E6">
        <w:rPr>
          <w:rStyle w:val="FootnoteReference"/>
          <w:rFonts w:eastAsia="Calibri"/>
          <w:bCs/>
          <w:sz w:val="22"/>
        </w:rPr>
        <w:footnoteReference w:id="24"/>
      </w:r>
    </w:p>
    <w:p w14:paraId="2366AACD" w14:textId="209CE811" w:rsidR="00476243" w:rsidRPr="005341E6" w:rsidRDefault="00476243" w:rsidP="005341E6">
      <w:pPr>
        <w:pStyle w:val="Style4"/>
        <w:spacing w:before="240" w:after="0"/>
        <w:rPr>
          <w:rFonts w:eastAsia="Calibri"/>
        </w:rPr>
      </w:pPr>
      <w:r w:rsidRPr="005341E6">
        <w:rPr>
          <w:rFonts w:eastAsia="Calibri"/>
        </w:rPr>
        <w:t>The best interest considerations set out in section 349 are non-hierarchical and allows all matters to be taken into consideration and balanced in light of each situation. For each child, particular matters will be more relevant than others in arriving at a best interests assessment.  As a child develops, their preferences, needs and circumstances evolve, requiring a flexible approach to assessing what serves them best.</w:t>
      </w:r>
    </w:p>
    <w:p w14:paraId="3D31479D" w14:textId="26915C2A" w:rsidR="0045633A" w:rsidRPr="005341E6" w:rsidRDefault="0045633A" w:rsidP="005341E6">
      <w:pPr>
        <w:pStyle w:val="Style4"/>
        <w:spacing w:before="240" w:after="0"/>
        <w:rPr>
          <w:rFonts w:eastAsia="Calibri"/>
        </w:rPr>
      </w:pPr>
      <w:r w:rsidRPr="005341E6">
        <w:rPr>
          <w:rFonts w:eastAsia="Calibri"/>
        </w:rPr>
        <w:t>New s</w:t>
      </w:r>
      <w:r w:rsidR="00004158" w:rsidRPr="005341E6">
        <w:rPr>
          <w:rFonts w:eastAsia="Calibri"/>
        </w:rPr>
        <w:t xml:space="preserve">ection 349(1) </w:t>
      </w:r>
      <w:r w:rsidR="00B837E8" w:rsidRPr="005341E6">
        <w:rPr>
          <w:rFonts w:eastAsia="Calibri"/>
        </w:rPr>
        <w:t xml:space="preserve">of the Bill </w:t>
      </w:r>
      <w:r w:rsidR="00004158" w:rsidRPr="005341E6">
        <w:rPr>
          <w:rFonts w:eastAsia="Calibri"/>
        </w:rPr>
        <w:t xml:space="preserve">specifies that </w:t>
      </w:r>
      <w:r w:rsidR="00D122B3">
        <w:rPr>
          <w:rFonts w:eastAsia="Calibri"/>
        </w:rPr>
        <w:t>“</w:t>
      </w:r>
      <w:r w:rsidR="00004158" w:rsidRPr="005341E6">
        <w:rPr>
          <w:rFonts w:eastAsia="Calibri"/>
        </w:rPr>
        <w:t>in deciding what is in the best interests of a child or young person, the need to ensure the child or young person is not at risk of significant harm must always be considered</w:t>
      </w:r>
      <w:r w:rsidR="00D122B3">
        <w:rPr>
          <w:rFonts w:eastAsia="Calibri"/>
        </w:rPr>
        <w:t>”</w:t>
      </w:r>
      <w:r w:rsidR="004B6C63" w:rsidRPr="005341E6">
        <w:rPr>
          <w:rFonts w:eastAsia="Calibri"/>
        </w:rPr>
        <w:t>.</w:t>
      </w:r>
      <w:r w:rsidR="00004158" w:rsidRPr="005341E6">
        <w:rPr>
          <w:rFonts w:eastAsia="Calibri"/>
        </w:rPr>
        <w:t xml:space="preserve"> </w:t>
      </w:r>
      <w:r w:rsidRPr="005341E6">
        <w:rPr>
          <w:rFonts w:eastAsia="Calibri"/>
        </w:rPr>
        <w:t xml:space="preserve">This is intended to make it clear to all users of the CYPA that safety is a fundamental consideration when considering the best interests of the child. </w:t>
      </w:r>
      <w:r w:rsidR="00A029B5" w:rsidRPr="005341E6">
        <w:rPr>
          <w:rFonts w:eastAsia="Calibri"/>
        </w:rPr>
        <w:t>S</w:t>
      </w:r>
      <w:r w:rsidRPr="005341E6">
        <w:rPr>
          <w:rFonts w:eastAsia="Calibri"/>
        </w:rPr>
        <w:t>ignificant harm is defined at proposed section 344.</w:t>
      </w:r>
    </w:p>
    <w:p w14:paraId="616AE8B8" w14:textId="62776B6F" w:rsidR="0045633A" w:rsidRPr="005341E6" w:rsidRDefault="0045633A" w:rsidP="005341E6">
      <w:pPr>
        <w:pStyle w:val="Style4"/>
        <w:spacing w:before="240" w:after="0"/>
        <w:rPr>
          <w:rFonts w:eastAsia="Calibri"/>
        </w:rPr>
      </w:pPr>
      <w:r w:rsidRPr="005341E6">
        <w:rPr>
          <w:rFonts w:eastAsia="Calibri"/>
        </w:rPr>
        <w:t>A key revision to the best interest principles is distinguishing the responsibility between the obligation to ensure the safety of the child or young person and preventing significant harm. By separating out this provision at proposed section 349(1), it places emphasis on the decision-maker to have due regard on a child</w:t>
      </w:r>
      <w:r w:rsidR="00D122B3">
        <w:rPr>
          <w:rFonts w:eastAsia="Calibri"/>
        </w:rPr>
        <w:t>’</w:t>
      </w:r>
      <w:r w:rsidRPr="005341E6">
        <w:rPr>
          <w:rFonts w:eastAsia="Calibri"/>
        </w:rPr>
        <w:t>s risk of significant harm without pre-determining the weight of this consideration.</w:t>
      </w:r>
    </w:p>
    <w:p w14:paraId="1F4B86C2" w14:textId="0DA9E7F6" w:rsidR="0045633A" w:rsidRPr="005341E6" w:rsidRDefault="00004158" w:rsidP="005341E6">
      <w:pPr>
        <w:pStyle w:val="Style4"/>
        <w:spacing w:before="240" w:after="0"/>
        <w:rPr>
          <w:rFonts w:eastAsia="Calibri"/>
        </w:rPr>
      </w:pPr>
      <w:r w:rsidRPr="005341E6">
        <w:rPr>
          <w:rFonts w:eastAsia="Calibri"/>
        </w:rPr>
        <w:t xml:space="preserve">Section 349(2) outlines that the decision-maker must </w:t>
      </w:r>
      <w:r w:rsidR="0045633A" w:rsidRPr="005341E6">
        <w:rPr>
          <w:rFonts w:eastAsia="Calibri"/>
        </w:rPr>
        <w:t xml:space="preserve">also </w:t>
      </w:r>
      <w:r w:rsidRPr="005341E6">
        <w:rPr>
          <w:rFonts w:eastAsia="Calibri"/>
        </w:rPr>
        <w:t>consider</w:t>
      </w:r>
      <w:r w:rsidR="00575286" w:rsidRPr="005341E6">
        <w:rPr>
          <w:rFonts w:eastAsia="Calibri"/>
        </w:rPr>
        <w:t xml:space="preserve"> other</w:t>
      </w:r>
      <w:r w:rsidRPr="005341E6">
        <w:rPr>
          <w:rFonts w:eastAsia="Calibri"/>
        </w:rPr>
        <w:t xml:space="preserve"> factors, as listed, relevant to the child or young person when determining their best interests.</w:t>
      </w:r>
      <w:r w:rsidR="0045633A" w:rsidRPr="005341E6">
        <w:t xml:space="preserve"> </w:t>
      </w:r>
      <w:r w:rsidR="0045633A" w:rsidRPr="005341E6">
        <w:rPr>
          <w:rFonts w:eastAsia="Calibri"/>
        </w:rPr>
        <w:t xml:space="preserve">A key revision here is recognising that for Aboriginal and Torres Strait Islander children and young people, connection to family, community, culture, and </w:t>
      </w:r>
      <w:r w:rsidR="00B06C1C" w:rsidRPr="005341E6">
        <w:rPr>
          <w:rFonts w:eastAsia="Calibri"/>
        </w:rPr>
        <w:t>C</w:t>
      </w:r>
      <w:r w:rsidR="0045633A" w:rsidRPr="005341E6">
        <w:rPr>
          <w:rFonts w:eastAsia="Calibri"/>
        </w:rPr>
        <w:t>ountry, and participation of their family in decisions about their care arrangements is in their best interests (s 349(2)(</w:t>
      </w:r>
      <w:r w:rsidR="00225171" w:rsidRPr="005341E6">
        <w:rPr>
          <w:rFonts w:eastAsia="Calibri"/>
        </w:rPr>
        <w:t>f</w:t>
      </w:r>
      <w:r w:rsidR="0045633A" w:rsidRPr="005341E6">
        <w:rPr>
          <w:rFonts w:eastAsia="Calibri"/>
        </w:rPr>
        <w:t>)</w:t>
      </w:r>
      <w:r w:rsidR="007F77DF" w:rsidRPr="005341E6">
        <w:rPr>
          <w:rFonts w:eastAsia="Calibri"/>
        </w:rPr>
        <w:t>, s10))</w:t>
      </w:r>
      <w:r w:rsidR="0054598C" w:rsidRPr="005341E6">
        <w:rPr>
          <w:rFonts w:eastAsia="Calibri"/>
        </w:rPr>
        <w:t>.</w:t>
      </w:r>
    </w:p>
    <w:p w14:paraId="6167DB45" w14:textId="25F5B4C8" w:rsidR="00004158" w:rsidRPr="005341E6" w:rsidRDefault="00004158" w:rsidP="005341E6">
      <w:pPr>
        <w:pStyle w:val="Style4"/>
        <w:spacing w:before="240" w:after="0"/>
        <w:rPr>
          <w:rFonts w:eastAsia="Calibri"/>
        </w:rPr>
      </w:pPr>
      <w:r w:rsidRPr="005341E6">
        <w:rPr>
          <w:rFonts w:eastAsia="Calibri"/>
        </w:rPr>
        <w:t>Section 349(3) specifies that in the context of the care and protection chapters, the decision-maker has the discretion to consider any additional facts or circumstances they</w:t>
      </w:r>
      <w:r w:rsidR="00C22F32" w:rsidRPr="005341E6">
        <w:rPr>
          <w:rFonts w:eastAsia="Calibri"/>
        </w:rPr>
        <w:t xml:space="preserve"> consider</w:t>
      </w:r>
      <w:r w:rsidRPr="005341E6">
        <w:rPr>
          <w:rFonts w:eastAsia="Calibri"/>
        </w:rPr>
        <w:t xml:space="preserve"> relevant when assessing the child</w:t>
      </w:r>
      <w:r w:rsidR="00D122B3">
        <w:rPr>
          <w:rFonts w:eastAsia="Calibri"/>
        </w:rPr>
        <w:t>’</w:t>
      </w:r>
      <w:r w:rsidRPr="005341E6">
        <w:rPr>
          <w:rFonts w:eastAsia="Calibri"/>
        </w:rPr>
        <w:t xml:space="preserve">s best interests. This implies that the scope of what constitutes the best interest of the child is not intended to be limited by the parameters set </w:t>
      </w:r>
      <w:r w:rsidR="00422BE9" w:rsidRPr="005341E6">
        <w:rPr>
          <w:rFonts w:eastAsia="Calibri"/>
        </w:rPr>
        <w:t>out</w:t>
      </w:r>
      <w:r w:rsidRPr="005341E6">
        <w:rPr>
          <w:rFonts w:eastAsia="Calibri"/>
        </w:rPr>
        <w:t xml:space="preserve"> in </w:t>
      </w:r>
      <w:r w:rsidR="00422BE9" w:rsidRPr="005341E6">
        <w:rPr>
          <w:rFonts w:eastAsia="Calibri"/>
        </w:rPr>
        <w:t>s</w:t>
      </w:r>
      <w:r w:rsidRPr="005341E6">
        <w:rPr>
          <w:rFonts w:eastAsia="Calibri"/>
        </w:rPr>
        <w:t>ection 349(1) and 349(2).</w:t>
      </w:r>
    </w:p>
    <w:p w14:paraId="128F96D5" w14:textId="77777777" w:rsidR="0045633A" w:rsidRPr="005341E6" w:rsidRDefault="00A96711" w:rsidP="005341E6">
      <w:pPr>
        <w:pStyle w:val="Style4"/>
        <w:spacing w:before="240" w:after="0"/>
        <w:rPr>
          <w:rFonts w:eastAsia="Calibri"/>
        </w:rPr>
      </w:pPr>
      <w:r w:rsidRPr="005341E6">
        <w:rPr>
          <w:rFonts w:eastAsia="Calibri"/>
        </w:rPr>
        <w:t xml:space="preserve">Safeguarding the safety of children and young people forms a fundamental and indispensable aspect of a child protection system that operates in the best interests of every child. In this regard, child protection decision-making differs from decision-making in other contexts where safety may not always be a prominent concern. </w:t>
      </w:r>
    </w:p>
    <w:p w14:paraId="7EF2D802" w14:textId="14C6C149" w:rsidR="00B23D0C" w:rsidRPr="005341E6" w:rsidRDefault="00E47596" w:rsidP="005341E6">
      <w:pPr>
        <w:pStyle w:val="Style4"/>
        <w:spacing w:before="240" w:after="0"/>
        <w:rPr>
          <w:rFonts w:eastAsia="Calibri"/>
        </w:rPr>
      </w:pPr>
      <w:r w:rsidRPr="005341E6">
        <w:rPr>
          <w:rFonts w:eastAsia="Calibri"/>
        </w:rPr>
        <w:lastRenderedPageBreak/>
        <w:t xml:space="preserve">Protecting </w:t>
      </w:r>
      <w:r w:rsidR="00A96711" w:rsidRPr="005341E6">
        <w:rPr>
          <w:rFonts w:eastAsia="Calibri"/>
        </w:rPr>
        <w:t>the child from harm must remain central to any child protection assessment of the child</w:t>
      </w:r>
      <w:r w:rsidR="00D122B3">
        <w:rPr>
          <w:rFonts w:eastAsia="Calibri"/>
        </w:rPr>
        <w:t>’</w:t>
      </w:r>
      <w:r w:rsidR="00A96711" w:rsidRPr="005341E6">
        <w:rPr>
          <w:rFonts w:eastAsia="Calibri"/>
        </w:rPr>
        <w:t xml:space="preserve">s best interests. </w:t>
      </w:r>
      <w:r w:rsidR="00152FEC" w:rsidRPr="005341E6">
        <w:rPr>
          <w:rFonts w:eastAsia="Calibri"/>
        </w:rPr>
        <w:t>However, the best interest provision for considering a child</w:t>
      </w:r>
      <w:r w:rsidR="00D122B3">
        <w:rPr>
          <w:rFonts w:eastAsia="Calibri"/>
        </w:rPr>
        <w:t>’</w:t>
      </w:r>
      <w:r w:rsidR="00152FEC" w:rsidRPr="005341E6">
        <w:rPr>
          <w:rFonts w:eastAsia="Calibri"/>
        </w:rPr>
        <w:t>s risk of significant harm is not meant to be applied narrowly or in a one-dimensional manner. In line with the Convention, i</w:t>
      </w:r>
      <w:r w:rsidR="00A96711" w:rsidRPr="005341E6">
        <w:rPr>
          <w:rFonts w:eastAsia="Calibri"/>
        </w:rPr>
        <w:t>t must encompass a broader perspective that takes into account various factors contributing to a child</w:t>
      </w:r>
      <w:r w:rsidR="00D122B3">
        <w:rPr>
          <w:rFonts w:eastAsia="Calibri"/>
        </w:rPr>
        <w:t>’</w:t>
      </w:r>
      <w:r w:rsidR="00A96711" w:rsidRPr="005341E6">
        <w:rPr>
          <w:rFonts w:eastAsia="Calibri"/>
        </w:rPr>
        <w:t>s safety, wellbeing and development. This includes an assessment of both immediate safety and the child</w:t>
      </w:r>
      <w:r w:rsidR="00D122B3">
        <w:rPr>
          <w:rFonts w:eastAsia="Calibri"/>
        </w:rPr>
        <w:t>’</w:t>
      </w:r>
      <w:r w:rsidR="00A96711" w:rsidRPr="005341E6">
        <w:rPr>
          <w:rFonts w:eastAsia="Calibri"/>
        </w:rPr>
        <w:t xml:space="preserve">s long-term outcomes. </w:t>
      </w:r>
    </w:p>
    <w:p w14:paraId="4D3C47B2" w14:textId="01C1FA16" w:rsidR="00B23D0C" w:rsidRPr="005341E6" w:rsidRDefault="00A96711" w:rsidP="005341E6">
      <w:pPr>
        <w:pStyle w:val="Style4"/>
        <w:spacing w:before="240" w:after="0"/>
        <w:rPr>
          <w:rFonts w:eastAsia="Calibri"/>
        </w:rPr>
      </w:pPr>
      <w:r w:rsidRPr="005341E6">
        <w:rPr>
          <w:rFonts w:eastAsia="Calibri"/>
        </w:rPr>
        <w:t xml:space="preserve">When conflicts arise, it is the responsibility of the </w:t>
      </w:r>
      <w:r w:rsidR="00152FEC" w:rsidRPr="005341E6">
        <w:rPr>
          <w:rFonts w:eastAsia="Calibri"/>
        </w:rPr>
        <w:t xml:space="preserve">decision-maker </w:t>
      </w:r>
      <w:r w:rsidRPr="005341E6">
        <w:rPr>
          <w:rFonts w:eastAsia="Calibri"/>
        </w:rPr>
        <w:t xml:space="preserve">to carefully evaluate the circumstances of the </w:t>
      </w:r>
      <w:r w:rsidR="00152FEC" w:rsidRPr="005341E6">
        <w:rPr>
          <w:rFonts w:eastAsia="Calibri"/>
        </w:rPr>
        <w:t xml:space="preserve">individual </w:t>
      </w:r>
      <w:r w:rsidRPr="005341E6">
        <w:rPr>
          <w:rFonts w:eastAsia="Calibri"/>
        </w:rPr>
        <w:t xml:space="preserve">case and determine which considerations should take precedence. As such, the </w:t>
      </w:r>
      <w:r w:rsidR="00152FEC" w:rsidRPr="005341E6">
        <w:rPr>
          <w:rFonts w:eastAsia="Calibri"/>
        </w:rPr>
        <w:t xml:space="preserve">decision-maker </w:t>
      </w:r>
      <w:r w:rsidRPr="005341E6">
        <w:rPr>
          <w:rFonts w:eastAsia="Calibri"/>
        </w:rPr>
        <w:t>should always be provided with as much information as possible in relation to what is in a child</w:t>
      </w:r>
      <w:r w:rsidR="00D122B3">
        <w:rPr>
          <w:rFonts w:eastAsia="Calibri"/>
        </w:rPr>
        <w:t>’</w:t>
      </w:r>
      <w:r w:rsidRPr="005341E6">
        <w:rPr>
          <w:rFonts w:eastAsia="Calibri"/>
        </w:rPr>
        <w:t>s best interests to ensure they have sufficient information available to make a decision.</w:t>
      </w:r>
    </w:p>
    <w:p w14:paraId="503BDA29" w14:textId="6DA4AEE3" w:rsidR="0050584C" w:rsidRPr="005341E6" w:rsidRDefault="0050584C" w:rsidP="005341E6">
      <w:pPr>
        <w:pStyle w:val="Style4"/>
        <w:spacing w:before="240" w:after="0"/>
        <w:rPr>
          <w:rFonts w:eastAsia="Calibri" w:cs="Calibri"/>
          <w:bCs/>
        </w:rPr>
      </w:pPr>
      <w:r w:rsidRPr="005341E6">
        <w:rPr>
          <w:rFonts w:eastAsia="Calibri" w:cs="Calibri"/>
          <w:bCs/>
        </w:rPr>
        <w:t xml:space="preserve">Other principles and provisions of the CYPA build upon these </w:t>
      </w:r>
      <w:r w:rsidR="00152FEC" w:rsidRPr="005341E6">
        <w:rPr>
          <w:rFonts w:eastAsia="Calibri" w:cs="Calibri"/>
          <w:bCs/>
        </w:rPr>
        <w:t>b</w:t>
      </w:r>
      <w:r w:rsidRPr="005341E6">
        <w:rPr>
          <w:rFonts w:eastAsia="Calibri" w:cs="Calibri"/>
          <w:bCs/>
        </w:rPr>
        <w:t xml:space="preserve">est </w:t>
      </w:r>
      <w:r w:rsidR="00152FEC" w:rsidRPr="005341E6">
        <w:rPr>
          <w:rFonts w:eastAsia="Calibri" w:cs="Calibri"/>
          <w:bCs/>
        </w:rPr>
        <w:t>i</w:t>
      </w:r>
      <w:r w:rsidRPr="005341E6">
        <w:rPr>
          <w:rFonts w:eastAsia="Calibri" w:cs="Calibri"/>
          <w:bCs/>
        </w:rPr>
        <w:t xml:space="preserve">nterest principles to guide the design and development of services for vulnerable children, as well as to provide direction to </w:t>
      </w:r>
      <w:r w:rsidR="00152FEC" w:rsidRPr="005341E6">
        <w:rPr>
          <w:rFonts w:eastAsia="Calibri" w:cs="Calibri"/>
          <w:bCs/>
        </w:rPr>
        <w:t xml:space="preserve">out-of-home care, family support and </w:t>
      </w:r>
      <w:r w:rsidRPr="005341E6">
        <w:rPr>
          <w:rFonts w:eastAsia="Calibri" w:cs="Calibri"/>
          <w:bCs/>
        </w:rPr>
        <w:t xml:space="preserve">child protection service providers in their professional activities. These principles and provisions are found in various sections within the Act, including </w:t>
      </w:r>
      <w:r w:rsidR="00422BE9" w:rsidRPr="005341E6">
        <w:rPr>
          <w:rFonts w:eastAsia="Calibri" w:cs="Calibri"/>
          <w:bCs/>
        </w:rPr>
        <w:t>s</w:t>
      </w:r>
      <w:r w:rsidRPr="005341E6">
        <w:rPr>
          <w:rFonts w:eastAsia="Calibri" w:cs="Calibri"/>
          <w:bCs/>
        </w:rPr>
        <w:t xml:space="preserve">ection 7 </w:t>
      </w:r>
      <w:r w:rsidR="003565CC" w:rsidRPr="005341E6">
        <w:rPr>
          <w:rFonts w:eastAsia="Calibri" w:cs="Calibri"/>
          <w:bCs/>
        </w:rPr>
        <w:t>[</w:t>
      </w:r>
      <w:r w:rsidRPr="005341E6">
        <w:rPr>
          <w:rFonts w:eastAsia="Calibri" w:cs="Calibri"/>
          <w:bCs/>
        </w:rPr>
        <w:t>Main object</w:t>
      </w:r>
      <w:r w:rsidR="00DB0438" w:rsidRPr="005341E6">
        <w:rPr>
          <w:rFonts w:eastAsia="Calibri" w:cs="Calibri"/>
          <w:bCs/>
        </w:rPr>
        <w:t>s</w:t>
      </w:r>
      <w:r w:rsidRPr="005341E6">
        <w:rPr>
          <w:rFonts w:eastAsia="Calibri" w:cs="Calibri"/>
          <w:bCs/>
        </w:rPr>
        <w:t xml:space="preserve"> of Act</w:t>
      </w:r>
      <w:r w:rsidR="003565CC" w:rsidRPr="005341E6">
        <w:rPr>
          <w:rFonts w:eastAsia="Calibri" w:cs="Calibri"/>
          <w:bCs/>
        </w:rPr>
        <w:t>]</w:t>
      </w:r>
      <w:r w:rsidRPr="005341E6">
        <w:rPr>
          <w:rFonts w:eastAsia="Calibri" w:cs="Calibri"/>
          <w:bCs/>
        </w:rPr>
        <w:t xml:space="preserve">, </w:t>
      </w:r>
      <w:r w:rsidR="00422BE9" w:rsidRPr="005341E6">
        <w:rPr>
          <w:rFonts w:eastAsia="Calibri" w:cs="Calibri"/>
          <w:bCs/>
        </w:rPr>
        <w:t>s</w:t>
      </w:r>
      <w:r w:rsidRPr="005341E6">
        <w:rPr>
          <w:rFonts w:eastAsia="Calibri" w:cs="Calibri"/>
          <w:bCs/>
        </w:rPr>
        <w:t xml:space="preserve">ection 9 </w:t>
      </w:r>
      <w:r w:rsidR="003565CC" w:rsidRPr="005341E6">
        <w:rPr>
          <w:rFonts w:eastAsia="Calibri" w:cs="Calibri"/>
          <w:bCs/>
        </w:rPr>
        <w:t>[</w:t>
      </w:r>
      <w:r w:rsidRPr="005341E6">
        <w:rPr>
          <w:rFonts w:eastAsia="Calibri" w:cs="Calibri"/>
          <w:bCs/>
        </w:rPr>
        <w:t>Principles applying to the Act</w:t>
      </w:r>
      <w:r w:rsidR="00905FAD" w:rsidRPr="005341E6">
        <w:rPr>
          <w:rFonts w:eastAsia="Calibri" w:cs="Calibri"/>
          <w:bCs/>
        </w:rPr>
        <w:t>]</w:t>
      </w:r>
      <w:r w:rsidRPr="005341E6">
        <w:rPr>
          <w:rFonts w:eastAsia="Calibri" w:cs="Calibri"/>
          <w:bCs/>
        </w:rPr>
        <w:t xml:space="preserve">, </w:t>
      </w:r>
      <w:r w:rsidR="00422BE9" w:rsidRPr="005341E6">
        <w:rPr>
          <w:rFonts w:eastAsia="Calibri" w:cs="Calibri"/>
          <w:bCs/>
        </w:rPr>
        <w:t>s</w:t>
      </w:r>
      <w:r w:rsidRPr="005341E6">
        <w:rPr>
          <w:rFonts w:eastAsia="Calibri" w:cs="Calibri"/>
          <w:bCs/>
        </w:rPr>
        <w:t xml:space="preserve">ection 350 </w:t>
      </w:r>
      <w:r w:rsidR="00905FAD" w:rsidRPr="005341E6">
        <w:rPr>
          <w:rFonts w:eastAsia="Calibri" w:cs="Calibri"/>
          <w:bCs/>
        </w:rPr>
        <w:t>[</w:t>
      </w:r>
      <w:r w:rsidRPr="005341E6">
        <w:rPr>
          <w:rFonts w:eastAsia="Calibri" w:cs="Calibri"/>
          <w:bCs/>
        </w:rPr>
        <w:t>Care and protection principles</w:t>
      </w:r>
      <w:r w:rsidR="00905FAD" w:rsidRPr="005341E6">
        <w:rPr>
          <w:rFonts w:eastAsia="Calibri" w:cs="Calibri"/>
          <w:bCs/>
        </w:rPr>
        <w:t>]</w:t>
      </w:r>
      <w:r w:rsidRPr="005341E6">
        <w:rPr>
          <w:rFonts w:eastAsia="Calibri" w:cs="Calibri"/>
          <w:bCs/>
        </w:rPr>
        <w:t xml:space="preserve">, </w:t>
      </w:r>
      <w:r w:rsidR="00422BE9" w:rsidRPr="005341E6">
        <w:rPr>
          <w:rFonts w:eastAsia="Calibri" w:cs="Calibri"/>
          <w:bCs/>
        </w:rPr>
        <w:t>s</w:t>
      </w:r>
      <w:r w:rsidRPr="005341E6">
        <w:rPr>
          <w:rFonts w:eastAsia="Calibri" w:cs="Calibri"/>
          <w:bCs/>
        </w:rPr>
        <w:t xml:space="preserve">ections 10 and 10A </w:t>
      </w:r>
      <w:r w:rsidR="00905FAD" w:rsidRPr="005341E6">
        <w:rPr>
          <w:rFonts w:eastAsia="Calibri" w:cs="Calibri"/>
          <w:bCs/>
        </w:rPr>
        <w:t>[</w:t>
      </w:r>
      <w:r w:rsidRPr="005341E6">
        <w:rPr>
          <w:rFonts w:eastAsia="Calibri" w:cs="Calibri"/>
          <w:bCs/>
        </w:rPr>
        <w:t>Aboriginal and Torres Strait Islander Child Placement Principle</w:t>
      </w:r>
      <w:r w:rsidR="00905FAD" w:rsidRPr="005341E6">
        <w:rPr>
          <w:rFonts w:eastAsia="Calibri" w:cs="Calibri"/>
          <w:bCs/>
        </w:rPr>
        <w:t>]</w:t>
      </w:r>
      <w:r w:rsidRPr="005341E6">
        <w:rPr>
          <w:rFonts w:eastAsia="Calibri" w:cs="Calibri"/>
          <w:bCs/>
        </w:rPr>
        <w:t xml:space="preserve">, </w:t>
      </w:r>
      <w:r w:rsidR="00422BE9" w:rsidRPr="005341E6">
        <w:rPr>
          <w:rFonts w:eastAsia="Calibri" w:cs="Calibri"/>
          <w:bCs/>
        </w:rPr>
        <w:t>s</w:t>
      </w:r>
      <w:r w:rsidRPr="005341E6">
        <w:rPr>
          <w:rFonts w:eastAsia="Calibri" w:cs="Calibri"/>
          <w:bCs/>
        </w:rPr>
        <w:t xml:space="preserve">ection 20 </w:t>
      </w:r>
      <w:r w:rsidR="00905FAD" w:rsidRPr="005341E6">
        <w:rPr>
          <w:rFonts w:eastAsia="Calibri" w:cs="Calibri"/>
          <w:bCs/>
        </w:rPr>
        <w:t>[</w:t>
      </w:r>
      <w:r w:rsidRPr="005341E6">
        <w:rPr>
          <w:rFonts w:eastAsia="Calibri" w:cs="Calibri"/>
          <w:bCs/>
        </w:rPr>
        <w:t>Childcare services</w:t>
      </w:r>
      <w:r w:rsidR="00905FAD" w:rsidRPr="005341E6">
        <w:rPr>
          <w:rFonts w:eastAsia="Calibri" w:cs="Calibri"/>
          <w:bCs/>
        </w:rPr>
        <w:t>]</w:t>
      </w:r>
      <w:r w:rsidRPr="005341E6">
        <w:rPr>
          <w:rFonts w:eastAsia="Calibri" w:cs="Calibri"/>
          <w:bCs/>
        </w:rPr>
        <w:t xml:space="preserve"> and </w:t>
      </w:r>
      <w:r w:rsidR="00422BE9" w:rsidRPr="005341E6">
        <w:rPr>
          <w:rFonts w:eastAsia="Calibri" w:cs="Calibri"/>
          <w:bCs/>
        </w:rPr>
        <w:t>s</w:t>
      </w:r>
      <w:r w:rsidRPr="005341E6">
        <w:rPr>
          <w:rFonts w:eastAsia="Calibri" w:cs="Calibri"/>
          <w:bCs/>
        </w:rPr>
        <w:t xml:space="preserve">ection 94 </w:t>
      </w:r>
      <w:r w:rsidR="00905FAD" w:rsidRPr="005341E6">
        <w:rPr>
          <w:rFonts w:eastAsia="Calibri" w:cs="Calibri"/>
          <w:bCs/>
        </w:rPr>
        <w:t>[</w:t>
      </w:r>
      <w:r w:rsidRPr="005341E6">
        <w:rPr>
          <w:rFonts w:eastAsia="Calibri" w:cs="Calibri"/>
          <w:bCs/>
        </w:rPr>
        <w:t>Youth justice principles</w:t>
      </w:r>
      <w:r w:rsidR="00905FAD" w:rsidRPr="005341E6">
        <w:rPr>
          <w:rFonts w:eastAsia="Calibri" w:cs="Calibri"/>
          <w:bCs/>
        </w:rPr>
        <w:t>]</w:t>
      </w:r>
      <w:r w:rsidRPr="005341E6">
        <w:rPr>
          <w:rFonts w:eastAsia="Calibri" w:cs="Calibri"/>
          <w:bCs/>
        </w:rPr>
        <w:t>.</w:t>
      </w:r>
      <w:r w:rsidR="00D122B3">
        <w:rPr>
          <w:rFonts w:eastAsia="Calibri" w:cs="Calibri"/>
          <w:bCs/>
        </w:rPr>
        <w:t>’</w:t>
      </w:r>
    </w:p>
    <w:p w14:paraId="0C804BE7" w14:textId="2A5F592D" w:rsidR="00450873" w:rsidRPr="00921187" w:rsidRDefault="00450873" w:rsidP="005341E6">
      <w:pPr>
        <w:spacing w:before="240" w:after="0"/>
        <w:rPr>
          <w:rFonts w:eastAsia="Calibri" w:cs="Calibri"/>
          <w:bCs/>
          <w:sz w:val="24"/>
          <w:szCs w:val="24"/>
        </w:rPr>
      </w:pPr>
      <w:r>
        <w:rPr>
          <w:rFonts w:eastAsia="Calibri" w:cs="Calibri"/>
          <w:b/>
          <w:bCs/>
          <w:sz w:val="28"/>
          <w:szCs w:val="28"/>
        </w:rPr>
        <w:t>C</w:t>
      </w:r>
      <w:r w:rsidRPr="00D25292">
        <w:rPr>
          <w:rFonts w:eastAsia="Calibri" w:cs="Calibri"/>
          <w:b/>
          <w:bCs/>
          <w:sz w:val="28"/>
          <w:szCs w:val="28"/>
        </w:rPr>
        <w:t xml:space="preserve">hapter 11 </w:t>
      </w:r>
      <w:bookmarkStart w:id="12" w:name="_Hlk146625969"/>
      <w:r w:rsidRPr="00D25292">
        <w:rPr>
          <w:rFonts w:eastAsia="Calibri" w:cs="Calibri"/>
          <w:b/>
          <w:bCs/>
          <w:sz w:val="28"/>
          <w:szCs w:val="28"/>
        </w:rPr>
        <w:t>Care and Protection—reporting and assessing risk of significant harm</w:t>
      </w:r>
      <w:bookmarkEnd w:id="12"/>
    </w:p>
    <w:p w14:paraId="016862DC" w14:textId="1CA5415B" w:rsidR="00B23D0C" w:rsidRPr="00121A21" w:rsidRDefault="00450873" w:rsidP="005341E6">
      <w:pPr>
        <w:pStyle w:val="Heading1"/>
        <w:spacing w:before="240" w:after="0"/>
        <w:rPr>
          <w:rFonts w:eastAsia="Calibri"/>
        </w:rPr>
      </w:pPr>
      <w:r w:rsidRPr="00121A21">
        <w:rPr>
          <w:rFonts w:eastAsia="Calibri"/>
        </w:rPr>
        <w:t>Section 353: Definition of child concern report</w:t>
      </w:r>
    </w:p>
    <w:p w14:paraId="4D7F41C2" w14:textId="101484F1" w:rsidR="002C3D26" w:rsidRPr="00121A21" w:rsidRDefault="009F5AB1" w:rsidP="005341E6">
      <w:pPr>
        <w:pStyle w:val="Style4"/>
        <w:spacing w:before="240" w:after="0"/>
        <w:rPr>
          <w:rFonts w:eastAsia="Calibri"/>
        </w:rPr>
      </w:pPr>
      <w:r w:rsidRPr="00121A21">
        <w:rPr>
          <w:rFonts w:eastAsia="Calibri"/>
        </w:rPr>
        <w:t xml:space="preserve">Clause </w:t>
      </w:r>
      <w:r w:rsidR="00D52D87" w:rsidRPr="00121A21">
        <w:rPr>
          <w:rFonts w:eastAsia="Calibri"/>
        </w:rPr>
        <w:t>33</w:t>
      </w:r>
      <w:r w:rsidRPr="00121A21">
        <w:rPr>
          <w:rFonts w:eastAsia="Calibri"/>
        </w:rPr>
        <w:t xml:space="preserve"> amends section</w:t>
      </w:r>
      <w:r w:rsidR="00450873" w:rsidRPr="00121A21">
        <w:rPr>
          <w:rFonts w:eastAsia="Calibri"/>
        </w:rPr>
        <w:t xml:space="preserve"> 353</w:t>
      </w:r>
      <w:r w:rsidR="007C2B40">
        <w:rPr>
          <w:rFonts w:eastAsia="Calibri"/>
        </w:rPr>
        <w:t>,</w:t>
      </w:r>
      <w:r w:rsidR="00450873" w:rsidRPr="00121A21">
        <w:rPr>
          <w:rFonts w:eastAsia="Calibri"/>
        </w:rPr>
        <w:t xml:space="preserve"> </w:t>
      </w:r>
      <w:r w:rsidR="00D52D87" w:rsidRPr="00121A21">
        <w:rPr>
          <w:rFonts w:eastAsia="Calibri"/>
        </w:rPr>
        <w:t>which currently provides for the definition of</w:t>
      </w:r>
      <w:r w:rsidR="005E0A0B">
        <w:rPr>
          <w:rFonts w:eastAsia="Calibri"/>
        </w:rPr>
        <w:t xml:space="preserve"> a</w:t>
      </w:r>
      <w:r w:rsidR="00D52D87" w:rsidRPr="00121A21">
        <w:rPr>
          <w:rFonts w:eastAsia="Calibri"/>
        </w:rPr>
        <w:t xml:space="preserve"> child concern report. A </w:t>
      </w:r>
      <w:r w:rsidR="00450873" w:rsidRPr="00121A21">
        <w:rPr>
          <w:rFonts w:eastAsia="Calibri"/>
        </w:rPr>
        <w:t xml:space="preserve">child concern report </w:t>
      </w:r>
      <w:r w:rsidR="00D52D87" w:rsidRPr="00121A21">
        <w:rPr>
          <w:rFonts w:eastAsia="Calibri"/>
        </w:rPr>
        <w:t xml:space="preserve">will be </w:t>
      </w:r>
      <w:r w:rsidR="00450873" w:rsidRPr="00121A21">
        <w:rPr>
          <w:rFonts w:eastAsia="Calibri"/>
        </w:rPr>
        <w:t>substitut</w:t>
      </w:r>
      <w:r w:rsidR="00D52D87" w:rsidRPr="00121A21">
        <w:rPr>
          <w:rFonts w:eastAsia="Calibri"/>
        </w:rPr>
        <w:t>ed</w:t>
      </w:r>
      <w:r w:rsidR="00B815EB">
        <w:rPr>
          <w:rFonts w:eastAsia="Calibri"/>
        </w:rPr>
        <w:t xml:space="preserve"> by a</w:t>
      </w:r>
      <w:r w:rsidR="00450873" w:rsidRPr="00121A21">
        <w:rPr>
          <w:rFonts w:eastAsia="Calibri"/>
        </w:rPr>
        <w:t xml:space="preserve"> voluntary or mandatory report.</w:t>
      </w:r>
      <w:r w:rsidR="00804144" w:rsidRPr="00121A21">
        <w:rPr>
          <w:rFonts w:eastAsia="Calibri"/>
        </w:rPr>
        <w:t xml:space="preserve"> This is a consequential amendment to the removal of the two-stage risk assessment</w:t>
      </w:r>
      <w:r w:rsidR="005E0A0B">
        <w:rPr>
          <w:rFonts w:eastAsia="Calibri"/>
        </w:rPr>
        <w:t xml:space="preserve"> in</w:t>
      </w:r>
      <w:r w:rsidR="00804144" w:rsidRPr="00121A21">
        <w:rPr>
          <w:rFonts w:eastAsia="Calibri"/>
        </w:rPr>
        <w:t xml:space="preserve"> </w:t>
      </w:r>
      <w:r w:rsidR="007C2B40">
        <w:rPr>
          <w:rFonts w:eastAsia="Calibri"/>
        </w:rPr>
        <w:t xml:space="preserve">proposed </w:t>
      </w:r>
      <w:r w:rsidR="00804144" w:rsidRPr="00121A21">
        <w:rPr>
          <w:rFonts w:eastAsia="Calibri"/>
        </w:rPr>
        <w:t>section 360</w:t>
      </w:r>
      <w:r w:rsidR="00BF3F3E" w:rsidRPr="00121A21">
        <w:rPr>
          <w:rFonts w:eastAsia="Calibri"/>
        </w:rPr>
        <w:t>.</w:t>
      </w:r>
    </w:p>
    <w:p w14:paraId="51CCEF0D" w14:textId="38C9E05E" w:rsidR="001513DE" w:rsidRPr="00121A21" w:rsidRDefault="001513DE" w:rsidP="005341E6">
      <w:pPr>
        <w:pStyle w:val="Style4"/>
        <w:spacing w:before="240" w:after="0"/>
        <w:rPr>
          <w:rFonts w:eastAsia="Calibri"/>
        </w:rPr>
      </w:pPr>
      <w:r w:rsidRPr="00121A21">
        <w:rPr>
          <w:rFonts w:eastAsia="Calibri" w:cs="Calibri"/>
        </w:rPr>
        <w:t xml:space="preserve">Under the proposed changes to </w:t>
      </w:r>
      <w:r w:rsidR="00422BE9">
        <w:rPr>
          <w:rFonts w:eastAsia="Calibri" w:cs="Calibri"/>
        </w:rPr>
        <w:t>s</w:t>
      </w:r>
      <w:r w:rsidRPr="00121A21">
        <w:rPr>
          <w:rFonts w:eastAsia="Calibri" w:cs="Calibri"/>
        </w:rPr>
        <w:t>ection 360, CYPA will continue to treat voluntary and mandatory reports in the same manner, without differentiation in how they are considered or acted upon</w:t>
      </w:r>
      <w:r w:rsidR="00FD582C">
        <w:rPr>
          <w:rFonts w:eastAsia="Calibri" w:cs="Calibri"/>
        </w:rPr>
        <w:t xml:space="preserve"> by the Territory. </w:t>
      </w:r>
    </w:p>
    <w:p w14:paraId="1F24A9A1" w14:textId="30D7C062" w:rsidR="009F5AB1" w:rsidRPr="00121A21" w:rsidRDefault="009F5AB1" w:rsidP="005341E6">
      <w:pPr>
        <w:pStyle w:val="Heading1"/>
        <w:spacing w:before="240" w:after="0"/>
        <w:rPr>
          <w:rFonts w:eastAsia="Calibri"/>
        </w:rPr>
      </w:pPr>
      <w:r w:rsidRPr="00121A21">
        <w:rPr>
          <w:rFonts w:eastAsia="Calibri"/>
        </w:rPr>
        <w:t>Section</w:t>
      </w:r>
      <w:r w:rsidR="00630B48" w:rsidRPr="00121A21">
        <w:rPr>
          <w:rFonts w:eastAsia="Calibri"/>
        </w:rPr>
        <w:t xml:space="preserve"> 356 heading</w:t>
      </w:r>
    </w:p>
    <w:p w14:paraId="339E76DC" w14:textId="374B3412" w:rsidR="00FD582C" w:rsidRPr="00905FAD" w:rsidRDefault="00630B48" w:rsidP="005341E6">
      <w:pPr>
        <w:pStyle w:val="Style4"/>
        <w:spacing w:before="240" w:after="0"/>
        <w:rPr>
          <w:rFonts w:eastAsia="Calibri"/>
        </w:rPr>
      </w:pPr>
      <w:r w:rsidRPr="00121A21">
        <w:rPr>
          <w:rFonts w:eastAsia="Calibri"/>
        </w:rPr>
        <w:t xml:space="preserve">The proposed change in </w:t>
      </w:r>
      <w:r w:rsidR="00AA181A" w:rsidRPr="00121A21">
        <w:rPr>
          <w:rFonts w:eastAsia="Calibri"/>
        </w:rPr>
        <w:t>c</w:t>
      </w:r>
      <w:r w:rsidRPr="00121A21">
        <w:rPr>
          <w:rFonts w:eastAsia="Calibri"/>
        </w:rPr>
        <w:t xml:space="preserve">lause 34 is to replace the term </w:t>
      </w:r>
      <w:r w:rsidR="00D122B3">
        <w:rPr>
          <w:rFonts w:eastAsia="Calibri"/>
        </w:rPr>
        <w:t>“</w:t>
      </w:r>
      <w:r w:rsidRPr="00121A21">
        <w:rPr>
          <w:rFonts w:eastAsia="Calibri"/>
        </w:rPr>
        <w:t>abuse</w:t>
      </w:r>
      <w:r w:rsidR="00D122B3">
        <w:rPr>
          <w:rFonts w:eastAsia="Calibri"/>
        </w:rPr>
        <w:t>”</w:t>
      </w:r>
      <w:r w:rsidRPr="00121A21">
        <w:rPr>
          <w:rFonts w:eastAsia="Calibri"/>
        </w:rPr>
        <w:t xml:space="preserve"> in the heading of </w:t>
      </w:r>
      <w:r w:rsidR="00422BE9">
        <w:rPr>
          <w:rFonts w:eastAsia="Calibri"/>
        </w:rPr>
        <w:t>s</w:t>
      </w:r>
      <w:r w:rsidRPr="00121A21">
        <w:rPr>
          <w:rFonts w:eastAsia="Calibri"/>
        </w:rPr>
        <w:t xml:space="preserve">ection 356 with the term </w:t>
      </w:r>
      <w:r w:rsidR="00D122B3">
        <w:rPr>
          <w:rFonts w:eastAsia="Calibri"/>
        </w:rPr>
        <w:t>“</w:t>
      </w:r>
      <w:r w:rsidRPr="00121A21">
        <w:rPr>
          <w:rFonts w:eastAsia="Calibri"/>
        </w:rPr>
        <w:t>significant harm</w:t>
      </w:r>
      <w:r w:rsidR="00D122B3">
        <w:rPr>
          <w:rFonts w:eastAsia="Calibri"/>
        </w:rPr>
        <w:t>”</w:t>
      </w:r>
      <w:r w:rsidRPr="00121A21">
        <w:rPr>
          <w:rFonts w:eastAsia="Calibri"/>
        </w:rPr>
        <w:t xml:space="preserve">. This change in the header is consistent with the alteration in the assessment threshold for </w:t>
      </w:r>
      <w:r w:rsidR="00D122B3">
        <w:rPr>
          <w:rFonts w:eastAsia="Calibri"/>
        </w:rPr>
        <w:t>“</w:t>
      </w:r>
      <w:r w:rsidRPr="00121A21">
        <w:rPr>
          <w:rFonts w:eastAsia="Calibri"/>
        </w:rPr>
        <w:t>significant harm</w:t>
      </w:r>
      <w:r w:rsidR="00D122B3">
        <w:rPr>
          <w:rFonts w:eastAsia="Calibri"/>
        </w:rPr>
        <w:t>”</w:t>
      </w:r>
      <w:r w:rsidRPr="00121A21">
        <w:rPr>
          <w:rFonts w:eastAsia="Calibri"/>
        </w:rPr>
        <w:t xml:space="preserve"> in </w:t>
      </w:r>
      <w:r w:rsidR="00422BE9">
        <w:rPr>
          <w:rFonts w:eastAsia="Calibri"/>
        </w:rPr>
        <w:t>s</w:t>
      </w:r>
      <w:r w:rsidRPr="00121A21">
        <w:rPr>
          <w:rFonts w:eastAsia="Calibri"/>
        </w:rPr>
        <w:t>ection 360</w:t>
      </w:r>
      <w:r w:rsidR="0015165C">
        <w:rPr>
          <w:rFonts w:eastAsia="Calibri"/>
        </w:rPr>
        <w:t>.</w:t>
      </w:r>
      <w:r w:rsidR="007C2B40">
        <w:rPr>
          <w:rStyle w:val="FootnoteReference"/>
          <w:rFonts w:eastAsia="Calibri"/>
        </w:rPr>
        <w:footnoteReference w:id="25"/>
      </w:r>
      <w:r w:rsidR="00905FAD">
        <w:t xml:space="preserve"> </w:t>
      </w:r>
      <w:r w:rsidR="00905FAD" w:rsidRPr="00905FAD">
        <w:rPr>
          <w:rFonts w:eastAsia="Calibri"/>
        </w:rPr>
        <w:t>The provisions for mandated reporting remain unchanged.</w:t>
      </w:r>
    </w:p>
    <w:p w14:paraId="45A70DF9" w14:textId="01EDAD80" w:rsidR="00630B48" w:rsidRPr="005341E6" w:rsidRDefault="00630B48" w:rsidP="005341E6">
      <w:pPr>
        <w:spacing w:before="240" w:after="0"/>
        <w:rPr>
          <w:rFonts w:eastAsia="Calibri" w:cs="Calibri"/>
          <w:b/>
          <w:bCs/>
          <w:i/>
          <w:iCs/>
          <w:sz w:val="24"/>
          <w:szCs w:val="24"/>
        </w:rPr>
      </w:pPr>
      <w:r w:rsidRPr="005341E6">
        <w:rPr>
          <w:rFonts w:eastAsia="Calibri" w:cs="Calibri"/>
          <w:b/>
          <w:bCs/>
          <w:i/>
          <w:iCs/>
          <w:sz w:val="24"/>
          <w:szCs w:val="24"/>
        </w:rPr>
        <w:t xml:space="preserve">Mandated </w:t>
      </w:r>
      <w:r w:rsidR="007914B4" w:rsidRPr="005341E6">
        <w:rPr>
          <w:rFonts w:eastAsia="Calibri" w:cs="Calibri"/>
          <w:b/>
          <w:bCs/>
          <w:i/>
          <w:iCs/>
          <w:sz w:val="24"/>
          <w:szCs w:val="24"/>
        </w:rPr>
        <w:t xml:space="preserve">reporters and reporting </w:t>
      </w:r>
    </w:p>
    <w:p w14:paraId="2DE3F68D" w14:textId="3C28EEBC" w:rsidR="00905FAD" w:rsidRDefault="00B25EC4" w:rsidP="005341E6">
      <w:pPr>
        <w:pStyle w:val="Style4"/>
        <w:spacing w:before="240" w:after="0"/>
        <w:rPr>
          <w:rFonts w:eastAsia="Calibri"/>
        </w:rPr>
      </w:pPr>
      <w:r w:rsidRPr="00B25EC4">
        <w:rPr>
          <w:rFonts w:eastAsia="Calibri"/>
        </w:rPr>
        <w:t>Section 356 outlines reporting requirements for mandated reporters, who</w:t>
      </w:r>
      <w:r w:rsidR="00FD582C">
        <w:rPr>
          <w:rFonts w:eastAsia="Calibri"/>
        </w:rPr>
        <w:t xml:space="preserve"> under the CYPA</w:t>
      </w:r>
      <w:r w:rsidRPr="00B25EC4">
        <w:rPr>
          <w:rFonts w:eastAsia="Calibri"/>
        </w:rPr>
        <w:t xml:space="preserve"> have specific responsibilities to report c</w:t>
      </w:r>
      <w:r>
        <w:rPr>
          <w:rFonts w:eastAsia="Calibri"/>
        </w:rPr>
        <w:t xml:space="preserve">oncerns </w:t>
      </w:r>
      <w:r w:rsidRPr="00B25EC4">
        <w:rPr>
          <w:rFonts w:eastAsia="Calibri"/>
        </w:rPr>
        <w:t xml:space="preserve">of sexual abuse or non-accidental physical injury when </w:t>
      </w:r>
      <w:r w:rsidRPr="00B25EC4">
        <w:rPr>
          <w:rFonts w:eastAsia="Calibri"/>
        </w:rPr>
        <w:lastRenderedPageBreak/>
        <w:t>their belief is based on information obtained during the course of their work</w:t>
      </w:r>
      <w:r w:rsidR="005E0A0B">
        <w:rPr>
          <w:rFonts w:eastAsia="Calibri"/>
        </w:rPr>
        <w:t xml:space="preserve"> </w:t>
      </w:r>
      <w:r w:rsidRPr="00B25EC4">
        <w:rPr>
          <w:rFonts w:eastAsia="Calibri"/>
        </w:rPr>
        <w:t>or as a result of it.</w:t>
      </w:r>
      <w:r>
        <w:rPr>
          <w:rFonts w:eastAsia="Calibri"/>
        </w:rPr>
        <w:t xml:space="preserve"> As highlighted</w:t>
      </w:r>
      <w:r w:rsidR="001513DE">
        <w:rPr>
          <w:rFonts w:eastAsia="Calibri"/>
        </w:rPr>
        <w:t>,</w:t>
      </w:r>
      <w:r>
        <w:rPr>
          <w:rFonts w:eastAsia="Calibri"/>
        </w:rPr>
        <w:t xml:space="preserve"> </w:t>
      </w:r>
      <w:r w:rsidR="00905FAD">
        <w:rPr>
          <w:rFonts w:eastAsia="Calibri"/>
        </w:rPr>
        <w:t xml:space="preserve">the </w:t>
      </w:r>
      <w:r w:rsidR="00905FAD" w:rsidRPr="00B25EC4">
        <w:rPr>
          <w:rFonts w:eastAsia="Calibri"/>
        </w:rPr>
        <w:t>provisions outlined</w:t>
      </w:r>
      <w:r w:rsidR="00905FAD">
        <w:rPr>
          <w:rFonts w:eastAsia="Calibri"/>
        </w:rPr>
        <w:t xml:space="preserve"> in s</w:t>
      </w:r>
      <w:r w:rsidR="00905FAD" w:rsidRPr="00905FAD">
        <w:rPr>
          <w:rFonts w:eastAsia="Calibri"/>
        </w:rPr>
        <w:t>ection 356 remains unchanged in this Bill.</w:t>
      </w:r>
    </w:p>
    <w:p w14:paraId="7AF6A1DC" w14:textId="49C227F5" w:rsidR="00263D0C" w:rsidRPr="00647777" w:rsidRDefault="00263D0C" w:rsidP="005341E6">
      <w:pPr>
        <w:pStyle w:val="Heading1"/>
        <w:spacing w:before="240" w:after="0"/>
        <w:rPr>
          <w:rFonts w:eastAsia="Calibri"/>
        </w:rPr>
      </w:pPr>
      <w:bookmarkStart w:id="13" w:name="_Hlk146637629"/>
      <w:bookmarkStart w:id="14" w:name="_Hlk146630802"/>
      <w:r w:rsidRPr="00121A21">
        <w:rPr>
          <w:rFonts w:eastAsia="Calibri"/>
        </w:rPr>
        <w:t>Section 360: Assessing risk of significant harm</w:t>
      </w:r>
    </w:p>
    <w:p w14:paraId="42CBF9BC" w14:textId="717C5C96" w:rsidR="0036449B" w:rsidRPr="005341E6" w:rsidRDefault="000F227C" w:rsidP="005341E6">
      <w:pPr>
        <w:pStyle w:val="Style4"/>
        <w:spacing w:before="240" w:after="0"/>
        <w:rPr>
          <w:rFonts w:eastAsia="Calibri"/>
        </w:rPr>
      </w:pPr>
      <w:r w:rsidRPr="005341E6">
        <w:rPr>
          <w:rFonts w:eastAsia="Calibri"/>
        </w:rPr>
        <w:t xml:space="preserve">The CYPA </w:t>
      </w:r>
      <w:r w:rsidR="007F1ABE" w:rsidRPr="005341E6">
        <w:rPr>
          <w:rFonts w:eastAsia="Calibri"/>
        </w:rPr>
        <w:t xml:space="preserve">outlines </w:t>
      </w:r>
      <w:r w:rsidRPr="005341E6">
        <w:rPr>
          <w:rFonts w:eastAsia="Calibri"/>
        </w:rPr>
        <w:t>a complex, multi-stage process for the assessment of children and young people.</w:t>
      </w:r>
      <w:r w:rsidR="00AA78F4" w:rsidRPr="005341E6">
        <w:rPr>
          <w:rFonts w:eastAsia="Calibri"/>
        </w:rPr>
        <w:t xml:space="preserve"> </w:t>
      </w:r>
    </w:p>
    <w:p w14:paraId="04204F1B" w14:textId="77777777" w:rsidR="00905FAD" w:rsidRPr="005341E6" w:rsidRDefault="00952210" w:rsidP="005341E6">
      <w:pPr>
        <w:pStyle w:val="Style4"/>
        <w:spacing w:before="240" w:after="0"/>
        <w:rPr>
          <w:rFonts w:eastAsia="Calibri"/>
        </w:rPr>
      </w:pPr>
      <w:r w:rsidRPr="005341E6">
        <w:rPr>
          <w:rFonts w:eastAsia="Calibri" w:cs="Calibri"/>
        </w:rPr>
        <w:t>Currently</w:t>
      </w:r>
      <w:r w:rsidR="008430D9" w:rsidRPr="005341E6">
        <w:rPr>
          <w:rFonts w:eastAsia="Calibri" w:cs="Calibri"/>
        </w:rPr>
        <w:t xml:space="preserve"> in the CYPA</w:t>
      </w:r>
      <w:r w:rsidRPr="005341E6">
        <w:rPr>
          <w:rFonts w:eastAsia="Calibri" w:cs="Calibri"/>
        </w:rPr>
        <w:t>, s</w:t>
      </w:r>
      <w:r w:rsidR="00F5223A" w:rsidRPr="005341E6">
        <w:rPr>
          <w:rFonts w:eastAsia="Calibri" w:cs="Calibri"/>
        </w:rPr>
        <w:t>ection 360</w:t>
      </w:r>
      <w:r w:rsidR="0036449B" w:rsidRPr="005341E6">
        <w:rPr>
          <w:rFonts w:eastAsia="Calibri" w:cs="Calibri"/>
        </w:rPr>
        <w:t>(2)</w:t>
      </w:r>
      <w:r w:rsidRPr="005341E6">
        <w:rPr>
          <w:rFonts w:eastAsia="Calibri" w:cs="Calibri"/>
        </w:rPr>
        <w:t xml:space="preserve"> outlines that </w:t>
      </w:r>
      <w:r w:rsidR="00AA78F4" w:rsidRPr="005341E6">
        <w:rPr>
          <w:rFonts w:eastAsia="Calibri" w:cs="Calibri"/>
        </w:rPr>
        <w:t xml:space="preserve">upon receiving a child concern report, </w:t>
      </w:r>
      <w:r w:rsidRPr="005341E6">
        <w:rPr>
          <w:rFonts w:eastAsia="Calibri" w:cs="Calibri"/>
        </w:rPr>
        <w:t>the</w:t>
      </w:r>
      <w:r w:rsidR="00AA78F4" w:rsidRPr="005341E6">
        <w:rPr>
          <w:rFonts w:eastAsia="Calibri" w:cs="Calibri"/>
        </w:rPr>
        <w:t xml:space="preserve"> director-general must </w:t>
      </w:r>
      <w:r w:rsidR="008430D9" w:rsidRPr="005341E6">
        <w:rPr>
          <w:rFonts w:eastAsia="Calibri" w:cs="Calibri"/>
        </w:rPr>
        <w:t xml:space="preserve">(a) </w:t>
      </w:r>
      <w:r w:rsidR="00AA78F4" w:rsidRPr="005341E6">
        <w:rPr>
          <w:rFonts w:eastAsia="Calibri" w:cs="Calibri"/>
        </w:rPr>
        <w:t>consider the report and</w:t>
      </w:r>
      <w:r w:rsidR="008430D9" w:rsidRPr="005341E6">
        <w:rPr>
          <w:rFonts w:eastAsia="Calibri" w:cs="Calibri"/>
        </w:rPr>
        <w:t xml:space="preserve"> (b)</w:t>
      </w:r>
      <w:r w:rsidR="00AA78F4" w:rsidRPr="005341E6">
        <w:rPr>
          <w:rFonts w:eastAsia="Calibri" w:cs="Calibri"/>
        </w:rPr>
        <w:t xml:space="preserve"> carry out </w:t>
      </w:r>
      <w:r w:rsidR="00F52DD3" w:rsidRPr="005341E6">
        <w:rPr>
          <w:rFonts w:eastAsia="Calibri" w:cs="Calibri"/>
        </w:rPr>
        <w:t xml:space="preserve">an </w:t>
      </w:r>
      <w:r w:rsidR="00AA78F4" w:rsidRPr="005341E6">
        <w:rPr>
          <w:rFonts w:eastAsia="Calibri" w:cs="Calibri"/>
        </w:rPr>
        <w:t>assessment of the matters raised in the report to decide if the child or young person may be in need of care and protectio</w:t>
      </w:r>
      <w:r w:rsidR="00F5223A" w:rsidRPr="005341E6">
        <w:rPr>
          <w:rFonts w:eastAsia="Calibri" w:cs="Calibri"/>
        </w:rPr>
        <w:t>n</w:t>
      </w:r>
      <w:r w:rsidR="00AA78F4" w:rsidRPr="005341E6">
        <w:rPr>
          <w:rFonts w:eastAsia="Calibri" w:cs="Calibri"/>
        </w:rPr>
        <w:t>.</w:t>
      </w:r>
      <w:r w:rsidR="008430D9" w:rsidRPr="005341E6">
        <w:rPr>
          <w:rFonts w:eastAsia="Calibri" w:cs="Calibri"/>
        </w:rPr>
        <w:t xml:space="preserve"> </w:t>
      </w:r>
    </w:p>
    <w:p w14:paraId="727DAB9D" w14:textId="6D9BC138" w:rsidR="00905FAD" w:rsidRPr="005341E6" w:rsidRDefault="00905FAD" w:rsidP="005341E6">
      <w:pPr>
        <w:pStyle w:val="Style4"/>
        <w:spacing w:before="240" w:after="0"/>
        <w:rPr>
          <w:rFonts w:eastAsia="Calibri"/>
        </w:rPr>
      </w:pPr>
      <w:r w:rsidRPr="005341E6">
        <w:rPr>
          <w:rFonts w:eastAsia="Calibri"/>
        </w:rPr>
        <w:t>To qualify as a report under the CYPA, the information provided by the reporter must pertain to a belief or suspicion that a child or young person may be in need of care and protection. If, upon review, it can be confirmed that the report was duly considered and that any decision to act or refrain from acting was made in alignment with the report</w:t>
      </w:r>
      <w:r w:rsidR="00D122B3">
        <w:rPr>
          <w:rFonts w:eastAsia="Calibri"/>
        </w:rPr>
        <w:t>’</w:t>
      </w:r>
      <w:r w:rsidRPr="005341E6">
        <w:rPr>
          <w:rFonts w:eastAsia="Calibri"/>
        </w:rPr>
        <w:t>s criteria, then the</w:t>
      </w:r>
      <w:r w:rsidR="00A922ED" w:rsidRPr="005341E6">
        <w:rPr>
          <w:rFonts w:eastAsia="Calibri"/>
        </w:rPr>
        <w:t xml:space="preserve"> above</w:t>
      </w:r>
      <w:r w:rsidRPr="005341E6">
        <w:rPr>
          <w:rFonts w:eastAsia="Calibri"/>
        </w:rPr>
        <w:t xml:space="preserve"> statutory obligation </w:t>
      </w:r>
      <w:r w:rsidR="00A922ED" w:rsidRPr="005341E6">
        <w:rPr>
          <w:rFonts w:eastAsia="Calibri"/>
        </w:rPr>
        <w:t xml:space="preserve">set out at 360(a) and (b) </w:t>
      </w:r>
      <w:r w:rsidRPr="005341E6">
        <w:rPr>
          <w:rFonts w:eastAsia="Calibri"/>
        </w:rPr>
        <w:t>would be considered satisfied.</w:t>
      </w:r>
    </w:p>
    <w:p w14:paraId="2BBA85DB" w14:textId="0052697E" w:rsidR="008430D9" w:rsidRPr="005341E6" w:rsidRDefault="008430D9" w:rsidP="005341E6">
      <w:pPr>
        <w:pStyle w:val="Style4"/>
        <w:spacing w:before="240" w:after="0"/>
        <w:rPr>
          <w:rFonts w:eastAsia="Calibri"/>
        </w:rPr>
      </w:pPr>
      <w:r w:rsidRPr="005341E6">
        <w:rPr>
          <w:rFonts w:eastAsia="Calibri" w:cs="Calibri"/>
        </w:rPr>
        <w:t xml:space="preserve">If the director-general suspects on reasonable grounds that the child or young person may be in need of care and protection, then the director-general </w:t>
      </w:r>
      <w:r w:rsidR="00905FAD" w:rsidRPr="005341E6">
        <w:rPr>
          <w:rFonts w:eastAsia="Calibri" w:cs="Calibri"/>
        </w:rPr>
        <w:t xml:space="preserve">must decide that the </w:t>
      </w:r>
      <w:r w:rsidRPr="005341E6">
        <w:rPr>
          <w:rFonts w:eastAsia="Calibri" w:cs="Calibri"/>
        </w:rPr>
        <w:t xml:space="preserve">child concern report </w:t>
      </w:r>
      <w:r w:rsidR="00905FAD" w:rsidRPr="005341E6">
        <w:rPr>
          <w:rFonts w:eastAsia="Calibri" w:cs="Calibri"/>
        </w:rPr>
        <w:t xml:space="preserve">is a </w:t>
      </w:r>
      <w:r w:rsidRPr="005341E6">
        <w:rPr>
          <w:rFonts w:eastAsia="Calibri" w:cs="Calibri"/>
        </w:rPr>
        <w:t>child protection report</w:t>
      </w:r>
      <w:r w:rsidR="00A922ED" w:rsidRPr="005341E6">
        <w:rPr>
          <w:rFonts w:eastAsia="Calibri" w:cs="Calibri"/>
        </w:rPr>
        <w:t xml:space="preserve"> as set out in 360(5)</w:t>
      </w:r>
      <w:r w:rsidRPr="005341E6">
        <w:rPr>
          <w:rFonts w:eastAsia="Calibri" w:cs="Calibri"/>
        </w:rPr>
        <w:t xml:space="preserve"> </w:t>
      </w:r>
      <w:r w:rsidR="00A922ED" w:rsidRPr="005341E6">
        <w:rPr>
          <w:rFonts w:eastAsia="Calibri" w:cs="Calibri"/>
        </w:rPr>
        <w:t xml:space="preserve">and </w:t>
      </w:r>
      <w:r w:rsidRPr="005341E6">
        <w:rPr>
          <w:rFonts w:eastAsia="Calibri" w:cs="Calibri"/>
        </w:rPr>
        <w:t>undertake further assessment. The requirements of a child protection report are set out in section 361.</w:t>
      </w:r>
    </w:p>
    <w:p w14:paraId="1FC41B86" w14:textId="7727C5F0" w:rsidR="006B3802" w:rsidRPr="005341E6" w:rsidRDefault="00AA78F4" w:rsidP="005341E6">
      <w:pPr>
        <w:pStyle w:val="Style4"/>
        <w:spacing w:before="240" w:after="0"/>
        <w:rPr>
          <w:rFonts w:eastAsia="Calibri"/>
        </w:rPr>
      </w:pPr>
      <w:r w:rsidRPr="005341E6">
        <w:rPr>
          <w:rFonts w:eastAsia="Calibri" w:cs="Calibri"/>
        </w:rPr>
        <w:t xml:space="preserve">The only </w:t>
      </w:r>
      <w:r w:rsidR="00D074AC" w:rsidRPr="005341E6">
        <w:rPr>
          <w:rFonts w:eastAsia="Calibri" w:cs="Calibri"/>
        </w:rPr>
        <w:t xml:space="preserve">substantial </w:t>
      </w:r>
      <w:r w:rsidRPr="005341E6">
        <w:rPr>
          <w:rFonts w:eastAsia="Calibri" w:cs="Calibri"/>
        </w:rPr>
        <w:t xml:space="preserve">difference between the </w:t>
      </w:r>
      <w:r w:rsidR="00BA3D0E" w:rsidRPr="005341E6">
        <w:rPr>
          <w:rFonts w:eastAsia="Calibri" w:cs="Calibri"/>
        </w:rPr>
        <w:t xml:space="preserve">child concern report and child protection report </w:t>
      </w:r>
      <w:r w:rsidRPr="005341E6">
        <w:rPr>
          <w:rFonts w:eastAsia="Calibri" w:cs="Calibri"/>
        </w:rPr>
        <w:t xml:space="preserve">is the </w:t>
      </w:r>
      <w:r w:rsidR="00D074AC" w:rsidRPr="005341E6">
        <w:rPr>
          <w:rFonts w:eastAsia="Calibri" w:cs="Calibri"/>
        </w:rPr>
        <w:t xml:space="preserve">suggested </w:t>
      </w:r>
      <w:r w:rsidRPr="005341E6">
        <w:rPr>
          <w:rFonts w:eastAsia="Calibri" w:cs="Calibri"/>
        </w:rPr>
        <w:t xml:space="preserve">information gathering activities. The range of possible actions available to the director-general in these stages extends from referral to </w:t>
      </w:r>
      <w:r w:rsidR="004F6382" w:rsidRPr="005341E6">
        <w:rPr>
          <w:rFonts w:eastAsia="Calibri" w:cs="Calibri"/>
        </w:rPr>
        <w:t xml:space="preserve">the </w:t>
      </w:r>
      <w:r w:rsidRPr="005341E6">
        <w:rPr>
          <w:rFonts w:eastAsia="Calibri" w:cs="Calibri"/>
        </w:rPr>
        <w:t>police to taking no action. This suggests the legislation was intended to allow the widest possible degree of discretion and flexibility in the assessment process rather than the complex two-stage assessment process that has evolved</w:t>
      </w:r>
    </w:p>
    <w:p w14:paraId="428A5F91" w14:textId="37E87AEF" w:rsidR="00C061E4" w:rsidRPr="005341E6" w:rsidRDefault="005B0509" w:rsidP="005341E6">
      <w:pPr>
        <w:pStyle w:val="Style4"/>
        <w:spacing w:before="240" w:after="0"/>
        <w:rPr>
          <w:rFonts w:eastAsia="Calibri"/>
        </w:rPr>
      </w:pPr>
      <w:r w:rsidRPr="005341E6">
        <w:rPr>
          <w:rFonts w:eastAsia="Calibri" w:cs="Calibri"/>
        </w:rPr>
        <w:t xml:space="preserve">To clarify this complex </w:t>
      </w:r>
      <w:r w:rsidR="008430D9" w:rsidRPr="005341E6">
        <w:rPr>
          <w:rFonts w:eastAsia="Calibri" w:cs="Calibri"/>
        </w:rPr>
        <w:t xml:space="preserve">and repetitive </w:t>
      </w:r>
      <w:r w:rsidRPr="005341E6">
        <w:rPr>
          <w:rFonts w:eastAsia="Calibri" w:cs="Calibri"/>
        </w:rPr>
        <w:t xml:space="preserve">process, </w:t>
      </w:r>
      <w:bookmarkStart w:id="15" w:name="_Hlk147846910"/>
      <w:r w:rsidR="00AA181A" w:rsidRPr="005341E6">
        <w:rPr>
          <w:rFonts w:eastAsia="Calibri" w:cs="Calibri"/>
        </w:rPr>
        <w:t>c</w:t>
      </w:r>
      <w:r w:rsidRPr="005341E6">
        <w:rPr>
          <w:rFonts w:eastAsia="Calibri" w:cs="Calibri"/>
        </w:rPr>
        <w:t>lause 36 proposes to simplify the</w:t>
      </w:r>
      <w:r w:rsidR="00C061E4" w:rsidRPr="005341E6">
        <w:t xml:space="preserve"> </w:t>
      </w:r>
      <w:r w:rsidR="00C061E4" w:rsidRPr="005341E6">
        <w:rPr>
          <w:rFonts w:eastAsia="Calibri" w:cs="Calibri"/>
        </w:rPr>
        <w:t>two-tier hierarchical structure of a child concern report (s 360) and a child protection report (s</w:t>
      </w:r>
      <w:r w:rsidR="00A922ED" w:rsidRPr="005341E6">
        <w:rPr>
          <w:rFonts w:eastAsia="Calibri" w:cs="Calibri"/>
        </w:rPr>
        <w:t xml:space="preserve"> </w:t>
      </w:r>
      <w:r w:rsidR="00C061E4" w:rsidRPr="005341E6">
        <w:rPr>
          <w:rFonts w:eastAsia="Calibri" w:cs="Calibri"/>
        </w:rPr>
        <w:t>36</w:t>
      </w:r>
      <w:r w:rsidR="00B815EB" w:rsidRPr="005341E6">
        <w:rPr>
          <w:rFonts w:eastAsia="Calibri" w:cs="Calibri"/>
        </w:rPr>
        <w:t>1</w:t>
      </w:r>
      <w:r w:rsidR="00C061E4" w:rsidRPr="005341E6">
        <w:rPr>
          <w:rFonts w:eastAsia="Calibri" w:cs="Calibri"/>
        </w:rPr>
        <w:t xml:space="preserve">) </w:t>
      </w:r>
      <w:r w:rsidRPr="005341E6">
        <w:rPr>
          <w:rFonts w:eastAsia="Calibri"/>
        </w:rPr>
        <w:t xml:space="preserve">into a unified assessment provision proposed in section 360. </w:t>
      </w:r>
      <w:r w:rsidR="00076930" w:rsidRPr="005341E6">
        <w:rPr>
          <w:rFonts w:eastAsia="Calibri"/>
        </w:rPr>
        <w:t xml:space="preserve">It also removes the legislative threshold of </w:t>
      </w:r>
      <w:r w:rsidR="00D122B3">
        <w:rPr>
          <w:rFonts w:eastAsia="Calibri"/>
        </w:rPr>
        <w:t>“</w:t>
      </w:r>
      <w:r w:rsidR="00076930" w:rsidRPr="005341E6">
        <w:rPr>
          <w:rFonts w:eastAsia="Calibri"/>
        </w:rPr>
        <w:t>in need of care and protection</w:t>
      </w:r>
      <w:r w:rsidR="00D122B3">
        <w:rPr>
          <w:rFonts w:eastAsia="Calibri"/>
        </w:rPr>
        <w:t>”</w:t>
      </w:r>
      <w:r w:rsidR="00076930" w:rsidRPr="005341E6">
        <w:rPr>
          <w:rFonts w:eastAsia="Calibri"/>
        </w:rPr>
        <w:t xml:space="preserve"> </w:t>
      </w:r>
      <w:r w:rsidR="002B3977" w:rsidRPr="005341E6">
        <w:rPr>
          <w:rFonts w:eastAsia="Calibri"/>
        </w:rPr>
        <w:t>in</w:t>
      </w:r>
      <w:r w:rsidR="00076930" w:rsidRPr="005341E6">
        <w:rPr>
          <w:rFonts w:eastAsia="Calibri"/>
        </w:rPr>
        <w:t xml:space="preserve"> section 360(b) and replaces </w:t>
      </w:r>
      <w:r w:rsidR="00F245F6" w:rsidRPr="005341E6">
        <w:rPr>
          <w:rFonts w:eastAsia="Calibri"/>
        </w:rPr>
        <w:t xml:space="preserve">it </w:t>
      </w:r>
      <w:r w:rsidR="00076930" w:rsidRPr="005341E6">
        <w:rPr>
          <w:rFonts w:eastAsia="Calibri"/>
        </w:rPr>
        <w:t>with</w:t>
      </w:r>
      <w:r w:rsidR="004F6382" w:rsidRPr="005341E6">
        <w:rPr>
          <w:rFonts w:eastAsia="Calibri"/>
        </w:rPr>
        <w:t xml:space="preserve"> </w:t>
      </w:r>
      <w:r w:rsidR="00D122B3">
        <w:rPr>
          <w:rFonts w:eastAsia="Calibri"/>
        </w:rPr>
        <w:t>“</w:t>
      </w:r>
      <w:r w:rsidR="00076930" w:rsidRPr="005341E6">
        <w:rPr>
          <w:rFonts w:eastAsia="Calibri"/>
        </w:rPr>
        <w:t>risk of significant harm</w:t>
      </w:r>
      <w:r w:rsidR="00D122B3">
        <w:rPr>
          <w:rFonts w:eastAsia="Calibri"/>
        </w:rPr>
        <w:t>”</w:t>
      </w:r>
      <w:r w:rsidR="00076930" w:rsidRPr="005341E6">
        <w:rPr>
          <w:rFonts w:eastAsia="Calibri"/>
        </w:rPr>
        <w:t xml:space="preserve">. </w:t>
      </w:r>
      <w:bookmarkStart w:id="16" w:name="_Hlk146690148"/>
    </w:p>
    <w:p w14:paraId="491B145F" w14:textId="53C00873" w:rsidR="00073655" w:rsidRPr="005341E6" w:rsidRDefault="005B0509" w:rsidP="005341E6">
      <w:pPr>
        <w:pStyle w:val="Style4"/>
        <w:spacing w:before="240" w:after="0"/>
        <w:rPr>
          <w:rFonts w:eastAsia="Calibri"/>
        </w:rPr>
      </w:pPr>
      <w:bookmarkStart w:id="17" w:name="_Hlk147846936"/>
      <w:bookmarkEnd w:id="15"/>
      <w:r w:rsidRPr="005341E6">
        <w:rPr>
          <w:rFonts w:eastAsia="Calibri" w:cs="Calibri"/>
        </w:rPr>
        <w:t>Under clause 36</w:t>
      </w:r>
      <w:r w:rsidR="004F6382" w:rsidRPr="005341E6">
        <w:rPr>
          <w:rFonts w:eastAsia="Calibri" w:cs="Calibri"/>
        </w:rPr>
        <w:t>,</w:t>
      </w:r>
      <w:r w:rsidRPr="005341E6">
        <w:rPr>
          <w:rFonts w:eastAsia="Calibri" w:cs="Calibri"/>
        </w:rPr>
        <w:t xml:space="preserve"> proposed s</w:t>
      </w:r>
      <w:r w:rsidR="00076930" w:rsidRPr="005341E6">
        <w:rPr>
          <w:rFonts w:eastAsia="Calibri" w:cs="Calibri"/>
        </w:rPr>
        <w:t xml:space="preserve">ection 360(1) will now clarify that </w:t>
      </w:r>
      <w:r w:rsidR="00A922ED" w:rsidRPr="005341E6">
        <w:rPr>
          <w:rFonts w:eastAsia="Calibri" w:cs="Calibri"/>
        </w:rPr>
        <w:t xml:space="preserve">on </w:t>
      </w:r>
      <w:r w:rsidR="00076930" w:rsidRPr="005341E6">
        <w:rPr>
          <w:rFonts w:eastAsia="Calibri" w:cs="Calibri"/>
        </w:rPr>
        <w:t xml:space="preserve">receiving either a voluntary or mandatory report concerning a child or young person, or if </w:t>
      </w:r>
      <w:r w:rsidR="00D00778" w:rsidRPr="005341E6">
        <w:rPr>
          <w:rFonts w:eastAsia="Calibri" w:cs="Calibri"/>
        </w:rPr>
        <w:t xml:space="preserve">otherwise </w:t>
      </w:r>
      <w:r w:rsidR="00076930" w:rsidRPr="005341E6">
        <w:rPr>
          <w:rFonts w:eastAsia="Calibri" w:cs="Calibri"/>
        </w:rPr>
        <w:t>there is a belief or suspicion that a child or young person may be at risk of significant harm, the director-general</w:t>
      </w:r>
      <w:r w:rsidR="00A05A92" w:rsidRPr="005341E6">
        <w:rPr>
          <w:rFonts w:eastAsia="Calibri" w:cs="Calibri"/>
        </w:rPr>
        <w:t xml:space="preserve"> </w:t>
      </w:r>
      <w:r w:rsidR="00D122B3">
        <w:rPr>
          <w:rFonts w:eastAsia="Calibri" w:cs="Calibri"/>
        </w:rPr>
        <w:t>“</w:t>
      </w:r>
      <w:r w:rsidR="00D00778" w:rsidRPr="005341E6">
        <w:rPr>
          <w:rFonts w:eastAsia="Calibri" w:cs="Calibri"/>
        </w:rPr>
        <w:t>m</w:t>
      </w:r>
      <w:r w:rsidR="00076930" w:rsidRPr="005341E6">
        <w:rPr>
          <w:rFonts w:eastAsia="Calibri" w:cs="Calibri"/>
        </w:rPr>
        <w:t>ust conduct the assessment deemed necessary to determine whether the child or young person is at risk of significant harm</w:t>
      </w:r>
      <w:r w:rsidR="00D122B3">
        <w:rPr>
          <w:rFonts w:eastAsia="Calibri" w:cs="Calibri"/>
        </w:rPr>
        <w:t>”</w:t>
      </w:r>
      <w:r w:rsidR="00076930" w:rsidRPr="005341E6">
        <w:rPr>
          <w:rFonts w:eastAsia="Calibri" w:cs="Calibri"/>
        </w:rPr>
        <w:t>.</w:t>
      </w:r>
      <w:r w:rsidR="002A7290" w:rsidRPr="005341E6">
        <w:rPr>
          <w:rFonts w:eastAsia="Calibri" w:cs="Calibri"/>
        </w:rPr>
        <w:t xml:space="preserve"> </w:t>
      </w:r>
    </w:p>
    <w:p w14:paraId="46FA3A5D" w14:textId="63B3D202" w:rsidR="00073655" w:rsidRPr="005341E6" w:rsidRDefault="00073655" w:rsidP="005341E6">
      <w:pPr>
        <w:pStyle w:val="Style4"/>
        <w:spacing w:before="240" w:after="0"/>
        <w:rPr>
          <w:rFonts w:eastAsia="Calibri"/>
        </w:rPr>
      </w:pPr>
      <w:r w:rsidRPr="005341E6">
        <w:rPr>
          <w:rFonts w:eastAsia="Calibri"/>
        </w:rPr>
        <w:t xml:space="preserve">Under proposed section 360(1) the CYPA will maintain a clear, non-discretionary requirement, emphasised by the use of the term </w:t>
      </w:r>
      <w:r w:rsidR="00D122B3">
        <w:rPr>
          <w:rFonts w:eastAsia="Calibri"/>
        </w:rPr>
        <w:t>“</w:t>
      </w:r>
      <w:r w:rsidRPr="005341E6">
        <w:rPr>
          <w:rFonts w:eastAsia="Calibri"/>
        </w:rPr>
        <w:t>must</w:t>
      </w:r>
      <w:r w:rsidR="00D122B3">
        <w:rPr>
          <w:rFonts w:eastAsia="Calibri"/>
        </w:rPr>
        <w:t>”</w:t>
      </w:r>
      <w:r w:rsidRPr="005341E6">
        <w:rPr>
          <w:rFonts w:eastAsia="Calibri"/>
        </w:rPr>
        <w:t xml:space="preserve">, concerning the obligation of the director-general to conduct an assessment. </w:t>
      </w:r>
    </w:p>
    <w:p w14:paraId="61BD7B37" w14:textId="2FE27FAF" w:rsidR="005341E6" w:rsidRDefault="00076930" w:rsidP="005341E6">
      <w:pPr>
        <w:pStyle w:val="Style4"/>
        <w:spacing w:before="240" w:after="0"/>
        <w:rPr>
          <w:rFonts w:eastAsia="Calibri" w:cs="Calibri"/>
        </w:rPr>
      </w:pPr>
      <w:r w:rsidRPr="005341E6">
        <w:rPr>
          <w:rFonts w:eastAsia="Calibri" w:cs="Calibri"/>
        </w:rPr>
        <w:t>While conducting the assessment, the director-general may also offer or contribute to providing services aimed at enhancing and supporting the safety, welfare</w:t>
      </w:r>
      <w:r w:rsidR="00B815EB" w:rsidRPr="005341E6">
        <w:rPr>
          <w:rFonts w:eastAsia="Calibri" w:cs="Calibri"/>
        </w:rPr>
        <w:t xml:space="preserve"> </w:t>
      </w:r>
      <w:r w:rsidRPr="005341E6">
        <w:rPr>
          <w:rFonts w:eastAsia="Calibri" w:cs="Calibri"/>
        </w:rPr>
        <w:t xml:space="preserve">and wellbeing of the child or young person and their family, as </w:t>
      </w:r>
      <w:r w:rsidR="00C061E4" w:rsidRPr="005341E6">
        <w:rPr>
          <w:rFonts w:eastAsia="Calibri" w:cs="Calibri"/>
        </w:rPr>
        <w:t xml:space="preserve">proposed </w:t>
      </w:r>
      <w:r w:rsidR="002B3977" w:rsidRPr="005341E6">
        <w:rPr>
          <w:rFonts w:eastAsia="Calibri" w:cs="Calibri"/>
        </w:rPr>
        <w:t>in</w:t>
      </w:r>
      <w:r w:rsidRPr="005341E6">
        <w:rPr>
          <w:rFonts w:eastAsia="Calibri" w:cs="Calibri"/>
        </w:rPr>
        <w:t xml:space="preserve"> section 360(3).</w:t>
      </w:r>
      <w:bookmarkEnd w:id="16"/>
    </w:p>
    <w:p w14:paraId="56C16975" w14:textId="77777777" w:rsidR="005341E6" w:rsidRPr="005341E6" w:rsidRDefault="005341E6" w:rsidP="005341E6">
      <w:pPr>
        <w:pStyle w:val="Style4"/>
        <w:spacing w:before="240" w:after="0"/>
        <w:rPr>
          <w:rFonts w:eastAsia="Calibri" w:cs="Calibri"/>
        </w:rPr>
      </w:pPr>
    </w:p>
    <w:bookmarkEnd w:id="13"/>
    <w:bookmarkEnd w:id="14"/>
    <w:bookmarkEnd w:id="17"/>
    <w:p w14:paraId="047FE8FC" w14:textId="4CA10174" w:rsidR="00A76F6C" w:rsidRPr="005341E6" w:rsidRDefault="00A76F6C" w:rsidP="005341E6">
      <w:pPr>
        <w:spacing w:before="240" w:after="0"/>
        <w:rPr>
          <w:rStyle w:val="Emphasis"/>
          <w:rFonts w:eastAsia="Calibri"/>
          <w:b/>
          <w:bCs/>
          <w:sz w:val="24"/>
          <w:szCs w:val="24"/>
        </w:rPr>
      </w:pPr>
      <w:r w:rsidRPr="005341E6">
        <w:rPr>
          <w:rStyle w:val="Emphasis"/>
          <w:rFonts w:eastAsia="Calibri"/>
          <w:b/>
          <w:bCs/>
          <w:sz w:val="24"/>
          <w:szCs w:val="24"/>
        </w:rPr>
        <w:lastRenderedPageBreak/>
        <w:t>Child cultural identity</w:t>
      </w:r>
    </w:p>
    <w:p w14:paraId="48FEEC52" w14:textId="6E977D53" w:rsidR="007D6928" w:rsidRPr="005341E6" w:rsidRDefault="00E85200" w:rsidP="005341E6">
      <w:pPr>
        <w:pStyle w:val="Style4"/>
        <w:spacing w:before="240" w:after="0"/>
        <w:rPr>
          <w:rFonts w:eastAsia="Calibri"/>
        </w:rPr>
      </w:pPr>
      <w:r w:rsidRPr="005341E6">
        <w:rPr>
          <w:rFonts w:eastAsia="Calibri"/>
        </w:rPr>
        <w:t xml:space="preserve">Under </w:t>
      </w:r>
      <w:r w:rsidR="00AA181A" w:rsidRPr="005341E6">
        <w:rPr>
          <w:rFonts w:eastAsia="Calibri"/>
        </w:rPr>
        <w:t>c</w:t>
      </w:r>
      <w:r w:rsidR="001D14DE" w:rsidRPr="005341E6">
        <w:rPr>
          <w:rFonts w:eastAsia="Calibri"/>
        </w:rPr>
        <w:t xml:space="preserve">lause 366 proposed </w:t>
      </w:r>
      <w:r w:rsidR="004F6382" w:rsidRPr="005341E6">
        <w:rPr>
          <w:rFonts w:eastAsia="Calibri"/>
        </w:rPr>
        <w:t>in</w:t>
      </w:r>
      <w:r w:rsidR="001D14DE" w:rsidRPr="005341E6">
        <w:rPr>
          <w:rFonts w:eastAsia="Calibri"/>
        </w:rPr>
        <w:t xml:space="preserve"> s</w:t>
      </w:r>
      <w:r w:rsidR="001D0B71" w:rsidRPr="005341E6">
        <w:rPr>
          <w:rFonts w:eastAsia="Calibri"/>
        </w:rPr>
        <w:t>ection 360</w:t>
      </w:r>
      <w:r w:rsidRPr="005341E6">
        <w:rPr>
          <w:rFonts w:eastAsia="Calibri"/>
        </w:rPr>
        <w:t>(4), a new</w:t>
      </w:r>
      <w:r w:rsidR="004C3986" w:rsidRPr="005341E6">
        <w:rPr>
          <w:rFonts w:eastAsia="Calibri"/>
        </w:rPr>
        <w:t xml:space="preserve"> </w:t>
      </w:r>
      <w:r w:rsidRPr="005341E6">
        <w:rPr>
          <w:rFonts w:eastAsia="Calibri"/>
        </w:rPr>
        <w:t xml:space="preserve">provision has been introduced that </w:t>
      </w:r>
      <w:r w:rsidR="001D0B71" w:rsidRPr="005341E6">
        <w:rPr>
          <w:rFonts w:eastAsia="Calibri"/>
        </w:rPr>
        <w:t>stipulates that the director-general must</w:t>
      </w:r>
      <w:r w:rsidR="00F5223A" w:rsidRPr="005341E6">
        <w:rPr>
          <w:rFonts w:eastAsia="Calibri"/>
        </w:rPr>
        <w:t xml:space="preserve">, as soon as practicable, attempt to identify whether the child is an Aboriginal or Torres Strait Islander child or young person. </w:t>
      </w:r>
      <w:r w:rsidR="001D0B71" w:rsidRPr="005341E6">
        <w:rPr>
          <w:rFonts w:eastAsia="Calibri"/>
        </w:rPr>
        <w:t>This provision acknowledges the importance of and protects a child</w:t>
      </w:r>
      <w:r w:rsidR="00D122B3">
        <w:rPr>
          <w:rFonts w:eastAsia="Calibri"/>
        </w:rPr>
        <w:t>’</w:t>
      </w:r>
      <w:r w:rsidR="001D0B71" w:rsidRPr="005341E6">
        <w:rPr>
          <w:rFonts w:eastAsia="Calibri"/>
        </w:rPr>
        <w:t>s connections to</w:t>
      </w:r>
      <w:r w:rsidR="00BF3F3E" w:rsidRPr="005341E6">
        <w:rPr>
          <w:rFonts w:eastAsia="Calibri"/>
        </w:rPr>
        <w:t xml:space="preserve"> family,</w:t>
      </w:r>
      <w:r w:rsidR="001D0B71" w:rsidRPr="005341E6">
        <w:rPr>
          <w:rFonts w:eastAsia="Calibri"/>
        </w:rPr>
        <w:t xml:space="preserve"> culture and community, recogni</w:t>
      </w:r>
      <w:r w:rsidR="00EF69E0" w:rsidRPr="005341E6">
        <w:rPr>
          <w:rFonts w:eastAsia="Calibri"/>
        </w:rPr>
        <w:t>s</w:t>
      </w:r>
      <w:r w:rsidR="001D0B71" w:rsidRPr="005341E6">
        <w:rPr>
          <w:rFonts w:eastAsia="Calibri"/>
        </w:rPr>
        <w:t>ing this as being in their best interest and crucial to their safety and wellbeing throughout all phases of child protection intervention</w:t>
      </w:r>
      <w:r w:rsidR="00D36572" w:rsidRPr="005341E6">
        <w:rPr>
          <w:rFonts w:eastAsia="Calibri"/>
        </w:rPr>
        <w:t>.</w:t>
      </w:r>
      <w:r w:rsidR="00EF69E0" w:rsidRPr="005341E6">
        <w:rPr>
          <w:rStyle w:val="FootnoteReference"/>
          <w:rFonts w:eastAsia="Calibri"/>
          <w:sz w:val="22"/>
        </w:rPr>
        <w:footnoteReference w:id="26"/>
      </w:r>
      <w:r w:rsidR="001D0B71" w:rsidRPr="005341E6">
        <w:rPr>
          <w:rFonts w:eastAsia="Calibri"/>
        </w:rPr>
        <w:t xml:space="preserve"> It also acknowledges that early identification is a critical component for the full implementation of all five elements of the </w:t>
      </w:r>
      <w:r w:rsidR="00A84A02" w:rsidRPr="005341E6">
        <w:t>Child Placement Principle</w:t>
      </w:r>
      <w:r w:rsidR="001D0B71" w:rsidRPr="005341E6">
        <w:rPr>
          <w:rFonts w:eastAsia="Calibri"/>
        </w:rPr>
        <w:t>.</w:t>
      </w:r>
    </w:p>
    <w:p w14:paraId="2348AC65" w14:textId="26E17865" w:rsidR="00023958" w:rsidRPr="006E3F32" w:rsidRDefault="00023958" w:rsidP="005341E6">
      <w:pPr>
        <w:spacing w:before="240" w:after="0"/>
        <w:rPr>
          <w:rFonts w:eastAsia="Calibri" w:cs="Calibri"/>
          <w:b/>
          <w:bCs/>
          <w:sz w:val="28"/>
          <w:szCs w:val="28"/>
        </w:rPr>
      </w:pPr>
      <w:r w:rsidRPr="00D86237">
        <w:rPr>
          <w:rFonts w:eastAsia="Calibri" w:cs="Calibri"/>
          <w:b/>
          <w:bCs/>
          <w:sz w:val="28"/>
          <w:szCs w:val="28"/>
        </w:rPr>
        <w:t xml:space="preserve">Chapter </w:t>
      </w:r>
      <w:r w:rsidRPr="00270312">
        <w:rPr>
          <w:rFonts w:eastAsia="Calibri" w:cs="Calibri"/>
          <w:b/>
          <w:bCs/>
          <w:sz w:val="28"/>
          <w:szCs w:val="28"/>
        </w:rPr>
        <w:t>19A Children and Young People Death Review Committee</w:t>
      </w:r>
    </w:p>
    <w:p w14:paraId="360A67E6" w14:textId="303F2D80" w:rsidR="00023958" w:rsidRPr="006E3F32" w:rsidRDefault="00023958" w:rsidP="005341E6">
      <w:pPr>
        <w:pStyle w:val="Heading1"/>
        <w:spacing w:before="240" w:after="0"/>
        <w:rPr>
          <w:rFonts w:eastAsia="Calibri"/>
        </w:rPr>
      </w:pPr>
      <w:r w:rsidRPr="006E3F32">
        <w:rPr>
          <w:rFonts w:eastAsia="Calibri"/>
        </w:rPr>
        <w:t xml:space="preserve">Section </w:t>
      </w:r>
      <w:r w:rsidR="007F1ABE">
        <w:rPr>
          <w:rFonts w:eastAsia="Calibri"/>
        </w:rPr>
        <w:t>727B Functions of committee</w:t>
      </w:r>
      <w:r w:rsidR="007F1ABE" w:rsidRPr="006E3F32">
        <w:rPr>
          <w:rFonts w:eastAsia="Calibri"/>
        </w:rPr>
        <w:t xml:space="preserve"> </w:t>
      </w:r>
    </w:p>
    <w:p w14:paraId="0C252DBF" w14:textId="2732A0D4" w:rsidR="00C061E4" w:rsidRPr="005341E6" w:rsidRDefault="00C061E4" w:rsidP="005341E6">
      <w:pPr>
        <w:pStyle w:val="Style4"/>
        <w:spacing w:before="240" w:after="0"/>
        <w:rPr>
          <w:rFonts w:eastAsia="Calibri"/>
        </w:rPr>
      </w:pPr>
      <w:r w:rsidRPr="005341E6">
        <w:rPr>
          <w:rFonts w:eastAsia="Calibri"/>
        </w:rPr>
        <w:t>Clauses 46 to 64 propose</w:t>
      </w:r>
      <w:r w:rsidR="004F6382" w:rsidRPr="005341E6">
        <w:rPr>
          <w:rFonts w:eastAsia="Calibri"/>
        </w:rPr>
        <w:t>d</w:t>
      </w:r>
      <w:r w:rsidRPr="005341E6">
        <w:rPr>
          <w:rFonts w:eastAsia="Calibri"/>
        </w:rPr>
        <w:t xml:space="preserve"> at </w:t>
      </w:r>
      <w:r w:rsidR="00D92C0F" w:rsidRPr="005341E6">
        <w:rPr>
          <w:rFonts w:eastAsia="Calibri"/>
        </w:rPr>
        <w:t>c</w:t>
      </w:r>
      <w:r w:rsidR="00023958" w:rsidRPr="005341E6">
        <w:rPr>
          <w:rFonts w:eastAsia="Calibri"/>
        </w:rPr>
        <w:t>hapter 19A,</w:t>
      </w:r>
      <w:r w:rsidR="00D92C0F" w:rsidRPr="005341E6">
        <w:rPr>
          <w:rFonts w:eastAsia="Calibri"/>
        </w:rPr>
        <w:t xml:space="preserve"> s</w:t>
      </w:r>
      <w:r w:rsidR="00023958" w:rsidRPr="005341E6">
        <w:rPr>
          <w:rFonts w:eastAsia="Calibri"/>
        </w:rPr>
        <w:t>ection</w:t>
      </w:r>
      <w:r w:rsidRPr="005341E6">
        <w:rPr>
          <w:rFonts w:eastAsia="Calibri"/>
        </w:rPr>
        <w:t>s</w:t>
      </w:r>
      <w:r w:rsidR="00023958" w:rsidRPr="005341E6">
        <w:rPr>
          <w:rFonts w:eastAsia="Calibri"/>
        </w:rPr>
        <w:t xml:space="preserve"> </w:t>
      </w:r>
      <w:r w:rsidR="00F75303" w:rsidRPr="005341E6">
        <w:rPr>
          <w:rFonts w:eastAsia="Calibri"/>
        </w:rPr>
        <w:t>727</w:t>
      </w:r>
      <w:r w:rsidRPr="005341E6">
        <w:rPr>
          <w:rFonts w:eastAsia="Calibri"/>
        </w:rPr>
        <w:t>B–T</w:t>
      </w:r>
      <w:r w:rsidR="00F75303" w:rsidRPr="005341E6">
        <w:rPr>
          <w:rFonts w:eastAsia="Calibri"/>
        </w:rPr>
        <w:t>, sets</w:t>
      </w:r>
      <w:r w:rsidR="00023958" w:rsidRPr="005341E6">
        <w:rPr>
          <w:rFonts w:eastAsia="Calibri"/>
        </w:rPr>
        <w:t xml:space="preserve"> out </w:t>
      </w:r>
      <w:r w:rsidR="0058238F" w:rsidRPr="005341E6">
        <w:rPr>
          <w:rFonts w:eastAsia="Calibri"/>
        </w:rPr>
        <w:t>the functions and responsibilities of the ACT Child and Young Person Death Review Committee based on the Committee</w:t>
      </w:r>
      <w:r w:rsidR="00D122B3">
        <w:rPr>
          <w:rFonts w:eastAsia="Calibri"/>
        </w:rPr>
        <w:t>’</w:t>
      </w:r>
      <w:r w:rsidR="0058238F" w:rsidRPr="005341E6">
        <w:rPr>
          <w:rFonts w:eastAsia="Calibri"/>
        </w:rPr>
        <w:t>s annual reportin</w:t>
      </w:r>
      <w:r w:rsidR="00023958" w:rsidRPr="005341E6">
        <w:rPr>
          <w:rFonts w:eastAsia="Calibri"/>
        </w:rPr>
        <w:t>g.</w:t>
      </w:r>
      <w:r w:rsidRPr="005341E6">
        <w:rPr>
          <w:rFonts w:eastAsia="Calibri"/>
        </w:rPr>
        <w:t xml:space="preserve"> </w:t>
      </w:r>
    </w:p>
    <w:p w14:paraId="7E236838" w14:textId="1E275447" w:rsidR="006B3802" w:rsidRPr="005341E6" w:rsidRDefault="00023958" w:rsidP="005341E6">
      <w:pPr>
        <w:pStyle w:val="Style4"/>
        <w:spacing w:before="240" w:after="0"/>
        <w:rPr>
          <w:rFonts w:eastAsia="Calibri"/>
        </w:rPr>
      </w:pPr>
      <w:r w:rsidRPr="005341E6">
        <w:rPr>
          <w:rFonts w:eastAsia="Calibri"/>
        </w:rPr>
        <w:t>In 2021, the ACT Child and Young Pe</w:t>
      </w:r>
      <w:r w:rsidR="006F5386" w:rsidRPr="005341E6">
        <w:rPr>
          <w:rFonts w:eastAsia="Calibri"/>
        </w:rPr>
        <w:t xml:space="preserve">rson </w:t>
      </w:r>
      <w:r w:rsidRPr="005341E6">
        <w:rPr>
          <w:rFonts w:eastAsia="Calibri"/>
        </w:rPr>
        <w:t xml:space="preserve">Death Review Committee completed the </w:t>
      </w:r>
      <w:r w:rsidRPr="005341E6">
        <w:rPr>
          <w:rFonts w:eastAsia="Calibri"/>
          <w:i/>
        </w:rPr>
        <w:t>Review of Children and Young People Who Have Died as a Result of Intentional Self-Harm</w:t>
      </w:r>
      <w:r w:rsidR="00450873" w:rsidRPr="005341E6">
        <w:rPr>
          <w:rStyle w:val="FootnoteReference"/>
          <w:rFonts w:eastAsia="Calibri"/>
          <w:i/>
          <w:sz w:val="22"/>
        </w:rPr>
        <w:footnoteReference w:id="27"/>
      </w:r>
      <w:r w:rsidRPr="005341E6">
        <w:rPr>
          <w:rFonts w:eastAsia="Calibri"/>
          <w:i/>
        </w:rPr>
        <w:t xml:space="preserve"> </w:t>
      </w:r>
      <w:r w:rsidRPr="005341E6">
        <w:rPr>
          <w:rFonts w:eastAsia="Calibri"/>
        </w:rPr>
        <w:t>(the Review) in response to an increase in deaths by suicide in 2018. The Bill addresses recommendations from the 2021 Review, as well as findings from a review into the Committee</w:t>
      </w:r>
      <w:r w:rsidR="00D122B3">
        <w:rPr>
          <w:rFonts w:eastAsia="Calibri"/>
        </w:rPr>
        <w:t>’</w:t>
      </w:r>
      <w:r w:rsidRPr="005341E6">
        <w:rPr>
          <w:rFonts w:eastAsia="Calibri"/>
        </w:rPr>
        <w:t xml:space="preserve">s effectiveness in 2019. The 2021 recommendations are echoed by the findings in the </w:t>
      </w:r>
      <w:r w:rsidRPr="005341E6">
        <w:rPr>
          <w:rFonts w:eastAsia="Calibri"/>
          <w:i/>
        </w:rPr>
        <w:t xml:space="preserve">Review of Children and Young People in the ACT </w:t>
      </w:r>
      <w:r w:rsidRPr="005341E6">
        <w:rPr>
          <w:rFonts w:eastAsia="Calibri"/>
        </w:rPr>
        <w:t>(2020) by the ACT Government</w:t>
      </w:r>
      <w:r w:rsidR="00D122B3">
        <w:rPr>
          <w:rFonts w:eastAsia="Calibri"/>
        </w:rPr>
        <w:t>’</w:t>
      </w:r>
      <w:r w:rsidRPr="005341E6">
        <w:rPr>
          <w:rFonts w:eastAsia="Calibri"/>
        </w:rPr>
        <w:t>s Office for Mental Health and Wellbeing</w:t>
      </w:r>
      <w:r w:rsidR="00D36572" w:rsidRPr="005341E6">
        <w:rPr>
          <w:rFonts w:eastAsia="Calibri"/>
        </w:rPr>
        <w:t>.</w:t>
      </w:r>
      <w:r w:rsidR="006E3F32" w:rsidRPr="005341E6">
        <w:rPr>
          <w:rStyle w:val="FootnoteReference"/>
          <w:rFonts w:eastAsia="Calibri"/>
          <w:sz w:val="22"/>
        </w:rPr>
        <w:footnoteReference w:id="28"/>
      </w:r>
    </w:p>
    <w:p w14:paraId="3E017F8A" w14:textId="68BB3748" w:rsidR="00422BE9" w:rsidRPr="005341E6" w:rsidRDefault="00023958" w:rsidP="005341E6">
      <w:pPr>
        <w:pStyle w:val="Style4"/>
        <w:spacing w:before="240" w:after="0"/>
        <w:rPr>
          <w:rFonts w:eastAsia="Calibri"/>
        </w:rPr>
      </w:pPr>
      <w:r w:rsidRPr="005341E6">
        <w:rPr>
          <w:rFonts w:eastAsia="Calibri" w:cs="Calibri"/>
        </w:rPr>
        <w:t xml:space="preserve">The Bill retains the core functions of the Committee while expanding its scope to include the 18 to 24-year age group and review of </w:t>
      </w:r>
      <w:r w:rsidR="00D122B3">
        <w:rPr>
          <w:rFonts w:eastAsia="Calibri" w:cs="Calibri"/>
        </w:rPr>
        <w:t>‘</w:t>
      </w:r>
      <w:r w:rsidRPr="005341E6">
        <w:rPr>
          <w:rFonts w:eastAsia="Calibri" w:cs="Calibri"/>
        </w:rPr>
        <w:t>serious injuries</w:t>
      </w:r>
      <w:r w:rsidR="00BE2FA5" w:rsidRPr="005341E6">
        <w:rPr>
          <w:rFonts w:eastAsia="Calibri" w:cs="Calibri"/>
        </w:rPr>
        <w:t>.</w:t>
      </w:r>
      <w:r w:rsidR="00D122B3">
        <w:rPr>
          <w:rFonts w:eastAsia="Calibri" w:cs="Calibri"/>
        </w:rPr>
        <w:t>’</w:t>
      </w:r>
      <w:r w:rsidRPr="005341E6">
        <w:rPr>
          <w:rFonts w:eastAsia="Calibri" w:cs="Calibri"/>
        </w:rPr>
        <w:t xml:space="preserve"> The amendments support efforts to reduce preventable deaths of children and young people in the ACT and systemic changes to improve support and services to children and their families</w:t>
      </w:r>
      <w:r w:rsidR="002B3443" w:rsidRPr="005341E6">
        <w:rPr>
          <w:rFonts w:eastAsia="Calibri" w:cs="Calibri"/>
        </w:rPr>
        <w:t xml:space="preserve">. </w:t>
      </w:r>
      <w:r w:rsidR="00A56CB8" w:rsidRPr="005341E6">
        <w:rPr>
          <w:rFonts w:eastAsia="Calibri" w:cs="Calibri"/>
        </w:rPr>
        <w:t>The Bill also makes a range of minor amendments to improve the functioning of the Committee.</w:t>
      </w:r>
    </w:p>
    <w:p w14:paraId="0C41BD96" w14:textId="59D4E537" w:rsidR="00D83B63" w:rsidRPr="00483B40" w:rsidRDefault="00352E6F" w:rsidP="005341E6">
      <w:pPr>
        <w:pStyle w:val="Heading2"/>
        <w:spacing w:before="240" w:after="0" w:line="276" w:lineRule="auto"/>
        <w:rPr>
          <w:rFonts w:eastAsia="Times New Roman" w:cs="Calibri"/>
          <w:bCs/>
          <w:iCs/>
          <w:color w:val="000000" w:themeColor="text1"/>
          <w:sz w:val="28"/>
          <w:szCs w:val="28"/>
        </w:rPr>
      </w:pPr>
      <w:r w:rsidRPr="00121A21">
        <w:rPr>
          <w:rFonts w:eastAsia="Times New Roman" w:cs="Calibri"/>
          <w:bCs/>
          <w:iCs/>
          <w:color w:val="000000" w:themeColor="text1"/>
          <w:sz w:val="28"/>
          <w:szCs w:val="28"/>
        </w:rPr>
        <w:t>CONSISTENCY WITH HUMAN RIGHTS</w:t>
      </w:r>
    </w:p>
    <w:p w14:paraId="3DA9F39C" w14:textId="16E62AD2" w:rsidR="00163AB0" w:rsidRPr="005341E6" w:rsidRDefault="00163AB0" w:rsidP="005341E6">
      <w:pPr>
        <w:pStyle w:val="Style4"/>
        <w:spacing w:before="240" w:after="0"/>
      </w:pPr>
      <w:r w:rsidRPr="005341E6">
        <w:t xml:space="preserve">The Bill introduces </w:t>
      </w:r>
      <w:r w:rsidR="004B6C63" w:rsidRPr="005341E6">
        <w:t>several amendments</w:t>
      </w:r>
      <w:r w:rsidRPr="005341E6">
        <w:t xml:space="preserve"> aimed at strengthening the prevention of child </w:t>
      </w:r>
      <w:r w:rsidR="00F71F49" w:rsidRPr="005341E6">
        <w:t xml:space="preserve">maltreatment </w:t>
      </w:r>
      <w:r w:rsidRPr="005341E6">
        <w:t>and enhancing the response systems for vulnerable children and their familie</w:t>
      </w:r>
      <w:r w:rsidR="009B7AD4" w:rsidRPr="005341E6">
        <w:t>s.</w:t>
      </w:r>
      <w:r w:rsidR="00C061E4" w:rsidRPr="005341E6">
        <w:t xml:space="preserve"> </w:t>
      </w:r>
      <w:r w:rsidR="009B7AD4" w:rsidRPr="005341E6">
        <w:t>I</w:t>
      </w:r>
      <w:r w:rsidR="00C061E4" w:rsidRPr="005341E6">
        <w:t>n doing so</w:t>
      </w:r>
      <w:r w:rsidR="00F71F49" w:rsidRPr="005341E6">
        <w:t>,</w:t>
      </w:r>
      <w:r w:rsidR="00C061E4" w:rsidRPr="005341E6">
        <w:t xml:space="preserve"> </w:t>
      </w:r>
      <w:r w:rsidR="00F71F49" w:rsidRPr="005341E6">
        <w:t xml:space="preserve">the Bill </w:t>
      </w:r>
      <w:r w:rsidR="00C061E4" w:rsidRPr="005341E6">
        <w:t>engages</w:t>
      </w:r>
      <w:r w:rsidR="00F71F49" w:rsidRPr="005341E6">
        <w:t xml:space="preserve"> with, supports and</w:t>
      </w:r>
      <w:r w:rsidR="00C061E4" w:rsidRPr="005341E6">
        <w:t xml:space="preserve"> </w:t>
      </w:r>
      <w:r w:rsidR="00F71F49" w:rsidRPr="005341E6">
        <w:t xml:space="preserve">imposes </w:t>
      </w:r>
      <w:r w:rsidR="00C061E4" w:rsidRPr="005341E6">
        <w:t>limit</w:t>
      </w:r>
      <w:r w:rsidR="00F71F49" w:rsidRPr="005341E6">
        <w:t>ations on</w:t>
      </w:r>
      <w:r w:rsidR="00C061E4" w:rsidRPr="005341E6">
        <w:t xml:space="preserve"> several rights under </w:t>
      </w:r>
      <w:r w:rsidR="009B7AD4" w:rsidRPr="005341E6">
        <w:t xml:space="preserve">the </w:t>
      </w:r>
      <w:r w:rsidR="00C061E4" w:rsidRPr="005341E6">
        <w:rPr>
          <w:i/>
        </w:rPr>
        <w:t>Human Rights Act 2004</w:t>
      </w:r>
      <w:r w:rsidR="00C061E4" w:rsidRPr="005341E6">
        <w:t xml:space="preserve"> (ACT) (HRA).</w:t>
      </w:r>
    </w:p>
    <w:p w14:paraId="6AB4EF38" w14:textId="412D553E" w:rsidR="00D83B63" w:rsidRPr="005341E6" w:rsidRDefault="00163AB0" w:rsidP="005341E6">
      <w:pPr>
        <w:pStyle w:val="Style4"/>
        <w:spacing w:before="240" w:after="0"/>
      </w:pPr>
      <w:r w:rsidRPr="005341E6">
        <w:t xml:space="preserve">Broadly, the Bill </w:t>
      </w:r>
      <w:r w:rsidR="00AC0C4F" w:rsidRPr="005341E6">
        <w:t xml:space="preserve">engages and places limitations </w:t>
      </w:r>
      <w:r w:rsidRPr="005341E6">
        <w:t xml:space="preserve">on the following </w:t>
      </w:r>
      <w:r w:rsidR="00EE377E" w:rsidRPr="005341E6">
        <w:t xml:space="preserve">HRA </w:t>
      </w:r>
      <w:r w:rsidRPr="005341E6">
        <w:t>rights:</w:t>
      </w:r>
    </w:p>
    <w:p w14:paraId="4B698A36" w14:textId="014E1C8F" w:rsidR="00163AB0" w:rsidRPr="005341E6" w:rsidRDefault="00163AB0" w:rsidP="00CD1D78">
      <w:pPr>
        <w:pStyle w:val="ListParagraph"/>
        <w:numPr>
          <w:ilvl w:val="0"/>
          <w:numId w:val="10"/>
        </w:numPr>
        <w:spacing w:before="120"/>
        <w:rPr>
          <w:color w:val="000000" w:themeColor="text1"/>
        </w:rPr>
      </w:pPr>
      <w:r w:rsidRPr="005341E6">
        <w:rPr>
          <w:b/>
          <w:bCs/>
          <w:color w:val="000000" w:themeColor="text1"/>
        </w:rPr>
        <w:t>Section 11</w:t>
      </w:r>
      <w:r w:rsidRPr="005341E6">
        <w:rPr>
          <w:color w:val="000000" w:themeColor="text1"/>
        </w:rPr>
        <w:t>: Protection of the family and children</w:t>
      </w:r>
    </w:p>
    <w:p w14:paraId="0622A44E" w14:textId="59CAFF21" w:rsidR="00163AB0" w:rsidRPr="005341E6" w:rsidRDefault="00163AB0" w:rsidP="00CD1D78">
      <w:pPr>
        <w:pStyle w:val="ListParagraph"/>
        <w:numPr>
          <w:ilvl w:val="0"/>
          <w:numId w:val="10"/>
        </w:numPr>
        <w:spacing w:before="120"/>
        <w:rPr>
          <w:color w:val="000000" w:themeColor="text1"/>
        </w:rPr>
      </w:pPr>
      <w:r w:rsidRPr="005341E6">
        <w:rPr>
          <w:b/>
          <w:bCs/>
          <w:color w:val="000000" w:themeColor="text1"/>
        </w:rPr>
        <w:t>Section 12</w:t>
      </w:r>
      <w:r w:rsidRPr="005341E6">
        <w:rPr>
          <w:color w:val="000000" w:themeColor="text1"/>
        </w:rPr>
        <w:t xml:space="preserve">: Right to </w:t>
      </w:r>
      <w:r w:rsidR="00775563" w:rsidRPr="005341E6">
        <w:rPr>
          <w:color w:val="000000" w:themeColor="text1"/>
        </w:rPr>
        <w:t>p</w:t>
      </w:r>
      <w:r w:rsidRPr="005341E6">
        <w:rPr>
          <w:color w:val="000000" w:themeColor="text1"/>
        </w:rPr>
        <w:t xml:space="preserve">rivacy and </w:t>
      </w:r>
      <w:r w:rsidR="00775563" w:rsidRPr="005341E6">
        <w:rPr>
          <w:color w:val="000000" w:themeColor="text1"/>
        </w:rPr>
        <w:t>r</w:t>
      </w:r>
      <w:r w:rsidRPr="005341E6">
        <w:rPr>
          <w:color w:val="000000" w:themeColor="text1"/>
        </w:rPr>
        <w:t xml:space="preserve">eputation </w:t>
      </w:r>
    </w:p>
    <w:p w14:paraId="2C6BE3E2" w14:textId="78660AF2" w:rsidR="00163AB0" w:rsidRPr="005341E6" w:rsidRDefault="00163AB0" w:rsidP="00CD1D78">
      <w:pPr>
        <w:pStyle w:val="ListParagraph"/>
        <w:numPr>
          <w:ilvl w:val="0"/>
          <w:numId w:val="10"/>
        </w:numPr>
        <w:spacing w:before="120" w:after="200"/>
        <w:ind w:left="1077" w:hanging="357"/>
        <w:rPr>
          <w:color w:val="000000" w:themeColor="text1"/>
        </w:rPr>
      </w:pPr>
      <w:r w:rsidRPr="005341E6">
        <w:rPr>
          <w:b/>
          <w:bCs/>
          <w:color w:val="000000" w:themeColor="text1"/>
        </w:rPr>
        <w:lastRenderedPageBreak/>
        <w:t>Section 14</w:t>
      </w:r>
      <w:r w:rsidRPr="005341E6">
        <w:rPr>
          <w:color w:val="000000" w:themeColor="text1"/>
        </w:rPr>
        <w:t>: Freedom of thought, conscience, religion and belief</w:t>
      </w:r>
    </w:p>
    <w:p w14:paraId="38C3FB29" w14:textId="6AAF3BF0" w:rsidR="00C061E4" w:rsidRPr="005341E6" w:rsidRDefault="00C061E4" w:rsidP="00975D93">
      <w:pPr>
        <w:pStyle w:val="Style4"/>
      </w:pPr>
      <w:r w:rsidRPr="005341E6">
        <w:t>These limitations are consider</w:t>
      </w:r>
      <w:r w:rsidR="009B7AD4" w:rsidRPr="005341E6">
        <w:t>ed</w:t>
      </w:r>
      <w:r w:rsidR="00775563" w:rsidRPr="005341E6">
        <w:t xml:space="preserve"> reasonable</w:t>
      </w:r>
      <w:r w:rsidR="009B7AD4" w:rsidRPr="005341E6">
        <w:t>,</w:t>
      </w:r>
      <w:r w:rsidRPr="005341E6">
        <w:t xml:space="preserve"> having regard to the human rights of children to safety, protection and justice.</w:t>
      </w:r>
    </w:p>
    <w:p w14:paraId="4C476986" w14:textId="26482519" w:rsidR="00163AB0" w:rsidRPr="005341E6" w:rsidRDefault="00163AB0" w:rsidP="00975D93">
      <w:pPr>
        <w:pStyle w:val="Style4"/>
      </w:pPr>
      <w:r w:rsidRPr="005341E6">
        <w:t xml:space="preserve">The Bill also </w:t>
      </w:r>
      <w:r w:rsidR="00001885" w:rsidRPr="005341E6">
        <w:t xml:space="preserve">engages and </w:t>
      </w:r>
      <w:r w:rsidRPr="005341E6">
        <w:t>supports the following</w:t>
      </w:r>
      <w:r w:rsidR="00584D7A" w:rsidRPr="005341E6">
        <w:t xml:space="preserve"> </w:t>
      </w:r>
      <w:r w:rsidR="00EE377E" w:rsidRPr="005341E6">
        <w:t xml:space="preserve">HRA </w:t>
      </w:r>
      <w:r w:rsidRPr="005341E6">
        <w:t>rights:</w:t>
      </w:r>
    </w:p>
    <w:p w14:paraId="7B66991D" w14:textId="77777777" w:rsidR="00163AB0" w:rsidRPr="005341E6" w:rsidRDefault="00163AB0" w:rsidP="00CD1D78">
      <w:pPr>
        <w:pStyle w:val="ListParagraph"/>
        <w:numPr>
          <w:ilvl w:val="0"/>
          <w:numId w:val="11"/>
        </w:numPr>
        <w:spacing w:before="120"/>
        <w:rPr>
          <w:color w:val="000000" w:themeColor="text1"/>
        </w:rPr>
      </w:pPr>
      <w:r w:rsidRPr="005341E6">
        <w:rPr>
          <w:b/>
          <w:bCs/>
          <w:color w:val="000000" w:themeColor="text1"/>
        </w:rPr>
        <w:t>Section 8:</w:t>
      </w:r>
      <w:r w:rsidRPr="005341E6">
        <w:rPr>
          <w:color w:val="000000" w:themeColor="text1"/>
        </w:rPr>
        <w:t xml:space="preserve"> Recognition and equality before the law</w:t>
      </w:r>
      <w:r w:rsidRPr="005341E6">
        <w:rPr>
          <w:color w:val="000000" w:themeColor="text1"/>
        </w:rPr>
        <w:tab/>
      </w:r>
    </w:p>
    <w:p w14:paraId="2D871740" w14:textId="0258B24F" w:rsidR="00477B4B" w:rsidRPr="005341E6" w:rsidRDefault="00163AB0" w:rsidP="00CD1D78">
      <w:pPr>
        <w:pStyle w:val="ListParagraph"/>
        <w:numPr>
          <w:ilvl w:val="0"/>
          <w:numId w:val="11"/>
        </w:numPr>
        <w:spacing w:before="120"/>
        <w:rPr>
          <w:color w:val="000000" w:themeColor="text1"/>
        </w:rPr>
      </w:pPr>
      <w:r w:rsidRPr="005341E6">
        <w:rPr>
          <w:b/>
          <w:bCs/>
          <w:color w:val="000000" w:themeColor="text1"/>
        </w:rPr>
        <w:t>Section 11:</w:t>
      </w:r>
      <w:r w:rsidRPr="005341E6">
        <w:rPr>
          <w:color w:val="000000" w:themeColor="text1"/>
        </w:rPr>
        <w:t xml:space="preserve"> Protection of the family and children</w:t>
      </w:r>
    </w:p>
    <w:p w14:paraId="1666A8CE" w14:textId="20B5FEFC" w:rsidR="00163AB0" w:rsidRPr="005341E6" w:rsidRDefault="00163AB0" w:rsidP="00CD1D78">
      <w:pPr>
        <w:pStyle w:val="ListParagraph"/>
        <w:numPr>
          <w:ilvl w:val="0"/>
          <w:numId w:val="11"/>
        </w:numPr>
        <w:spacing w:before="120" w:after="200"/>
        <w:ind w:left="1071" w:hanging="357"/>
        <w:rPr>
          <w:color w:val="000000" w:themeColor="text1"/>
        </w:rPr>
      </w:pPr>
      <w:r w:rsidRPr="005341E6">
        <w:rPr>
          <w:b/>
          <w:bCs/>
          <w:color w:val="000000" w:themeColor="text1"/>
        </w:rPr>
        <w:t>Section 27:</w:t>
      </w:r>
      <w:r w:rsidRPr="005341E6">
        <w:rPr>
          <w:color w:val="000000" w:themeColor="text1"/>
        </w:rPr>
        <w:t xml:space="preserve"> Cultural and other rights of Aboriginal and Torres Strait Islander peoples and other minorities.</w:t>
      </w:r>
    </w:p>
    <w:p w14:paraId="45A27D18" w14:textId="3AF2FB88" w:rsidR="00555E06" w:rsidRPr="005341E6" w:rsidRDefault="00555E06" w:rsidP="00975D93">
      <w:pPr>
        <w:pStyle w:val="Style4"/>
        <w:rPr>
          <w:b/>
        </w:rPr>
      </w:pPr>
      <w:r w:rsidRPr="005341E6">
        <w:t xml:space="preserve">The preamble to the </w:t>
      </w:r>
      <w:r w:rsidR="00EE377E" w:rsidRPr="005341E6">
        <w:t xml:space="preserve">HRA </w:t>
      </w:r>
      <w:r w:rsidRPr="005341E6">
        <w:t xml:space="preserve">states that few rights are absolute and may be subject only to the reasonable limits in law that can be demonstrably justified in a free and democratic society. </w:t>
      </w:r>
      <w:r w:rsidR="00D83B63" w:rsidRPr="005341E6">
        <w:t xml:space="preserve">Section 28 of the </w:t>
      </w:r>
      <w:r w:rsidR="00EE377E" w:rsidRPr="005341E6">
        <w:t xml:space="preserve">HRA </w:t>
      </w:r>
      <w:r w:rsidR="00D83B63" w:rsidRPr="005341E6">
        <w:t>requires that any limitation on a human right must be authorised by a Territory law, be based on evidence, and be reasonable to achieve a legitimate aim. Whether a limitation is reasonable depends on whether it is proportionate,</w:t>
      </w:r>
      <w:r w:rsidRPr="005341E6">
        <w:t xml:space="preserve"> with subsection (2) stating that in deciding whether a limit on a human right is reasonable, all relevant factors must be considered, including</w:t>
      </w:r>
      <w:r w:rsidRPr="005341E6">
        <w:rPr>
          <w:bCs/>
        </w:rPr>
        <w:t>:</w:t>
      </w:r>
      <w:r w:rsidR="00801ACE" w:rsidRPr="005341E6">
        <w:rPr>
          <w:bCs/>
        </w:rPr>
        <w:t xml:space="preserve"> </w:t>
      </w:r>
    </w:p>
    <w:p w14:paraId="05A5DE8F" w14:textId="4A931FC9" w:rsidR="00555E06" w:rsidRPr="005341E6" w:rsidRDefault="00555E06" w:rsidP="00CD1D78">
      <w:pPr>
        <w:pStyle w:val="ListParagraph"/>
        <w:numPr>
          <w:ilvl w:val="0"/>
          <w:numId w:val="12"/>
        </w:numPr>
        <w:spacing w:before="120"/>
        <w:rPr>
          <w:iCs/>
        </w:rPr>
      </w:pPr>
      <w:r w:rsidRPr="005341E6">
        <w:rPr>
          <w:iCs/>
        </w:rPr>
        <w:t>the nature of the right affected</w:t>
      </w:r>
    </w:p>
    <w:p w14:paraId="4757C973" w14:textId="09374EAB" w:rsidR="00555E06" w:rsidRPr="005341E6" w:rsidRDefault="00555E06" w:rsidP="00CD1D78">
      <w:pPr>
        <w:pStyle w:val="ListParagraph"/>
        <w:numPr>
          <w:ilvl w:val="0"/>
          <w:numId w:val="12"/>
        </w:numPr>
        <w:spacing w:before="120"/>
        <w:rPr>
          <w:iCs/>
        </w:rPr>
      </w:pPr>
      <w:r w:rsidRPr="005341E6">
        <w:rPr>
          <w:iCs/>
        </w:rPr>
        <w:t>the importance of the purpose of the limitation</w:t>
      </w:r>
    </w:p>
    <w:p w14:paraId="0DD80EC8" w14:textId="29D1B822" w:rsidR="00555E06" w:rsidRPr="005341E6" w:rsidRDefault="00555E06" w:rsidP="00CD1D78">
      <w:pPr>
        <w:pStyle w:val="ListParagraph"/>
        <w:numPr>
          <w:ilvl w:val="0"/>
          <w:numId w:val="12"/>
        </w:numPr>
        <w:spacing w:before="120"/>
        <w:rPr>
          <w:iCs/>
        </w:rPr>
      </w:pPr>
      <w:r w:rsidRPr="005341E6">
        <w:rPr>
          <w:iCs/>
        </w:rPr>
        <w:t>the nature and extent of the limitation</w:t>
      </w:r>
    </w:p>
    <w:p w14:paraId="34BBC581" w14:textId="016A3B95" w:rsidR="00555E06" w:rsidRPr="005341E6" w:rsidRDefault="00555E06" w:rsidP="00CD1D78">
      <w:pPr>
        <w:pStyle w:val="ListParagraph"/>
        <w:numPr>
          <w:ilvl w:val="0"/>
          <w:numId w:val="12"/>
        </w:numPr>
        <w:spacing w:before="120"/>
        <w:rPr>
          <w:iCs/>
        </w:rPr>
      </w:pPr>
      <w:r w:rsidRPr="005341E6">
        <w:rPr>
          <w:iCs/>
        </w:rPr>
        <w:t>the relationship between the limitation and its purposes; and</w:t>
      </w:r>
    </w:p>
    <w:p w14:paraId="104BD3F7" w14:textId="2F79EC9D" w:rsidR="00483B40" w:rsidRPr="005341E6" w:rsidRDefault="00555E06" w:rsidP="00CD1D78">
      <w:pPr>
        <w:pStyle w:val="ListParagraph"/>
        <w:numPr>
          <w:ilvl w:val="0"/>
          <w:numId w:val="12"/>
        </w:numPr>
        <w:spacing w:before="120" w:after="200"/>
        <w:ind w:left="1071" w:hanging="357"/>
        <w:rPr>
          <w:iCs/>
        </w:rPr>
      </w:pPr>
      <w:r w:rsidRPr="005341E6">
        <w:rPr>
          <w:iCs/>
        </w:rPr>
        <w:t>any less restrictive means reasonably available to achieve the purpose the limitation seeks to achieve.</w:t>
      </w:r>
    </w:p>
    <w:p w14:paraId="02545BB3" w14:textId="450638BF" w:rsidR="00320A13" w:rsidRPr="005341E6" w:rsidRDefault="00320A13" w:rsidP="00975D93">
      <w:pPr>
        <w:pStyle w:val="Style4"/>
      </w:pPr>
      <w:r w:rsidRPr="005341E6">
        <w:t xml:space="preserve">The </w:t>
      </w:r>
      <w:r w:rsidR="00775563" w:rsidRPr="005341E6">
        <w:t>p</w:t>
      </w:r>
      <w:r w:rsidR="00607FA9" w:rsidRPr="005341E6">
        <w:t xml:space="preserve">rotection of the </w:t>
      </w:r>
      <w:r w:rsidR="00775563" w:rsidRPr="005341E6">
        <w:t>f</w:t>
      </w:r>
      <w:r w:rsidR="00607FA9" w:rsidRPr="005341E6">
        <w:t xml:space="preserve">amily and </w:t>
      </w:r>
      <w:r w:rsidR="00775563" w:rsidRPr="005341E6">
        <w:t>c</w:t>
      </w:r>
      <w:r w:rsidR="00607FA9" w:rsidRPr="005341E6">
        <w:t xml:space="preserve">hildren </w:t>
      </w:r>
      <w:r w:rsidRPr="005341E6">
        <w:t xml:space="preserve">(s 11) and </w:t>
      </w:r>
      <w:r w:rsidR="00775563" w:rsidRPr="005341E6">
        <w:rPr>
          <w:color w:val="000000" w:themeColor="text1"/>
        </w:rPr>
        <w:t>r</w:t>
      </w:r>
      <w:r w:rsidRPr="005341E6">
        <w:rPr>
          <w:color w:val="000000" w:themeColor="text1"/>
        </w:rPr>
        <w:t xml:space="preserve">ight to </w:t>
      </w:r>
      <w:r w:rsidR="00775563" w:rsidRPr="005341E6">
        <w:rPr>
          <w:color w:val="000000" w:themeColor="text1"/>
        </w:rPr>
        <w:t>p</w:t>
      </w:r>
      <w:r w:rsidRPr="005341E6">
        <w:rPr>
          <w:color w:val="000000" w:themeColor="text1"/>
        </w:rPr>
        <w:t xml:space="preserve">rivacy and </w:t>
      </w:r>
      <w:r w:rsidR="00775563" w:rsidRPr="005341E6">
        <w:rPr>
          <w:color w:val="000000" w:themeColor="text1"/>
        </w:rPr>
        <w:t>reputation</w:t>
      </w:r>
      <w:r w:rsidRPr="005341E6">
        <w:rPr>
          <w:color w:val="000000" w:themeColor="text1"/>
        </w:rPr>
        <w:t xml:space="preserve"> (s</w:t>
      </w:r>
      <w:r w:rsidR="00CD1D78" w:rsidRPr="005341E6">
        <w:rPr>
          <w:color w:val="000000" w:themeColor="text1"/>
        </w:rPr>
        <w:t> </w:t>
      </w:r>
      <w:r w:rsidRPr="005341E6">
        <w:rPr>
          <w:color w:val="000000" w:themeColor="text1"/>
        </w:rPr>
        <w:t>12) are</w:t>
      </w:r>
      <w:r w:rsidR="00607FA9" w:rsidRPr="005341E6">
        <w:t xml:space="preserve"> considered to impose the highest level of limitation. As such, a detailed analysis of whether these limitations on a human right </w:t>
      </w:r>
      <w:r w:rsidR="009B7AD4" w:rsidRPr="005341E6">
        <w:t xml:space="preserve">are </w:t>
      </w:r>
      <w:r w:rsidR="00607FA9" w:rsidRPr="005341E6">
        <w:t>reasonable and proportionate against the criteria set out in section</w:t>
      </w:r>
      <w:r w:rsidR="00F508A0">
        <w:t> </w:t>
      </w:r>
      <w:r w:rsidR="00607FA9" w:rsidRPr="005341E6">
        <w:t xml:space="preserve">28 is presented first, followed by subsequent discussions of the other engaged </w:t>
      </w:r>
      <w:r w:rsidR="00775563" w:rsidRPr="005341E6">
        <w:t xml:space="preserve">and supported </w:t>
      </w:r>
      <w:r w:rsidR="00607FA9" w:rsidRPr="005341E6">
        <w:t>human rights.</w:t>
      </w:r>
    </w:p>
    <w:p w14:paraId="3454B9B2" w14:textId="31D85681" w:rsidR="00001885" w:rsidRPr="00D108E0" w:rsidRDefault="00001885" w:rsidP="00FF6625">
      <w:pPr>
        <w:pStyle w:val="Heading1"/>
        <w:spacing w:before="240" w:after="0"/>
      </w:pPr>
      <w:r w:rsidRPr="00D108E0">
        <w:t>Section 11: Protection of the family and children</w:t>
      </w:r>
    </w:p>
    <w:p w14:paraId="537B6522" w14:textId="582617E3" w:rsidR="00314204" w:rsidRPr="00320A13" w:rsidRDefault="00314204" w:rsidP="00FF6625">
      <w:pPr>
        <w:pStyle w:val="Heading2"/>
        <w:spacing w:before="240" w:after="0"/>
      </w:pPr>
      <w:r w:rsidRPr="00320A13">
        <w:t>The nature of the right affected</w:t>
      </w:r>
      <w:r w:rsidR="003054C6" w:rsidRPr="00320A13">
        <w:t xml:space="preserve"> </w:t>
      </w:r>
      <w:r w:rsidR="00320A13">
        <w:t>(</w:t>
      </w:r>
      <w:r w:rsidR="003054C6" w:rsidRPr="00320A13">
        <w:t>28(a)</w:t>
      </w:r>
      <w:r w:rsidR="00320A13">
        <w:t>)</w:t>
      </w:r>
    </w:p>
    <w:p w14:paraId="04EB3363" w14:textId="7836FC54" w:rsidR="00052F1C" w:rsidRPr="005341E6" w:rsidRDefault="00D873D1" w:rsidP="00FF6625">
      <w:pPr>
        <w:pStyle w:val="Style4"/>
        <w:spacing w:before="240" w:after="0"/>
      </w:pPr>
      <w:r w:rsidRPr="005341E6">
        <w:t xml:space="preserve">Section 11(1) of the </w:t>
      </w:r>
      <w:r w:rsidR="00320A13" w:rsidRPr="005341E6">
        <w:t>HR</w:t>
      </w:r>
      <w:r w:rsidR="008862AA" w:rsidRPr="005341E6">
        <w:t xml:space="preserve">A </w:t>
      </w:r>
      <w:r w:rsidR="009B5046" w:rsidRPr="005341E6">
        <w:t>recognis</w:t>
      </w:r>
      <w:r w:rsidR="00912F91" w:rsidRPr="005341E6">
        <w:t>es</w:t>
      </w:r>
      <w:r w:rsidR="009B5046" w:rsidRPr="005341E6">
        <w:t xml:space="preserve"> that families are the fundamental group unit of society and entitles families to protection by society and the State</w:t>
      </w:r>
      <w:r w:rsidRPr="005341E6">
        <w:t xml:space="preserve">. An explanatory note under </w:t>
      </w:r>
      <w:r w:rsidR="00320A13" w:rsidRPr="005341E6">
        <w:t>s</w:t>
      </w:r>
      <w:r w:rsidR="00EE377E" w:rsidRPr="005341E6">
        <w:t>ection</w:t>
      </w:r>
      <w:r w:rsidR="00320A13" w:rsidRPr="005341E6">
        <w:t xml:space="preserve"> 11 </w:t>
      </w:r>
      <w:r w:rsidRPr="005341E6">
        <w:t xml:space="preserve">of the </w:t>
      </w:r>
      <w:r w:rsidR="00EE377E" w:rsidRPr="005341E6">
        <w:t xml:space="preserve">HRA </w:t>
      </w:r>
      <w:r w:rsidRPr="005341E6">
        <w:t>clarifies that the term</w:t>
      </w:r>
      <w:r w:rsidR="00F508A0">
        <w:t xml:space="preserve"> ‘</w:t>
      </w:r>
      <w:r w:rsidRPr="005341E6">
        <w:t>family</w:t>
      </w:r>
      <w:r w:rsidR="00D122B3">
        <w:t>’</w:t>
      </w:r>
      <w:r w:rsidRPr="005341E6">
        <w:t xml:space="preserve"> has a broad meaning, recognising the many different types of families that reside in the</w:t>
      </w:r>
      <w:r w:rsidR="004B6C63" w:rsidRPr="005341E6">
        <w:t xml:space="preserve"> </w:t>
      </w:r>
      <w:r w:rsidR="002C3D26" w:rsidRPr="005341E6">
        <w:t>ACT,</w:t>
      </w:r>
      <w:r w:rsidRPr="005341E6">
        <w:t xml:space="preserve"> all of whom are entitled to protection. This right </w:t>
      </w:r>
      <w:r w:rsidR="001B3C34" w:rsidRPr="005341E6">
        <w:t xml:space="preserve">is </w:t>
      </w:r>
      <w:r w:rsidRPr="005341E6">
        <w:t xml:space="preserve">supported by the right to privacy in </w:t>
      </w:r>
      <w:r w:rsidR="00EE377E" w:rsidRPr="005341E6">
        <w:t>section</w:t>
      </w:r>
      <w:r w:rsidR="00320A13" w:rsidRPr="005341E6">
        <w:t xml:space="preserve"> </w:t>
      </w:r>
      <w:r w:rsidRPr="005341E6">
        <w:t xml:space="preserve">12 of the </w:t>
      </w:r>
      <w:r w:rsidR="00320A13" w:rsidRPr="005341E6">
        <w:t>HR</w:t>
      </w:r>
      <w:r w:rsidR="00775563" w:rsidRPr="005341E6">
        <w:t>A</w:t>
      </w:r>
      <w:r w:rsidRPr="005341E6">
        <w:t>, which prohibits a public authority from unlawfully or arbitrarily interfering with a person</w:t>
      </w:r>
      <w:r w:rsidR="00D122B3">
        <w:t>’</w:t>
      </w:r>
      <w:r w:rsidRPr="005341E6">
        <w:t xml:space="preserve">s family or home. </w:t>
      </w:r>
      <w:r w:rsidR="001A2069" w:rsidRPr="005341E6">
        <w:t>As outlined in the Convention on the Rights of the Child (1989), ratified by Australia in 1990,</w:t>
      </w:r>
      <w:r w:rsidR="001A2069" w:rsidRPr="005341E6">
        <w:rPr>
          <w:rStyle w:val="FootnoteReference"/>
          <w:sz w:val="22"/>
        </w:rPr>
        <w:footnoteReference w:id="29"/>
      </w:r>
      <w:r w:rsidR="001A2069" w:rsidRPr="005341E6">
        <w:t xml:space="preserve"> t</w:t>
      </w:r>
      <w:r w:rsidR="00C155E1" w:rsidRPr="005341E6">
        <w:t xml:space="preserve">hese rights align with </w:t>
      </w:r>
      <w:r w:rsidR="001A2069" w:rsidRPr="005341E6">
        <w:t>a</w:t>
      </w:r>
      <w:r w:rsidR="00C155E1" w:rsidRPr="005341E6">
        <w:t>rt</w:t>
      </w:r>
      <w:r w:rsidR="00BA5947" w:rsidRPr="005341E6">
        <w:t>icle</w:t>
      </w:r>
      <w:r w:rsidR="00320A13" w:rsidRPr="005341E6">
        <w:t xml:space="preserve"> </w:t>
      </w:r>
      <w:r w:rsidR="00C155E1" w:rsidRPr="005341E6">
        <w:t xml:space="preserve">9, which stipulates that children should not be separated from their parents unless it is for their own good, and </w:t>
      </w:r>
      <w:r w:rsidR="00BA5947" w:rsidRPr="005341E6">
        <w:t>article</w:t>
      </w:r>
      <w:r w:rsidR="00320A13" w:rsidRPr="005341E6">
        <w:t xml:space="preserve"> </w:t>
      </w:r>
      <w:r w:rsidR="00C155E1" w:rsidRPr="005341E6">
        <w:t xml:space="preserve">18, </w:t>
      </w:r>
      <w:r w:rsidR="00C155E1" w:rsidRPr="005341E6">
        <w:lastRenderedPageBreak/>
        <w:t>which states that parents share responsibility for bringing up their children and should always consider what is best for each child</w:t>
      </w:r>
      <w:r w:rsidR="001A2069" w:rsidRPr="005341E6">
        <w:t xml:space="preserve">. </w:t>
      </w:r>
    </w:p>
    <w:p w14:paraId="4A98EBFD" w14:textId="134F1CD3" w:rsidR="002C4541" w:rsidRPr="005341E6" w:rsidRDefault="00D873D1" w:rsidP="00FF6625">
      <w:pPr>
        <w:pStyle w:val="Style4"/>
        <w:spacing w:before="240" w:after="0"/>
      </w:pPr>
      <w:r w:rsidRPr="005341E6">
        <w:t xml:space="preserve">Section 11(2) </w:t>
      </w:r>
      <w:r w:rsidR="001257DD" w:rsidRPr="005341E6">
        <w:t xml:space="preserve">of the </w:t>
      </w:r>
      <w:r w:rsidR="00320A13" w:rsidRPr="005341E6">
        <w:t>HR</w:t>
      </w:r>
      <w:r w:rsidR="001257DD" w:rsidRPr="005341E6">
        <w:t xml:space="preserve">A </w:t>
      </w:r>
      <w:r w:rsidRPr="005341E6">
        <w:t>states that every child, by virtue of age, has the right to the protection needed without distinction or discrimination of any kind.</w:t>
      </w:r>
      <w:r w:rsidR="00C155E1" w:rsidRPr="005341E6">
        <w:t xml:space="preserve"> Likewise, the child</w:t>
      </w:r>
      <w:r w:rsidR="00D122B3">
        <w:t>’</w:t>
      </w:r>
      <w:r w:rsidR="00C155E1" w:rsidRPr="005341E6">
        <w:t xml:space="preserve">s right to protection aligns with </w:t>
      </w:r>
      <w:r w:rsidR="00775563" w:rsidRPr="005341E6">
        <w:t>Australia</w:t>
      </w:r>
      <w:r w:rsidR="00D122B3">
        <w:t>’</w:t>
      </w:r>
      <w:r w:rsidR="00775563" w:rsidRPr="005341E6">
        <w:t xml:space="preserve">s commitment to the </w:t>
      </w:r>
      <w:r w:rsidR="00C155E1" w:rsidRPr="005341E6">
        <w:t>Convention on the Rights of the Child (C</w:t>
      </w:r>
      <w:r w:rsidR="00AA41F4" w:rsidRPr="005341E6">
        <w:t>onvention</w:t>
      </w:r>
      <w:r w:rsidR="00C155E1" w:rsidRPr="005341E6">
        <w:t>), imposing a clear obligation on the government to implement measures aimed at ensuring the protection of children where necessary</w:t>
      </w:r>
      <w:r w:rsidR="00775563" w:rsidRPr="005341E6">
        <w:t>.</w:t>
      </w:r>
    </w:p>
    <w:p w14:paraId="4C696E5B" w14:textId="6FEF3608" w:rsidR="00221C26" w:rsidRPr="005341E6" w:rsidRDefault="009B5046" w:rsidP="00FF6625">
      <w:pPr>
        <w:pStyle w:val="Style4"/>
        <w:spacing w:before="240" w:after="0"/>
      </w:pPr>
      <w:r w:rsidRPr="005341E6">
        <w:t>The Bill operates within a framework that places a high priority on preserving families through early intervention and preventative measures</w:t>
      </w:r>
      <w:r w:rsidR="00221C26" w:rsidRPr="005341E6">
        <w:t xml:space="preserve">, recognising that the Territory is under positive obligation </w:t>
      </w:r>
      <w:r w:rsidR="009B7AD4" w:rsidRPr="005341E6">
        <w:t xml:space="preserve">to </w:t>
      </w:r>
      <w:r w:rsidR="00221C26" w:rsidRPr="005341E6">
        <w:t xml:space="preserve">help families stay </w:t>
      </w:r>
      <w:r w:rsidR="00775563" w:rsidRPr="005341E6">
        <w:t xml:space="preserve">safely </w:t>
      </w:r>
      <w:r w:rsidR="00221C26" w:rsidRPr="005341E6">
        <w:t xml:space="preserve">together. </w:t>
      </w:r>
    </w:p>
    <w:p w14:paraId="2200576F" w14:textId="764212C6" w:rsidR="00D15291" w:rsidRPr="005341E6" w:rsidRDefault="002D0375" w:rsidP="00FF6625">
      <w:pPr>
        <w:pStyle w:val="Style4"/>
        <w:spacing w:before="240" w:after="0"/>
      </w:pPr>
      <w:r w:rsidRPr="005341E6">
        <w:t xml:space="preserve">The introduction of </w:t>
      </w:r>
      <w:r w:rsidR="009B5046" w:rsidRPr="005341E6">
        <w:t xml:space="preserve">risk of significant harm </w:t>
      </w:r>
      <w:r w:rsidRPr="005341E6">
        <w:t xml:space="preserve">(s </w:t>
      </w:r>
      <w:r w:rsidR="00320A13" w:rsidRPr="005341E6">
        <w:t>344</w:t>
      </w:r>
      <w:r w:rsidRPr="005341E6">
        <w:t xml:space="preserve">) aims to provide a more </w:t>
      </w:r>
      <w:r w:rsidR="00A029B5" w:rsidRPr="005341E6">
        <w:t>modern</w:t>
      </w:r>
      <w:r w:rsidRPr="005341E6">
        <w:t xml:space="preserve"> framework for understanding and addressing child maltreatment. In turn, this will </w:t>
      </w:r>
      <w:r w:rsidR="009B5046" w:rsidRPr="005341E6">
        <w:t>support</w:t>
      </w:r>
      <w:r w:rsidRPr="005341E6">
        <w:t xml:space="preserve"> users under the CYPA in recognising and responding to various forms of maltreatment experienced by children more effectively</w:t>
      </w:r>
      <w:r w:rsidR="00953777" w:rsidRPr="005341E6">
        <w:t xml:space="preserve">. The focus on early identification aims </w:t>
      </w:r>
      <w:r w:rsidR="009B5046" w:rsidRPr="005341E6">
        <w:t xml:space="preserve">to address child protection issues </w:t>
      </w:r>
      <w:r w:rsidR="00953777" w:rsidRPr="005341E6">
        <w:t xml:space="preserve">more </w:t>
      </w:r>
      <w:r w:rsidR="009B5046" w:rsidRPr="005341E6">
        <w:t>proactively</w:t>
      </w:r>
      <w:r w:rsidR="00894F41" w:rsidRPr="005341E6">
        <w:t xml:space="preserve"> and</w:t>
      </w:r>
      <w:r w:rsidR="009B7AD4" w:rsidRPr="005341E6">
        <w:t xml:space="preserve">, </w:t>
      </w:r>
      <w:r w:rsidR="00894F41" w:rsidRPr="005341E6">
        <w:t>where possible</w:t>
      </w:r>
      <w:r w:rsidR="009B7AD4" w:rsidRPr="005341E6">
        <w:t xml:space="preserve">, </w:t>
      </w:r>
      <w:r w:rsidR="00894F41" w:rsidRPr="005341E6">
        <w:t xml:space="preserve">prevent the need for </w:t>
      </w:r>
      <w:r w:rsidR="009B5046" w:rsidRPr="005341E6">
        <w:t>statutory intervention. It is guided by the core principle of employing the least restrictive measures necessary to ensure a child</w:t>
      </w:r>
      <w:r w:rsidR="00D122B3">
        <w:t>’</w:t>
      </w:r>
      <w:r w:rsidR="009B5046" w:rsidRPr="005341E6">
        <w:t xml:space="preserve">s protection, </w:t>
      </w:r>
      <w:r w:rsidR="00775563" w:rsidRPr="005341E6">
        <w:t xml:space="preserve">balancing </w:t>
      </w:r>
      <w:r w:rsidR="009B5046" w:rsidRPr="005341E6">
        <w:t xml:space="preserve">the protection of the family unit </w:t>
      </w:r>
      <w:r w:rsidR="002B3977" w:rsidRPr="005341E6">
        <w:t xml:space="preserve">in </w:t>
      </w:r>
      <w:r w:rsidR="00320A13" w:rsidRPr="005341E6">
        <w:t>s</w:t>
      </w:r>
      <w:r w:rsidR="00BA5947" w:rsidRPr="005341E6">
        <w:t>ection</w:t>
      </w:r>
      <w:r w:rsidR="00D15291" w:rsidRPr="005341E6">
        <w:t xml:space="preserve"> 11(1) </w:t>
      </w:r>
      <w:r w:rsidR="009B5046" w:rsidRPr="005341E6">
        <w:t>and the child</w:t>
      </w:r>
      <w:r w:rsidR="00D122B3">
        <w:t>’</w:t>
      </w:r>
      <w:r w:rsidR="009B5046" w:rsidRPr="005341E6">
        <w:t>s right to protection from maltreatment</w:t>
      </w:r>
      <w:r w:rsidR="00D15291" w:rsidRPr="005341E6">
        <w:t xml:space="preserve"> aligned with </w:t>
      </w:r>
      <w:r w:rsidR="00320A13" w:rsidRPr="005341E6">
        <w:t>s</w:t>
      </w:r>
      <w:r w:rsidR="00BA5947" w:rsidRPr="005341E6">
        <w:t>ection</w:t>
      </w:r>
      <w:r w:rsidR="00D15291" w:rsidRPr="005341E6">
        <w:t xml:space="preserve"> 11(2).</w:t>
      </w:r>
    </w:p>
    <w:p w14:paraId="37B65E7D" w14:textId="44BE00A7" w:rsidR="00314204" w:rsidRPr="00FF6625" w:rsidRDefault="009B5046" w:rsidP="00FF6625">
      <w:pPr>
        <w:pStyle w:val="Heading2"/>
        <w:spacing w:before="240" w:after="0"/>
        <w:rPr>
          <w:szCs w:val="24"/>
        </w:rPr>
      </w:pPr>
      <w:r w:rsidRPr="00FF6625">
        <w:rPr>
          <w:szCs w:val="24"/>
        </w:rPr>
        <w:t>The importance of the purpose of the limitation</w:t>
      </w:r>
      <w:r w:rsidR="003054C6" w:rsidRPr="00FF6625">
        <w:rPr>
          <w:szCs w:val="24"/>
        </w:rPr>
        <w:t xml:space="preserve"> </w:t>
      </w:r>
      <w:r w:rsidR="00320A13" w:rsidRPr="00FF6625">
        <w:rPr>
          <w:szCs w:val="24"/>
        </w:rPr>
        <w:t>(</w:t>
      </w:r>
      <w:r w:rsidR="003054C6" w:rsidRPr="00FF6625">
        <w:rPr>
          <w:szCs w:val="24"/>
        </w:rPr>
        <w:t>28(b)</w:t>
      </w:r>
      <w:r w:rsidR="00320A13" w:rsidRPr="00FF6625">
        <w:rPr>
          <w:szCs w:val="24"/>
        </w:rPr>
        <w:t>)</w:t>
      </w:r>
    </w:p>
    <w:p w14:paraId="7FDF82DF" w14:textId="40878264" w:rsidR="000C2534" w:rsidRPr="005341E6" w:rsidRDefault="00BA5947" w:rsidP="00FF6625">
      <w:pPr>
        <w:pStyle w:val="Style4"/>
        <w:spacing w:before="240" w:after="0"/>
      </w:pPr>
      <w:r w:rsidRPr="005341E6">
        <w:t>T</w:t>
      </w:r>
      <w:r w:rsidR="00D15291" w:rsidRPr="005341E6">
        <w:t>he primary objective of the Bill is to safeguard children from the risk of significant harm</w:t>
      </w:r>
      <w:r w:rsidR="009B7AD4" w:rsidRPr="005341E6">
        <w:t xml:space="preserve"> </w:t>
      </w:r>
      <w:r w:rsidR="00912F91" w:rsidRPr="005341E6">
        <w:t>while prioritising the child</w:t>
      </w:r>
      <w:r w:rsidR="00D122B3">
        <w:t>’</w:t>
      </w:r>
      <w:r w:rsidR="00912F91" w:rsidRPr="005341E6">
        <w:t>s best interests.</w:t>
      </w:r>
      <w:r w:rsidR="00AA41F4" w:rsidRPr="005341E6">
        <w:t xml:space="preserve"> </w:t>
      </w:r>
      <w:r w:rsidR="000C2534" w:rsidRPr="005341E6">
        <w:t>It is recognised that the most effective approach to achieving this goal is by providing earlier support to families to proactively prevent situations that could lead to significant harm to children.</w:t>
      </w:r>
    </w:p>
    <w:p w14:paraId="5CB46239" w14:textId="02DEF3C8" w:rsidR="00BA5947" w:rsidRPr="005341E6" w:rsidRDefault="00D15291" w:rsidP="00FF6625">
      <w:pPr>
        <w:pStyle w:val="Style4"/>
        <w:spacing w:before="240" w:after="0"/>
      </w:pPr>
      <w:r w:rsidRPr="005341E6">
        <w:t>The amendments proposed in the Bill are designed to place children</w:t>
      </w:r>
      <w:r w:rsidR="00D122B3">
        <w:t>’</w:t>
      </w:r>
      <w:r w:rsidRPr="005341E6">
        <w:t xml:space="preserve">s best interests at the forefront of the legislation. By giving </w:t>
      </w:r>
      <w:r w:rsidR="00BA5947" w:rsidRPr="005341E6">
        <w:t xml:space="preserve">primacy </w:t>
      </w:r>
      <w:r w:rsidRPr="005341E6">
        <w:t>to best interests and emphasising the child</w:t>
      </w:r>
      <w:r w:rsidR="00D122B3">
        <w:t>’</w:t>
      </w:r>
      <w:r w:rsidRPr="005341E6">
        <w:t xml:space="preserve">s right </w:t>
      </w:r>
      <w:r w:rsidR="009B7AD4" w:rsidRPr="005341E6">
        <w:t>to</w:t>
      </w:r>
      <w:r w:rsidRPr="005341E6">
        <w:t xml:space="preserve"> protection from significant harm, the Bill aligns with the rights of children articulated in various international agreements. This includes the right to life and protection from torture or cruel, inhuman, or degrading treatment or punishment, as outlined in art</w:t>
      </w:r>
      <w:r w:rsidR="00BA5947" w:rsidRPr="005341E6">
        <w:t xml:space="preserve">icles </w:t>
      </w:r>
      <w:r w:rsidRPr="005341E6">
        <w:t>6(1), 7, 24(1) of the International Covenant on Civil and Political Rights</w:t>
      </w:r>
      <w:r w:rsidR="00790FE0" w:rsidRPr="005341E6">
        <w:t xml:space="preserve"> (</w:t>
      </w:r>
      <w:r w:rsidR="00790FE0" w:rsidRPr="005341E6">
        <w:rPr>
          <w:rFonts w:cs="Calibri"/>
        </w:rPr>
        <w:t>ICCPR)</w:t>
      </w:r>
      <w:r w:rsidR="007C4D58" w:rsidRPr="005341E6">
        <w:t>.</w:t>
      </w:r>
      <w:r w:rsidR="00006A86" w:rsidRPr="005341E6">
        <w:rPr>
          <w:rStyle w:val="FootnoteReference"/>
          <w:sz w:val="22"/>
        </w:rPr>
        <w:footnoteReference w:id="30"/>
      </w:r>
    </w:p>
    <w:p w14:paraId="34122200" w14:textId="42FF7E37" w:rsidR="00D15291" w:rsidRPr="005341E6" w:rsidRDefault="007C4D58" w:rsidP="00FF6625">
      <w:pPr>
        <w:pStyle w:val="Style4"/>
        <w:spacing w:before="240" w:after="0"/>
      </w:pPr>
      <w:r w:rsidRPr="005341E6">
        <w:t>Generally</w:t>
      </w:r>
      <w:r w:rsidR="00485A7E" w:rsidRPr="005341E6">
        <w:t>,</w:t>
      </w:r>
      <w:r w:rsidRPr="005341E6">
        <w:t xml:space="preserve"> </w:t>
      </w:r>
      <w:r w:rsidR="009B7AD4" w:rsidRPr="005341E6">
        <w:t xml:space="preserve">the </w:t>
      </w:r>
      <w:r w:rsidRPr="005341E6">
        <w:t xml:space="preserve">best interests of the child are a primary consideration in all actions concerning children </w:t>
      </w:r>
      <w:r w:rsidR="00485A7E" w:rsidRPr="005341E6">
        <w:t xml:space="preserve">under </w:t>
      </w:r>
      <w:r w:rsidR="00D15291" w:rsidRPr="005341E6">
        <w:t>ar</w:t>
      </w:r>
      <w:r w:rsidR="00393D9E" w:rsidRPr="005341E6">
        <w:t>t</w:t>
      </w:r>
      <w:r w:rsidR="00BA5947" w:rsidRPr="005341E6">
        <w:t>icle</w:t>
      </w:r>
      <w:r w:rsidRPr="005341E6">
        <w:t xml:space="preserve"> 3</w:t>
      </w:r>
      <w:r w:rsidR="00D200CA" w:rsidRPr="005341E6">
        <w:t>(1)</w:t>
      </w:r>
      <w:r w:rsidR="00D15291" w:rsidRPr="005341E6">
        <w:t xml:space="preserve"> of the </w:t>
      </w:r>
      <w:r w:rsidR="00AA41F4" w:rsidRPr="005341E6">
        <w:t>Convention</w:t>
      </w:r>
      <w:r w:rsidRPr="005341E6">
        <w:t>. In the context of child protection</w:t>
      </w:r>
      <w:r w:rsidR="009B7AD4" w:rsidRPr="005341E6">
        <w:t>,</w:t>
      </w:r>
      <w:r w:rsidRPr="005341E6">
        <w:t xml:space="preserve"> </w:t>
      </w:r>
      <w:r w:rsidR="00D200CA" w:rsidRPr="005341E6">
        <w:t xml:space="preserve">best interest discretion is </w:t>
      </w:r>
      <w:r w:rsidR="00BA5947" w:rsidRPr="005341E6">
        <w:t xml:space="preserve">elevated to </w:t>
      </w:r>
      <w:r w:rsidRPr="005341E6">
        <w:t xml:space="preserve">the paramount consideration, </w:t>
      </w:r>
      <w:r w:rsidR="00D200CA" w:rsidRPr="005341E6">
        <w:t>noting the Convention advises governments that they should ensure decisions are made with due regard for the best interests of children, particularly those from vulnerable groups</w:t>
      </w:r>
      <w:r w:rsidR="00D36572" w:rsidRPr="005341E6">
        <w:t>.</w:t>
      </w:r>
      <w:r w:rsidR="00D200CA" w:rsidRPr="00F508A0">
        <w:rPr>
          <w:vertAlign w:val="superscript"/>
        </w:rPr>
        <w:footnoteReference w:id="31"/>
      </w:r>
      <w:r w:rsidR="00E62018" w:rsidRPr="005341E6">
        <w:t xml:space="preserve"> This aligns but </w:t>
      </w:r>
      <w:r w:rsidR="00B15378" w:rsidRPr="005341E6">
        <w:t xml:space="preserve">is </w:t>
      </w:r>
      <w:r w:rsidR="00E62018" w:rsidRPr="005341E6">
        <w:t xml:space="preserve">not limited to </w:t>
      </w:r>
      <w:r w:rsidR="00BA5947" w:rsidRPr="005341E6">
        <w:t>articles</w:t>
      </w:r>
      <w:r w:rsidR="00E62018" w:rsidRPr="005341E6">
        <w:t xml:space="preserve"> 3, 9(1)(3), 18(1), 19, 21</w:t>
      </w:r>
      <w:r w:rsidR="00393D9E" w:rsidRPr="005341E6">
        <w:t xml:space="preserve">, </w:t>
      </w:r>
      <w:r w:rsidR="00E62018" w:rsidRPr="005341E6">
        <w:t>34.</w:t>
      </w:r>
    </w:p>
    <w:p w14:paraId="7ED1D311" w14:textId="6F30BFCA" w:rsidR="00D15291" w:rsidRPr="005341E6" w:rsidRDefault="00D15291" w:rsidP="00FF6625">
      <w:pPr>
        <w:pStyle w:val="Style4"/>
        <w:spacing w:before="240" w:after="0"/>
      </w:pPr>
      <w:r w:rsidRPr="005341E6">
        <w:lastRenderedPageBreak/>
        <w:t xml:space="preserve">Notably, </w:t>
      </w:r>
      <w:r w:rsidR="00F10141" w:rsidRPr="005341E6">
        <w:t>article</w:t>
      </w:r>
      <w:r w:rsidR="00393D9E" w:rsidRPr="005341E6">
        <w:t xml:space="preserve"> </w:t>
      </w:r>
      <w:r w:rsidRPr="005341E6">
        <w:t xml:space="preserve">19(1) of the </w:t>
      </w:r>
      <w:r w:rsidR="00AA41F4" w:rsidRPr="005341E6">
        <w:t>Convention</w:t>
      </w:r>
      <w:r w:rsidRPr="005341E6">
        <w:t xml:space="preserve"> states that government</w:t>
      </w:r>
      <w:r w:rsidR="00F508A0">
        <w:t>s</w:t>
      </w:r>
      <w:r w:rsidRPr="005341E6">
        <w:t xml:space="preserve"> must take all appropriate legislative, administrative, social and educational measures to protect </w:t>
      </w:r>
      <w:r w:rsidR="00F508A0">
        <w:t>children</w:t>
      </w:r>
      <w:r w:rsidRPr="005341E6">
        <w:t xml:space="preserve"> from all forms of physical or mental violence, injury or abuse, neglect or negligent treatment, maltreatment or exploitation, including sexual abuse, while in the care of parent(s), legal guardian(s) or any other person who has the care of the child. This is reinforced by </w:t>
      </w:r>
      <w:r w:rsidR="00EB64CE" w:rsidRPr="005341E6">
        <w:t>article</w:t>
      </w:r>
      <w:r w:rsidRPr="005341E6">
        <w:t xml:space="preserve"> 19(2), which further states </w:t>
      </w:r>
      <w:r w:rsidR="00A83DC2" w:rsidRPr="005341E6">
        <w:t xml:space="preserve">that </w:t>
      </w:r>
      <w:r w:rsidRPr="005341E6">
        <w:t>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w:t>
      </w:r>
      <w:r w:rsidR="00506258" w:rsidRPr="005341E6">
        <w:t>.</w:t>
      </w:r>
      <w:r w:rsidR="00506258" w:rsidRPr="005341E6">
        <w:rPr>
          <w:rStyle w:val="FootnoteReference"/>
          <w:sz w:val="22"/>
        </w:rPr>
        <w:footnoteReference w:id="32"/>
      </w:r>
    </w:p>
    <w:p w14:paraId="7E48481D" w14:textId="749FC744" w:rsidR="00D15291" w:rsidRPr="005341E6" w:rsidRDefault="00D15291" w:rsidP="00FF6625">
      <w:pPr>
        <w:pStyle w:val="Style4"/>
        <w:spacing w:before="240" w:after="0"/>
      </w:pPr>
      <w:r w:rsidRPr="005341E6">
        <w:t>The amendments to the Bill demonstrate a proactive approach in responding to the critical problem of child maltreatment. By adapting the legislative frame to the evolving understanding of child maltreatment and recognising this as a violation of a child</w:t>
      </w:r>
      <w:r w:rsidR="00D122B3">
        <w:t>’</w:t>
      </w:r>
      <w:r w:rsidRPr="005341E6">
        <w:t>s fundamental human rights, the Bill underscores the seriousness of the issue as recognised by the</w:t>
      </w:r>
      <w:r w:rsidR="00EE377E" w:rsidRPr="005341E6">
        <w:t xml:space="preserve"> HRA</w:t>
      </w:r>
      <w:r w:rsidRPr="005341E6">
        <w:t>. Furthermore, it highlights the importance of early intervention to address the underlying factors contributing to child maltreatment in accordance with the principles outlined in</w:t>
      </w:r>
      <w:r w:rsidR="00912F91" w:rsidRPr="005341E6">
        <w:t xml:space="preserve"> stated</w:t>
      </w:r>
      <w:r w:rsidRPr="005341E6">
        <w:t xml:space="preserve"> international treaties.</w:t>
      </w:r>
    </w:p>
    <w:p w14:paraId="61B1BBEE" w14:textId="61479491" w:rsidR="009B2B1C" w:rsidRPr="00FF6625" w:rsidRDefault="009B2B1C" w:rsidP="00FF6625">
      <w:pPr>
        <w:pStyle w:val="Heading2"/>
        <w:spacing w:before="240" w:after="0"/>
        <w:rPr>
          <w:szCs w:val="24"/>
        </w:rPr>
      </w:pPr>
      <w:r w:rsidRPr="00FF6625">
        <w:rPr>
          <w:szCs w:val="24"/>
        </w:rPr>
        <w:t xml:space="preserve">The nature and extent of the limitation </w:t>
      </w:r>
      <w:r w:rsidR="00393D9E" w:rsidRPr="00FF6625">
        <w:rPr>
          <w:szCs w:val="24"/>
        </w:rPr>
        <w:t>(</w:t>
      </w:r>
      <w:r w:rsidRPr="00FF6625">
        <w:rPr>
          <w:szCs w:val="24"/>
        </w:rPr>
        <w:t>(28c)</w:t>
      </w:r>
      <w:r w:rsidR="00393D9E" w:rsidRPr="00FF6625">
        <w:rPr>
          <w:szCs w:val="24"/>
        </w:rPr>
        <w:t>)</w:t>
      </w:r>
    </w:p>
    <w:p w14:paraId="460C2630" w14:textId="74BDC45B" w:rsidR="00081EF4" w:rsidRPr="005341E6" w:rsidRDefault="00081EF4" w:rsidP="00FF6625">
      <w:pPr>
        <w:pStyle w:val="Style4"/>
        <w:spacing w:before="240" w:after="0"/>
      </w:pPr>
      <w:r w:rsidRPr="005341E6">
        <w:t>As in common with the existing CYPA, the Bill maintains the obligation to protect children from child maltreatment. The Bill replaces references to concepts of abuse and neglect with the overarching concept of significant harm, including strengthening the concepts of sexual abuse and family violence, revising the term neglect, and explicitly enabling consideration of cumulative harm (s 344).</w:t>
      </w:r>
      <w:r w:rsidR="005B2CEB" w:rsidRPr="005341E6">
        <w:t xml:space="preserve"> </w:t>
      </w:r>
      <w:r w:rsidRPr="005341E6">
        <w:t>Furthermore, it streamlines the provisions related to the assessment of significant harm (s360).</w:t>
      </w:r>
    </w:p>
    <w:p w14:paraId="44C9B3DD" w14:textId="58C639F0" w:rsidR="00425C6C" w:rsidRPr="005341E6" w:rsidRDefault="00506258" w:rsidP="00FF6625">
      <w:pPr>
        <w:pStyle w:val="Style4"/>
        <w:spacing w:before="240" w:after="0"/>
      </w:pPr>
      <w:r w:rsidRPr="005341E6">
        <w:t xml:space="preserve">The right to family protection is limited by amendments to sections 344 and 360, which may lead to interference with family life and the disruption of family units. </w:t>
      </w:r>
      <w:r w:rsidR="005046CD" w:rsidRPr="005341E6">
        <w:t>Despite the provision of preventative</w:t>
      </w:r>
      <w:r w:rsidRPr="005341E6">
        <w:t xml:space="preserve"> and </w:t>
      </w:r>
      <w:r w:rsidR="005046CD" w:rsidRPr="005341E6">
        <w:t xml:space="preserve">early intervention, some children will still be exposed to the risk of significant harm. </w:t>
      </w:r>
      <w:r w:rsidR="009B2B1C" w:rsidRPr="005341E6">
        <w:t xml:space="preserve">In situations where a child is </w:t>
      </w:r>
      <w:r w:rsidR="00732503" w:rsidRPr="005341E6">
        <w:t xml:space="preserve">considered </w:t>
      </w:r>
      <w:r w:rsidR="009B2B1C" w:rsidRPr="005341E6">
        <w:t>at</w:t>
      </w:r>
      <w:r w:rsidR="00B66222" w:rsidRPr="005341E6">
        <w:t xml:space="preserve"> risk of</w:t>
      </w:r>
      <w:r w:rsidR="009B2B1C" w:rsidRPr="005341E6">
        <w:t xml:space="preserve"> significant harm, the Territory </w:t>
      </w:r>
      <w:r w:rsidR="00732503" w:rsidRPr="005341E6">
        <w:t xml:space="preserve">is </w:t>
      </w:r>
      <w:r w:rsidR="009B2B1C" w:rsidRPr="005341E6">
        <w:t>positively obligated to</w:t>
      </w:r>
      <w:r w:rsidR="00425C6C" w:rsidRPr="005341E6">
        <w:t xml:space="preserve"> intervene</w:t>
      </w:r>
      <w:r w:rsidR="009B2B1C" w:rsidRPr="005341E6">
        <w:t xml:space="preserve">. </w:t>
      </w:r>
      <w:r w:rsidR="005046CD" w:rsidRPr="005341E6">
        <w:t xml:space="preserve">In such cases, these children and their families </w:t>
      </w:r>
      <w:r w:rsidR="00102CDB" w:rsidRPr="005341E6">
        <w:t xml:space="preserve">require a </w:t>
      </w:r>
      <w:r w:rsidR="00425C6C" w:rsidRPr="005341E6">
        <w:t>transparent</w:t>
      </w:r>
      <w:r w:rsidR="005046CD" w:rsidRPr="005341E6">
        <w:t xml:space="preserve"> system for </w:t>
      </w:r>
      <w:r w:rsidR="00425C6C" w:rsidRPr="005341E6">
        <w:t>assess</w:t>
      </w:r>
      <w:r w:rsidR="00732503" w:rsidRPr="005341E6">
        <w:t>ing</w:t>
      </w:r>
      <w:r w:rsidR="005046CD" w:rsidRPr="005341E6">
        <w:t xml:space="preserve"> and addressing their needs. </w:t>
      </w:r>
    </w:p>
    <w:p w14:paraId="056F02DD" w14:textId="23116517" w:rsidR="005046CD" w:rsidRPr="005341E6" w:rsidRDefault="005046CD" w:rsidP="00FF6625">
      <w:pPr>
        <w:pStyle w:val="Style4"/>
        <w:spacing w:before="240" w:after="0"/>
      </w:pPr>
      <w:r w:rsidRPr="005341E6">
        <w:t>T</w:t>
      </w:r>
      <w:r w:rsidR="00425C6C" w:rsidRPr="005341E6">
        <w:t xml:space="preserve">he system </w:t>
      </w:r>
      <w:r w:rsidR="00506258" w:rsidRPr="005341E6">
        <w:t>employed</w:t>
      </w:r>
      <w:r w:rsidR="00425C6C" w:rsidRPr="005341E6">
        <w:t xml:space="preserve"> to protect children includes: </w:t>
      </w:r>
    </w:p>
    <w:p w14:paraId="1196A989" w14:textId="3C3A8CB6" w:rsidR="005046CD" w:rsidRPr="005341E6" w:rsidRDefault="005046CD" w:rsidP="00FF6625">
      <w:pPr>
        <w:pStyle w:val="Style1"/>
        <w:numPr>
          <w:ilvl w:val="0"/>
          <w:numId w:val="13"/>
        </w:numPr>
        <w:spacing w:before="120" w:after="0"/>
        <w:rPr>
          <w:sz w:val="22"/>
          <w:szCs w:val="22"/>
        </w:rPr>
      </w:pPr>
      <w:r w:rsidRPr="005341E6">
        <w:rPr>
          <w:sz w:val="22"/>
          <w:szCs w:val="22"/>
        </w:rPr>
        <w:t xml:space="preserve">receiving reports of alleged </w:t>
      </w:r>
      <w:r w:rsidR="00B66222" w:rsidRPr="005341E6">
        <w:rPr>
          <w:sz w:val="22"/>
          <w:szCs w:val="22"/>
        </w:rPr>
        <w:t xml:space="preserve">risk of </w:t>
      </w:r>
      <w:r w:rsidR="00425C6C" w:rsidRPr="005341E6">
        <w:rPr>
          <w:sz w:val="22"/>
          <w:szCs w:val="22"/>
        </w:rPr>
        <w:t>significant</w:t>
      </w:r>
      <w:r w:rsidRPr="005341E6">
        <w:rPr>
          <w:sz w:val="22"/>
          <w:szCs w:val="22"/>
        </w:rPr>
        <w:t xml:space="preserve"> </w:t>
      </w:r>
      <w:r w:rsidR="00B66222" w:rsidRPr="005341E6">
        <w:rPr>
          <w:sz w:val="22"/>
          <w:szCs w:val="22"/>
        </w:rPr>
        <w:t>harm</w:t>
      </w:r>
      <w:r w:rsidRPr="005341E6">
        <w:rPr>
          <w:sz w:val="22"/>
          <w:szCs w:val="22"/>
        </w:rPr>
        <w:t xml:space="preserve"> to a child</w:t>
      </w:r>
      <w:r w:rsidR="00F508A0">
        <w:rPr>
          <w:sz w:val="22"/>
          <w:szCs w:val="22"/>
        </w:rPr>
        <w:t>;</w:t>
      </w:r>
    </w:p>
    <w:p w14:paraId="4452E0D7" w14:textId="647920AF" w:rsidR="005046CD" w:rsidRPr="005341E6" w:rsidRDefault="005046CD" w:rsidP="00FF6625">
      <w:pPr>
        <w:pStyle w:val="Style1"/>
        <w:numPr>
          <w:ilvl w:val="0"/>
          <w:numId w:val="13"/>
        </w:numPr>
        <w:spacing w:before="120" w:after="0"/>
        <w:rPr>
          <w:sz w:val="22"/>
          <w:szCs w:val="22"/>
        </w:rPr>
      </w:pPr>
      <w:r w:rsidRPr="005341E6">
        <w:rPr>
          <w:sz w:val="22"/>
          <w:szCs w:val="22"/>
        </w:rPr>
        <w:t>investigating these reports and assessing a child</w:t>
      </w:r>
      <w:r w:rsidR="00D122B3">
        <w:rPr>
          <w:sz w:val="22"/>
          <w:szCs w:val="22"/>
        </w:rPr>
        <w:t>’</w:t>
      </w:r>
      <w:r w:rsidRPr="005341E6">
        <w:rPr>
          <w:sz w:val="22"/>
          <w:szCs w:val="22"/>
        </w:rPr>
        <w:t>s need for protection; and</w:t>
      </w:r>
    </w:p>
    <w:p w14:paraId="055376BE" w14:textId="77673DD2" w:rsidR="005046CD" w:rsidRPr="005341E6" w:rsidRDefault="005046CD" w:rsidP="00FF6625">
      <w:pPr>
        <w:pStyle w:val="Style1"/>
        <w:numPr>
          <w:ilvl w:val="0"/>
          <w:numId w:val="13"/>
        </w:numPr>
        <w:spacing w:before="120" w:after="0"/>
        <w:ind w:left="1434" w:hanging="357"/>
        <w:rPr>
          <w:sz w:val="22"/>
          <w:szCs w:val="22"/>
        </w:rPr>
      </w:pPr>
      <w:r w:rsidRPr="005341E6">
        <w:rPr>
          <w:sz w:val="22"/>
          <w:szCs w:val="22"/>
        </w:rPr>
        <w:t>if a child needs protection, determining what level of intervention</w:t>
      </w:r>
      <w:r w:rsidR="00732503" w:rsidRPr="005341E6">
        <w:rPr>
          <w:sz w:val="22"/>
          <w:szCs w:val="22"/>
        </w:rPr>
        <w:t>,</w:t>
      </w:r>
      <w:r w:rsidRPr="005341E6">
        <w:rPr>
          <w:sz w:val="22"/>
          <w:szCs w:val="22"/>
        </w:rPr>
        <w:t xml:space="preserve"> if any</w:t>
      </w:r>
      <w:r w:rsidR="00732503" w:rsidRPr="005341E6">
        <w:rPr>
          <w:sz w:val="22"/>
          <w:szCs w:val="22"/>
        </w:rPr>
        <w:t>,</w:t>
      </w:r>
      <w:r w:rsidRPr="005341E6">
        <w:rPr>
          <w:sz w:val="22"/>
          <w:szCs w:val="22"/>
        </w:rPr>
        <w:t xml:space="preserve"> is required to ensure the child</w:t>
      </w:r>
      <w:r w:rsidR="00D122B3">
        <w:rPr>
          <w:sz w:val="22"/>
          <w:szCs w:val="22"/>
        </w:rPr>
        <w:t>’</w:t>
      </w:r>
      <w:r w:rsidRPr="005341E6">
        <w:rPr>
          <w:sz w:val="22"/>
          <w:szCs w:val="22"/>
        </w:rPr>
        <w:t>s safety</w:t>
      </w:r>
      <w:r w:rsidR="00102CDB" w:rsidRPr="005341E6">
        <w:rPr>
          <w:sz w:val="22"/>
          <w:szCs w:val="22"/>
        </w:rPr>
        <w:t>.</w:t>
      </w:r>
    </w:p>
    <w:p w14:paraId="4B9C382E" w14:textId="6ADF18D3" w:rsidR="00425C6C" w:rsidRPr="005341E6" w:rsidRDefault="00A029B5" w:rsidP="00FF6625">
      <w:pPr>
        <w:pStyle w:val="Style4"/>
        <w:spacing w:before="240" w:after="0"/>
      </w:pPr>
      <w:r w:rsidRPr="005341E6">
        <w:t>This</w:t>
      </w:r>
      <w:r w:rsidR="009B2B1C" w:rsidRPr="005341E6">
        <w:t xml:space="preserve"> may require actions that impose upon or limit parental rights and involve activities considered intrusive into private family life. </w:t>
      </w:r>
    </w:p>
    <w:p w14:paraId="6E8D343B" w14:textId="760B94FD" w:rsidR="00EE64DF" w:rsidRPr="005341E6" w:rsidRDefault="009B2B1C" w:rsidP="00FF6625">
      <w:pPr>
        <w:pStyle w:val="Style4"/>
        <w:spacing w:before="240" w:after="0"/>
      </w:pPr>
      <w:r w:rsidRPr="005341E6">
        <w:t xml:space="preserve">In </w:t>
      </w:r>
      <w:r w:rsidR="00425C6C" w:rsidRPr="005341E6">
        <w:t>a minority of cases t</w:t>
      </w:r>
      <w:r w:rsidRPr="005341E6">
        <w:t xml:space="preserve">he severity of significant harm </w:t>
      </w:r>
      <w:r w:rsidR="00425C6C" w:rsidRPr="005341E6">
        <w:t>may</w:t>
      </w:r>
      <w:r w:rsidR="00102CDB" w:rsidRPr="005341E6">
        <w:t xml:space="preserve"> necessitate prioritising</w:t>
      </w:r>
      <w:r w:rsidR="00425C6C" w:rsidRPr="005341E6">
        <w:t xml:space="preserve"> the child</w:t>
      </w:r>
      <w:r w:rsidR="00D122B3">
        <w:t>’</w:t>
      </w:r>
      <w:r w:rsidR="00425C6C" w:rsidRPr="005341E6">
        <w:t>s safety and wellbeing over preserving the family unit</w:t>
      </w:r>
      <w:r w:rsidR="00102CDB" w:rsidRPr="005341E6">
        <w:t>, if considered in the child</w:t>
      </w:r>
      <w:r w:rsidR="00D122B3">
        <w:t>’</w:t>
      </w:r>
      <w:r w:rsidR="00102CDB" w:rsidRPr="005341E6">
        <w:t>s best interest</w:t>
      </w:r>
      <w:r w:rsidR="00425C6C" w:rsidRPr="005341E6">
        <w:t xml:space="preserve">. The CYPA </w:t>
      </w:r>
      <w:r w:rsidR="00425C6C" w:rsidRPr="005341E6">
        <w:lastRenderedPageBreak/>
        <w:t xml:space="preserve">authorises the director-general </w:t>
      </w:r>
      <w:r w:rsidR="00EE64DF" w:rsidRPr="005341E6">
        <w:t xml:space="preserve">to act without parental </w:t>
      </w:r>
      <w:r w:rsidR="00A029B5" w:rsidRPr="005341E6">
        <w:t>agreement</w:t>
      </w:r>
      <w:r w:rsidR="00102CDB" w:rsidRPr="005341E6">
        <w:t xml:space="preserve"> </w:t>
      </w:r>
      <w:r w:rsidR="00F508A0">
        <w:t xml:space="preserve">to </w:t>
      </w:r>
      <w:r w:rsidR="00425C6C" w:rsidRPr="005341E6">
        <w:t xml:space="preserve">assume protective </w:t>
      </w:r>
      <w:r w:rsidR="00102CDB" w:rsidRPr="005341E6">
        <w:t xml:space="preserve">responses to children </w:t>
      </w:r>
      <w:r w:rsidR="00425C6C" w:rsidRPr="005341E6">
        <w:t>if it is determined to be in the child</w:t>
      </w:r>
      <w:r w:rsidR="00D122B3">
        <w:t>’</w:t>
      </w:r>
      <w:r w:rsidR="00425C6C" w:rsidRPr="005341E6">
        <w:t>s best interests</w:t>
      </w:r>
      <w:r w:rsidR="00102CDB" w:rsidRPr="005341E6">
        <w:rPr>
          <w:rStyle w:val="FootnoteReference"/>
          <w:sz w:val="22"/>
        </w:rPr>
        <w:footnoteReference w:id="33"/>
      </w:r>
      <w:r w:rsidR="00EE64DF" w:rsidRPr="005341E6">
        <w:t xml:space="preserve">. </w:t>
      </w:r>
      <w:r w:rsidR="00102CDB" w:rsidRPr="005341E6">
        <w:t>In certain situations, this action may lead to the temporary or permanent suspension of legal parental responsibilities for a parent or caregiver.</w:t>
      </w:r>
    </w:p>
    <w:p w14:paraId="319FFCCB" w14:textId="688C7A3B" w:rsidR="009B2B1C" w:rsidRPr="005341E6" w:rsidRDefault="009B2B1C" w:rsidP="00FF6625">
      <w:pPr>
        <w:pStyle w:val="Style4"/>
        <w:spacing w:before="240" w:after="0"/>
      </w:pPr>
      <w:r w:rsidRPr="005341E6">
        <w:t xml:space="preserve">On balance, the nature and extent of this limitation is consistent with </w:t>
      </w:r>
      <w:r w:rsidR="00102CDB" w:rsidRPr="005341E6">
        <w:t xml:space="preserve">a </w:t>
      </w:r>
      <w:r w:rsidRPr="005341E6">
        <w:t>child</w:t>
      </w:r>
      <w:r w:rsidR="00D122B3">
        <w:t>’</w:t>
      </w:r>
      <w:r w:rsidR="00102CDB" w:rsidRPr="005341E6">
        <w:t xml:space="preserve">s </w:t>
      </w:r>
      <w:r w:rsidRPr="005341E6">
        <w:t xml:space="preserve">right to protection </w:t>
      </w:r>
      <w:r w:rsidR="00102CDB" w:rsidRPr="005341E6">
        <w:t xml:space="preserve">(s11(2)) </w:t>
      </w:r>
      <w:r w:rsidRPr="005341E6">
        <w:t>and the right to life</w:t>
      </w:r>
      <w:r w:rsidR="00393D9E" w:rsidRPr="005341E6">
        <w:t xml:space="preserve"> (</w:t>
      </w:r>
      <w:r w:rsidRPr="005341E6">
        <w:t>s 9</w:t>
      </w:r>
      <w:r w:rsidR="00393D9E" w:rsidRPr="005341E6">
        <w:t>)</w:t>
      </w:r>
      <w:r w:rsidRPr="005341E6">
        <w:t xml:space="preserve"> </w:t>
      </w:r>
      <w:r w:rsidR="00A907EA">
        <w:t xml:space="preserve">under the HRA </w:t>
      </w:r>
      <w:r w:rsidRPr="005341E6">
        <w:t>where the Territory has positive obligations to protect a child from acts or omissions which may cause loss of life</w:t>
      </w:r>
      <w:r w:rsidR="00D36572" w:rsidRPr="005341E6">
        <w:t>.</w:t>
      </w:r>
      <w:r w:rsidRPr="005341E6">
        <w:rPr>
          <w:vertAlign w:val="superscript"/>
        </w:rPr>
        <w:footnoteReference w:id="34"/>
      </w:r>
    </w:p>
    <w:p w14:paraId="3D3AAF6C" w14:textId="6962A62A" w:rsidR="00D15291" w:rsidRPr="00FF6625" w:rsidRDefault="00D15291" w:rsidP="00FF6625">
      <w:pPr>
        <w:pStyle w:val="Heading2"/>
        <w:spacing w:before="240" w:after="0"/>
        <w:rPr>
          <w:szCs w:val="24"/>
        </w:rPr>
      </w:pPr>
      <w:r w:rsidRPr="00FF6625">
        <w:rPr>
          <w:szCs w:val="24"/>
        </w:rPr>
        <w:t>The relationship between the limitation and its purposes</w:t>
      </w:r>
      <w:r w:rsidR="003054C6" w:rsidRPr="00FF6625">
        <w:rPr>
          <w:szCs w:val="24"/>
        </w:rPr>
        <w:t xml:space="preserve"> (28</w:t>
      </w:r>
      <w:r w:rsidR="00CB64B5" w:rsidRPr="00FF6625">
        <w:rPr>
          <w:szCs w:val="24"/>
        </w:rPr>
        <w:t>d</w:t>
      </w:r>
      <w:r w:rsidR="003054C6" w:rsidRPr="00FF6625">
        <w:rPr>
          <w:szCs w:val="24"/>
        </w:rPr>
        <w:t>)</w:t>
      </w:r>
      <w:r w:rsidR="00393D9E" w:rsidRPr="00FF6625">
        <w:rPr>
          <w:szCs w:val="24"/>
        </w:rPr>
        <w:t>)</w:t>
      </w:r>
    </w:p>
    <w:p w14:paraId="7478EAAB" w14:textId="0FD839CA" w:rsidR="009C07B0" w:rsidRPr="005341E6" w:rsidRDefault="00B21086" w:rsidP="00FF6625">
      <w:pPr>
        <w:pStyle w:val="Style4"/>
        <w:spacing w:before="240" w:after="0"/>
      </w:pPr>
      <w:r w:rsidRPr="005341E6">
        <w:t>The Convention emphasises the significance of maintaining the family unit. This means that, ideally, parents and their children should be together and steps must be taken to support and preserve family unity when it is in the child</w:t>
      </w:r>
      <w:r w:rsidR="00D122B3">
        <w:t>’</w:t>
      </w:r>
      <w:r w:rsidRPr="005341E6">
        <w:t xml:space="preserve">s best interests. </w:t>
      </w:r>
      <w:r w:rsidR="009B5046" w:rsidRPr="005341E6">
        <w:t>In the assess</w:t>
      </w:r>
      <w:r w:rsidR="00102CDB" w:rsidRPr="005341E6">
        <w:t xml:space="preserve">ment </w:t>
      </w:r>
      <w:r w:rsidR="009B5046" w:rsidRPr="005341E6">
        <w:t xml:space="preserve">of risk of significant </w:t>
      </w:r>
      <w:r w:rsidR="00912F91" w:rsidRPr="005341E6">
        <w:t>h</w:t>
      </w:r>
      <w:r w:rsidR="009B5046" w:rsidRPr="005341E6">
        <w:t>arm</w:t>
      </w:r>
      <w:r w:rsidR="00732503" w:rsidRPr="005341E6">
        <w:t>,</w:t>
      </w:r>
      <w:r w:rsidR="009B5046" w:rsidRPr="005341E6">
        <w:t xml:space="preserve"> </w:t>
      </w:r>
      <w:r w:rsidR="00722D34" w:rsidRPr="005341E6">
        <w:t xml:space="preserve">the rights in </w:t>
      </w:r>
      <w:r w:rsidR="00393D9E" w:rsidRPr="005341E6">
        <w:t>s</w:t>
      </w:r>
      <w:r w:rsidR="00BA5947" w:rsidRPr="005341E6">
        <w:t>ections</w:t>
      </w:r>
      <w:r w:rsidR="00393D9E" w:rsidRPr="005341E6">
        <w:t xml:space="preserve"> </w:t>
      </w:r>
      <w:r w:rsidR="00722D34" w:rsidRPr="005341E6">
        <w:t>11(1) and 11(2) will be engaged</w:t>
      </w:r>
      <w:r w:rsidR="00FD3EBE" w:rsidRPr="005341E6">
        <w:t xml:space="preserve"> simultaneously</w:t>
      </w:r>
      <w:r w:rsidR="00722D34" w:rsidRPr="005341E6">
        <w:t xml:space="preserve">. </w:t>
      </w:r>
      <w:r w:rsidR="009C07B0" w:rsidRPr="005341E6">
        <w:t>In most cases there will be no conflict between s</w:t>
      </w:r>
      <w:r w:rsidRPr="005341E6">
        <w:t>ections</w:t>
      </w:r>
      <w:r w:rsidR="009C07B0" w:rsidRPr="005341E6">
        <w:t xml:space="preserve"> 11(1) and 11(2), as a </w:t>
      </w:r>
      <w:r w:rsidRPr="005341E6">
        <w:t>child</w:t>
      </w:r>
      <w:r w:rsidR="00D122B3">
        <w:t>’</w:t>
      </w:r>
      <w:r w:rsidRPr="005341E6">
        <w:t>s best</w:t>
      </w:r>
      <w:r w:rsidR="00732503" w:rsidRPr="005341E6">
        <w:t xml:space="preserve"> </w:t>
      </w:r>
      <w:r w:rsidR="009C07B0" w:rsidRPr="005341E6">
        <w:t xml:space="preserve">interests will </w:t>
      </w:r>
      <w:r w:rsidR="00A907EA">
        <w:t>usually</w:t>
      </w:r>
      <w:r w:rsidR="009C07B0" w:rsidRPr="005341E6">
        <w:t xml:space="preserve"> be best served by the protection of their family. However, in </w:t>
      </w:r>
      <w:r w:rsidR="00235442" w:rsidRPr="005341E6">
        <w:t>s</w:t>
      </w:r>
      <w:r w:rsidR="009C07B0" w:rsidRPr="005341E6">
        <w:t>ome</w:t>
      </w:r>
      <w:r w:rsidR="00235442" w:rsidRPr="005341E6">
        <w:t xml:space="preserve"> cases, </w:t>
      </w:r>
      <w:r w:rsidR="00722D34" w:rsidRPr="005341E6">
        <w:t>achieving harmonisation between the two rights will not be possible</w:t>
      </w:r>
      <w:r w:rsidR="00287644" w:rsidRPr="005341E6">
        <w:t xml:space="preserve">. </w:t>
      </w:r>
    </w:p>
    <w:p w14:paraId="45D7A017" w14:textId="77B15E5B" w:rsidR="00B21086" w:rsidRPr="005341E6" w:rsidRDefault="00287644" w:rsidP="00FF6625">
      <w:pPr>
        <w:pStyle w:val="Style4"/>
        <w:spacing w:before="240" w:after="0"/>
      </w:pPr>
      <w:r w:rsidRPr="005341E6">
        <w:t xml:space="preserve">In child protection, </w:t>
      </w:r>
      <w:r w:rsidR="00EA2B37" w:rsidRPr="005341E6">
        <w:t xml:space="preserve">the </w:t>
      </w:r>
      <w:r w:rsidRPr="005341E6">
        <w:t>best interest</w:t>
      </w:r>
      <w:r w:rsidR="00EA2B37" w:rsidRPr="005341E6">
        <w:t xml:space="preserve"> principles proposed in section 349</w:t>
      </w:r>
      <w:r w:rsidRPr="005341E6">
        <w:t xml:space="preserve"> become relevant when the obligations inherent in parental rights are not observed or </w:t>
      </w:r>
      <w:r w:rsidR="00475792" w:rsidRPr="005341E6">
        <w:t xml:space="preserve">are </w:t>
      </w:r>
      <w:r w:rsidRPr="005341E6">
        <w:t xml:space="preserve">exercised in </w:t>
      </w:r>
      <w:r w:rsidR="00732503" w:rsidRPr="005341E6">
        <w:t xml:space="preserve">a </w:t>
      </w:r>
      <w:r w:rsidRPr="005341E6">
        <w:t xml:space="preserve">manner that compromises the </w:t>
      </w:r>
      <w:r w:rsidR="00732503" w:rsidRPr="005341E6">
        <w:t>child</w:t>
      </w:r>
      <w:r w:rsidR="00D122B3">
        <w:t>’</w:t>
      </w:r>
      <w:r w:rsidR="00732503" w:rsidRPr="005341E6">
        <w:t xml:space="preserve">s </w:t>
      </w:r>
      <w:r w:rsidRPr="005341E6">
        <w:t xml:space="preserve">safety, welfare or wellbeing. In such cases, the best interest </w:t>
      </w:r>
      <w:r w:rsidR="00BA5947" w:rsidRPr="005341E6">
        <w:t xml:space="preserve">principle </w:t>
      </w:r>
      <w:r w:rsidRPr="005341E6">
        <w:t xml:space="preserve">of the child </w:t>
      </w:r>
      <w:r w:rsidR="00EB64CE" w:rsidRPr="005341E6">
        <w:t>serves</w:t>
      </w:r>
      <w:r w:rsidRPr="005341E6">
        <w:t xml:space="preserve"> as a crucial framework for addressing situations where these two principles may come into conflict and where it becomes necessary to qualify parental rights in order to ensure child</w:t>
      </w:r>
      <w:r w:rsidR="00D122B3">
        <w:t>’</w:t>
      </w:r>
      <w:r w:rsidR="00732503" w:rsidRPr="005341E6">
        <w:t>s safety</w:t>
      </w:r>
      <w:r w:rsidRPr="005341E6">
        <w:t xml:space="preserve">. </w:t>
      </w:r>
    </w:p>
    <w:p w14:paraId="5FA8A958" w14:textId="73E04CDC" w:rsidR="00EA2B37" w:rsidRPr="005341E6" w:rsidRDefault="00B21086" w:rsidP="00FF6625">
      <w:pPr>
        <w:pStyle w:val="Style4"/>
        <w:spacing w:before="240" w:after="0"/>
      </w:pPr>
      <w:r w:rsidRPr="005341E6">
        <w:t>T</w:t>
      </w:r>
      <w:r w:rsidR="00281655" w:rsidRPr="005341E6">
        <w:t xml:space="preserve">he </w:t>
      </w:r>
      <w:r w:rsidR="00235442" w:rsidRPr="005341E6">
        <w:t>Territory and decision-makers</w:t>
      </w:r>
      <w:r w:rsidR="00722D34" w:rsidRPr="005341E6">
        <w:t xml:space="preserve"> have to carefully weigh the rights of all parties involved</w:t>
      </w:r>
      <w:r w:rsidR="00AB2CC2" w:rsidRPr="005341E6">
        <w:t xml:space="preserve">, bearing in mind that the right of the child to </w:t>
      </w:r>
      <w:r w:rsidR="0025557E" w:rsidRPr="005341E6">
        <w:t xml:space="preserve">have </w:t>
      </w:r>
      <w:r w:rsidR="00235442" w:rsidRPr="005341E6">
        <w:t xml:space="preserve">their </w:t>
      </w:r>
      <w:r w:rsidR="00AB2CC2" w:rsidRPr="005341E6">
        <w:t xml:space="preserve">best interests taken as a </w:t>
      </w:r>
      <w:r w:rsidR="00FD60B8" w:rsidRPr="005341E6">
        <w:t xml:space="preserve">paramount </w:t>
      </w:r>
      <w:r w:rsidR="00AB2CC2" w:rsidRPr="005341E6">
        <w:t>consideration means that the child</w:t>
      </w:r>
      <w:r w:rsidR="00D122B3">
        <w:t>’</w:t>
      </w:r>
      <w:r w:rsidR="00AB2CC2" w:rsidRPr="005341E6">
        <w:t xml:space="preserve">s interests </w:t>
      </w:r>
      <w:r w:rsidR="00EA2B37" w:rsidRPr="005341E6">
        <w:t xml:space="preserve">takes precedence </w:t>
      </w:r>
      <w:r w:rsidR="004404B9" w:rsidRPr="005341E6">
        <w:t>over other considerations</w:t>
      </w:r>
      <w:r w:rsidR="00FD60B8" w:rsidRPr="005341E6">
        <w:rPr>
          <w:rFonts w:cs="Calibri"/>
        </w:rPr>
        <w:t>,</w:t>
      </w:r>
      <w:r w:rsidR="00FD60B8" w:rsidRPr="005341E6">
        <w:t xml:space="preserve"> </w:t>
      </w:r>
      <w:r w:rsidR="00FD60B8" w:rsidRPr="005341E6">
        <w:rPr>
          <w:rFonts w:cs="Calibri"/>
        </w:rPr>
        <w:t xml:space="preserve">as </w:t>
      </w:r>
      <w:r w:rsidR="00287644" w:rsidRPr="005341E6">
        <w:rPr>
          <w:rFonts w:cs="Calibri"/>
        </w:rPr>
        <w:t>protected</w:t>
      </w:r>
      <w:r w:rsidR="00FD60B8" w:rsidRPr="005341E6">
        <w:rPr>
          <w:rFonts w:cs="Calibri"/>
        </w:rPr>
        <w:t xml:space="preserve"> in</w:t>
      </w:r>
      <w:r w:rsidR="00393D9E" w:rsidRPr="005341E6">
        <w:rPr>
          <w:rFonts w:cs="Calibri"/>
        </w:rPr>
        <w:t xml:space="preserve"> </w:t>
      </w:r>
      <w:r w:rsidR="00FD60B8" w:rsidRPr="005341E6">
        <w:rPr>
          <w:rFonts w:cs="Calibri"/>
        </w:rPr>
        <w:t>CYP</w:t>
      </w:r>
      <w:r w:rsidR="00EE377E" w:rsidRPr="005341E6">
        <w:rPr>
          <w:rFonts w:cs="Calibri"/>
        </w:rPr>
        <w:t>A</w:t>
      </w:r>
      <w:r w:rsidR="002C4541" w:rsidRPr="005341E6">
        <w:rPr>
          <w:rFonts w:cs="Calibri"/>
        </w:rPr>
        <w:t xml:space="preserve"> </w:t>
      </w:r>
      <w:r w:rsidR="00393D9E" w:rsidRPr="005341E6">
        <w:rPr>
          <w:rFonts w:cs="Calibri"/>
        </w:rPr>
        <w:t xml:space="preserve">(pt 1.2 s 8) </w:t>
      </w:r>
      <w:r w:rsidR="002C4541" w:rsidRPr="005341E6">
        <w:rPr>
          <w:rFonts w:cs="Calibri"/>
        </w:rPr>
        <w:t>and</w:t>
      </w:r>
      <w:r w:rsidR="00EA2B37" w:rsidRPr="005341E6">
        <w:rPr>
          <w:rFonts w:cs="Calibri"/>
        </w:rPr>
        <w:t xml:space="preserve"> affirmed</w:t>
      </w:r>
      <w:r w:rsidR="00287644" w:rsidRPr="005341E6">
        <w:rPr>
          <w:rFonts w:cs="Calibri"/>
        </w:rPr>
        <w:t xml:space="preserve"> </w:t>
      </w:r>
      <w:r w:rsidR="002C4541" w:rsidRPr="005341E6">
        <w:rPr>
          <w:rFonts w:cs="Calibri"/>
        </w:rPr>
        <w:t>by the</w:t>
      </w:r>
      <w:r w:rsidR="00912F91" w:rsidRPr="005341E6">
        <w:t xml:space="preserve"> United Nations Committee on the Rights of the Child General Comment 14</w:t>
      </w:r>
      <w:r w:rsidR="00D36572" w:rsidRPr="005341E6">
        <w:t>.</w:t>
      </w:r>
      <w:r w:rsidR="00912F91" w:rsidRPr="005341E6">
        <w:rPr>
          <w:rStyle w:val="FootnoteReference"/>
          <w:sz w:val="22"/>
        </w:rPr>
        <w:footnoteReference w:id="35"/>
      </w:r>
      <w:r w:rsidR="0075498B" w:rsidRPr="005341E6">
        <w:t xml:space="preserve"> </w:t>
      </w:r>
      <w:r w:rsidR="00EA2B37" w:rsidRPr="005341E6">
        <w:t xml:space="preserve">For Aboriginal and Torres Strait Islander children the best interest principle </w:t>
      </w:r>
      <w:r w:rsidR="00081EF4" w:rsidRPr="005341E6">
        <w:t xml:space="preserve">in </w:t>
      </w:r>
      <w:r w:rsidR="00EA2B37" w:rsidRPr="005341E6">
        <w:t xml:space="preserve">proposed section 349(f) requires </w:t>
      </w:r>
      <w:r w:rsidR="00081EF4" w:rsidRPr="005341E6">
        <w:t>the</w:t>
      </w:r>
      <w:r w:rsidR="00EA2B37" w:rsidRPr="005341E6">
        <w:t xml:space="preserve"> decision-maker to consider the five elements of the Child Placement Principle as outlined in proposed section 10. Therefore, the weight given to what serves the child</w:t>
      </w:r>
      <w:r w:rsidR="00D122B3">
        <w:t>’</w:t>
      </w:r>
      <w:r w:rsidR="00EA2B37" w:rsidRPr="005341E6">
        <w:t>s best interests must be flexible, recognising that it varies based on individual circumstances</w:t>
      </w:r>
      <w:r w:rsidR="0075498B" w:rsidRPr="005341E6">
        <w:t>.</w:t>
      </w:r>
    </w:p>
    <w:p w14:paraId="46FB8B54" w14:textId="3FA37036" w:rsidR="00D873D1" w:rsidRPr="005341E6" w:rsidRDefault="00FD60B8" w:rsidP="00FF6625">
      <w:pPr>
        <w:pStyle w:val="Style4"/>
        <w:spacing w:before="240" w:after="0"/>
      </w:pPr>
      <w:r w:rsidRPr="005341E6">
        <w:t>This approach aligns with the guidance provided in the United Nations Committee on the Rights of the Child General Comment 14 regarding the implementation of</w:t>
      </w:r>
      <w:r w:rsidR="00732503" w:rsidRPr="005341E6">
        <w:t xml:space="preserve"> </w:t>
      </w:r>
      <w:r w:rsidR="00AA41F4" w:rsidRPr="005341E6">
        <w:t>the Convention</w:t>
      </w:r>
      <w:r w:rsidR="00D122B3">
        <w:t>’</w:t>
      </w:r>
      <w:r w:rsidR="001A2069" w:rsidRPr="005341E6">
        <w:t xml:space="preserve">s </w:t>
      </w:r>
      <w:r w:rsidR="00003688" w:rsidRPr="005341E6">
        <w:t>article</w:t>
      </w:r>
      <w:r w:rsidR="00393D9E" w:rsidRPr="005341E6">
        <w:t xml:space="preserve"> </w:t>
      </w:r>
      <w:r w:rsidRPr="005341E6">
        <w:t>3(1)</w:t>
      </w:r>
      <w:r w:rsidR="001A2069" w:rsidRPr="005341E6">
        <w:t>.</w:t>
      </w:r>
      <w:r w:rsidR="00235442" w:rsidRPr="005341E6">
        <w:rPr>
          <w:rStyle w:val="FootnoteReference"/>
          <w:sz w:val="22"/>
        </w:rPr>
        <w:footnoteReference w:id="36"/>
      </w:r>
      <w:r w:rsidR="000E5793" w:rsidRPr="005341E6">
        <w:t xml:space="preserve"> T</w:t>
      </w:r>
      <w:r w:rsidRPr="005341E6">
        <w:t xml:space="preserve">he General Comment </w:t>
      </w:r>
      <w:r w:rsidR="000E5793" w:rsidRPr="005341E6">
        <w:t xml:space="preserve">recommends, and as </w:t>
      </w:r>
      <w:r w:rsidR="009A6F1E" w:rsidRPr="005341E6">
        <w:t xml:space="preserve">adhered </w:t>
      </w:r>
      <w:r w:rsidR="00393D9E" w:rsidRPr="005341E6">
        <w:t>to in</w:t>
      </w:r>
      <w:r w:rsidR="000E5793" w:rsidRPr="005341E6">
        <w:t xml:space="preserve"> the Bill</w:t>
      </w:r>
      <w:r w:rsidR="00393D9E" w:rsidRPr="005341E6">
        <w:t xml:space="preserve"> (s 349)</w:t>
      </w:r>
      <w:r w:rsidR="000E5793" w:rsidRPr="005341E6">
        <w:t xml:space="preserve">, </w:t>
      </w:r>
      <w:r w:rsidRPr="005341E6">
        <w:t xml:space="preserve">the utility of </w:t>
      </w:r>
      <w:r w:rsidR="000E5793" w:rsidRPr="005341E6">
        <w:t xml:space="preserve">establishing a </w:t>
      </w:r>
      <w:r w:rsidRPr="005341E6">
        <w:t>list of elements that decision makers could consider in a best interests assessment, emphasising that this list should be both non-exhaustive and non-hierarchical</w:t>
      </w:r>
      <w:r w:rsidR="000E5793" w:rsidRPr="005341E6">
        <w:t xml:space="preserve">. </w:t>
      </w:r>
      <w:r w:rsidRPr="005341E6">
        <w:t>The Committee</w:t>
      </w:r>
      <w:r w:rsidR="00D122B3">
        <w:t>’</w:t>
      </w:r>
      <w:r w:rsidRPr="005341E6">
        <w:t xml:space="preserve">s General Comment </w:t>
      </w:r>
      <w:r w:rsidRPr="005341E6">
        <w:lastRenderedPageBreak/>
        <w:t>recognises that the best interest principle</w:t>
      </w:r>
      <w:r w:rsidR="00081EF4" w:rsidRPr="005341E6">
        <w:t>s</w:t>
      </w:r>
      <w:r w:rsidRPr="005341E6">
        <w:t xml:space="preserve"> </w:t>
      </w:r>
      <w:r w:rsidR="00081EF4" w:rsidRPr="005341E6">
        <w:t>are</w:t>
      </w:r>
      <w:r w:rsidRPr="005341E6">
        <w:t xml:space="preserve"> intricate and must be evaluated on a case-by-case basis, emphasising the need for the list of best interest considerations to offer concrete guidance while allowing for flexibility.</w:t>
      </w:r>
    </w:p>
    <w:p w14:paraId="02E82E95" w14:textId="4AAFB0EB" w:rsidR="0002003E" w:rsidRPr="005341E6" w:rsidRDefault="00CE3685" w:rsidP="00FF6625">
      <w:pPr>
        <w:pStyle w:val="Style4"/>
        <w:spacing w:before="240" w:after="0"/>
      </w:pPr>
      <w:r w:rsidRPr="005341E6">
        <w:t>W</w:t>
      </w:r>
      <w:r w:rsidR="00EE2A0C" w:rsidRPr="005341E6">
        <w:t xml:space="preserve">hile the Bill aligns with </w:t>
      </w:r>
      <w:r w:rsidR="00393D9E" w:rsidRPr="005341E6">
        <w:t>s</w:t>
      </w:r>
      <w:r w:rsidR="00BA5947" w:rsidRPr="005341E6">
        <w:t>ection</w:t>
      </w:r>
      <w:r w:rsidR="00393D9E" w:rsidRPr="005341E6">
        <w:t xml:space="preserve"> </w:t>
      </w:r>
      <w:r w:rsidR="00EE2A0C" w:rsidRPr="005341E6">
        <w:t xml:space="preserve">11(1) and </w:t>
      </w:r>
      <w:r w:rsidR="00BA5947" w:rsidRPr="005341E6">
        <w:t xml:space="preserve">supports </w:t>
      </w:r>
      <w:r w:rsidR="00EE2A0C" w:rsidRPr="005341E6">
        <w:t xml:space="preserve">the importance of family unity, it acknowledges that this principle can be subject to qualification by the right to protect children under </w:t>
      </w:r>
      <w:r w:rsidR="00BA5947" w:rsidRPr="005341E6">
        <w:t>section</w:t>
      </w:r>
      <w:r w:rsidR="00393D9E" w:rsidRPr="005341E6">
        <w:t xml:space="preserve"> </w:t>
      </w:r>
      <w:r w:rsidR="00EE2A0C" w:rsidRPr="005341E6">
        <w:t>11(2</w:t>
      </w:r>
      <w:r w:rsidR="003054C6" w:rsidRPr="005341E6">
        <w:t>).</w:t>
      </w:r>
      <w:r w:rsidR="00287644" w:rsidRPr="005341E6">
        <w:t xml:space="preserve"> </w:t>
      </w:r>
    </w:p>
    <w:p w14:paraId="5571A051" w14:textId="683742FF" w:rsidR="00314204" w:rsidRPr="00FF6625" w:rsidRDefault="00314204" w:rsidP="00FF6625">
      <w:pPr>
        <w:pStyle w:val="Heading2"/>
        <w:spacing w:before="240" w:after="0"/>
        <w:rPr>
          <w:szCs w:val="24"/>
        </w:rPr>
      </w:pPr>
      <w:r w:rsidRPr="00FF6625">
        <w:rPr>
          <w:szCs w:val="24"/>
        </w:rPr>
        <w:t>Any less restrictive means reasonably available to achieve the purpose the limitation seeks to achieve</w:t>
      </w:r>
      <w:r w:rsidR="009B2B1C" w:rsidRPr="00FF6625">
        <w:rPr>
          <w:szCs w:val="24"/>
        </w:rPr>
        <w:t xml:space="preserve"> </w:t>
      </w:r>
      <w:r w:rsidR="002C3D26" w:rsidRPr="00FF6625">
        <w:rPr>
          <w:szCs w:val="24"/>
        </w:rPr>
        <w:t xml:space="preserve">(s </w:t>
      </w:r>
      <w:r w:rsidR="00DC5E08" w:rsidRPr="00FF6625">
        <w:rPr>
          <w:szCs w:val="24"/>
        </w:rPr>
        <w:t>28(</w:t>
      </w:r>
      <w:r w:rsidR="002C3D26" w:rsidRPr="00FF6625">
        <w:rPr>
          <w:szCs w:val="24"/>
        </w:rPr>
        <w:t>e))</w:t>
      </w:r>
      <w:r w:rsidR="009B2B1C" w:rsidRPr="00FF6625">
        <w:rPr>
          <w:szCs w:val="24"/>
        </w:rPr>
        <w:t>.</w:t>
      </w:r>
    </w:p>
    <w:p w14:paraId="5CCF986E" w14:textId="14E7A6B5" w:rsidR="000968CE" w:rsidRPr="005341E6" w:rsidRDefault="00D55329" w:rsidP="00FF6625">
      <w:pPr>
        <w:pStyle w:val="Style4"/>
        <w:spacing w:before="240" w:after="0"/>
      </w:pPr>
      <w:r w:rsidRPr="005341E6">
        <w:t xml:space="preserve">There are no less restrictive and reasonably available ways of achieving </w:t>
      </w:r>
      <w:r w:rsidR="00732503" w:rsidRPr="005341E6">
        <w:t>t</w:t>
      </w:r>
      <w:r w:rsidR="00B078A9" w:rsidRPr="005341E6">
        <w:t>he legitimate purpose of the Bill</w:t>
      </w:r>
      <w:r w:rsidRPr="005341E6">
        <w:t xml:space="preserve"> than implementing </w:t>
      </w:r>
      <w:r w:rsidR="00F050A0" w:rsidRPr="005341E6">
        <w:t>an</w:t>
      </w:r>
      <w:r w:rsidRPr="005341E6">
        <w:t xml:space="preserve"> </w:t>
      </w:r>
      <w:r w:rsidR="00F050A0" w:rsidRPr="005341E6">
        <w:t>incremental</w:t>
      </w:r>
      <w:r w:rsidRPr="005341E6">
        <w:t xml:space="preserve"> level of involvement in a family</w:t>
      </w:r>
      <w:r w:rsidR="00D122B3">
        <w:t>’</w:t>
      </w:r>
      <w:r w:rsidRPr="005341E6">
        <w:t>s life. T</w:t>
      </w:r>
      <w:r w:rsidR="008D76C0" w:rsidRPr="005341E6">
        <w:t xml:space="preserve">he Bill does not endorse indiscriminate intrusion into families. </w:t>
      </w:r>
      <w:r w:rsidR="00D873D1" w:rsidRPr="005341E6">
        <w:t xml:space="preserve">Any intervention that disrupts family life </w:t>
      </w:r>
      <w:r w:rsidR="00A029B5" w:rsidRPr="005341E6">
        <w:t>must be aimed at ensuring the child is protected from harm.</w:t>
      </w:r>
      <w:r w:rsidR="00947939" w:rsidRPr="005341E6">
        <w:t xml:space="preserve"> </w:t>
      </w:r>
      <w:r w:rsidR="00F050A0" w:rsidRPr="005341E6">
        <w:t>As highlighted, s</w:t>
      </w:r>
      <w:r w:rsidR="00040AEE" w:rsidRPr="005341E6">
        <w:t>tatutory processes to address child protection concerns typically begin with minimally invasive measures</w:t>
      </w:r>
      <w:r w:rsidR="00346FA3" w:rsidRPr="005341E6">
        <w:t xml:space="preserve">. </w:t>
      </w:r>
      <w:r w:rsidR="00040AEE" w:rsidRPr="005341E6">
        <w:t xml:space="preserve">These </w:t>
      </w:r>
      <w:r w:rsidR="00F050A0" w:rsidRPr="005341E6">
        <w:t xml:space="preserve">measures </w:t>
      </w:r>
      <w:r w:rsidR="00040AEE" w:rsidRPr="005341E6">
        <w:t>are intended to respect the family</w:t>
      </w:r>
      <w:r w:rsidR="00D122B3">
        <w:t>’</w:t>
      </w:r>
      <w:r w:rsidR="00040AEE" w:rsidRPr="005341E6">
        <w:t>s autonomy and privacy while addressing any potential risks to the child</w:t>
      </w:r>
      <w:r w:rsidR="00D122B3">
        <w:t>’</w:t>
      </w:r>
      <w:r w:rsidR="00040AEE" w:rsidRPr="005341E6">
        <w:t>s safety</w:t>
      </w:r>
      <w:r w:rsidR="0075498B" w:rsidRPr="005341E6">
        <w:t>, welfare</w:t>
      </w:r>
      <w:r w:rsidR="00040AEE" w:rsidRPr="005341E6">
        <w:t xml:space="preserve"> and wellbeing. </w:t>
      </w:r>
    </w:p>
    <w:p w14:paraId="5A8C3C45" w14:textId="18B664BE" w:rsidR="00DC5E08" w:rsidRPr="005341E6" w:rsidRDefault="00F050A0" w:rsidP="00FF6625">
      <w:pPr>
        <w:pStyle w:val="Style4"/>
        <w:spacing w:before="240" w:after="0"/>
      </w:pPr>
      <w:r w:rsidRPr="005341E6">
        <w:t>B</w:t>
      </w:r>
      <w:r w:rsidR="008D76C0" w:rsidRPr="005341E6">
        <w:t>alanc</w:t>
      </w:r>
      <w:r w:rsidRPr="005341E6">
        <w:t>ing the need to prote</w:t>
      </w:r>
      <w:r w:rsidR="00732503" w:rsidRPr="005341E6">
        <w:t>ct</w:t>
      </w:r>
      <w:r w:rsidRPr="005341E6">
        <w:t xml:space="preserve"> children </w:t>
      </w:r>
      <w:r w:rsidR="008D76C0" w:rsidRPr="005341E6">
        <w:t xml:space="preserve">while minimising disruption to family </w:t>
      </w:r>
      <w:r w:rsidRPr="005341E6">
        <w:t xml:space="preserve">life </w:t>
      </w:r>
      <w:r w:rsidR="008D76C0" w:rsidRPr="005341E6">
        <w:t xml:space="preserve">is not a one-size-fits-all process. </w:t>
      </w:r>
      <w:r w:rsidR="00732503" w:rsidRPr="005341E6">
        <w:t>It necessitates a nuanced approach considering a child</w:t>
      </w:r>
      <w:r w:rsidR="00D122B3">
        <w:t>’</w:t>
      </w:r>
      <w:r w:rsidR="00732503" w:rsidRPr="005341E6">
        <w:t>s context, situation and needs</w:t>
      </w:r>
      <w:r w:rsidR="005860DE" w:rsidRPr="005341E6">
        <w:t>.</w:t>
      </w:r>
      <w:r w:rsidR="008D76C0" w:rsidRPr="005341E6">
        <w:t xml:space="preserve"> Only if the evidence-based risk assessment suggests a significant risk to the child</w:t>
      </w:r>
      <w:r w:rsidR="00D122B3">
        <w:t>’</w:t>
      </w:r>
      <w:r w:rsidR="008D76C0" w:rsidRPr="005341E6">
        <w:t xml:space="preserve">s safety are more intensive measures considered. </w:t>
      </w:r>
      <w:r w:rsidR="00040AEE" w:rsidRPr="005341E6">
        <w:t xml:space="preserve">This graduated approach aligns with the principle of proportionality by ensuring that any intrusion into family life is both necessary and proportionate to the potential harm </w:t>
      </w:r>
      <w:r w:rsidR="00081EF4" w:rsidRPr="005341E6">
        <w:t xml:space="preserve">to the </w:t>
      </w:r>
      <w:r w:rsidR="00040AEE" w:rsidRPr="005341E6">
        <w:t xml:space="preserve">child. </w:t>
      </w:r>
    </w:p>
    <w:p w14:paraId="0D1008E8" w14:textId="683146DE" w:rsidR="00393D9E" w:rsidRPr="00121A21" w:rsidRDefault="00393D9E" w:rsidP="00FF6625">
      <w:pPr>
        <w:pStyle w:val="Heading1"/>
        <w:spacing w:before="240" w:after="0"/>
      </w:pPr>
      <w:bookmarkStart w:id="20" w:name="_Hlk146205202"/>
      <w:r w:rsidRPr="00121A21">
        <w:t xml:space="preserve">Section 12 Right to </w:t>
      </w:r>
      <w:r w:rsidR="00BA0439">
        <w:t>p</w:t>
      </w:r>
      <w:r w:rsidRPr="00121A21">
        <w:t xml:space="preserve">rivacy and </w:t>
      </w:r>
      <w:r w:rsidR="00BA0439">
        <w:t>r</w:t>
      </w:r>
      <w:r w:rsidRPr="00121A21">
        <w:t>eputation</w:t>
      </w:r>
    </w:p>
    <w:p w14:paraId="3B32770F" w14:textId="6B5EC5F3" w:rsidR="00393D9E" w:rsidRPr="00121A21" w:rsidRDefault="000B3671" w:rsidP="00FF6625">
      <w:pPr>
        <w:pStyle w:val="Heading2"/>
        <w:spacing w:before="240" w:after="0"/>
      </w:pPr>
      <w:r w:rsidRPr="00121A21">
        <w:t>T</w:t>
      </w:r>
      <w:r w:rsidR="00393D9E" w:rsidRPr="00121A21">
        <w:t>he nature of the right affected (s 28(a))</w:t>
      </w:r>
    </w:p>
    <w:p w14:paraId="25946BED" w14:textId="679E4FF1" w:rsidR="00BD25DA" w:rsidRPr="00FF6625" w:rsidRDefault="00393D9E" w:rsidP="00FF6625">
      <w:pPr>
        <w:pStyle w:val="Style4"/>
        <w:spacing w:before="240" w:after="0"/>
        <w:rPr>
          <w:rFonts w:cs="Calibri"/>
        </w:rPr>
      </w:pPr>
      <w:r w:rsidRPr="00FF6625">
        <w:t xml:space="preserve">Section 12(a) of the HRA recognises that everyone has the right not to have </w:t>
      </w:r>
      <w:r w:rsidR="00732503" w:rsidRPr="00FF6625">
        <w:t xml:space="preserve">their </w:t>
      </w:r>
      <w:r w:rsidRPr="00FF6625">
        <w:t>privacy, family, home or correspondence interfered with unlawfully or arbitrarily</w:t>
      </w:r>
      <w:r w:rsidR="00732503" w:rsidRPr="00FF6625">
        <w:t>,</w:t>
      </w:r>
      <w:r w:rsidR="00DC5E08" w:rsidRPr="00FF6625">
        <w:t xml:space="preserve"> and s</w:t>
      </w:r>
      <w:r w:rsidRPr="00FF6625">
        <w:t xml:space="preserve">ection 12(b) recognises the right not to have </w:t>
      </w:r>
      <w:r w:rsidR="00732503" w:rsidRPr="00FF6625">
        <w:t xml:space="preserve">their </w:t>
      </w:r>
      <w:r w:rsidRPr="00FF6625">
        <w:t>reputation unlawfully attacked. T</w:t>
      </w:r>
      <w:r w:rsidRPr="00FF6625">
        <w:rPr>
          <w:rFonts w:cs="Calibri"/>
        </w:rPr>
        <w:t xml:space="preserve">he nature of this right is not absolute and may be subject to reasonable limits, as outlined </w:t>
      </w:r>
      <w:r w:rsidR="002B3977" w:rsidRPr="00FF6625">
        <w:rPr>
          <w:rFonts w:cs="Calibri"/>
        </w:rPr>
        <w:t>in</w:t>
      </w:r>
      <w:r w:rsidRPr="00FF6625">
        <w:rPr>
          <w:rFonts w:cs="Calibri"/>
        </w:rPr>
        <w:t xml:space="preserve"> section 28</w:t>
      </w:r>
      <w:r w:rsidR="00DC5E08" w:rsidRPr="00FF6625">
        <w:rPr>
          <w:rFonts w:cs="Calibri"/>
        </w:rPr>
        <w:t xml:space="preserve">. </w:t>
      </w:r>
      <w:r w:rsidRPr="00FF6625">
        <w:t xml:space="preserve">The term </w:t>
      </w:r>
      <w:r w:rsidR="00D122B3">
        <w:t>‘</w:t>
      </w:r>
      <w:r w:rsidRPr="00FF6625">
        <w:t>arbitrary interference</w:t>
      </w:r>
      <w:r w:rsidR="00D122B3">
        <w:t>’</w:t>
      </w:r>
      <w:r w:rsidRPr="00FF6625">
        <w:t xml:space="preserve"> is defined in </w:t>
      </w:r>
      <w:r w:rsidR="0021007A" w:rsidRPr="00FF6625">
        <w:t>a</w:t>
      </w:r>
      <w:r w:rsidRPr="00FF6625">
        <w:t>rticle 17 to ensure that even actions authorised by law should align with the provisions, aims and objectives of the ICCPR and should be reasonable, necessary and proportionate to the need and circumstances.</w:t>
      </w:r>
      <w:r w:rsidRPr="00FF6625">
        <w:rPr>
          <w:rStyle w:val="FootnoteReference"/>
          <w:sz w:val="22"/>
        </w:rPr>
        <w:footnoteReference w:id="37"/>
      </w:r>
      <w:r w:rsidRPr="00FF6625">
        <w:t xml:space="preserve"> </w:t>
      </w:r>
    </w:p>
    <w:p w14:paraId="6B740516" w14:textId="2E0E0E3A" w:rsidR="0097729F" w:rsidRPr="00FF6625" w:rsidRDefault="00BD25DA" w:rsidP="00FF6625">
      <w:pPr>
        <w:pStyle w:val="Style4"/>
        <w:spacing w:before="240" w:after="0"/>
      </w:pPr>
      <w:r w:rsidRPr="00FF6625">
        <w:rPr>
          <w:rFonts w:cs="Calibri"/>
        </w:rPr>
        <w:t>T</w:t>
      </w:r>
      <w:r w:rsidR="00393D9E" w:rsidRPr="00FF6625">
        <w:rPr>
          <w:rFonts w:cs="Calibri"/>
        </w:rPr>
        <w:t>he right to privacy and reputation needs to be considered by a child</w:t>
      </w:r>
      <w:r w:rsidR="00D122B3">
        <w:rPr>
          <w:rFonts w:cs="Calibri"/>
        </w:rPr>
        <w:t>’</w:t>
      </w:r>
      <w:r w:rsidR="00393D9E" w:rsidRPr="00FF6625">
        <w:rPr>
          <w:rFonts w:cs="Calibri"/>
        </w:rPr>
        <w:t>s right to protection in s</w:t>
      </w:r>
      <w:r w:rsidR="00F94D51" w:rsidRPr="00FF6625">
        <w:rPr>
          <w:rFonts w:cs="Calibri"/>
        </w:rPr>
        <w:t xml:space="preserve">ection </w:t>
      </w:r>
      <w:r w:rsidR="00393D9E" w:rsidRPr="00FF6625">
        <w:rPr>
          <w:rFonts w:cs="Calibri"/>
        </w:rPr>
        <w:t xml:space="preserve">11(2) of the </w:t>
      </w:r>
      <w:r w:rsidR="00F94D51" w:rsidRPr="00FF6625">
        <w:rPr>
          <w:rFonts w:cs="Calibri"/>
        </w:rPr>
        <w:t>HR</w:t>
      </w:r>
      <w:r w:rsidR="00393D9E" w:rsidRPr="00FF6625">
        <w:rPr>
          <w:rFonts w:cs="Calibri"/>
        </w:rPr>
        <w:t xml:space="preserve">A, which states every child has the right to the protection needed by the child because of being a child, without distinction or discrimination of any kind. The </w:t>
      </w:r>
      <w:r w:rsidR="00EE377E" w:rsidRPr="00FF6625">
        <w:rPr>
          <w:rFonts w:cs="Calibri"/>
        </w:rPr>
        <w:t xml:space="preserve">HRA </w:t>
      </w:r>
      <w:r w:rsidR="00393D9E" w:rsidRPr="00FF6625">
        <w:rPr>
          <w:rFonts w:cs="Calibri"/>
        </w:rPr>
        <w:t xml:space="preserve">does not provide a precise definition of the term </w:t>
      </w:r>
      <w:r w:rsidR="00D122B3">
        <w:rPr>
          <w:rFonts w:cs="Calibri"/>
        </w:rPr>
        <w:t>“</w:t>
      </w:r>
      <w:r w:rsidR="00393D9E" w:rsidRPr="00FF6625">
        <w:rPr>
          <w:rFonts w:cs="Calibri"/>
        </w:rPr>
        <w:t>child</w:t>
      </w:r>
      <w:r w:rsidR="00D122B3">
        <w:rPr>
          <w:rFonts w:cs="Calibri"/>
        </w:rPr>
        <w:t>”</w:t>
      </w:r>
      <w:r w:rsidR="00691627">
        <w:rPr>
          <w:rFonts w:cs="Calibri"/>
        </w:rPr>
        <w:t>,</w:t>
      </w:r>
      <w:r w:rsidR="00BA35A8" w:rsidRPr="00FF6625">
        <w:rPr>
          <w:rFonts w:cs="Calibri"/>
        </w:rPr>
        <w:t xml:space="preserve"> </w:t>
      </w:r>
      <w:r w:rsidR="00393D9E" w:rsidRPr="00FF6625">
        <w:rPr>
          <w:rFonts w:cs="Calibri"/>
        </w:rPr>
        <w:t xml:space="preserve">however it is widely interpreted as referring to an individual below 18 years of age. </w:t>
      </w:r>
      <w:r w:rsidR="0097729F" w:rsidRPr="00FF6625">
        <w:t xml:space="preserve">Section 11(2) of the HRA recognises that children are entitled to the same rights as adults, plus additional protections according to their best interests and by virtue of being a child. This inherent vulnerability necessitates special consideration and protection under the law, </w:t>
      </w:r>
      <w:r w:rsidR="0097729F" w:rsidRPr="00FF6625">
        <w:lastRenderedPageBreak/>
        <w:t>even to the extent of suspending certain privacy and reputational protections when there is a credible risk to the child.</w:t>
      </w:r>
    </w:p>
    <w:p w14:paraId="043AFDE8" w14:textId="6C448D33" w:rsidR="00DC5E08" w:rsidRPr="00FF6625" w:rsidRDefault="00BA35A8" w:rsidP="00FF6625">
      <w:pPr>
        <w:pStyle w:val="Style4"/>
        <w:spacing w:before="240" w:after="0"/>
      </w:pPr>
      <w:r w:rsidRPr="00FF6625">
        <w:t>Considering</w:t>
      </w:r>
      <w:r w:rsidR="00DC5E08" w:rsidRPr="00FF6625">
        <w:rPr>
          <w:rFonts w:cs="Calibri"/>
        </w:rPr>
        <w:t xml:space="preserve"> these provisions, it is reasonable to suggest </w:t>
      </w:r>
      <w:r w:rsidRPr="00FF6625">
        <w:rPr>
          <w:rFonts w:cs="Calibri"/>
        </w:rPr>
        <w:t xml:space="preserve">that </w:t>
      </w:r>
      <w:r w:rsidR="00DC5E08" w:rsidRPr="00FF6625">
        <w:rPr>
          <w:rFonts w:cs="Calibri"/>
        </w:rPr>
        <w:t>an individual</w:t>
      </w:r>
      <w:r w:rsidR="00D122B3">
        <w:rPr>
          <w:rFonts w:cs="Calibri"/>
        </w:rPr>
        <w:t>’</w:t>
      </w:r>
      <w:r w:rsidR="00DC5E08" w:rsidRPr="00FF6625">
        <w:rPr>
          <w:rFonts w:cs="Calibri"/>
        </w:rPr>
        <w:t>s right to privacy and reputation can be subject to interference, provided that the interference is both lawful and reasonable within the given context.</w:t>
      </w:r>
    </w:p>
    <w:p w14:paraId="5F941973" w14:textId="77777777" w:rsidR="00393D9E" w:rsidRDefault="00393D9E" w:rsidP="00FF6625">
      <w:pPr>
        <w:pStyle w:val="Heading2"/>
        <w:spacing w:before="240" w:after="0"/>
      </w:pPr>
      <w:r>
        <w:t>T</w:t>
      </w:r>
      <w:r w:rsidRPr="003C5F01">
        <w:t>he importance of the purpose of the limitation</w:t>
      </w:r>
      <w:r>
        <w:t xml:space="preserve"> (s 28(b))</w:t>
      </w:r>
    </w:p>
    <w:p w14:paraId="639B9E19" w14:textId="29C293C4" w:rsidR="0021007A" w:rsidRDefault="0021007A" w:rsidP="00FF6625">
      <w:pPr>
        <w:pStyle w:val="Style4"/>
        <w:spacing w:before="240" w:after="0"/>
      </w:pPr>
      <w:r w:rsidRPr="0021007A">
        <w:t xml:space="preserve">The Bill activates section 12, imposing an obligation on the Territory to act when </w:t>
      </w:r>
      <w:r w:rsidR="00691627">
        <w:t>it</w:t>
      </w:r>
      <w:r w:rsidRPr="0021007A">
        <w:t xml:space="preserve"> receive</w:t>
      </w:r>
      <w:r w:rsidR="00691627">
        <w:t>s</w:t>
      </w:r>
      <w:r w:rsidRPr="0021007A">
        <w:t xml:space="preserve"> information about a child</w:t>
      </w:r>
      <w:r w:rsidR="00D122B3">
        <w:t>’</w:t>
      </w:r>
      <w:r w:rsidRPr="0021007A">
        <w:t>s risk of significant harm</w:t>
      </w:r>
      <w:r>
        <w:t>. U</w:t>
      </w:r>
      <w:r w:rsidRPr="0021007A">
        <w:t>nder the CYPA</w:t>
      </w:r>
      <w:r>
        <w:t>, statutory services</w:t>
      </w:r>
      <w:r w:rsidRPr="0021007A">
        <w:t xml:space="preserve"> are positively obligated to assess </w:t>
      </w:r>
      <w:r>
        <w:t>a child</w:t>
      </w:r>
      <w:r w:rsidR="00D122B3">
        <w:t>’</w:t>
      </w:r>
      <w:r>
        <w:t>s circumstances</w:t>
      </w:r>
      <w:r w:rsidRPr="0021007A">
        <w:t xml:space="preserve"> and, where necessary, take</w:t>
      </w:r>
      <w:r>
        <w:t xml:space="preserve"> appropriate</w:t>
      </w:r>
      <w:r w:rsidRPr="0021007A">
        <w:t xml:space="preserve"> action to protect the child.</w:t>
      </w:r>
    </w:p>
    <w:p w14:paraId="59C54B21" w14:textId="680D7EAC" w:rsidR="00F10141" w:rsidRDefault="00BA35A8" w:rsidP="00FF6625">
      <w:pPr>
        <w:pStyle w:val="Style4"/>
        <w:spacing w:before="240" w:after="0"/>
      </w:pPr>
      <w:r>
        <w:t xml:space="preserve">To </w:t>
      </w:r>
      <w:r w:rsidR="006A1747">
        <w:t>assess a child</w:t>
      </w:r>
      <w:r w:rsidR="00D122B3">
        <w:t>’</w:t>
      </w:r>
      <w:r w:rsidR="006A1747">
        <w:t>s risk of significant harm, the director-general has powers under the CYPA to ensure that risks to the child can be appropriately managed</w:t>
      </w:r>
      <w:r w:rsidR="00DC5E08">
        <w:t xml:space="preserve">. </w:t>
      </w:r>
      <w:r w:rsidR="00C66985">
        <w:t>T</w:t>
      </w:r>
      <w:r w:rsidR="00C66985" w:rsidRPr="00C66985">
        <w:t>he assessment of significant harm</w:t>
      </w:r>
      <w:r>
        <w:t xml:space="preserve"> </w:t>
      </w:r>
      <w:r w:rsidR="00C66985" w:rsidRPr="00C66985">
        <w:t>(</w:t>
      </w:r>
      <w:r w:rsidR="006A1747">
        <w:t xml:space="preserve">s </w:t>
      </w:r>
      <w:r w:rsidR="00C66985" w:rsidRPr="00C66985">
        <w:t xml:space="preserve">360) </w:t>
      </w:r>
      <w:r w:rsidR="00346FA3">
        <w:t>may include</w:t>
      </w:r>
      <w:r w:rsidR="00C66985" w:rsidRPr="00C66985">
        <w:t xml:space="preserve"> application of information</w:t>
      </w:r>
      <w:r>
        <w:t>-</w:t>
      </w:r>
      <w:r w:rsidR="00C66985" w:rsidRPr="00C66985">
        <w:t xml:space="preserve">sharing provisions under the CYPA. </w:t>
      </w:r>
      <w:r w:rsidR="00BD25DA" w:rsidRPr="00BD25DA">
        <w:t xml:space="preserve">Although these provisions are not subject to the Bill, the CYPA includes provisions </w:t>
      </w:r>
      <w:r w:rsidR="00BD25DA">
        <w:t>allow</w:t>
      </w:r>
      <w:r>
        <w:t xml:space="preserve">ing </w:t>
      </w:r>
      <w:r w:rsidR="00BD25DA" w:rsidRPr="00BD25DA">
        <w:t>the director-general to collect and share safety and wellbeing information with authori</w:t>
      </w:r>
      <w:r w:rsidR="00FA2442">
        <w:t>s</w:t>
      </w:r>
      <w:r w:rsidR="00BD25DA" w:rsidRPr="00BD25DA">
        <w:t xml:space="preserve">ed individuals and entities, </w:t>
      </w:r>
      <w:r w:rsidR="006A1747">
        <w:t xml:space="preserve">in order to </w:t>
      </w:r>
      <w:r w:rsidR="00BD25DA" w:rsidRPr="00BD25DA">
        <w:t>carry out responsibilities under the Bill (</w:t>
      </w:r>
      <w:r w:rsidR="0021007A">
        <w:t>p</w:t>
      </w:r>
      <w:r w:rsidR="00BD25DA" w:rsidRPr="00BD25DA">
        <w:t xml:space="preserve">t 24.3 </w:t>
      </w:r>
      <w:r w:rsidR="00F950BD">
        <w:t>div</w:t>
      </w:r>
      <w:r w:rsidR="00BD25DA" w:rsidRPr="00BD25DA">
        <w:t xml:space="preserve"> 25.3.2)</w:t>
      </w:r>
      <w:r w:rsidR="00FA2442" w:rsidRPr="00FA2442">
        <w:t xml:space="preserve">. </w:t>
      </w:r>
    </w:p>
    <w:p w14:paraId="75685B82" w14:textId="0B1C5A6A" w:rsidR="00393D9E" w:rsidRPr="008B38C2" w:rsidRDefault="00393D9E" w:rsidP="00FF6625">
      <w:pPr>
        <w:pStyle w:val="Heading1"/>
        <w:spacing w:before="240" w:after="0"/>
        <w:rPr>
          <w:rFonts w:eastAsia="Times New Roman" w:cs="Arial"/>
          <w:i/>
          <w:sz w:val="24"/>
          <w:szCs w:val="24"/>
        </w:rPr>
      </w:pPr>
      <w:r w:rsidRPr="008B38C2">
        <w:rPr>
          <w:rFonts w:eastAsia="Times New Roman" w:cs="Arial"/>
          <w:i/>
          <w:sz w:val="24"/>
          <w:szCs w:val="24"/>
        </w:rPr>
        <w:t>The nature and extent of the limitation (s 28(c))</w:t>
      </w:r>
    </w:p>
    <w:p w14:paraId="133D6438" w14:textId="6305D2B5" w:rsidR="00D060FB" w:rsidRPr="00FF6625" w:rsidRDefault="00D060FB" w:rsidP="00FF6625">
      <w:pPr>
        <w:pStyle w:val="Style4"/>
        <w:spacing w:before="240" w:after="0"/>
      </w:pPr>
      <w:r w:rsidRPr="00FF6625">
        <w:t xml:space="preserve">Information reported to statutory services related to </w:t>
      </w:r>
      <w:r w:rsidR="00DC5E08" w:rsidRPr="00FF6625">
        <w:t>a child</w:t>
      </w:r>
      <w:r w:rsidR="00D122B3">
        <w:t>’</w:t>
      </w:r>
      <w:r w:rsidR="00DC5E08" w:rsidRPr="00FF6625">
        <w:t xml:space="preserve">s risk of </w:t>
      </w:r>
      <w:r w:rsidRPr="00FF6625">
        <w:t>significant harm can vary significantly in scope, scale</w:t>
      </w:r>
      <w:r w:rsidR="00FA2442" w:rsidRPr="00FF6625">
        <w:t xml:space="preserve"> </w:t>
      </w:r>
      <w:r w:rsidRPr="00FF6625">
        <w:t xml:space="preserve">and potential consequences. In response, the Bill grants the director-general a range of functions to effectively address this </w:t>
      </w:r>
      <w:r w:rsidR="00BA35A8" w:rsidRPr="00FF6625">
        <w:t xml:space="preserve">broad </w:t>
      </w:r>
      <w:r w:rsidRPr="00FF6625">
        <w:t>spectrum of po</w:t>
      </w:r>
      <w:r w:rsidR="00BA35A8" w:rsidRPr="00FF6625">
        <w:t>ssible</w:t>
      </w:r>
      <w:r w:rsidRPr="00FF6625">
        <w:t xml:space="preserve"> risk scenarios.</w:t>
      </w:r>
    </w:p>
    <w:p w14:paraId="061B9860" w14:textId="23E1515F" w:rsidR="00FA2442" w:rsidRPr="00FF6625" w:rsidRDefault="00D060FB" w:rsidP="00FF6625">
      <w:pPr>
        <w:pStyle w:val="Style4"/>
        <w:spacing w:before="240" w:after="0"/>
      </w:pPr>
      <w:r w:rsidRPr="00FF6625">
        <w:t xml:space="preserve">The approach to assessing </w:t>
      </w:r>
      <w:r w:rsidR="00DC5E08" w:rsidRPr="00FF6625">
        <w:t>a child</w:t>
      </w:r>
      <w:r w:rsidR="00D122B3">
        <w:t>’</w:t>
      </w:r>
      <w:r w:rsidR="00DC5E08" w:rsidRPr="00FF6625">
        <w:t>s</w:t>
      </w:r>
      <w:r w:rsidRPr="00FF6625">
        <w:t xml:space="preserve"> risk of significant harm to a child typically begins with the least intrusive measures and progresses towards more intrusive actions only when necessary. This incremental approach aims to safeguard the child while respecting individual privacy rights to the greatest extent possible. </w:t>
      </w:r>
    </w:p>
    <w:p w14:paraId="0450B588" w14:textId="5A04E3A6" w:rsidR="00D060FB" w:rsidRPr="00FF6625" w:rsidRDefault="00FA2442" w:rsidP="00FF6625">
      <w:pPr>
        <w:pStyle w:val="Style4"/>
        <w:spacing w:before="240" w:after="0"/>
      </w:pPr>
      <w:r w:rsidRPr="00FF6625">
        <w:t xml:space="preserve">The justification for any imposition must be determined on a case-by-case basis, ensuring that any intrusions on privacy and reputation are reasonable, </w:t>
      </w:r>
      <w:r w:rsidR="00691627" w:rsidRPr="00FF6625">
        <w:t>proportionate,</w:t>
      </w:r>
      <w:r w:rsidRPr="00FF6625">
        <w:t xml:space="preserve"> and justifiable to achieve the legitimate purpose of the Bill, with the child</w:t>
      </w:r>
      <w:r w:rsidR="00D122B3">
        <w:t>’</w:t>
      </w:r>
      <w:r w:rsidRPr="00FF6625">
        <w:t xml:space="preserve">s individual best interests remaining the primary focus. </w:t>
      </w:r>
      <w:r w:rsidR="00D060FB" w:rsidRPr="00FF6625">
        <w:t>Typically, the extent to which a person</w:t>
      </w:r>
      <w:r w:rsidR="00D122B3">
        <w:t>’</w:t>
      </w:r>
      <w:r w:rsidR="00D060FB" w:rsidRPr="00FF6625">
        <w:t>s rights are limited corresponds with the severity of the risk posed to the child.</w:t>
      </w:r>
    </w:p>
    <w:p w14:paraId="0AD1D88F" w14:textId="4255C4B8" w:rsidR="00393D9E" w:rsidRPr="00FA1535" w:rsidRDefault="00393D9E" w:rsidP="00FF6625">
      <w:pPr>
        <w:pStyle w:val="Style1"/>
        <w:numPr>
          <w:ilvl w:val="0"/>
          <w:numId w:val="0"/>
        </w:numPr>
        <w:spacing w:before="240" w:after="0"/>
        <w:rPr>
          <w:b/>
          <w:bCs/>
          <w:i/>
          <w:iCs w:val="0"/>
        </w:rPr>
      </w:pPr>
      <w:r w:rsidRPr="00FA1535">
        <w:rPr>
          <w:b/>
          <w:bCs/>
          <w:i/>
          <w:iCs w:val="0"/>
        </w:rPr>
        <w:t>The relationship between the limitation and its purposes (s 28(d))</w:t>
      </w:r>
    </w:p>
    <w:p w14:paraId="20892944" w14:textId="13DC9677" w:rsidR="00BA35A8" w:rsidRPr="00FF6625" w:rsidRDefault="0090462F" w:rsidP="00FF6625">
      <w:pPr>
        <w:pStyle w:val="Style4"/>
        <w:spacing w:before="240" w:after="0"/>
      </w:pPr>
      <w:r w:rsidRPr="00FF6625">
        <w:t xml:space="preserve">The limitation achieves the purpose </w:t>
      </w:r>
      <w:r w:rsidR="00BA35A8" w:rsidRPr="00FF6625">
        <w:t>of</w:t>
      </w:r>
      <w:r w:rsidRPr="00FF6625">
        <w:t xml:space="preserve"> protecting children from significant harm. </w:t>
      </w:r>
      <w:r w:rsidR="00D060FB" w:rsidRPr="00FF6625">
        <w:t xml:space="preserve">Proposed section 360(2) authorises </w:t>
      </w:r>
      <w:r w:rsidR="00BA35A8" w:rsidRPr="00FF6625">
        <w:t xml:space="preserve">the </w:t>
      </w:r>
      <w:r w:rsidR="00D060FB" w:rsidRPr="00FF6625">
        <w:t>director-general to conduct an assessment deemed necessary to determine whether the child or young person is at risk of significant harm</w:t>
      </w:r>
      <w:r w:rsidR="00FA2442" w:rsidRPr="00FF6625">
        <w:t xml:space="preserve">. </w:t>
      </w:r>
      <w:r w:rsidR="00BA35A8" w:rsidRPr="00FF6625">
        <w:t>While conducting the assessment, they may offer or contribute to providing services to enhance and support the safety, welfare and wellbeing of the child or young person and their family under proposed section 360(3) of the Bill.</w:t>
      </w:r>
    </w:p>
    <w:p w14:paraId="756BA854" w14:textId="6F774774" w:rsidR="006B42BA" w:rsidRPr="00FF6625" w:rsidRDefault="00D060FB" w:rsidP="00FF6625">
      <w:pPr>
        <w:pStyle w:val="Style4"/>
        <w:spacing w:before="240" w:after="0"/>
      </w:pPr>
      <w:r w:rsidRPr="00FF6625">
        <w:lastRenderedPageBreak/>
        <w:t>During an assessment</w:t>
      </w:r>
      <w:r w:rsidR="00BA35A8" w:rsidRPr="00FF6625">
        <w:t xml:space="preserve">, </w:t>
      </w:r>
      <w:r w:rsidRPr="00FF6625">
        <w:t>t</w:t>
      </w:r>
      <w:r w:rsidR="006B42BA" w:rsidRPr="00FF6625">
        <w:t>he CYPA</w:t>
      </w:r>
      <w:r w:rsidRPr="00FF6625">
        <w:t xml:space="preserve"> </w:t>
      </w:r>
      <w:r w:rsidR="006B42BA" w:rsidRPr="00FF6625">
        <w:t>permits the collecti</w:t>
      </w:r>
      <w:r w:rsidR="00F950BD" w:rsidRPr="00FF6625">
        <w:t>on</w:t>
      </w:r>
      <w:r w:rsidR="00BA35A8" w:rsidRPr="00FF6625">
        <w:t xml:space="preserve"> </w:t>
      </w:r>
      <w:r w:rsidR="006B42BA" w:rsidRPr="00FF6625">
        <w:t xml:space="preserve">and </w:t>
      </w:r>
      <w:r w:rsidR="00BA35A8" w:rsidRPr="00FF6625">
        <w:t>disclos</w:t>
      </w:r>
      <w:r w:rsidR="00F950BD" w:rsidRPr="00FF6625">
        <w:t>ure of</w:t>
      </w:r>
      <w:r w:rsidR="00BA35A8" w:rsidRPr="00FF6625">
        <w:t xml:space="preserve"> </w:t>
      </w:r>
      <w:r w:rsidR="006B42BA" w:rsidRPr="00FF6625">
        <w:t>safety and wellbeing information to aid the Territory in assessing the child</w:t>
      </w:r>
      <w:r w:rsidR="00D122B3">
        <w:t>’</w:t>
      </w:r>
      <w:r w:rsidR="006B42BA" w:rsidRPr="00FF6625">
        <w:t>s risk of significant harm and implementing protective measures in the child</w:t>
      </w:r>
      <w:r w:rsidR="00D122B3">
        <w:t>’</w:t>
      </w:r>
      <w:r w:rsidR="006B42BA" w:rsidRPr="00FF6625">
        <w:t>s best interests.</w:t>
      </w:r>
    </w:p>
    <w:p w14:paraId="053615EF" w14:textId="0FF42A0B" w:rsidR="00D848AB" w:rsidRPr="00FF6625" w:rsidRDefault="00DC5E08" w:rsidP="00FF6625">
      <w:pPr>
        <w:pStyle w:val="Style4"/>
        <w:spacing w:before="240" w:after="0"/>
      </w:pPr>
      <w:r w:rsidRPr="00FF6625">
        <w:t xml:space="preserve">In </w:t>
      </w:r>
      <w:r w:rsidR="00BA35A8" w:rsidRPr="00FF6625">
        <w:t xml:space="preserve">most </w:t>
      </w:r>
      <w:r w:rsidRPr="00FF6625">
        <w:t>cases, actions taken to assess reports of alleged significant harm are</w:t>
      </w:r>
      <w:r w:rsidR="00BA35A8" w:rsidRPr="00FF6625">
        <w:t xml:space="preserve"> undertaken </w:t>
      </w:r>
      <w:r w:rsidRPr="00FF6625">
        <w:t xml:space="preserve">with the </w:t>
      </w:r>
      <w:r w:rsidR="00346FA3" w:rsidRPr="00FF6625">
        <w:t xml:space="preserve">participation and agreement </w:t>
      </w:r>
      <w:r w:rsidRPr="00FF6625">
        <w:t xml:space="preserve">of </w:t>
      </w:r>
      <w:r w:rsidR="00BA35A8" w:rsidRPr="00FF6625">
        <w:t xml:space="preserve">the </w:t>
      </w:r>
      <w:r w:rsidRPr="00FF6625">
        <w:t>child</w:t>
      </w:r>
      <w:r w:rsidR="00D122B3">
        <w:t>’</w:t>
      </w:r>
      <w:r w:rsidRPr="00FF6625">
        <w:t>s parent</w:t>
      </w:r>
      <w:r w:rsidR="00BA35A8" w:rsidRPr="00FF6625">
        <w:t>(</w:t>
      </w:r>
      <w:r w:rsidRPr="00FF6625">
        <w:t>s</w:t>
      </w:r>
      <w:r w:rsidR="00BA35A8" w:rsidRPr="00FF6625">
        <w:t>)</w:t>
      </w:r>
      <w:r w:rsidRPr="00FF6625">
        <w:t>.</w:t>
      </w:r>
      <w:r w:rsidR="00452280" w:rsidRPr="00FF6625">
        <w:t xml:space="preserve"> </w:t>
      </w:r>
      <w:r w:rsidRPr="00FF6625">
        <w:t>In</w:t>
      </w:r>
      <w:r w:rsidR="00346FA3" w:rsidRPr="00FF6625">
        <w:t xml:space="preserve"> some</w:t>
      </w:r>
      <w:r w:rsidR="00452280" w:rsidRPr="00FF6625">
        <w:t xml:space="preserve"> </w:t>
      </w:r>
      <w:r w:rsidRPr="00FF6625">
        <w:t>cases</w:t>
      </w:r>
      <w:r w:rsidR="00BA35A8" w:rsidRPr="00FF6625">
        <w:t>,</w:t>
      </w:r>
      <w:r w:rsidRPr="00FF6625">
        <w:t xml:space="preserve"> the severity of significant harm may result in </w:t>
      </w:r>
      <w:r w:rsidR="00452280" w:rsidRPr="00FF6625">
        <w:t xml:space="preserve">the director-general </w:t>
      </w:r>
      <w:r w:rsidR="00BA35A8" w:rsidRPr="00FF6625">
        <w:t xml:space="preserve">not </w:t>
      </w:r>
      <w:r w:rsidR="00452280" w:rsidRPr="00FF6625">
        <w:t xml:space="preserve">needing </w:t>
      </w:r>
      <w:r w:rsidRPr="00FF6625">
        <w:t xml:space="preserve">parental </w:t>
      </w:r>
      <w:r w:rsidR="00475792" w:rsidRPr="00FF6625">
        <w:t xml:space="preserve">agreement </w:t>
      </w:r>
      <w:r w:rsidRPr="00FF6625">
        <w:t>if it is determined to be in the child</w:t>
      </w:r>
      <w:r w:rsidR="00D122B3">
        <w:t>’</w:t>
      </w:r>
      <w:r w:rsidRPr="00FF6625">
        <w:t>s best interests</w:t>
      </w:r>
      <w:r w:rsidR="00F950BD" w:rsidRPr="00FF6625">
        <w:t>.</w:t>
      </w:r>
      <w:r w:rsidR="00F950BD" w:rsidRPr="00FF6625">
        <w:rPr>
          <w:rStyle w:val="FootnoteReference"/>
          <w:sz w:val="22"/>
        </w:rPr>
        <w:footnoteReference w:id="38"/>
      </w:r>
      <w:r w:rsidR="00F950BD" w:rsidRPr="00FF6625">
        <w:t xml:space="preserve"> </w:t>
      </w:r>
      <w:r w:rsidR="00BA35A8" w:rsidRPr="00FF6625">
        <w:t xml:space="preserve">This may include situations where seeking </w:t>
      </w:r>
      <w:r w:rsidR="00EE0324" w:rsidRPr="00FF6625">
        <w:t xml:space="preserve">agreement </w:t>
      </w:r>
      <w:r w:rsidR="00BA35A8" w:rsidRPr="00FF6625">
        <w:t xml:space="preserve">may place the child at risk or whereby doing so may jeopardise a criminal investigation. </w:t>
      </w:r>
      <w:r w:rsidR="00FA2442" w:rsidRPr="00FF6625">
        <w:t xml:space="preserve">In </w:t>
      </w:r>
      <w:r w:rsidR="006B42BA" w:rsidRPr="00FF6625">
        <w:t>certain circumstances, temporary restrictions on individual right</w:t>
      </w:r>
      <w:r w:rsidR="00F950BD" w:rsidRPr="00FF6625">
        <w:t>s</w:t>
      </w:r>
      <w:r w:rsidR="006B42BA" w:rsidRPr="00FF6625">
        <w:t xml:space="preserve"> to privacy and reputation may be necessary. This </w:t>
      </w:r>
      <w:r w:rsidR="00FA2442" w:rsidRPr="00FF6625">
        <w:t>limitation is</w:t>
      </w:r>
      <w:r w:rsidR="006B42BA" w:rsidRPr="00FF6625">
        <w:t xml:space="preserve"> consistent with the </w:t>
      </w:r>
      <w:r w:rsidR="00FA2442" w:rsidRPr="00FF6625">
        <w:t>child</w:t>
      </w:r>
      <w:r w:rsidR="00D122B3">
        <w:t>’</w:t>
      </w:r>
      <w:r w:rsidR="00FA2442" w:rsidRPr="00FF6625">
        <w:t xml:space="preserve">s </w:t>
      </w:r>
      <w:r w:rsidR="006B42BA" w:rsidRPr="00FF6625">
        <w:t xml:space="preserve">right to the protection </w:t>
      </w:r>
      <w:r w:rsidR="00FA2442" w:rsidRPr="00FF6625">
        <w:t xml:space="preserve">under </w:t>
      </w:r>
      <w:r w:rsidR="006B42BA" w:rsidRPr="00FF6625">
        <w:t>section 11(2)</w:t>
      </w:r>
      <w:r w:rsidR="00FA2442" w:rsidRPr="00FF6625">
        <w:t xml:space="preserve"> of the HRA.</w:t>
      </w:r>
    </w:p>
    <w:p w14:paraId="5E1CF2C2" w14:textId="6FBB954F" w:rsidR="004469BB" w:rsidRPr="00975D93" w:rsidRDefault="00393D9E" w:rsidP="00FF6625">
      <w:pPr>
        <w:pStyle w:val="Style4"/>
        <w:spacing w:before="240" w:after="0"/>
        <w:rPr>
          <w:rFonts w:cs="Arial"/>
          <w:b/>
          <w:bCs/>
          <w:i/>
          <w:sz w:val="24"/>
          <w:szCs w:val="24"/>
        </w:rPr>
      </w:pPr>
      <w:r w:rsidRPr="00975D93">
        <w:rPr>
          <w:rFonts w:cs="Arial"/>
          <w:b/>
          <w:bCs/>
          <w:i/>
          <w:sz w:val="24"/>
          <w:szCs w:val="24"/>
        </w:rPr>
        <w:t>Any less restrictive means reasonably available to achieve the purpose the limitation seeks to achieve (s 28(e))</w:t>
      </w:r>
    </w:p>
    <w:p w14:paraId="3482C932" w14:textId="50C882D8" w:rsidR="00452280" w:rsidRPr="00FF6625" w:rsidRDefault="00452280" w:rsidP="00FF6625">
      <w:pPr>
        <w:pStyle w:val="Style4"/>
        <w:spacing w:before="240" w:after="0"/>
      </w:pPr>
      <w:r w:rsidRPr="00FF6625">
        <w:t xml:space="preserve">As set out </w:t>
      </w:r>
      <w:r w:rsidR="00695F27" w:rsidRPr="00FF6625">
        <w:t>in</w:t>
      </w:r>
      <w:r w:rsidRPr="00FF6625">
        <w:t xml:space="preserve"> Section 10 </w:t>
      </w:r>
      <w:r w:rsidR="00290AA1" w:rsidRPr="00FF6625">
        <w:t xml:space="preserve">of the </w:t>
      </w:r>
      <w:r w:rsidRPr="00FF6625">
        <w:t>HRA</w:t>
      </w:r>
      <w:r w:rsidR="00695F27" w:rsidRPr="00FF6625">
        <w:t>,</w:t>
      </w:r>
      <w:r w:rsidRPr="00FF6625">
        <w:t xml:space="preserve"> t</w:t>
      </w:r>
      <w:r w:rsidR="00550880" w:rsidRPr="00FF6625">
        <w:t xml:space="preserve">he Territory </w:t>
      </w:r>
      <w:r w:rsidR="00695F27" w:rsidRPr="00FF6625">
        <w:t>is</w:t>
      </w:r>
      <w:r w:rsidRPr="00FF6625">
        <w:t xml:space="preserve"> positively obligated to take measures to ensure that children within </w:t>
      </w:r>
      <w:r w:rsidR="007533FD" w:rsidRPr="00FF6625">
        <w:t xml:space="preserve">the ACT </w:t>
      </w:r>
      <w:r w:rsidRPr="00FF6625">
        <w:t>are not subjected to torture or inhuman or degrading treatment</w:t>
      </w:r>
      <w:r w:rsidR="00550880" w:rsidRPr="00FF6625">
        <w:t>.</w:t>
      </w:r>
      <w:r w:rsidR="00550880" w:rsidRPr="00FF6625">
        <w:rPr>
          <w:rStyle w:val="FootnoteReference"/>
          <w:rFonts w:cs="Calibri"/>
          <w:sz w:val="22"/>
        </w:rPr>
        <w:footnoteReference w:id="39"/>
      </w:r>
      <w:r w:rsidR="00550880" w:rsidRPr="00FF6625">
        <w:t xml:space="preserve"> </w:t>
      </w:r>
      <w:r w:rsidR="0061609B" w:rsidRPr="00FF6625">
        <w:t>Aligned with Section 11(2) t</w:t>
      </w:r>
      <w:r w:rsidRPr="00FF6625">
        <w:t xml:space="preserve">hese measures should provide effective </w:t>
      </w:r>
      <w:r w:rsidR="0061609B" w:rsidRPr="00FF6625">
        <w:t>protection</w:t>
      </w:r>
      <w:r w:rsidR="007533FD" w:rsidRPr="00FF6625">
        <w:t xml:space="preserve"> </w:t>
      </w:r>
      <w:r w:rsidR="0061609B" w:rsidRPr="00FF6625">
        <w:t>of</w:t>
      </w:r>
      <w:r w:rsidRPr="00FF6625">
        <w:t xml:space="preserve"> children and include reasonable steps to prevent ill-treatment</w:t>
      </w:r>
      <w:r w:rsidR="00691627">
        <w:t>,</w:t>
      </w:r>
      <w:r w:rsidRPr="00FF6625">
        <w:t xml:space="preserve"> which the authorities had or could have reasonably foreseen</w:t>
      </w:r>
      <w:r w:rsidR="007533FD" w:rsidRPr="00FF6625">
        <w:t>,</w:t>
      </w:r>
      <w:r w:rsidRPr="00FF6625">
        <w:rPr>
          <w:rStyle w:val="FootnoteReference"/>
          <w:rFonts w:cs="Calibri"/>
          <w:sz w:val="22"/>
        </w:rPr>
        <w:footnoteReference w:id="40"/>
      </w:r>
      <w:r w:rsidR="00F644A9" w:rsidRPr="00FF6625">
        <w:t xml:space="preserve"> </w:t>
      </w:r>
      <w:r w:rsidR="00691627">
        <w:t xml:space="preserve">of </w:t>
      </w:r>
      <w:r w:rsidR="00F644A9" w:rsidRPr="00FF6625">
        <w:t>particularly vulnerable members of society.</w:t>
      </w:r>
      <w:r w:rsidR="0090462F" w:rsidRPr="00FF6625">
        <w:t xml:space="preserve"> </w:t>
      </w:r>
    </w:p>
    <w:p w14:paraId="59DD70CB" w14:textId="2702AAEC" w:rsidR="00F644A9" w:rsidRPr="00FF6625" w:rsidRDefault="00695F27" w:rsidP="00FF6625">
      <w:pPr>
        <w:pStyle w:val="Style4"/>
        <w:spacing w:before="240" w:after="0"/>
        <w:rPr>
          <w:b/>
          <w:bCs/>
        </w:rPr>
      </w:pPr>
      <w:r w:rsidRPr="00FF6625">
        <w:t>The provisions in the Bill that may impact a person</w:t>
      </w:r>
      <w:r w:rsidR="00D122B3">
        <w:t>’</w:t>
      </w:r>
      <w:r w:rsidRPr="00FF6625">
        <w:t xml:space="preserve">s right to privacy are directly linked to </w:t>
      </w:r>
      <w:r w:rsidR="007533FD" w:rsidRPr="00FF6625">
        <w:t xml:space="preserve">the </w:t>
      </w:r>
      <w:r w:rsidRPr="00FF6625">
        <w:t>significant harm threshold condition related to the function of the Bill.</w:t>
      </w:r>
      <w:r w:rsidR="0061609B" w:rsidRPr="00FF6625">
        <w:t xml:space="preserve"> </w:t>
      </w:r>
      <w:r w:rsidR="007533FD" w:rsidRPr="00FF6625">
        <w:t>Proposed s</w:t>
      </w:r>
      <w:r w:rsidR="00F644A9" w:rsidRPr="00FF6625">
        <w:t>ections 344 and 360 serve the purpose of protecting the best interests of childre</w:t>
      </w:r>
      <w:r w:rsidR="007533FD" w:rsidRPr="00FF6625">
        <w:t>n</w:t>
      </w:r>
      <w:r w:rsidR="00F644A9" w:rsidRPr="00FF6625">
        <w:t xml:space="preserve">. The Convention requires that it be a </w:t>
      </w:r>
      <w:r w:rsidR="00D122B3">
        <w:t>‘</w:t>
      </w:r>
      <w:r w:rsidR="00F644A9" w:rsidRPr="00FF6625">
        <w:t>primary consideration</w:t>
      </w:r>
      <w:r w:rsidR="00D122B3">
        <w:t>’</w:t>
      </w:r>
      <w:r w:rsidR="00F644A9" w:rsidRPr="00FF6625">
        <w:t xml:space="preserve"> in all actions concerning children and is the paramount principle of the CYPA. The best interest principle recognises that children are particularly vulnerable members of society and require special protection.</w:t>
      </w:r>
    </w:p>
    <w:p w14:paraId="0838AD0C" w14:textId="114DBAE1" w:rsidR="0061609B" w:rsidRPr="00FF6625" w:rsidRDefault="0061609B" w:rsidP="00FF6625">
      <w:pPr>
        <w:pStyle w:val="Style4"/>
        <w:spacing w:before="240" w:after="0"/>
        <w:rPr>
          <w:b/>
          <w:bCs/>
        </w:rPr>
      </w:pPr>
      <w:r w:rsidRPr="00FF6625">
        <w:t>On balance</w:t>
      </w:r>
      <w:r w:rsidR="00695F27" w:rsidRPr="00FF6625">
        <w:t>,</w:t>
      </w:r>
      <w:r w:rsidRPr="00FF6625">
        <w:t xml:space="preserve"> </w:t>
      </w:r>
      <w:r w:rsidR="007533FD" w:rsidRPr="00FF6625">
        <w:t>t</w:t>
      </w:r>
      <w:r w:rsidR="00F644A9" w:rsidRPr="00FF6625">
        <w:t>he</w:t>
      </w:r>
      <w:r w:rsidR="00393D9E" w:rsidRPr="00FF6625">
        <w:t xml:space="preserve"> </w:t>
      </w:r>
      <w:r w:rsidR="00F644A9" w:rsidRPr="00FF6625">
        <w:t>limitations imposed on a person</w:t>
      </w:r>
      <w:r w:rsidR="00D122B3">
        <w:t>’</w:t>
      </w:r>
      <w:r w:rsidR="00F644A9" w:rsidRPr="00FF6625">
        <w:t xml:space="preserve">s right to privacy and reputation by the Bill are considered </w:t>
      </w:r>
      <w:r w:rsidR="007533FD" w:rsidRPr="00FF6625">
        <w:t xml:space="preserve">reasonable, </w:t>
      </w:r>
      <w:r w:rsidR="00F644A9" w:rsidRPr="00FF6625">
        <w:t xml:space="preserve">proportionate and justified </w:t>
      </w:r>
      <w:r w:rsidR="007533FD" w:rsidRPr="00FF6625">
        <w:t xml:space="preserve">to achieve the legitimate purpose of the Bill, as </w:t>
      </w:r>
      <w:r w:rsidR="00F644A9" w:rsidRPr="00FF6625">
        <w:t xml:space="preserve">they are the least restrictive means available to achieve the purpose of protecting children. </w:t>
      </w:r>
    </w:p>
    <w:bookmarkEnd w:id="20"/>
    <w:p w14:paraId="435948C5" w14:textId="6115373D" w:rsidR="006F5386" w:rsidRPr="006F5386" w:rsidRDefault="00E33F16" w:rsidP="00FF6625">
      <w:pPr>
        <w:pStyle w:val="Heading1"/>
        <w:spacing w:before="240" w:after="0"/>
      </w:pPr>
      <w:r w:rsidRPr="000B3671">
        <w:t>Section 14 Freedom of thought, conscience, religion and belief</w:t>
      </w:r>
      <w:r w:rsidRPr="00F610F7">
        <w:t xml:space="preserve"> </w:t>
      </w:r>
    </w:p>
    <w:p w14:paraId="74DA0E65" w14:textId="20C5C98A" w:rsidR="00E251EE" w:rsidRPr="00290AA1" w:rsidRDefault="00290AA1" w:rsidP="00FF6625">
      <w:pPr>
        <w:spacing w:before="240" w:after="0"/>
        <w:rPr>
          <w:rFonts w:asciiTheme="minorHAnsi" w:hAnsiTheme="minorHAnsi" w:cstheme="minorHAnsi"/>
          <w:i/>
          <w:iCs/>
          <w:sz w:val="24"/>
          <w:szCs w:val="24"/>
        </w:rPr>
      </w:pPr>
      <w:r>
        <w:rPr>
          <w:rFonts w:asciiTheme="minorHAnsi" w:hAnsiTheme="minorHAnsi" w:cstheme="minorHAnsi"/>
          <w:i/>
          <w:iCs/>
          <w:sz w:val="24"/>
          <w:szCs w:val="24"/>
        </w:rPr>
        <w:t>I</w:t>
      </w:r>
      <w:r w:rsidR="00E251EE" w:rsidRPr="00290AA1">
        <w:rPr>
          <w:rFonts w:asciiTheme="minorHAnsi" w:hAnsiTheme="minorHAnsi" w:cstheme="minorHAnsi"/>
          <w:i/>
          <w:iCs/>
          <w:sz w:val="24"/>
          <w:szCs w:val="24"/>
        </w:rPr>
        <w:t>n relation to parental rights</w:t>
      </w:r>
    </w:p>
    <w:p w14:paraId="4E22474A" w14:textId="0FC6F926" w:rsidR="006E0946" w:rsidRPr="00FF6625" w:rsidRDefault="007533FD" w:rsidP="00FF6625">
      <w:pPr>
        <w:pStyle w:val="Style4"/>
        <w:spacing w:before="240" w:after="0"/>
        <w:rPr>
          <w:color w:val="1F1923"/>
          <w:shd w:val="clear" w:color="auto" w:fill="F2F2F2"/>
        </w:rPr>
      </w:pPr>
      <w:r w:rsidRPr="00FF6625">
        <w:t>The freedom of thought and conscience</w:t>
      </w:r>
      <w:r w:rsidR="00695F27" w:rsidRPr="00FF6625">
        <w:t xml:space="preserve"> is divided into two components: the freedom of personal autonomy, which grants individuals the freedom to think and believe as they choose, and the freedom of manifestation, which allows individuals to express and demonstrate their thoughts or beliefs publicly</w:t>
      </w:r>
      <w:r w:rsidR="006E0946" w:rsidRPr="00FF6625">
        <w:t>.</w:t>
      </w:r>
      <w:r w:rsidR="008562C8" w:rsidRPr="00FF6625">
        <w:t xml:space="preserve"> Freedom of thought protects an individual</w:t>
      </w:r>
      <w:r w:rsidR="00D122B3">
        <w:t>’</w:t>
      </w:r>
      <w:r w:rsidR="008562C8" w:rsidRPr="00FF6625">
        <w:t>s right to have their own thoughts, ideas and beliefs without interference from the government or other individuals or entities. It ensures that people are free to think as they wish. Article 18 of the ICCPR does not permit any limitations on the freedom of thought or on the freedom to have or adopt a religion or belief of one</w:t>
      </w:r>
      <w:r w:rsidR="00D122B3">
        <w:t>’</w:t>
      </w:r>
      <w:r w:rsidR="008562C8" w:rsidRPr="00FF6625">
        <w:t xml:space="preserve">s choice. These </w:t>
      </w:r>
      <w:r w:rsidR="008562C8" w:rsidRPr="00FF6625">
        <w:lastRenderedPageBreak/>
        <w:t>freedoms are protected unconditionally, as is the right of everyone to hold opinions without interference in article 19.1</w:t>
      </w:r>
      <w:r w:rsidR="00D36572" w:rsidRPr="00691627">
        <w:rPr>
          <w:rStyle w:val="FootnoteReference"/>
          <w:sz w:val="22"/>
          <w:vertAlign w:val="baseline"/>
        </w:rPr>
        <w:t>.</w:t>
      </w:r>
      <w:r w:rsidR="008562C8" w:rsidRPr="00FF6625">
        <w:rPr>
          <w:rStyle w:val="FootnoteReference"/>
          <w:sz w:val="22"/>
        </w:rPr>
        <w:footnoteReference w:id="41"/>
      </w:r>
    </w:p>
    <w:p w14:paraId="324F1EBD" w14:textId="102BC580" w:rsidR="00C03AAC" w:rsidRPr="00FF6625" w:rsidRDefault="00CF39AC" w:rsidP="00FF6625">
      <w:pPr>
        <w:pStyle w:val="Style4"/>
        <w:spacing w:before="240" w:after="0"/>
        <w:rPr>
          <w:rFonts w:cs="Calibri"/>
        </w:rPr>
      </w:pPr>
      <w:r w:rsidRPr="00FF6625">
        <w:rPr>
          <w:rFonts w:cs="Calibri"/>
        </w:rPr>
        <w:t>Freedom of conscience, on the other hand, relates to an individual</w:t>
      </w:r>
      <w:r w:rsidR="00D122B3">
        <w:rPr>
          <w:rFonts w:cs="Calibri"/>
        </w:rPr>
        <w:t>’</w:t>
      </w:r>
      <w:r w:rsidRPr="00FF6625">
        <w:rPr>
          <w:rFonts w:cs="Calibri"/>
        </w:rPr>
        <w:t>s moral and ethical beliefs. It protects a person</w:t>
      </w:r>
      <w:r w:rsidR="00D122B3">
        <w:rPr>
          <w:rFonts w:cs="Calibri"/>
        </w:rPr>
        <w:t>’</w:t>
      </w:r>
      <w:r w:rsidRPr="00FF6625">
        <w:rPr>
          <w:rFonts w:cs="Calibri"/>
        </w:rPr>
        <w:t>s right to act in accordance with their conscience, provided that these actions do not infringe upon the rights and freedoms of others.</w:t>
      </w:r>
      <w:r w:rsidR="008562C8" w:rsidRPr="00FF6625">
        <w:t xml:space="preserve"> </w:t>
      </w:r>
      <w:r w:rsidRPr="00FF6625">
        <w:t xml:space="preserve">Human rights </w:t>
      </w:r>
      <w:r w:rsidR="00695F27" w:rsidRPr="00FF6625">
        <w:t>distinguishes</w:t>
      </w:r>
      <w:r w:rsidRPr="00FF6625">
        <w:t xml:space="preserve"> between the absolute freedom of personal autonomy, which allows individuals the freedom to think and believe as they choose without any limitations, and the freedom of manifestation, which can be subject to restrictions when its exercise</w:t>
      </w:r>
      <w:r w:rsidR="007533FD" w:rsidRPr="00FF6625">
        <w:t>d in a way that</w:t>
      </w:r>
      <w:r w:rsidRPr="00FF6625">
        <w:t xml:space="preserve"> poses a risk of harm to others</w:t>
      </w:r>
      <w:r w:rsidR="00D36572" w:rsidRPr="00FF6625">
        <w:t>.</w:t>
      </w:r>
      <w:r w:rsidR="003054C6" w:rsidRPr="00FF6625">
        <w:rPr>
          <w:rStyle w:val="FootnoteReference"/>
          <w:sz w:val="22"/>
        </w:rPr>
        <w:footnoteReference w:id="42"/>
      </w:r>
      <w:r w:rsidRPr="00FF6625">
        <w:t xml:space="preserve"> </w:t>
      </w:r>
      <w:r w:rsidR="00C03AAC" w:rsidRPr="00FF6625">
        <w:t>Article 18.3 permits restrictions on the freedom to manifest religion or belief only if limitations are prescribed by law and are necessary to protect public safety, order, health or morals, or the fundamental rights and freedoms of others.</w:t>
      </w:r>
      <w:r w:rsidR="00C03AAC" w:rsidRPr="00FF6625">
        <w:rPr>
          <w:rStyle w:val="FootnoteReference"/>
          <w:sz w:val="22"/>
        </w:rPr>
        <w:footnoteReference w:id="43"/>
      </w:r>
      <w:r w:rsidR="00C03AAC" w:rsidRPr="00FF6625">
        <w:t xml:space="preserve"> </w:t>
      </w:r>
    </w:p>
    <w:p w14:paraId="48CBAFB9" w14:textId="373F6AF1" w:rsidR="00C94761" w:rsidRPr="00FF6625" w:rsidRDefault="00F15D4B" w:rsidP="00FF6625">
      <w:pPr>
        <w:pStyle w:val="Style4"/>
        <w:spacing w:before="240" w:after="0"/>
        <w:rPr>
          <w:rFonts w:cs="Calibri"/>
        </w:rPr>
      </w:pPr>
      <w:r w:rsidRPr="00FF6625">
        <w:t>When</w:t>
      </w:r>
      <w:r w:rsidRPr="00FF6625">
        <w:rPr>
          <w:rFonts w:cs="Calibri"/>
        </w:rPr>
        <w:t xml:space="preserve"> discussing </w:t>
      </w:r>
      <w:r w:rsidR="00E621FF" w:rsidRPr="00FF6625">
        <w:rPr>
          <w:rFonts w:cs="Calibri"/>
        </w:rPr>
        <w:t>freedom of thought, conscience, religion and belief</w:t>
      </w:r>
      <w:r w:rsidRPr="00FF6625">
        <w:rPr>
          <w:rFonts w:cs="Calibri"/>
        </w:rPr>
        <w:t xml:space="preserve">, parents or caregivers </w:t>
      </w:r>
      <w:r w:rsidR="007533FD" w:rsidRPr="00FF6625">
        <w:rPr>
          <w:rFonts w:cs="Calibri"/>
        </w:rPr>
        <w:t xml:space="preserve">have the right to </w:t>
      </w:r>
      <w:r w:rsidRPr="00FF6625">
        <w:rPr>
          <w:rFonts w:cs="Calibri"/>
        </w:rPr>
        <w:t>raise their children in ways they see fit. However, these freedoms are not absolute and must be exercised responsibly, respecting the child</w:t>
      </w:r>
      <w:r w:rsidR="00D122B3">
        <w:rPr>
          <w:rFonts w:cs="Calibri"/>
        </w:rPr>
        <w:t>’</w:t>
      </w:r>
      <w:r w:rsidRPr="00FF6625">
        <w:rPr>
          <w:rFonts w:cs="Calibri"/>
        </w:rPr>
        <w:t>s individuality and ensuring that the child</w:t>
      </w:r>
      <w:r w:rsidR="00D122B3">
        <w:rPr>
          <w:rFonts w:cs="Calibri"/>
        </w:rPr>
        <w:t>’</w:t>
      </w:r>
      <w:r w:rsidRPr="00FF6625">
        <w:rPr>
          <w:rFonts w:cs="Calibri"/>
        </w:rPr>
        <w:t xml:space="preserve">s </w:t>
      </w:r>
      <w:r w:rsidR="00290AA1" w:rsidRPr="00FF6625">
        <w:rPr>
          <w:rFonts w:cs="Calibri"/>
        </w:rPr>
        <w:t xml:space="preserve">safety, </w:t>
      </w:r>
      <w:r w:rsidR="0075498B" w:rsidRPr="00FF6625">
        <w:rPr>
          <w:rFonts w:cs="Calibri"/>
        </w:rPr>
        <w:t xml:space="preserve">welfare, </w:t>
      </w:r>
      <w:r w:rsidRPr="00FF6625">
        <w:rPr>
          <w:rFonts w:cs="Calibri"/>
        </w:rPr>
        <w:t xml:space="preserve">wellbeing and rights are not </w:t>
      </w:r>
      <w:r w:rsidR="0061609B" w:rsidRPr="00FF6625">
        <w:rPr>
          <w:rFonts w:cs="Calibri"/>
        </w:rPr>
        <w:t>compromised.</w:t>
      </w:r>
      <w:r w:rsidR="0061609B" w:rsidRPr="00FF6625">
        <w:t xml:space="preserve"> </w:t>
      </w:r>
      <w:r w:rsidR="00C94761" w:rsidRPr="00FF6625">
        <w:t>While parents can impart their beliefs to their child, they must also ensure that the child</w:t>
      </w:r>
      <w:r w:rsidR="00D122B3">
        <w:t>’</w:t>
      </w:r>
      <w:r w:rsidR="00C94761" w:rsidRPr="00FF6625">
        <w:t>s right to develop their own beliefs and opinions is respected. This means allowing the child to explore other viewpoints and make their own choices as they grow older. Additionally, the parents must ensure that their parenting or religious practices do not harm the child</w:t>
      </w:r>
      <w:r w:rsidR="00D122B3">
        <w:t>’</w:t>
      </w:r>
      <w:r w:rsidR="00C94761" w:rsidRPr="00FF6625">
        <w:t>s physical or psychological wellbeing. If, for example, a particular parenting or religious practice poses a significant risk to the child</w:t>
      </w:r>
      <w:r w:rsidR="00D122B3">
        <w:t>’</w:t>
      </w:r>
      <w:r w:rsidR="00C94761" w:rsidRPr="00FF6625">
        <w:t xml:space="preserve">s health, </w:t>
      </w:r>
      <w:r w:rsidR="00C466F7" w:rsidRPr="00FF6625">
        <w:t xml:space="preserve">statutory </w:t>
      </w:r>
      <w:r w:rsidR="00C94761" w:rsidRPr="00FF6625">
        <w:t>intervention may be required to protect the child</w:t>
      </w:r>
      <w:r w:rsidR="00D122B3">
        <w:t>’</w:t>
      </w:r>
      <w:r w:rsidR="00C94761" w:rsidRPr="00FF6625">
        <w:t xml:space="preserve">s </w:t>
      </w:r>
      <w:r w:rsidR="00C466F7" w:rsidRPr="00FF6625">
        <w:t xml:space="preserve">right to </w:t>
      </w:r>
      <w:r w:rsidR="00C94761" w:rsidRPr="00FF6625">
        <w:t>life</w:t>
      </w:r>
      <w:r w:rsidR="00082AAF" w:rsidRPr="00FF6625">
        <w:t xml:space="preserve"> and protection</w:t>
      </w:r>
      <w:r w:rsidR="00290AA1" w:rsidRPr="00FF6625">
        <w:t xml:space="preserve"> (HRA, ss 9 and 11(2))</w:t>
      </w:r>
      <w:r w:rsidR="00C94761" w:rsidRPr="00FF6625">
        <w:t>.</w:t>
      </w:r>
    </w:p>
    <w:p w14:paraId="76422B9C" w14:textId="375077B4" w:rsidR="00C94761" w:rsidRPr="00FF6625" w:rsidRDefault="00E621FF" w:rsidP="00FF6625">
      <w:pPr>
        <w:pStyle w:val="Style4"/>
        <w:spacing w:before="240" w:after="0"/>
        <w:rPr>
          <w:rFonts w:cs="Calibri"/>
        </w:rPr>
      </w:pPr>
      <w:r w:rsidRPr="00FF6625">
        <w:t xml:space="preserve">When a </w:t>
      </w:r>
      <w:r w:rsidR="00C466F7" w:rsidRPr="00FF6625">
        <w:t>child</w:t>
      </w:r>
      <w:r w:rsidR="00D122B3">
        <w:t>’</w:t>
      </w:r>
      <w:r w:rsidR="00C466F7" w:rsidRPr="00FF6625">
        <w:t xml:space="preserve">s safety, welfare or wellbeing is considered </w:t>
      </w:r>
      <w:r w:rsidRPr="00FF6625">
        <w:t xml:space="preserve">at risk or </w:t>
      </w:r>
      <w:r w:rsidR="00C466F7" w:rsidRPr="00FF6625">
        <w:t>compromised, the Territory employs a range of graduated measures to mitigate the risks to the child. Statutory services may initially offer voluntary support to parents, including educational resources</w:t>
      </w:r>
      <w:r w:rsidR="008A0ABC" w:rsidRPr="00FF6625">
        <w:t xml:space="preserve"> </w:t>
      </w:r>
      <w:r w:rsidR="00C466F7" w:rsidRPr="00FF6625">
        <w:t>and service</w:t>
      </w:r>
      <w:r w:rsidRPr="00FF6625">
        <w:t>s</w:t>
      </w:r>
      <w:r w:rsidR="00C466F7" w:rsidRPr="00FF6625">
        <w:t xml:space="preserve">. If parents do not cooperate </w:t>
      </w:r>
      <w:r w:rsidR="00082AAF" w:rsidRPr="00FF6625">
        <w:t>and</w:t>
      </w:r>
      <w:r w:rsidR="00C466F7" w:rsidRPr="00FF6625">
        <w:t xml:space="preserve"> the child</w:t>
      </w:r>
      <w:r w:rsidR="00D122B3">
        <w:t>’</w:t>
      </w:r>
      <w:r w:rsidR="00C466F7" w:rsidRPr="00FF6625">
        <w:t xml:space="preserve">s situation does not improve, statutory services may </w:t>
      </w:r>
      <w:r w:rsidR="00EE0324" w:rsidRPr="00FF6625">
        <w:t xml:space="preserve">seek </w:t>
      </w:r>
      <w:r w:rsidR="00C466F7" w:rsidRPr="00FF6625">
        <w:t xml:space="preserve">parental </w:t>
      </w:r>
      <w:r w:rsidR="00EE0324" w:rsidRPr="00FF6625">
        <w:t xml:space="preserve">cooperation </w:t>
      </w:r>
      <w:r w:rsidR="00C466F7" w:rsidRPr="00FF6625">
        <w:t>with the requirements of a case plan designed to address the child</w:t>
      </w:r>
      <w:r w:rsidR="00D122B3">
        <w:t>’</w:t>
      </w:r>
      <w:r w:rsidR="00C466F7" w:rsidRPr="00FF6625">
        <w:t xml:space="preserve">s needs. </w:t>
      </w:r>
      <w:r w:rsidRPr="00FF6625">
        <w:t xml:space="preserve">If these measures fail to alleviate concerns, parental restrictions, such as a court order granting the Territory to seek an assessment or medical attention, may be imposed. </w:t>
      </w:r>
      <w:r w:rsidR="00C466F7" w:rsidRPr="00FF6625">
        <w:t>In more severe cases where there</w:t>
      </w:r>
      <w:r w:rsidR="00D122B3">
        <w:t>’</w:t>
      </w:r>
      <w:r w:rsidR="00C466F7" w:rsidRPr="00FF6625">
        <w:t>s an immediate risk to the child</w:t>
      </w:r>
      <w:r w:rsidR="00D122B3">
        <w:t>’</w:t>
      </w:r>
      <w:r w:rsidR="00C466F7" w:rsidRPr="00FF6625">
        <w:t>s safety</w:t>
      </w:r>
      <w:r w:rsidR="005C5B85" w:rsidRPr="00FF6625">
        <w:t>,</w:t>
      </w:r>
      <w:r w:rsidR="00C466F7" w:rsidRPr="00FF6625">
        <w:t xml:space="preserve"> statutory services may temporarily assume parental responsibility to ensure the child</w:t>
      </w:r>
      <w:r w:rsidR="00D122B3">
        <w:t>’</w:t>
      </w:r>
      <w:r w:rsidR="00C466F7" w:rsidRPr="00FF6625">
        <w:t>s safety. In extreme situations where all other interventions fail</w:t>
      </w:r>
      <w:r w:rsidR="005C5B85" w:rsidRPr="00FF6625">
        <w:t>,</w:t>
      </w:r>
      <w:r w:rsidR="00C466F7" w:rsidRPr="00FF6625">
        <w:t xml:space="preserve"> and the child</w:t>
      </w:r>
      <w:r w:rsidR="00D122B3">
        <w:t>’</w:t>
      </w:r>
      <w:r w:rsidR="00C466F7" w:rsidRPr="00FF6625">
        <w:t xml:space="preserve">s rights and safety are seriously compromised, authorities may legally override all parental rights </w:t>
      </w:r>
      <w:r w:rsidR="00082AAF" w:rsidRPr="00FF6625">
        <w:t xml:space="preserve">of parental freedom, privacy and family autonomy </w:t>
      </w:r>
      <w:r w:rsidR="00C466F7" w:rsidRPr="00FF6625">
        <w:t>to ensure the child</w:t>
      </w:r>
      <w:r w:rsidR="00D122B3">
        <w:t>’</w:t>
      </w:r>
      <w:r w:rsidR="00C466F7" w:rsidRPr="00FF6625">
        <w:t>s right to protection (11(2)).</w:t>
      </w:r>
    </w:p>
    <w:p w14:paraId="40E8111A" w14:textId="77777777" w:rsidR="003B70FF" w:rsidRPr="00FF6625" w:rsidRDefault="00290516" w:rsidP="00FF6625">
      <w:pPr>
        <w:pStyle w:val="Style4"/>
        <w:spacing w:before="240" w:after="0"/>
        <w:rPr>
          <w:rFonts w:cs="Calibri"/>
          <w:iCs/>
        </w:rPr>
      </w:pPr>
      <w:r w:rsidRPr="00FF6625">
        <w:t>Section</w:t>
      </w:r>
      <w:r w:rsidRPr="00FF6625">
        <w:rPr>
          <w:rFonts w:cs="Calibri"/>
        </w:rPr>
        <w:t xml:space="preserve"> 28 of the HRA requires that any restriction on a human right must be sanctioned by a Territory law, be based on evidence, and be reasonable to achieve a legitimate aim. Whether a limitation is reasonable depends on whether it is proportionate. </w:t>
      </w:r>
      <w:r w:rsidR="00082AAF" w:rsidRPr="00FF6625">
        <w:rPr>
          <w:rFonts w:cs="Calibri"/>
        </w:rPr>
        <w:t xml:space="preserve">To ensure proportionality, the means selected for interference must be the least restrictive reasonably available and should be examined on whether competing rights are justifiably balanced. </w:t>
      </w:r>
    </w:p>
    <w:p w14:paraId="21EA0799" w14:textId="7F661EA9" w:rsidR="00801ACE" w:rsidRPr="00FF6625" w:rsidRDefault="005C5B85" w:rsidP="00FF6625">
      <w:pPr>
        <w:pStyle w:val="Style4"/>
        <w:spacing w:before="240" w:after="0"/>
        <w:rPr>
          <w:rFonts w:cs="Calibri"/>
          <w:iCs/>
        </w:rPr>
      </w:pPr>
      <w:r w:rsidRPr="00FF6625">
        <w:lastRenderedPageBreak/>
        <w:t>Section</w:t>
      </w:r>
      <w:r w:rsidRPr="00FF6625">
        <w:rPr>
          <w:rFonts w:cs="Calibri"/>
        </w:rPr>
        <w:t xml:space="preserve"> 14 of HRA, the freedom of thought, conscience, religion and belief will only be limited where it poses a significant risk to the child. The amendments made to the Bill have not </w:t>
      </w:r>
      <w:r w:rsidR="00691627">
        <w:rPr>
          <w:rFonts w:cs="Calibri"/>
        </w:rPr>
        <w:t>substantially changed</w:t>
      </w:r>
      <w:r w:rsidRPr="00FF6625">
        <w:rPr>
          <w:rFonts w:cs="Calibri"/>
        </w:rPr>
        <w:t xml:space="preserve"> the existing restrictions on human rights imposed by the CYPA. These limitations are deemed to be reasonable and justified given the circumstances, as they are the least invasive measures available </w:t>
      </w:r>
      <w:r w:rsidR="003B70FF" w:rsidRPr="00FF6625">
        <w:t xml:space="preserve">to achieve the </w:t>
      </w:r>
      <w:r w:rsidR="00A65F6F" w:rsidRPr="00FF6625">
        <w:t>objective</w:t>
      </w:r>
      <w:r w:rsidR="003B70FF" w:rsidRPr="00FF6625">
        <w:t xml:space="preserve"> of protecting children.</w:t>
      </w:r>
    </w:p>
    <w:p w14:paraId="68CAEFE9" w14:textId="00C508AA" w:rsidR="00290516" w:rsidRPr="00290AA1" w:rsidRDefault="00290AA1" w:rsidP="00FF6625">
      <w:pPr>
        <w:spacing w:before="240" w:after="0"/>
        <w:rPr>
          <w:rFonts w:asciiTheme="minorHAnsi" w:hAnsiTheme="minorHAnsi" w:cstheme="minorHAnsi"/>
          <w:i/>
          <w:iCs/>
          <w:sz w:val="24"/>
          <w:szCs w:val="24"/>
        </w:rPr>
      </w:pPr>
      <w:r>
        <w:rPr>
          <w:rFonts w:asciiTheme="minorHAnsi" w:hAnsiTheme="minorHAnsi" w:cstheme="minorHAnsi"/>
          <w:i/>
          <w:iCs/>
          <w:sz w:val="24"/>
          <w:szCs w:val="24"/>
        </w:rPr>
        <w:t>I</w:t>
      </w:r>
      <w:r w:rsidR="00CF39AC" w:rsidRPr="00290AA1">
        <w:rPr>
          <w:rFonts w:asciiTheme="minorHAnsi" w:hAnsiTheme="minorHAnsi" w:cstheme="minorHAnsi"/>
          <w:i/>
          <w:iCs/>
          <w:sz w:val="24"/>
          <w:szCs w:val="24"/>
        </w:rPr>
        <w:t>n relation to the reporting of sexual abuse</w:t>
      </w:r>
    </w:p>
    <w:p w14:paraId="208BBFA2" w14:textId="08177458" w:rsidR="00C03AAC" w:rsidRPr="00FF6625" w:rsidRDefault="00CF39AC" w:rsidP="00FF6625">
      <w:pPr>
        <w:pStyle w:val="Style4"/>
        <w:spacing w:before="240" w:after="0"/>
      </w:pPr>
      <w:r w:rsidRPr="00FF6625">
        <w:t>The Royal Commission into Institutional Responses to Child Sexual Abuse</w:t>
      </w:r>
      <w:r w:rsidR="00E92E59" w:rsidRPr="00FF6625">
        <w:t>,</w:t>
      </w:r>
      <w:r w:rsidRPr="00FF6625">
        <w:t xml:space="preserve"> established in 2013</w:t>
      </w:r>
      <w:r w:rsidR="00E92E59" w:rsidRPr="00FF6625">
        <w:t>,</w:t>
      </w:r>
      <w:r w:rsidRPr="00FF6625">
        <w:t xml:space="preserve"> recommended that state and territory governments amend laws concerning mandatory reporting to child protection authorities to include people in religious ministry</w:t>
      </w:r>
      <w:r w:rsidR="00DB2E8E" w:rsidRPr="00FF6625">
        <w:t xml:space="preserve"> (</w:t>
      </w:r>
      <w:r w:rsidRPr="00FF6625">
        <w:t>rec 7.3(e)</w:t>
      </w:r>
      <w:r w:rsidR="00DB2E8E" w:rsidRPr="00FF6625">
        <w:t>)</w:t>
      </w:r>
      <w:r w:rsidR="00D36572" w:rsidRPr="00FF6625">
        <w:t>.</w:t>
      </w:r>
      <w:r w:rsidRPr="00FF6625">
        <w:rPr>
          <w:vertAlign w:val="superscript"/>
        </w:rPr>
        <w:footnoteReference w:id="44"/>
      </w:r>
      <w:r w:rsidRPr="00FF6625">
        <w:t xml:space="preserve"> In response to the Royal Commission recommendation 7.3(e) and in commitment to improving systemic responses to child sexual abuse</w:t>
      </w:r>
      <w:r w:rsidRPr="00FF6625">
        <w:rPr>
          <w:vertAlign w:val="superscript"/>
        </w:rPr>
        <w:footnoteReference w:id="45"/>
      </w:r>
      <w:r w:rsidRPr="00FF6625">
        <w:t>, the existing CYP</w:t>
      </w:r>
      <w:r w:rsidR="00EE377E" w:rsidRPr="00FF6625">
        <w:t>A</w:t>
      </w:r>
      <w:r w:rsidRPr="00FF6625">
        <w:t xml:space="preserve"> explicitly requires the reporting of information relating to child sexual abuse and </w:t>
      </w:r>
      <w:r w:rsidR="00290516" w:rsidRPr="00FF6625">
        <w:t xml:space="preserve">non-accidental </w:t>
      </w:r>
      <w:r w:rsidRPr="00FF6625">
        <w:t xml:space="preserve">physical </w:t>
      </w:r>
      <w:r w:rsidR="00290516" w:rsidRPr="00FF6625">
        <w:t>injury</w:t>
      </w:r>
      <w:r w:rsidRPr="00FF6625">
        <w:t xml:space="preserve"> disclosed within the context of a religious confession</w:t>
      </w:r>
      <w:r w:rsidR="00290516" w:rsidRPr="00FF6625">
        <w:t xml:space="preserve"> (356(C)(i)(ii))</w:t>
      </w:r>
      <w:r w:rsidRPr="00FF6625">
        <w:t xml:space="preserve">. </w:t>
      </w:r>
    </w:p>
    <w:p w14:paraId="2B71062C" w14:textId="0BB344D7" w:rsidR="00EB2BA8" w:rsidRPr="00FF6625" w:rsidRDefault="005C5B85" w:rsidP="00FF6625">
      <w:pPr>
        <w:pStyle w:val="Style4"/>
        <w:spacing w:before="240" w:after="0"/>
      </w:pPr>
      <w:r w:rsidRPr="00FF6625">
        <w:t>As of September 1, 2019, ministers of religion, religious leaders, and clergy members from various denominations are now classified as mandated reporters.</w:t>
      </w:r>
      <w:r w:rsidR="00A23364" w:rsidRPr="00FF6625">
        <w:t xml:space="preserve"> The CYPA specifies that </w:t>
      </w:r>
      <w:r w:rsidR="00290516" w:rsidRPr="00FF6625">
        <w:t>a</w:t>
      </w:r>
      <w:r w:rsidR="00EB2BA8" w:rsidRPr="00FF6625">
        <w:t xml:space="preserve"> person who is or was a member of the clergy of a church or religious denomination is not entitled to refuse to make a mandatory report solely on the basis that it contains information communicated to the member during a religious confession (356(2)).</w:t>
      </w:r>
    </w:p>
    <w:p w14:paraId="7F1DBD36" w14:textId="5370E341" w:rsidR="00290516" w:rsidRPr="00FF6625" w:rsidRDefault="006548C5" w:rsidP="00FF6625">
      <w:pPr>
        <w:pStyle w:val="Style4"/>
        <w:spacing w:before="240" w:after="0"/>
      </w:pPr>
      <w:r w:rsidRPr="00FF6625">
        <w:t xml:space="preserve">New section 344(a)(ii) introduces the concepts of grooming and sexual exploitation. </w:t>
      </w:r>
      <w:r w:rsidR="00290516" w:rsidRPr="00FF6625">
        <w:t xml:space="preserve">The </w:t>
      </w:r>
      <w:r w:rsidR="00E92E59" w:rsidRPr="00FF6625">
        <w:t>provision</w:t>
      </w:r>
      <w:r w:rsidR="00D122B3">
        <w:t>’</w:t>
      </w:r>
      <w:r w:rsidR="00E92E59" w:rsidRPr="00FF6625">
        <w:t xml:space="preserve">s </w:t>
      </w:r>
      <w:r w:rsidR="00290516" w:rsidRPr="00FF6625">
        <w:t xml:space="preserve">primary objective is to prioritise the safety of children </w:t>
      </w:r>
      <w:r w:rsidRPr="00FF6625">
        <w:t xml:space="preserve">in accord </w:t>
      </w:r>
      <w:r w:rsidR="00290516" w:rsidRPr="00FF6625">
        <w:t xml:space="preserve">with </w:t>
      </w:r>
      <w:r w:rsidRPr="00FF6625">
        <w:t xml:space="preserve">the growing understanding </w:t>
      </w:r>
      <w:r w:rsidR="00290516" w:rsidRPr="00FF6625">
        <w:t>of child sexual abuse</w:t>
      </w:r>
      <w:r w:rsidRPr="00FF6625">
        <w:t xml:space="preserve">. </w:t>
      </w:r>
      <w:r w:rsidR="00DB2E8E" w:rsidRPr="00FF6625">
        <w:t>T</w:t>
      </w:r>
      <w:r w:rsidRPr="00FF6625">
        <w:t>his amendment does not change the mandated reporting requirements outlined in section 356. Mandated reporters are still only obligated to report c</w:t>
      </w:r>
      <w:r w:rsidR="00DB2E8E" w:rsidRPr="00FF6625">
        <w:t>oncern</w:t>
      </w:r>
      <w:r w:rsidRPr="00FF6625">
        <w:t xml:space="preserve"> falling under the </w:t>
      </w:r>
      <w:r w:rsidR="00D122B3">
        <w:t>“</w:t>
      </w:r>
      <w:r w:rsidRPr="00FF6625">
        <w:t>sexual abuse</w:t>
      </w:r>
      <w:r w:rsidR="00D122B3">
        <w:t>”</w:t>
      </w:r>
      <w:r w:rsidRPr="00FF6625">
        <w:t xml:space="preserve"> component of this provision.</w:t>
      </w:r>
    </w:p>
    <w:p w14:paraId="60812298" w14:textId="511BA2D2" w:rsidR="00CF39AC" w:rsidRPr="00FF6625" w:rsidRDefault="00CF39AC" w:rsidP="00FF6625">
      <w:pPr>
        <w:pStyle w:val="Style4"/>
        <w:spacing w:before="240" w:after="0"/>
      </w:pPr>
      <w:bookmarkStart w:id="21" w:name="_Hlk146877495"/>
      <w:r w:rsidRPr="00FF6625">
        <w:t xml:space="preserve">Section 28 of the </w:t>
      </w:r>
      <w:r w:rsidR="008C7B38" w:rsidRPr="00FF6625">
        <w:t>HR</w:t>
      </w:r>
      <w:r w:rsidR="00EE377E" w:rsidRPr="00FF6625">
        <w:t>A</w:t>
      </w:r>
      <w:r w:rsidRPr="00FF6625">
        <w:t xml:space="preserve"> requires that any restriction on a human right must be </w:t>
      </w:r>
      <w:r w:rsidR="00DB2E8E" w:rsidRPr="00FF6625">
        <w:t xml:space="preserve">authorised </w:t>
      </w:r>
      <w:r w:rsidRPr="00FF6625">
        <w:t>by a Territory law, be based on evidenc</w:t>
      </w:r>
      <w:r w:rsidR="006548C5" w:rsidRPr="00FF6625">
        <w:t xml:space="preserve">e </w:t>
      </w:r>
      <w:r w:rsidRPr="00FF6625">
        <w:t xml:space="preserve">and be reasonable to achieve a legitimate aim. Whether a limitation is reasonable depends on whether it is proportionate. </w:t>
      </w:r>
      <w:r w:rsidR="003B70FF" w:rsidRPr="00FF6625">
        <w:t>The existing limitations on human rights imposed by the CYPA have not been lessened or exacerbated by the Bills amendments and are considered proportionate and justified under the circumstances. They represent the least restrictive means available to achieve the purpose of protecting children and victims of child sexual abuse, noting that e</w:t>
      </w:r>
      <w:r w:rsidR="006548C5" w:rsidRPr="00FF6625">
        <w:t>ven if only a single case of child sexual abuse is detected or prevented, the amendments would still be deemed proportionate</w:t>
      </w:r>
      <w:r w:rsidR="00D36572" w:rsidRPr="00FF6625">
        <w:t>.</w:t>
      </w:r>
      <w:r w:rsidRPr="00FF6625">
        <w:rPr>
          <w:vertAlign w:val="superscript"/>
        </w:rPr>
        <w:footnoteReference w:id="46"/>
      </w:r>
    </w:p>
    <w:bookmarkEnd w:id="21"/>
    <w:p w14:paraId="105147A5" w14:textId="6F46EA22" w:rsidR="00352E6F" w:rsidRPr="007D6928" w:rsidRDefault="00352E6F" w:rsidP="00FF6625">
      <w:pPr>
        <w:pStyle w:val="Heading1"/>
        <w:spacing w:before="240" w:after="0"/>
      </w:pPr>
      <w:r w:rsidRPr="007D6928">
        <w:t>Section 8</w:t>
      </w:r>
      <w:r w:rsidR="00E25334" w:rsidRPr="007D6928">
        <w:t xml:space="preserve"> R</w:t>
      </w:r>
      <w:r w:rsidRPr="007D6928">
        <w:t>ecognition and equality before the law</w:t>
      </w:r>
    </w:p>
    <w:p w14:paraId="24183DC0" w14:textId="12004F1C" w:rsidR="00555E06" w:rsidRPr="00FF6625" w:rsidRDefault="00555E06" w:rsidP="00FF6625">
      <w:pPr>
        <w:pStyle w:val="Style4"/>
        <w:spacing w:before="240" w:after="0"/>
      </w:pPr>
      <w:r w:rsidRPr="00FF6625">
        <w:t xml:space="preserve">Section 8 of the </w:t>
      </w:r>
      <w:r w:rsidR="00EE377E" w:rsidRPr="00FF6625">
        <w:t xml:space="preserve">HRA </w:t>
      </w:r>
      <w:r w:rsidRPr="00FF6625">
        <w:t>provides that everyone is equal before the law and is entitled to</w:t>
      </w:r>
      <w:r w:rsidR="00ED7FAB" w:rsidRPr="00FF6625">
        <w:t xml:space="preserve"> </w:t>
      </w:r>
      <w:r w:rsidRPr="00FF6625">
        <w:t xml:space="preserve">equal protection of the law without discrimination. The purpose is to ensure that all laws and policies are </w:t>
      </w:r>
      <w:r w:rsidRPr="00FF6625">
        <w:lastRenderedPageBreak/>
        <w:t>applied equally</w:t>
      </w:r>
      <w:r w:rsidR="00462B35" w:rsidRPr="00FF6625">
        <w:t xml:space="preserve"> </w:t>
      </w:r>
      <w:r w:rsidRPr="00FF6625">
        <w:t xml:space="preserve">and do not have a discriminatory effect. </w:t>
      </w:r>
      <w:r w:rsidR="001C1F06" w:rsidRPr="00FF6625">
        <w:t xml:space="preserve">The right to recognition and equality before the law is a standalone right that also permeates all human rights. </w:t>
      </w:r>
    </w:p>
    <w:p w14:paraId="06885265" w14:textId="4DCD6499" w:rsidR="00555E06" w:rsidRPr="00FF6625" w:rsidRDefault="00555E06" w:rsidP="00FF6625">
      <w:pPr>
        <w:pStyle w:val="Style4"/>
        <w:spacing w:before="240" w:after="0"/>
      </w:pPr>
      <w:r w:rsidRPr="00FF6625">
        <w:t xml:space="preserve">Section 8 of the </w:t>
      </w:r>
      <w:r w:rsidR="00EE377E" w:rsidRPr="00FF6625">
        <w:t xml:space="preserve">HRA </w:t>
      </w:r>
      <w:r w:rsidRPr="00FF6625">
        <w:t xml:space="preserve">sets out examples of discrimination on the basis of race, colour, sex, sexual orientation, language, religion, political or other opinion, national or social origin, property, birth, disability or </w:t>
      </w:r>
      <w:r w:rsidR="00D122B3">
        <w:t>‘</w:t>
      </w:r>
      <w:r w:rsidRPr="00FF6625">
        <w:t>other status</w:t>
      </w:r>
      <w:r w:rsidR="000F189C" w:rsidRPr="00FF6625">
        <w:t>.</w:t>
      </w:r>
      <w:r w:rsidR="00D122B3">
        <w:t>’</w:t>
      </w:r>
      <w:r w:rsidR="00285E19" w:rsidRPr="00FF6625">
        <w:t xml:space="preserve"> </w:t>
      </w:r>
      <w:r w:rsidRPr="00FF6625">
        <w:t>In addition to the grounds identified as examples in the</w:t>
      </w:r>
      <w:r w:rsidR="00EE377E" w:rsidRPr="00FF6625">
        <w:t xml:space="preserve"> HRA</w:t>
      </w:r>
      <w:r w:rsidRPr="00FF6625">
        <w:t xml:space="preserve">, the </w:t>
      </w:r>
      <w:r w:rsidRPr="00FF6625">
        <w:rPr>
          <w:i/>
        </w:rPr>
        <w:t>Discrimination Act 1991</w:t>
      </w:r>
      <w:r w:rsidRPr="00FF6625">
        <w:t xml:space="preserve"> (ACT) </w:t>
      </w:r>
      <w:r w:rsidR="008C7B38" w:rsidRPr="00FF6625">
        <w:t xml:space="preserve">(s 8) </w:t>
      </w:r>
      <w:r w:rsidRPr="00FF6625">
        <w:t xml:space="preserve">provides </w:t>
      </w:r>
      <w:r w:rsidR="00ED7FAB" w:rsidRPr="00FF6625">
        <w:t xml:space="preserve">that </w:t>
      </w:r>
      <w:r w:rsidRPr="00FF6625">
        <w:t>it is unlawful to discriminate based on a person having one or more protected attributes</w:t>
      </w:r>
      <w:r w:rsidR="00ED7FAB" w:rsidRPr="00FF6625">
        <w:t xml:space="preserve">, </w:t>
      </w:r>
      <w:r w:rsidRPr="00FF6625">
        <w:t>including but not limited to age, race, colour, sex, sexual orientation, language, religion, disability, or other status.</w:t>
      </w:r>
    </w:p>
    <w:p w14:paraId="506896BB" w14:textId="07E9D22E" w:rsidR="00462B35" w:rsidRPr="00FF6625" w:rsidRDefault="00555E06" w:rsidP="00FF6625">
      <w:pPr>
        <w:pStyle w:val="Style4"/>
        <w:spacing w:before="240" w:after="0"/>
        <w:rPr>
          <w:color w:val="000000" w:themeColor="text1"/>
        </w:rPr>
      </w:pPr>
      <w:r w:rsidRPr="00FF6625">
        <w:t>Direct discrimination occurs whe</w:t>
      </w:r>
      <w:r w:rsidR="00ED7FAB" w:rsidRPr="00FF6625">
        <w:t xml:space="preserve">n </w:t>
      </w:r>
      <w:r w:rsidRPr="00FF6625">
        <w:t xml:space="preserve">a person treats a person with an attribute unfavourably because of that attribute. </w:t>
      </w:r>
      <w:r w:rsidR="00462B35" w:rsidRPr="00FF6625">
        <w:rPr>
          <w:color w:val="000000" w:themeColor="text1"/>
        </w:rPr>
        <w:t xml:space="preserve">Discrimination means any distinction, exclusion, restriction or preference based on any ground which has the purpose or </w:t>
      </w:r>
      <w:r w:rsidR="00462B35" w:rsidRPr="00FF6625">
        <w:t>effect</w:t>
      </w:r>
      <w:r w:rsidR="00462B35" w:rsidRPr="00FF6625">
        <w:rPr>
          <w:color w:val="000000" w:themeColor="text1"/>
        </w:rPr>
        <w:t xml:space="preserve"> of nullifying or impairing the recognition, enjoyment or exercise by everyone, on an equal footing, of all rights and freedoms.</w:t>
      </w:r>
      <w:r w:rsidR="00462B35" w:rsidRPr="00FF6625">
        <w:rPr>
          <w:rStyle w:val="FootnoteReference"/>
          <w:rFonts w:cs="Calibri"/>
          <w:color w:val="000000" w:themeColor="text1"/>
          <w:sz w:val="22"/>
        </w:rPr>
        <w:footnoteReference w:id="47"/>
      </w:r>
      <w:r w:rsidR="00462B35" w:rsidRPr="00FF6625">
        <w:rPr>
          <w:color w:val="000000" w:themeColor="text1"/>
        </w:rPr>
        <w:t xml:space="preserve"> It can be taken to include different treatment of persons who are in relevantly similar situations, </w:t>
      </w:r>
      <w:r w:rsidR="00ED7FAB" w:rsidRPr="00FF6625">
        <w:rPr>
          <w:color w:val="000000" w:themeColor="text1"/>
        </w:rPr>
        <w:t>where an objective and reasonable justification is absent</w:t>
      </w:r>
      <w:r w:rsidR="00462B35" w:rsidRPr="00FF6625">
        <w:rPr>
          <w:color w:val="000000" w:themeColor="text1"/>
        </w:rPr>
        <w:t>.</w:t>
      </w:r>
      <w:r w:rsidR="00462B35" w:rsidRPr="00FF6625">
        <w:rPr>
          <w:rStyle w:val="FootnoteReference"/>
          <w:rFonts w:cs="Calibri"/>
          <w:color w:val="000000" w:themeColor="text1"/>
          <w:sz w:val="22"/>
        </w:rPr>
        <w:footnoteReference w:id="48"/>
      </w:r>
      <w:r w:rsidR="00462B35" w:rsidRPr="00FF6625">
        <w:rPr>
          <w:color w:val="000000" w:themeColor="text1"/>
        </w:rPr>
        <w:t xml:space="preserve"> </w:t>
      </w:r>
    </w:p>
    <w:p w14:paraId="467FE520" w14:textId="3C750ECE" w:rsidR="00BB7ADC" w:rsidRPr="00FF6625" w:rsidRDefault="00555E06" w:rsidP="00FF6625">
      <w:pPr>
        <w:pStyle w:val="Style4"/>
        <w:spacing w:before="240" w:after="0"/>
      </w:pPr>
      <w:r w:rsidRPr="00FF6625">
        <w:t xml:space="preserve">Indirect discrimination may arise when an unreasonable rule or policy applies to everyone but has the effect of disadvantaging some people because of a personal characteristic they share. </w:t>
      </w:r>
      <w:r w:rsidR="00462B35" w:rsidRPr="00FF6625">
        <w:rPr>
          <w:color w:val="000000" w:themeColor="text1"/>
        </w:rPr>
        <w:t>The right to equality and the prohibition on discrimination do not prevent special measures or affirmative action aimed at correcting inequalities that arise from facially neutral laws.</w:t>
      </w:r>
      <w:r w:rsidR="00462B35" w:rsidRPr="00FF6625">
        <w:rPr>
          <w:rStyle w:val="FootnoteReference"/>
          <w:rFonts w:cs="Calibri"/>
          <w:color w:val="000000" w:themeColor="text1"/>
          <w:sz w:val="22"/>
        </w:rPr>
        <w:footnoteReference w:id="49"/>
      </w:r>
      <w:r w:rsidR="00462B35" w:rsidRPr="00FF6625">
        <w:rPr>
          <w:color w:val="000000" w:themeColor="text1"/>
        </w:rPr>
        <w:t xml:space="preserve"> </w:t>
      </w:r>
      <w:r w:rsidR="00462B35" w:rsidRPr="00FF6625">
        <w:t>Sometimes</w:t>
      </w:r>
      <w:r w:rsidR="00ED7FAB" w:rsidRPr="00FF6625">
        <w:t xml:space="preserve">, </w:t>
      </w:r>
      <w:r w:rsidR="00462B35" w:rsidRPr="00FF6625">
        <w:t xml:space="preserve">it may be necessary to treat people differently to achieve equality. This is because differences between people </w:t>
      </w:r>
      <w:r w:rsidR="00CB2FF5" w:rsidRPr="00FF6625">
        <w:t>(and</w:t>
      </w:r>
      <w:r w:rsidR="00ED7FAB" w:rsidRPr="00FF6625">
        <w:t>,</w:t>
      </w:r>
      <w:r w:rsidR="00CB2FF5" w:rsidRPr="00FF6625">
        <w:t xml:space="preserve"> at times</w:t>
      </w:r>
      <w:r w:rsidR="00ED7FAB" w:rsidRPr="00FF6625">
        <w:t>,</w:t>
      </w:r>
      <w:r w:rsidR="00CB2FF5" w:rsidRPr="00FF6625">
        <w:t xml:space="preserve"> in common with their communities) </w:t>
      </w:r>
      <w:r w:rsidR="00462B35" w:rsidRPr="00FF6625">
        <w:t xml:space="preserve">may make it difficult for them to enjoy their rights without support. </w:t>
      </w:r>
    </w:p>
    <w:p w14:paraId="06023E9F" w14:textId="00CEE3E3" w:rsidR="00462B35" w:rsidRPr="00FF6625" w:rsidRDefault="00462B35" w:rsidP="00FF6625">
      <w:pPr>
        <w:pStyle w:val="Style4"/>
        <w:spacing w:before="240" w:after="0"/>
        <w:rPr>
          <w:color w:val="000000" w:themeColor="text1"/>
        </w:rPr>
      </w:pPr>
      <w:r w:rsidRPr="00FF6625">
        <w:t xml:space="preserve">The principle of equality, as it pertains to social justice and human rights, asserts that all individuals should be treated fairly and impartially, without any form of discrimination or bias. </w:t>
      </w:r>
      <w:r w:rsidR="00ED7FAB" w:rsidRPr="00FF6625">
        <w:t>However, achieving true equality may require more than removing existing discriminatory practices in certain situations</w:t>
      </w:r>
      <w:r w:rsidRPr="00FF6625">
        <w:t xml:space="preserve">. It may necessitate taking affirmative action to address the underlying conditions that contribute to or perpetuate </w:t>
      </w:r>
      <w:r w:rsidR="00352E6F" w:rsidRPr="00FF6625">
        <w:rPr>
          <w:color w:val="000000" w:themeColor="text1"/>
        </w:rPr>
        <w:t>discrimination</w:t>
      </w:r>
      <w:r w:rsidR="00D36572" w:rsidRPr="00FF6625">
        <w:rPr>
          <w:color w:val="000000" w:themeColor="text1"/>
        </w:rPr>
        <w:t>.</w:t>
      </w:r>
      <w:r w:rsidR="00352E6F" w:rsidRPr="00FF6625">
        <w:rPr>
          <w:rStyle w:val="FootnoteReference"/>
          <w:rFonts w:cs="Calibri"/>
          <w:color w:val="000000" w:themeColor="text1"/>
          <w:sz w:val="22"/>
        </w:rPr>
        <w:footnoteReference w:id="50"/>
      </w:r>
      <w:r w:rsidRPr="00FF6625">
        <w:rPr>
          <w:color w:val="000000" w:themeColor="text1"/>
        </w:rPr>
        <w:t xml:space="preserve"> The need for affirmative action arises from the recognition that historical and systemic discrimination can create deeply entrenched disparities</w:t>
      </w:r>
      <w:r w:rsidR="00285E19" w:rsidRPr="00FF6625">
        <w:rPr>
          <w:color w:val="000000" w:themeColor="text1"/>
        </w:rPr>
        <w:t xml:space="preserve"> for certain individuals and groups</w:t>
      </w:r>
      <w:r w:rsidR="00D36572" w:rsidRPr="00FF6625">
        <w:rPr>
          <w:color w:val="000000" w:themeColor="text1"/>
        </w:rPr>
        <w:t>.</w:t>
      </w:r>
      <w:r w:rsidRPr="00FF6625">
        <w:rPr>
          <w:rStyle w:val="FootnoteReference"/>
          <w:rFonts w:cs="Calibri"/>
          <w:color w:val="000000" w:themeColor="text1"/>
          <w:sz w:val="22"/>
        </w:rPr>
        <w:footnoteReference w:id="51"/>
      </w:r>
      <w:r w:rsidR="00D36572" w:rsidRPr="00FF6625">
        <w:rPr>
          <w:color w:val="000000" w:themeColor="text1"/>
        </w:rPr>
        <w:t xml:space="preserve"> </w:t>
      </w:r>
      <w:r w:rsidRPr="00FF6625">
        <w:rPr>
          <w:color w:val="000000" w:themeColor="text1"/>
        </w:rPr>
        <w:t xml:space="preserve">These disparities may not be easily rectified by simply ending discriminatory practices, as the effects of past discrimination can continue to </w:t>
      </w:r>
      <w:r w:rsidR="00F052CC" w:rsidRPr="00FF6625">
        <w:rPr>
          <w:color w:val="000000" w:themeColor="text1"/>
        </w:rPr>
        <w:t>permeate</w:t>
      </w:r>
      <w:r w:rsidRPr="00FF6625">
        <w:rPr>
          <w:color w:val="000000" w:themeColor="text1"/>
        </w:rPr>
        <w:t xml:space="preserve"> and disadvantage certain groups.</w:t>
      </w:r>
    </w:p>
    <w:p w14:paraId="4F500ED1" w14:textId="39FE7F93" w:rsidR="00170445" w:rsidRPr="00FF6625" w:rsidRDefault="00641318" w:rsidP="00FF6625">
      <w:pPr>
        <w:pStyle w:val="Style4"/>
        <w:spacing w:before="240" w:after="0"/>
        <w:rPr>
          <w:rFonts w:cs="Calibri"/>
        </w:rPr>
      </w:pPr>
      <w:r w:rsidRPr="00FF6625">
        <w:rPr>
          <w:rFonts w:cs="Calibri"/>
          <w:color w:val="000000" w:themeColor="text1"/>
        </w:rPr>
        <w:t>D</w:t>
      </w:r>
      <w:r w:rsidR="00352E6F" w:rsidRPr="00FF6625">
        <w:rPr>
          <w:rFonts w:cs="Calibri"/>
          <w:color w:val="000000" w:themeColor="text1"/>
        </w:rPr>
        <w:t>omestic case</w:t>
      </w:r>
      <w:r w:rsidR="00E14FB1" w:rsidRPr="00FF6625">
        <w:rPr>
          <w:rFonts w:cs="Calibri"/>
          <w:color w:val="000000" w:themeColor="text1"/>
        </w:rPr>
        <w:t xml:space="preserve"> </w:t>
      </w:r>
      <w:r w:rsidR="00352E6F" w:rsidRPr="00FF6625">
        <w:rPr>
          <w:rFonts w:cs="Calibri"/>
          <w:color w:val="000000" w:themeColor="text1"/>
        </w:rPr>
        <w:t>law confirms that w</w:t>
      </w:r>
      <w:r w:rsidR="00352E6F" w:rsidRPr="00FF6625">
        <w:rPr>
          <w:rFonts w:cs="Calibri"/>
        </w:rPr>
        <w:t xml:space="preserve">hile </w:t>
      </w:r>
      <w:r w:rsidR="000F189C" w:rsidRPr="00FF6625">
        <w:rPr>
          <w:rFonts w:cs="Calibri"/>
        </w:rPr>
        <w:t>special measure</w:t>
      </w:r>
      <w:r w:rsidR="00CB2FF5" w:rsidRPr="00FF6625">
        <w:rPr>
          <w:rFonts w:cs="Calibri"/>
        </w:rPr>
        <w:t>s</w:t>
      </w:r>
      <w:r w:rsidR="000F189C" w:rsidRPr="00FF6625">
        <w:rPr>
          <w:rFonts w:cs="Calibri"/>
        </w:rPr>
        <w:t xml:space="preserve"> or affirmative action</w:t>
      </w:r>
      <w:r w:rsidR="00CB2FF5" w:rsidRPr="00FF6625">
        <w:rPr>
          <w:rFonts w:cs="Calibri"/>
        </w:rPr>
        <w:t>s</w:t>
      </w:r>
      <w:r w:rsidR="000F189C" w:rsidRPr="00FF6625">
        <w:rPr>
          <w:rFonts w:cs="Calibri"/>
        </w:rPr>
        <w:t xml:space="preserve"> do</w:t>
      </w:r>
      <w:r w:rsidR="00CB2FF5" w:rsidRPr="00FF6625">
        <w:rPr>
          <w:rFonts w:cs="Calibri"/>
        </w:rPr>
        <w:t xml:space="preserve"> </w:t>
      </w:r>
      <w:r w:rsidR="00CB2FF5" w:rsidRPr="00FF6625">
        <w:t>not</w:t>
      </w:r>
      <w:r w:rsidR="000F189C" w:rsidRPr="00FF6625">
        <w:rPr>
          <w:rFonts w:cs="Calibri"/>
        </w:rPr>
        <w:t xml:space="preserve"> necessarily have to guarantee equal opportunity in an absolute sense, </w:t>
      </w:r>
      <w:r w:rsidR="00285E19" w:rsidRPr="00FF6625">
        <w:rPr>
          <w:rFonts w:cs="Calibri"/>
        </w:rPr>
        <w:t>there</w:t>
      </w:r>
      <w:r w:rsidR="00352E6F" w:rsidRPr="00FF6625">
        <w:rPr>
          <w:rFonts w:cs="Calibri"/>
        </w:rPr>
        <w:t xml:space="preserve"> must be reasonable </w:t>
      </w:r>
      <w:r w:rsidR="000F189C" w:rsidRPr="00FF6625">
        <w:rPr>
          <w:rFonts w:cs="Calibri"/>
        </w:rPr>
        <w:t>acceptance the measures taken are justifiable, rational</w:t>
      </w:r>
      <w:r w:rsidR="00F052CC" w:rsidRPr="00FF6625">
        <w:rPr>
          <w:rFonts w:cs="Calibri"/>
        </w:rPr>
        <w:t xml:space="preserve"> </w:t>
      </w:r>
      <w:r w:rsidR="000F189C" w:rsidRPr="00FF6625">
        <w:rPr>
          <w:rFonts w:cs="Calibri"/>
        </w:rPr>
        <w:t xml:space="preserve">and reasonably connected to the </w:t>
      </w:r>
      <w:r w:rsidR="00CB2FF5" w:rsidRPr="00FF6625">
        <w:rPr>
          <w:rFonts w:cs="Calibri"/>
        </w:rPr>
        <w:t xml:space="preserve">objective </w:t>
      </w:r>
      <w:r w:rsidR="000F189C" w:rsidRPr="00FF6625">
        <w:rPr>
          <w:rFonts w:cs="Calibri"/>
        </w:rPr>
        <w:t>of promoting equality and diminishing discrimination</w:t>
      </w:r>
      <w:r w:rsidR="00D36572" w:rsidRPr="00FF6625">
        <w:rPr>
          <w:rFonts w:cs="Calibri"/>
        </w:rPr>
        <w:t>.</w:t>
      </w:r>
      <w:r w:rsidR="00352E6F" w:rsidRPr="00FF6625">
        <w:rPr>
          <w:rStyle w:val="FootnoteReference"/>
          <w:rFonts w:cs="Calibri"/>
          <w:sz w:val="22"/>
        </w:rPr>
        <w:footnoteReference w:id="52"/>
      </w:r>
    </w:p>
    <w:p w14:paraId="476D0500" w14:textId="1992AB8B" w:rsidR="00AF259A" w:rsidRPr="00FF6625" w:rsidRDefault="00AF259A" w:rsidP="00FF6625">
      <w:pPr>
        <w:pStyle w:val="Style4"/>
        <w:spacing w:before="240" w:after="0"/>
        <w:rPr>
          <w:rFonts w:cs="Calibri"/>
        </w:rPr>
      </w:pPr>
      <w:r w:rsidRPr="00FF6625">
        <w:rPr>
          <w:rFonts w:cs="Calibri"/>
        </w:rPr>
        <w:lastRenderedPageBreak/>
        <w:t xml:space="preserve">The </w:t>
      </w:r>
      <w:r w:rsidR="00EE377E" w:rsidRPr="00FF6625">
        <w:rPr>
          <w:rFonts w:cs="Calibri"/>
        </w:rPr>
        <w:t xml:space="preserve">HRA </w:t>
      </w:r>
      <w:r w:rsidRPr="00FF6625">
        <w:rPr>
          <w:rFonts w:cs="Calibri"/>
        </w:rPr>
        <w:t xml:space="preserve">recognises the special </w:t>
      </w:r>
      <w:r w:rsidR="00170445" w:rsidRPr="00FF6625">
        <w:rPr>
          <w:rFonts w:cs="Calibri"/>
        </w:rPr>
        <w:t>significance</w:t>
      </w:r>
      <w:r w:rsidRPr="00FF6625">
        <w:rPr>
          <w:rFonts w:cs="Calibri"/>
        </w:rPr>
        <w:t xml:space="preserve"> of human rights for Aboriginal and Torres Strait Islander peoples</w:t>
      </w:r>
      <w:r w:rsidR="00ED7FAB" w:rsidRPr="00FF6625">
        <w:rPr>
          <w:rFonts w:cs="Calibri"/>
        </w:rPr>
        <w:t xml:space="preserve"> </w:t>
      </w:r>
      <w:r w:rsidR="00CB2FF5" w:rsidRPr="00FF6625">
        <w:rPr>
          <w:rFonts w:cs="Calibri"/>
        </w:rPr>
        <w:t>as First Nations people</w:t>
      </w:r>
      <w:r w:rsidR="00FC1718" w:rsidRPr="00FF6625">
        <w:rPr>
          <w:rFonts w:cs="Calibri"/>
        </w:rPr>
        <w:t xml:space="preserve">. The fundamental principle </w:t>
      </w:r>
      <w:r w:rsidRPr="00FF6625">
        <w:rPr>
          <w:rFonts w:cs="Calibri"/>
        </w:rPr>
        <w:t>underpinning the various cultural rights protected under</w:t>
      </w:r>
      <w:r w:rsidR="00361433" w:rsidRPr="00FF6625">
        <w:rPr>
          <w:rFonts w:cs="Calibri"/>
        </w:rPr>
        <w:t xml:space="preserve"> </w:t>
      </w:r>
      <w:r w:rsidR="008C7B38" w:rsidRPr="00FF6625">
        <w:rPr>
          <w:rFonts w:cs="Calibri"/>
        </w:rPr>
        <w:t xml:space="preserve">s </w:t>
      </w:r>
      <w:r w:rsidRPr="00FF6625">
        <w:rPr>
          <w:rFonts w:cs="Calibri"/>
        </w:rPr>
        <w:t xml:space="preserve">27 of the </w:t>
      </w:r>
      <w:r w:rsidR="008C7B38" w:rsidRPr="00FF6625">
        <w:rPr>
          <w:rFonts w:cs="Calibri"/>
        </w:rPr>
        <w:t xml:space="preserve">HR </w:t>
      </w:r>
      <w:r w:rsidRPr="00FF6625">
        <w:rPr>
          <w:rFonts w:cs="Calibri"/>
        </w:rPr>
        <w:t xml:space="preserve">Act is </w:t>
      </w:r>
      <w:r w:rsidRPr="00FF6625">
        <w:t>recognition</w:t>
      </w:r>
      <w:r w:rsidRPr="00FF6625">
        <w:rPr>
          <w:rFonts w:cs="Calibri"/>
        </w:rPr>
        <w:t xml:space="preserve"> and respect for the identity of Aboriginal and Torres Strait Islander peoples, both as individuals and in common with their communities. </w:t>
      </w:r>
    </w:p>
    <w:p w14:paraId="0CC303D4" w14:textId="647D9159" w:rsidR="002E257B" w:rsidRPr="00FF6625" w:rsidRDefault="002E257B" w:rsidP="00FF6625">
      <w:pPr>
        <w:pStyle w:val="Style4"/>
        <w:spacing w:before="240" w:after="0"/>
        <w:rPr>
          <w:rFonts w:cs="Calibri"/>
        </w:rPr>
      </w:pPr>
      <w:r w:rsidRPr="00FF6625">
        <w:rPr>
          <w:rFonts w:cs="Calibri"/>
        </w:rPr>
        <w:t>The proposed section 10 will amend the CYPA to explicitly specify that</w:t>
      </w:r>
      <w:r w:rsidR="00ED7FAB" w:rsidRPr="00FF6625">
        <w:rPr>
          <w:rFonts w:cs="Calibri"/>
        </w:rPr>
        <w:t xml:space="preserve"> </w:t>
      </w:r>
      <w:r w:rsidRPr="00FF6625">
        <w:rPr>
          <w:rFonts w:cs="Calibri"/>
        </w:rPr>
        <w:t xml:space="preserve">when decisions are being made about Aboriginal or Torres Strait Islander children and young people, the Aboriginal and Torres Strait Islander Child Placement Principle must be applied. </w:t>
      </w:r>
    </w:p>
    <w:p w14:paraId="5773F9A1" w14:textId="0FD49943" w:rsidR="002E257B" w:rsidRPr="00FF6625" w:rsidRDefault="00A84A02" w:rsidP="00FF6625">
      <w:pPr>
        <w:pStyle w:val="Style4"/>
        <w:spacing w:before="240" w:after="0"/>
        <w:rPr>
          <w:rFonts w:cs="Calibri"/>
        </w:rPr>
      </w:pPr>
      <w:r w:rsidRPr="00FF6625">
        <w:rPr>
          <w:rFonts w:cs="Calibri"/>
        </w:rPr>
        <w:t xml:space="preserve">The </w:t>
      </w:r>
      <w:r w:rsidR="002F6128" w:rsidRPr="00FF6625">
        <w:rPr>
          <w:rFonts w:cs="Calibri"/>
        </w:rPr>
        <w:t xml:space="preserve">Aboriginal and Torres Strait Islander </w:t>
      </w:r>
      <w:r w:rsidRPr="00FF6625">
        <w:rPr>
          <w:rFonts w:cs="Calibri"/>
        </w:rPr>
        <w:t xml:space="preserve">Child Placement Principle </w:t>
      </w:r>
      <w:r w:rsidR="002E257B" w:rsidRPr="00FF6625">
        <w:rPr>
          <w:rFonts w:cs="Calibri"/>
        </w:rPr>
        <w:t>acknowledges the child</w:t>
      </w:r>
      <w:r w:rsidR="00D122B3">
        <w:rPr>
          <w:rFonts w:cs="Calibri"/>
        </w:rPr>
        <w:t>’</w:t>
      </w:r>
      <w:r w:rsidR="002E257B" w:rsidRPr="00FF6625">
        <w:rPr>
          <w:rFonts w:cs="Calibri"/>
        </w:rPr>
        <w:t>s right to be raised with</w:t>
      </w:r>
      <w:r w:rsidR="00B06C1C" w:rsidRPr="00FF6625">
        <w:rPr>
          <w:rFonts w:cs="Calibri"/>
        </w:rPr>
        <w:t>in</w:t>
      </w:r>
      <w:r w:rsidR="002E257B" w:rsidRPr="00FF6625">
        <w:rPr>
          <w:rFonts w:cs="Calibri"/>
        </w:rPr>
        <w:t xml:space="preserve"> </w:t>
      </w:r>
      <w:r w:rsidR="002E257B" w:rsidRPr="00FF6625">
        <w:t>their</w:t>
      </w:r>
      <w:r w:rsidR="002E257B" w:rsidRPr="00FF6625">
        <w:rPr>
          <w:rFonts w:cs="Calibri"/>
        </w:rPr>
        <w:t xml:space="preserve"> own family and community, supports Aboriginal and Torres Strait Islander people to participate in significant decisions affecting their children, and ensures children are placed in accordance with the placement hierarchy if they become involved with the statutory care system.</w:t>
      </w:r>
    </w:p>
    <w:p w14:paraId="5899186D" w14:textId="672C2BC3" w:rsidR="00170445" w:rsidRPr="00FF6625" w:rsidRDefault="004E654C" w:rsidP="00FF6625">
      <w:pPr>
        <w:pStyle w:val="Style4"/>
        <w:spacing w:before="240" w:after="0"/>
        <w:rPr>
          <w:rFonts w:cs="Calibri"/>
        </w:rPr>
      </w:pPr>
      <w:r w:rsidRPr="00FF6625">
        <w:rPr>
          <w:rFonts w:cs="Calibri"/>
        </w:rPr>
        <w:t>The amendments are intended to be an affirmative action to address t</w:t>
      </w:r>
      <w:r w:rsidR="00FC1718" w:rsidRPr="00FF6625">
        <w:rPr>
          <w:rFonts w:cs="Calibri"/>
        </w:rPr>
        <w:t>he recognition and equality before the law</w:t>
      </w:r>
      <w:r w:rsidR="00362F9D" w:rsidRPr="00FF6625">
        <w:rPr>
          <w:rFonts w:cs="Calibri"/>
        </w:rPr>
        <w:t>.</w:t>
      </w:r>
    </w:p>
    <w:p w14:paraId="0CEBEB43" w14:textId="34F1259D" w:rsidR="00352E6F" w:rsidRPr="000B3671" w:rsidRDefault="00950302" w:rsidP="00FF6625">
      <w:pPr>
        <w:pStyle w:val="Heading1"/>
        <w:spacing w:before="240" w:after="0"/>
        <w:rPr>
          <w:rFonts w:eastAsia="Times New Roman"/>
        </w:rPr>
      </w:pPr>
      <w:r w:rsidRPr="000B3671">
        <w:rPr>
          <w:rFonts w:eastAsia="Times New Roman"/>
        </w:rPr>
        <w:t xml:space="preserve">Part 3 </w:t>
      </w:r>
      <w:r w:rsidR="00352E6F" w:rsidRPr="000B3671">
        <w:rPr>
          <w:rFonts w:eastAsia="Times New Roman"/>
        </w:rPr>
        <w:t xml:space="preserve">Section 27 Aboriginal and Torres Strait Islander culture </w:t>
      </w:r>
    </w:p>
    <w:p w14:paraId="51AD0E47" w14:textId="5ECB6B41" w:rsidR="00352E6F" w:rsidRPr="00FF6625" w:rsidRDefault="003B2A3D" w:rsidP="00FF6625">
      <w:pPr>
        <w:pStyle w:val="Style4"/>
        <w:spacing w:before="240" w:after="0"/>
      </w:pPr>
      <w:r w:rsidRPr="00FF6625">
        <w:t xml:space="preserve">Section 27(2) </w:t>
      </w:r>
      <w:r w:rsidR="007E4AB6" w:rsidRPr="00FF6625">
        <w:t xml:space="preserve">of the </w:t>
      </w:r>
      <w:r w:rsidR="00EE377E" w:rsidRPr="00FF6625">
        <w:t xml:space="preserve">HRA </w:t>
      </w:r>
      <w:r w:rsidR="00335ADD" w:rsidRPr="00FF6625">
        <w:t xml:space="preserve">specifies that Aboriginal and Torres Strait Islander peoples hold distinct cultural rights </w:t>
      </w:r>
      <w:r w:rsidR="00BE2C67" w:rsidRPr="00FF6625">
        <w:t>to enjoy, maintain, control, protect and develop their identity and cultural heritage</w:t>
      </w:r>
      <w:r w:rsidRPr="00FF6625">
        <w:t xml:space="preserve"> as Australia</w:t>
      </w:r>
      <w:r w:rsidR="00D122B3">
        <w:t>’</w:t>
      </w:r>
      <w:r w:rsidRPr="00FF6625">
        <w:t xml:space="preserve">s first people. This section is based on two international instruments. </w:t>
      </w:r>
      <w:r w:rsidR="009E394E" w:rsidRPr="00FF6625">
        <w:t>First</w:t>
      </w:r>
      <w:r w:rsidRPr="00FF6625">
        <w:t xml:space="preserve"> i</w:t>
      </w:r>
      <w:r w:rsidR="007E4AB6" w:rsidRPr="00FF6625">
        <w:t>s the</w:t>
      </w:r>
      <w:r w:rsidRPr="00FF6625">
        <w:t xml:space="preserve"> International Covenant on Economic, Social and Cultural Rights</w:t>
      </w:r>
      <w:r w:rsidR="00A6130E" w:rsidRPr="00FF6625">
        <w:t xml:space="preserve"> (ICESCR)</w:t>
      </w:r>
      <w:r w:rsidR="00D36572" w:rsidRPr="00FF6625">
        <w:t>,</w:t>
      </w:r>
      <w:r w:rsidR="005A3608" w:rsidRPr="00FF6625">
        <w:rPr>
          <w:rStyle w:val="FootnoteReference"/>
          <w:sz w:val="22"/>
        </w:rPr>
        <w:footnoteReference w:id="53"/>
      </w:r>
      <w:r w:rsidRPr="00FF6625">
        <w:t xml:space="preserve"> which Australia ratified in 1975. </w:t>
      </w:r>
      <w:r w:rsidR="009E394E" w:rsidRPr="00FF6625">
        <w:t>Second are</w:t>
      </w:r>
      <w:r w:rsidRPr="00FF6625">
        <w:t xml:space="preserve"> </w:t>
      </w:r>
      <w:r w:rsidR="00D92C0F" w:rsidRPr="00FF6625">
        <w:t>a</w:t>
      </w:r>
      <w:r w:rsidRPr="00FF6625">
        <w:t>rticles 25 and 31 of the United Nations Declaration on the Rights of Indigenous Peoples</w:t>
      </w:r>
      <w:r w:rsidR="00D36572" w:rsidRPr="00FF6625">
        <w:t>,</w:t>
      </w:r>
      <w:r w:rsidR="005A3608" w:rsidRPr="00FF6625">
        <w:rPr>
          <w:rStyle w:val="FootnoteReference"/>
          <w:sz w:val="22"/>
        </w:rPr>
        <w:footnoteReference w:id="54"/>
      </w:r>
      <w:r w:rsidRPr="00FF6625">
        <w:t xml:space="preserve"> </w:t>
      </w:r>
      <w:r w:rsidR="001E0E6D" w:rsidRPr="00FF6625">
        <w:t>adopted by the General Assembly in 2007.</w:t>
      </w:r>
    </w:p>
    <w:p w14:paraId="7A2FAE1B" w14:textId="3D19F5D2" w:rsidR="00D9137C" w:rsidRPr="00FF6625" w:rsidRDefault="00D92C0F" w:rsidP="00FF6625">
      <w:pPr>
        <w:pStyle w:val="Style4"/>
        <w:spacing w:before="240" w:after="0"/>
      </w:pPr>
      <w:r w:rsidRPr="00FF6625">
        <w:t>A</w:t>
      </w:r>
      <w:r w:rsidR="007E4AB6" w:rsidRPr="00FF6625">
        <w:t>rticle 3 of the</w:t>
      </w:r>
      <w:r w:rsidR="00D9137C" w:rsidRPr="00FF6625">
        <w:t xml:space="preserve"> </w:t>
      </w:r>
      <w:r w:rsidR="00AA41F4" w:rsidRPr="00FF6625">
        <w:t xml:space="preserve">Convention </w:t>
      </w:r>
      <w:r w:rsidR="00D9137C" w:rsidRPr="00FF6625">
        <w:t>provides all organisations concerned with children should work towards what is best for each child. Article 8 provides that governments should respect a child</w:t>
      </w:r>
      <w:r w:rsidR="00D122B3">
        <w:t>’</w:t>
      </w:r>
      <w:r w:rsidR="00D9137C" w:rsidRPr="00FF6625">
        <w:t>s right to family ties</w:t>
      </w:r>
      <w:r w:rsidR="007E4AB6" w:rsidRPr="00FF6625">
        <w:t xml:space="preserve">, </w:t>
      </w:r>
      <w:r w:rsidR="00D9137C" w:rsidRPr="00FF6625">
        <w:t xml:space="preserve">with </w:t>
      </w:r>
      <w:r w:rsidRPr="00FF6625">
        <w:t>a</w:t>
      </w:r>
      <w:r w:rsidR="00D9137C" w:rsidRPr="00FF6625">
        <w:t xml:space="preserve">rticle 7 asserting </w:t>
      </w:r>
      <w:r w:rsidR="008E21C8" w:rsidRPr="00FF6625">
        <w:t xml:space="preserve">that </w:t>
      </w:r>
      <w:r w:rsidR="00D9137C" w:rsidRPr="00FF6625">
        <w:t>children have the right to know their parents and, as far as possible, to be cared for by them.</w:t>
      </w:r>
      <w:r w:rsidR="00335ADD" w:rsidRPr="00FF6625">
        <w:t xml:space="preserve"> </w:t>
      </w:r>
      <w:r w:rsidRPr="00FF6625">
        <w:t>A</w:t>
      </w:r>
      <w:r w:rsidR="001E0E6D" w:rsidRPr="00FF6625">
        <w:t>rticle 20</w:t>
      </w:r>
      <w:r w:rsidR="00335ADD" w:rsidRPr="00FF6625">
        <w:t xml:space="preserve"> provides that</w:t>
      </w:r>
      <w:r w:rsidR="00D9137C" w:rsidRPr="00FF6625">
        <w:t xml:space="preserve"> </w:t>
      </w:r>
      <w:r w:rsidR="00D418A1" w:rsidRPr="00FF6625">
        <w:t>c</w:t>
      </w:r>
      <w:r w:rsidR="00335ADD" w:rsidRPr="00FF6625">
        <w:t>hildren who cannot be looked after by their own family must be looked after properly by people who respect their religion, culture and language.</w:t>
      </w:r>
    </w:p>
    <w:p w14:paraId="123735A7" w14:textId="6A084B52" w:rsidR="00D9137C" w:rsidRPr="00FF6625" w:rsidRDefault="00F33DEB" w:rsidP="00FF6625">
      <w:pPr>
        <w:pStyle w:val="Style4"/>
        <w:spacing w:before="240" w:after="0"/>
      </w:pPr>
      <w:r w:rsidRPr="00FF6625">
        <w:t>Revised s</w:t>
      </w:r>
      <w:r w:rsidR="00D9137C" w:rsidRPr="00FF6625">
        <w:t xml:space="preserve">ection 10 incorporates the </w:t>
      </w:r>
      <w:r w:rsidR="00A84A02" w:rsidRPr="00FF6625">
        <w:t xml:space="preserve">Aboriginal and Torres Strait Islander </w:t>
      </w:r>
      <w:r w:rsidR="009E394E" w:rsidRPr="00FF6625">
        <w:t>C</w:t>
      </w:r>
      <w:r w:rsidR="00A6130E" w:rsidRPr="00FF6625">
        <w:t>hild Placement Principle</w:t>
      </w:r>
      <w:r w:rsidR="00A84A02" w:rsidRPr="00FF6625">
        <w:t xml:space="preserve">, </w:t>
      </w:r>
      <w:r w:rsidR="007E4AB6" w:rsidRPr="00FF6625">
        <w:t xml:space="preserve">which safeguards the rights of Aboriginal children and young people, their families and communities </w:t>
      </w:r>
      <w:r w:rsidR="002E257B" w:rsidRPr="00FF6625">
        <w:t xml:space="preserve">involved </w:t>
      </w:r>
      <w:r w:rsidR="007E4AB6" w:rsidRPr="00FF6625">
        <w:t>with the statutory child protection system</w:t>
      </w:r>
      <w:r w:rsidR="00D9137C" w:rsidRPr="00FF6625">
        <w:t xml:space="preserve">. It prioritises preserving the family unit, working in collaboration with the community, involving children and families in decision-making processes, maintaining connections to family, community, culture, and </w:t>
      </w:r>
      <w:r w:rsidR="00B06C1C" w:rsidRPr="00FF6625">
        <w:t>C</w:t>
      </w:r>
      <w:r w:rsidR="00D9137C" w:rsidRPr="00FF6625">
        <w:t xml:space="preserve">ountry, and ensuring children who </w:t>
      </w:r>
      <w:r w:rsidR="007E4AB6" w:rsidRPr="00FF6625">
        <w:t xml:space="preserve">are </w:t>
      </w:r>
      <w:r w:rsidR="00D9137C" w:rsidRPr="00FF6625">
        <w:t>placed in out</w:t>
      </w:r>
      <w:r w:rsidR="008E21C8" w:rsidRPr="00FF6625">
        <w:t>-</w:t>
      </w:r>
      <w:r w:rsidR="00D9137C" w:rsidRPr="00FF6625">
        <w:t>of</w:t>
      </w:r>
      <w:r w:rsidR="008E21C8" w:rsidRPr="00FF6625">
        <w:t>-</w:t>
      </w:r>
      <w:r w:rsidR="00D9137C" w:rsidRPr="00FF6625">
        <w:t xml:space="preserve">home care are done so in accordance with the </w:t>
      </w:r>
      <w:r w:rsidR="002F6128" w:rsidRPr="00FF6625">
        <w:rPr>
          <w:rFonts w:cs="Calibri"/>
        </w:rPr>
        <w:t xml:space="preserve">Aboriginal and Torres Strait Islander </w:t>
      </w:r>
      <w:r w:rsidR="00137033" w:rsidRPr="00FF6625">
        <w:t>C</w:t>
      </w:r>
      <w:r w:rsidR="00D9137C" w:rsidRPr="00FF6625">
        <w:t xml:space="preserve">hild </w:t>
      </w:r>
      <w:r w:rsidR="00137033" w:rsidRPr="00FF6625">
        <w:t>P</w:t>
      </w:r>
      <w:r w:rsidR="00D9137C" w:rsidRPr="00FF6625">
        <w:t xml:space="preserve">lacement </w:t>
      </w:r>
      <w:r w:rsidR="00137033" w:rsidRPr="00FF6625">
        <w:t>P</w:t>
      </w:r>
      <w:r w:rsidR="00D9137C" w:rsidRPr="00FF6625">
        <w:t>rinciple hierarchy</w:t>
      </w:r>
      <w:r w:rsidR="00A6130E" w:rsidRPr="00FF6625">
        <w:t xml:space="preserve"> set out in section </w:t>
      </w:r>
      <w:r w:rsidR="00A84A02" w:rsidRPr="00FF6625">
        <w:t xml:space="preserve">513 of the CYPA. </w:t>
      </w:r>
    </w:p>
    <w:p w14:paraId="5C0D02C2" w14:textId="5B3E7A87" w:rsidR="00D9137C" w:rsidRPr="00FF6625" w:rsidRDefault="00F33DEB" w:rsidP="00FF6625">
      <w:pPr>
        <w:pStyle w:val="Style4"/>
        <w:spacing w:before="240" w:after="0"/>
      </w:pPr>
      <w:r w:rsidRPr="00FF6625">
        <w:t>New s</w:t>
      </w:r>
      <w:r w:rsidR="00D9137C" w:rsidRPr="00FF6625">
        <w:t>ection 360(4) affirms the director-general</w:t>
      </w:r>
      <w:r w:rsidR="00D122B3">
        <w:t>’</w:t>
      </w:r>
      <w:r w:rsidR="00D9137C" w:rsidRPr="00FF6625">
        <w:t xml:space="preserve">s duty to promptly determine if a child is of Aboriginal or Torres Strait Islander </w:t>
      </w:r>
      <w:r w:rsidR="007E4AB6" w:rsidRPr="00FF6625">
        <w:t>identity</w:t>
      </w:r>
      <w:r w:rsidR="00D9137C" w:rsidRPr="00FF6625">
        <w:t>. This acknowledgment prioritises preserving the child</w:t>
      </w:r>
      <w:r w:rsidR="00D122B3">
        <w:t>’</w:t>
      </w:r>
      <w:r w:rsidR="00D9137C" w:rsidRPr="00FF6625">
        <w:t xml:space="preserve">s </w:t>
      </w:r>
      <w:r w:rsidR="00D9137C" w:rsidRPr="00FF6625">
        <w:lastRenderedPageBreak/>
        <w:t>cultural and community connections, essential for their wellbeing and safety throughout</w:t>
      </w:r>
      <w:r w:rsidR="007E4AB6" w:rsidRPr="00FF6625">
        <w:t xml:space="preserve"> all phases of child protection involvement</w:t>
      </w:r>
      <w:r w:rsidR="00D9137C" w:rsidRPr="00FF6625">
        <w:t>. Early identification is pivotal in effectively implementing all five elements of the</w:t>
      </w:r>
      <w:r w:rsidR="00A84A02" w:rsidRPr="00FF6625">
        <w:t xml:space="preserve"> </w:t>
      </w:r>
      <w:r w:rsidR="002F6128" w:rsidRPr="00FF6625">
        <w:rPr>
          <w:rFonts w:cs="Calibri"/>
        </w:rPr>
        <w:t xml:space="preserve">Aboriginal and Torres Strait Islander </w:t>
      </w:r>
      <w:r w:rsidR="00A84A02" w:rsidRPr="00FF6625">
        <w:t>Child Placement Principle</w:t>
      </w:r>
      <w:r w:rsidR="00D9137C" w:rsidRPr="00FF6625">
        <w:t>.</w:t>
      </w:r>
    </w:p>
    <w:p w14:paraId="1022CF31" w14:textId="0A484B62" w:rsidR="00F10B5C" w:rsidRPr="00FF6625" w:rsidRDefault="00F10B5C" w:rsidP="00FF6625">
      <w:pPr>
        <w:pStyle w:val="Style4"/>
        <w:spacing w:before="240" w:after="0"/>
        <w:rPr>
          <w:rFonts w:eastAsia="Calibri"/>
        </w:rPr>
      </w:pPr>
      <w:r w:rsidRPr="00FF6625">
        <w:t xml:space="preserve">The Bill also recognises and promotes the importance of self-determination. </w:t>
      </w:r>
      <w:r w:rsidR="00F33DEB" w:rsidRPr="00FF6625">
        <w:t xml:space="preserve">New </w:t>
      </w:r>
      <w:r w:rsidR="00F33DEB" w:rsidRPr="00FF6625">
        <w:rPr>
          <w:rFonts w:eastAsia="Calibri"/>
        </w:rPr>
        <w:t>s</w:t>
      </w:r>
      <w:r w:rsidR="000B2C2E" w:rsidRPr="00FF6625">
        <w:rPr>
          <w:rFonts w:eastAsia="Calibri"/>
        </w:rPr>
        <w:t>ection 10 A(a) recognises Aboriginal and Torres Strait Islander people should participate in the care and protection of their children and young people with as much self-determination as is possible.</w:t>
      </w:r>
      <w:r w:rsidR="000B2C2E" w:rsidRPr="00FF6625">
        <w:t xml:space="preserve"> </w:t>
      </w:r>
      <w:r w:rsidR="000B2C2E" w:rsidRPr="00FF6625">
        <w:rPr>
          <w:rFonts w:eastAsia="Calibri"/>
        </w:rPr>
        <w:t>This principle recognises Aboriginal and Torres Strait Islander children, parents and family members have the right to participate in all child protection decisions affecting them, including intervention, placement and care and judicial decisions</w:t>
      </w:r>
      <w:r w:rsidR="00D36572" w:rsidRPr="00FF6625">
        <w:rPr>
          <w:rFonts w:eastAsia="Calibri"/>
        </w:rPr>
        <w:t>.</w:t>
      </w:r>
      <w:r w:rsidR="000B2C2E" w:rsidRPr="00FF6625">
        <w:rPr>
          <w:rStyle w:val="FootnoteReference"/>
          <w:rFonts w:eastAsia="Calibri"/>
          <w:sz w:val="22"/>
        </w:rPr>
        <w:footnoteReference w:id="55"/>
      </w:r>
      <w:r w:rsidR="000B2C2E" w:rsidRPr="00FF6625">
        <w:rPr>
          <w:rFonts w:eastAsia="Calibri"/>
        </w:rPr>
        <w:t xml:space="preserve"> </w:t>
      </w:r>
      <w:r w:rsidRPr="00FF6625">
        <w:t>While</w:t>
      </w:r>
      <w:r w:rsidR="008E21C8" w:rsidRPr="00FF6625">
        <w:t xml:space="preserve"> the HRA does not specifically protect self-determination, it is closely related to other rights that are protected and articulated at article 1 of the United Nations Declaration on the Rights of Indigenous Peoples</w:t>
      </w:r>
      <w:r w:rsidR="001E0E6D" w:rsidRPr="00FF6625">
        <w:t>.</w:t>
      </w:r>
      <w:r w:rsidR="00D36572" w:rsidRPr="00FF6625">
        <w:rPr>
          <w:rStyle w:val="FootnoteReference"/>
          <w:sz w:val="22"/>
        </w:rPr>
        <w:footnoteReference w:id="56"/>
      </w:r>
    </w:p>
    <w:p w14:paraId="54FBACA1" w14:textId="296C01F0" w:rsidR="00BA2CFA" w:rsidRPr="00FF6625" w:rsidRDefault="00C03AAC" w:rsidP="00FF6625">
      <w:pPr>
        <w:pStyle w:val="Style4"/>
        <w:spacing w:before="240" w:after="0"/>
        <w:rPr>
          <w:rFonts w:eastAsia="Calibri"/>
        </w:rPr>
      </w:pPr>
      <w:r w:rsidRPr="00FF6625">
        <w:t>Amendments</w:t>
      </w:r>
      <w:r w:rsidRPr="00FF6625">
        <w:rPr>
          <w:rFonts w:eastAsia="Calibri"/>
        </w:rPr>
        <w:t xml:space="preserve"> have been introduced with the intent of affirmatively addressing the principles of recognition and equality under the law.</w:t>
      </w:r>
      <w:bookmarkStart w:id="22" w:name="OLE_LINK1"/>
    </w:p>
    <w:p w14:paraId="7E038DBE" w14:textId="3813DF77" w:rsidR="00CD1D78" w:rsidRDefault="00CD1D78">
      <w:pPr>
        <w:spacing w:after="160" w:line="259" w:lineRule="auto"/>
        <w:rPr>
          <w:rFonts w:eastAsia="Calibri" w:cs="Arial"/>
          <w:iCs/>
          <w:sz w:val="24"/>
          <w:szCs w:val="24"/>
        </w:rPr>
      </w:pPr>
    </w:p>
    <w:p w14:paraId="62958847" w14:textId="77777777" w:rsidR="006910EB" w:rsidRPr="006C23AA" w:rsidRDefault="006910EB" w:rsidP="006910EB">
      <w:pPr>
        <w:rPr>
          <w:rFonts w:asciiTheme="minorHAnsi" w:hAnsiTheme="minorHAnsi" w:cstheme="minorHAnsi"/>
          <w:sz w:val="24"/>
          <w:szCs w:val="24"/>
        </w:rPr>
      </w:pPr>
    </w:p>
    <w:p w14:paraId="5BA62454" w14:textId="0FCC9524" w:rsidR="00F10B5C" w:rsidRDefault="00F10B5C" w:rsidP="00AF1E67">
      <w:pPr>
        <w:rPr>
          <w:rFonts w:asciiTheme="minorHAnsi" w:eastAsiaTheme="majorEastAsia" w:hAnsiTheme="minorHAnsi" w:cs="Arial"/>
          <w:sz w:val="28"/>
          <w:szCs w:val="28"/>
        </w:rPr>
      </w:pPr>
    </w:p>
    <w:p w14:paraId="36824BC3" w14:textId="77777777" w:rsidR="00F10B5C" w:rsidRPr="00AF1E67" w:rsidRDefault="00F10B5C" w:rsidP="00AF1E67">
      <w:pPr>
        <w:rPr>
          <w:rFonts w:asciiTheme="minorHAnsi" w:eastAsiaTheme="majorEastAsia" w:hAnsiTheme="minorHAnsi" w:cs="Arial"/>
          <w:sz w:val="28"/>
          <w:szCs w:val="28"/>
        </w:rPr>
      </w:pPr>
    </w:p>
    <w:bookmarkEnd w:id="22"/>
    <w:p w14:paraId="28374516" w14:textId="77777777" w:rsidR="00D141DB" w:rsidRPr="00591C77" w:rsidRDefault="00D141DB" w:rsidP="00D141DB">
      <w:pPr>
        <w:pStyle w:val="Heading2"/>
        <w:pageBreakBefore/>
        <w:spacing w:before="240" w:after="240"/>
        <w:rPr>
          <w:rFonts w:asciiTheme="minorHAnsi" w:hAnsiTheme="minorHAnsi" w:cstheme="minorHAnsi"/>
          <w:sz w:val="28"/>
          <w:szCs w:val="28"/>
        </w:rPr>
      </w:pPr>
      <w:r w:rsidRPr="00591C77">
        <w:rPr>
          <w:rFonts w:asciiTheme="minorHAnsi" w:hAnsiTheme="minorHAnsi" w:cstheme="minorHAnsi"/>
          <w:sz w:val="28"/>
          <w:szCs w:val="28"/>
        </w:rPr>
        <w:lastRenderedPageBreak/>
        <w:t>CLAUSE NOTES</w:t>
      </w:r>
    </w:p>
    <w:p w14:paraId="6B621868" w14:textId="77777777" w:rsidR="00D141DB" w:rsidRPr="006C23AA" w:rsidRDefault="00D141DB" w:rsidP="00D141DB">
      <w:pPr>
        <w:keepNext/>
        <w:autoSpaceDE w:val="0"/>
        <w:autoSpaceDN w:val="0"/>
        <w:adjustRightInd w:val="0"/>
        <w:spacing w:before="240" w:after="120"/>
        <w:jc w:val="center"/>
        <w:rPr>
          <w:rFonts w:asciiTheme="minorHAnsi" w:eastAsia="Calibri" w:hAnsiTheme="minorHAnsi" w:cstheme="minorHAnsi"/>
          <w:b/>
          <w:bCs/>
          <w:sz w:val="28"/>
          <w:szCs w:val="28"/>
          <w:lang w:eastAsia="en-AU"/>
        </w:rPr>
      </w:pPr>
      <w:bookmarkStart w:id="23" w:name="_Toc447714847"/>
      <w:bookmarkStart w:id="24" w:name="_Toc500401683"/>
      <w:r w:rsidRPr="006C23AA">
        <w:rPr>
          <w:rFonts w:asciiTheme="minorHAnsi" w:eastAsia="Calibri" w:hAnsiTheme="minorHAnsi" w:cstheme="minorHAnsi"/>
          <w:b/>
          <w:bCs/>
          <w:sz w:val="28"/>
          <w:szCs w:val="28"/>
          <w:lang w:eastAsia="en-AU"/>
        </w:rPr>
        <w:t>Children and Young People Amendment Bill 2023</w:t>
      </w:r>
    </w:p>
    <w:p w14:paraId="2D4F4F8F" w14:textId="77777777" w:rsidR="00D141DB" w:rsidRPr="006C23AA" w:rsidRDefault="00D141DB" w:rsidP="00D141DB">
      <w:pPr>
        <w:spacing w:before="240" w:after="120"/>
        <w:jc w:val="center"/>
        <w:outlineLvl w:val="0"/>
        <w:rPr>
          <w:rFonts w:asciiTheme="minorHAnsi" w:hAnsiTheme="minorHAnsi" w:cstheme="minorHAnsi"/>
          <w:b/>
          <w:bCs/>
          <w:kern w:val="28"/>
          <w:sz w:val="28"/>
          <w:szCs w:val="28"/>
          <w:lang w:eastAsia="en-AU"/>
        </w:rPr>
      </w:pPr>
      <w:bookmarkStart w:id="25" w:name="_Toc426711261"/>
      <w:bookmarkStart w:id="26" w:name="_Toc429052824"/>
      <w:bookmarkStart w:id="27" w:name="_Toc500401679"/>
      <w:r w:rsidRPr="006C23AA">
        <w:rPr>
          <w:rFonts w:asciiTheme="minorHAnsi" w:hAnsiTheme="minorHAnsi" w:cstheme="minorHAnsi"/>
          <w:b/>
          <w:bCs/>
          <w:kern w:val="28"/>
          <w:sz w:val="28"/>
          <w:szCs w:val="28"/>
          <w:lang w:eastAsia="en-AU"/>
        </w:rPr>
        <w:t>Detail</w:t>
      </w:r>
      <w:bookmarkEnd w:id="25"/>
      <w:bookmarkEnd w:id="26"/>
      <w:bookmarkEnd w:id="27"/>
    </w:p>
    <w:p w14:paraId="56ABEB80" w14:textId="4BBAECB0" w:rsidR="00D141DB" w:rsidRPr="000145D0" w:rsidRDefault="00D141DB" w:rsidP="000165E8">
      <w:pPr>
        <w:keepNext/>
        <w:spacing w:before="100" w:beforeAutospacing="1" w:after="100" w:afterAutospacing="1"/>
        <w:outlineLvl w:val="0"/>
        <w:rPr>
          <w:rFonts w:asciiTheme="minorHAnsi" w:hAnsiTheme="minorHAnsi" w:cstheme="minorHAnsi"/>
          <w:b/>
          <w:bCs/>
          <w:kern w:val="32"/>
          <w:sz w:val="24"/>
          <w:szCs w:val="24"/>
          <w:lang w:eastAsia="en-AU"/>
        </w:rPr>
      </w:pPr>
      <w:bookmarkStart w:id="28" w:name="_Preamble"/>
      <w:bookmarkStart w:id="29" w:name="_Toc500401680"/>
      <w:bookmarkEnd w:id="28"/>
      <w:r w:rsidRPr="000145D0">
        <w:rPr>
          <w:rFonts w:asciiTheme="minorHAnsi" w:hAnsiTheme="minorHAnsi" w:cstheme="minorHAnsi"/>
          <w:b/>
          <w:bCs/>
          <w:kern w:val="32"/>
          <w:sz w:val="24"/>
          <w:szCs w:val="24"/>
          <w:lang w:eastAsia="en-AU"/>
        </w:rPr>
        <w:t xml:space="preserve">Part </w:t>
      </w:r>
      <w:r w:rsidRPr="000145D0">
        <w:rPr>
          <w:rFonts w:asciiTheme="minorHAnsi" w:hAnsiTheme="minorHAnsi" w:cstheme="minorHAnsi"/>
          <w:sz w:val="24"/>
          <w:szCs w:val="24"/>
        </w:rPr>
        <w:fldChar w:fldCharType="begin"/>
      </w:r>
      <w:r w:rsidRPr="000145D0">
        <w:rPr>
          <w:rFonts w:asciiTheme="minorHAnsi" w:hAnsiTheme="minorHAnsi" w:cstheme="minorHAnsi"/>
          <w:b/>
          <w:bCs/>
          <w:kern w:val="32"/>
          <w:sz w:val="24"/>
          <w:szCs w:val="24"/>
          <w:lang w:eastAsia="en-AU"/>
        </w:rPr>
        <w:instrText xml:space="preserve"> SEQ Part \* ARABIC </w:instrText>
      </w:r>
      <w:r w:rsidRPr="000145D0">
        <w:rPr>
          <w:rFonts w:asciiTheme="minorHAnsi" w:hAnsiTheme="minorHAnsi" w:cstheme="minorHAnsi"/>
          <w:sz w:val="24"/>
          <w:szCs w:val="24"/>
        </w:rPr>
        <w:fldChar w:fldCharType="separate"/>
      </w:r>
      <w:r w:rsidR="00191866">
        <w:rPr>
          <w:rFonts w:asciiTheme="minorHAnsi" w:hAnsiTheme="minorHAnsi" w:cstheme="minorHAnsi"/>
          <w:b/>
          <w:bCs/>
          <w:noProof/>
          <w:kern w:val="32"/>
          <w:sz w:val="24"/>
          <w:szCs w:val="24"/>
          <w:lang w:eastAsia="en-AU"/>
        </w:rPr>
        <w:t>1</w:t>
      </w:r>
      <w:r w:rsidRPr="000145D0">
        <w:rPr>
          <w:rFonts w:asciiTheme="minorHAnsi" w:hAnsiTheme="minorHAnsi" w:cstheme="minorHAnsi"/>
          <w:sz w:val="24"/>
          <w:szCs w:val="24"/>
        </w:rPr>
        <w:fldChar w:fldCharType="end"/>
      </w:r>
      <w:r w:rsidRPr="000145D0">
        <w:rPr>
          <w:rFonts w:asciiTheme="minorHAnsi" w:hAnsiTheme="minorHAnsi" w:cstheme="minorHAnsi"/>
          <w:b/>
          <w:bCs/>
          <w:kern w:val="32"/>
          <w:sz w:val="24"/>
          <w:szCs w:val="24"/>
          <w:lang w:eastAsia="en-AU"/>
        </w:rPr>
        <w:t xml:space="preserve"> – Preliminary</w:t>
      </w:r>
      <w:bookmarkEnd w:id="29"/>
    </w:p>
    <w:p w14:paraId="1C768371" w14:textId="33833F11" w:rsidR="00D141DB" w:rsidRPr="000145D0" w:rsidRDefault="00D141DB" w:rsidP="000165E8">
      <w:pPr>
        <w:keepNext/>
        <w:spacing w:before="100" w:beforeAutospacing="1" w:after="100" w:afterAutospacing="1"/>
        <w:outlineLvl w:val="3"/>
        <w:rPr>
          <w:rFonts w:asciiTheme="minorHAnsi" w:eastAsia="Calibri" w:hAnsiTheme="minorHAnsi" w:cstheme="minorHAnsi"/>
          <w:b/>
          <w:bCs/>
          <w:sz w:val="24"/>
          <w:szCs w:val="24"/>
          <w:lang w:eastAsia="en-AU"/>
        </w:rPr>
      </w:pPr>
      <w:r w:rsidRPr="000145D0">
        <w:rPr>
          <w:rFonts w:asciiTheme="minorHAnsi" w:eastAsia="Calibri" w:hAnsiTheme="minorHAnsi" w:cstheme="minorHAnsi"/>
          <w:b/>
          <w:sz w:val="24"/>
          <w:szCs w:val="24"/>
        </w:rPr>
        <w:t xml:space="preserve">Clause </w:t>
      </w:r>
      <w:r w:rsidRPr="000145D0">
        <w:rPr>
          <w:rFonts w:asciiTheme="minorHAnsi" w:eastAsia="Calibri" w:hAnsiTheme="minorHAnsi" w:cstheme="minorHAnsi"/>
          <w:b/>
          <w:sz w:val="24"/>
          <w:szCs w:val="24"/>
        </w:rPr>
        <w:fldChar w:fldCharType="begin"/>
      </w:r>
      <w:r w:rsidRPr="000145D0">
        <w:rPr>
          <w:rFonts w:asciiTheme="minorHAnsi" w:eastAsia="Calibri" w:hAnsiTheme="minorHAnsi" w:cstheme="minorHAnsi"/>
          <w:b/>
          <w:sz w:val="24"/>
          <w:szCs w:val="24"/>
        </w:rPr>
        <w:instrText xml:space="preserve"> SEQ Clause \* ARABIC </w:instrText>
      </w:r>
      <w:r w:rsidRPr="000145D0">
        <w:rPr>
          <w:rFonts w:asciiTheme="minorHAnsi" w:eastAsia="Calibri" w:hAnsiTheme="minorHAnsi" w:cstheme="minorHAnsi"/>
          <w:b/>
          <w:sz w:val="24"/>
          <w:szCs w:val="24"/>
        </w:rPr>
        <w:fldChar w:fldCharType="separate"/>
      </w:r>
      <w:r w:rsidR="00191866">
        <w:rPr>
          <w:rFonts w:asciiTheme="minorHAnsi" w:eastAsia="Calibri" w:hAnsiTheme="minorHAnsi" w:cstheme="minorHAnsi"/>
          <w:b/>
          <w:noProof/>
          <w:sz w:val="24"/>
          <w:szCs w:val="24"/>
        </w:rPr>
        <w:t>1</w:t>
      </w:r>
      <w:r w:rsidRPr="000145D0">
        <w:rPr>
          <w:rFonts w:asciiTheme="minorHAnsi" w:eastAsia="Calibri" w:hAnsiTheme="minorHAnsi" w:cstheme="minorHAnsi"/>
          <w:b/>
          <w:sz w:val="24"/>
          <w:szCs w:val="24"/>
        </w:rPr>
        <w:fldChar w:fldCharType="end"/>
      </w:r>
      <w:r w:rsidRPr="000145D0">
        <w:rPr>
          <w:rFonts w:asciiTheme="minorHAnsi" w:eastAsia="Calibri" w:hAnsiTheme="minorHAnsi" w:cstheme="minorHAnsi"/>
          <w:b/>
          <w:bCs/>
          <w:sz w:val="24"/>
          <w:szCs w:val="24"/>
          <w:lang w:eastAsia="en-AU"/>
        </w:rPr>
        <w:t xml:space="preserve"> — Name of Act </w:t>
      </w:r>
    </w:p>
    <w:p w14:paraId="099D35C9" w14:textId="77777777" w:rsidR="00D141DB" w:rsidRPr="000145D0" w:rsidRDefault="00D141DB" w:rsidP="000165E8">
      <w:pPr>
        <w:spacing w:before="100" w:beforeAutospacing="1" w:after="100" w:afterAutospacing="1"/>
        <w:rPr>
          <w:rFonts w:asciiTheme="minorHAnsi" w:hAnsiTheme="minorHAnsi" w:cstheme="minorHAnsi"/>
          <w:sz w:val="24"/>
          <w:szCs w:val="24"/>
        </w:rPr>
      </w:pPr>
      <w:r w:rsidRPr="000145D0">
        <w:rPr>
          <w:rFonts w:asciiTheme="minorHAnsi" w:eastAsia="Calibri" w:hAnsiTheme="minorHAnsi" w:cstheme="minorHAnsi"/>
          <w:sz w:val="24"/>
          <w:szCs w:val="24"/>
          <w:lang w:eastAsia="en-AU"/>
        </w:rPr>
        <w:t xml:space="preserve">This is a technical clause that names the short title of the Act. </w:t>
      </w:r>
    </w:p>
    <w:bookmarkEnd w:id="23"/>
    <w:bookmarkEnd w:id="24"/>
    <w:p w14:paraId="6F25082E" w14:textId="73DD4F34" w:rsidR="00D141DB" w:rsidRPr="000145D0" w:rsidRDefault="00D141DB" w:rsidP="000165E8">
      <w:pPr>
        <w:keepNext/>
        <w:spacing w:before="100" w:beforeAutospacing="1" w:after="100" w:afterAutospacing="1"/>
        <w:outlineLvl w:val="3"/>
        <w:rPr>
          <w:rFonts w:asciiTheme="minorHAnsi" w:eastAsia="Calibri" w:hAnsiTheme="minorHAnsi" w:cstheme="minorHAnsi"/>
          <w:b/>
          <w:bCs/>
          <w:sz w:val="24"/>
          <w:szCs w:val="24"/>
          <w:lang w:eastAsia="en-AU"/>
        </w:rPr>
      </w:pPr>
      <w:r w:rsidRPr="000145D0">
        <w:rPr>
          <w:rFonts w:asciiTheme="minorHAnsi" w:eastAsia="Calibri" w:hAnsiTheme="minorHAnsi" w:cstheme="minorHAnsi"/>
          <w:b/>
          <w:sz w:val="24"/>
          <w:szCs w:val="24"/>
        </w:rPr>
        <w:t xml:space="preserve">Clause </w:t>
      </w:r>
      <w:r w:rsidRPr="000145D0">
        <w:rPr>
          <w:rFonts w:asciiTheme="minorHAnsi" w:eastAsia="Calibri" w:hAnsiTheme="minorHAnsi" w:cstheme="minorHAnsi"/>
          <w:b/>
          <w:sz w:val="24"/>
          <w:szCs w:val="24"/>
        </w:rPr>
        <w:fldChar w:fldCharType="begin"/>
      </w:r>
      <w:r w:rsidRPr="000145D0">
        <w:rPr>
          <w:rFonts w:asciiTheme="minorHAnsi" w:eastAsia="Calibri" w:hAnsiTheme="minorHAnsi" w:cstheme="minorHAnsi"/>
          <w:b/>
          <w:sz w:val="24"/>
          <w:szCs w:val="24"/>
        </w:rPr>
        <w:instrText xml:space="preserve"> SEQ Clause \* ARABIC </w:instrText>
      </w:r>
      <w:r w:rsidRPr="000145D0">
        <w:rPr>
          <w:rFonts w:asciiTheme="minorHAnsi" w:eastAsia="Calibri" w:hAnsiTheme="minorHAnsi" w:cstheme="minorHAnsi"/>
          <w:b/>
          <w:sz w:val="24"/>
          <w:szCs w:val="24"/>
        </w:rPr>
        <w:fldChar w:fldCharType="separate"/>
      </w:r>
      <w:r w:rsidR="00191866">
        <w:rPr>
          <w:rFonts w:asciiTheme="minorHAnsi" w:eastAsia="Calibri" w:hAnsiTheme="minorHAnsi" w:cstheme="minorHAnsi"/>
          <w:b/>
          <w:noProof/>
          <w:sz w:val="24"/>
          <w:szCs w:val="24"/>
        </w:rPr>
        <w:t>2</w:t>
      </w:r>
      <w:r w:rsidRPr="000145D0">
        <w:rPr>
          <w:rFonts w:asciiTheme="minorHAnsi" w:eastAsia="Calibri" w:hAnsiTheme="minorHAnsi" w:cstheme="minorHAnsi"/>
          <w:b/>
          <w:sz w:val="24"/>
          <w:szCs w:val="24"/>
        </w:rPr>
        <w:fldChar w:fldCharType="end"/>
      </w:r>
      <w:r w:rsidRPr="000145D0">
        <w:rPr>
          <w:rFonts w:asciiTheme="minorHAnsi" w:eastAsia="Calibri" w:hAnsiTheme="minorHAnsi" w:cstheme="minorHAnsi"/>
          <w:b/>
          <w:bCs/>
          <w:sz w:val="24"/>
          <w:szCs w:val="24"/>
          <w:lang w:eastAsia="en-AU"/>
        </w:rPr>
        <w:t xml:space="preserve"> — Commencement</w:t>
      </w:r>
    </w:p>
    <w:p w14:paraId="7AB7B455" w14:textId="191B45C6" w:rsidR="00D141DB" w:rsidRPr="000145D0" w:rsidRDefault="00D141DB" w:rsidP="000165E8">
      <w:pPr>
        <w:spacing w:before="100" w:beforeAutospacing="1" w:after="100" w:afterAutospacing="1"/>
        <w:rPr>
          <w:rFonts w:asciiTheme="minorHAnsi" w:hAnsiTheme="minorHAnsi" w:cstheme="minorHAnsi"/>
          <w:sz w:val="24"/>
          <w:szCs w:val="24"/>
        </w:rPr>
      </w:pPr>
      <w:r w:rsidRPr="000145D0">
        <w:rPr>
          <w:rFonts w:asciiTheme="minorHAnsi" w:eastAsia="Calibri" w:hAnsiTheme="minorHAnsi" w:cstheme="minorHAnsi"/>
          <w:sz w:val="24"/>
          <w:szCs w:val="24"/>
          <w:lang w:eastAsia="en-AU"/>
        </w:rPr>
        <w:t xml:space="preserve">This clause provides that the Act </w:t>
      </w:r>
      <w:r w:rsidR="00217ECC" w:rsidRPr="000145D0">
        <w:rPr>
          <w:rFonts w:asciiTheme="minorHAnsi" w:eastAsia="Calibri" w:hAnsiTheme="minorHAnsi" w:cstheme="minorHAnsi"/>
          <w:sz w:val="24"/>
          <w:szCs w:val="24"/>
          <w:lang w:eastAsia="en-AU"/>
        </w:rPr>
        <w:t>will commence on a day fixed by the Minister by written notice</w:t>
      </w:r>
      <w:r w:rsidRPr="000145D0">
        <w:rPr>
          <w:rFonts w:asciiTheme="minorHAnsi" w:eastAsia="Calibri" w:hAnsiTheme="minorHAnsi" w:cstheme="minorHAnsi"/>
          <w:sz w:val="24"/>
          <w:szCs w:val="24"/>
          <w:lang w:eastAsia="en-AU"/>
        </w:rPr>
        <w:t>.</w:t>
      </w:r>
      <w:r w:rsidR="00217ECC" w:rsidRPr="000145D0">
        <w:rPr>
          <w:rFonts w:asciiTheme="minorHAnsi" w:eastAsia="Calibri" w:hAnsiTheme="minorHAnsi" w:cstheme="minorHAnsi"/>
          <w:sz w:val="24"/>
          <w:szCs w:val="24"/>
          <w:lang w:eastAsia="en-AU"/>
        </w:rPr>
        <w:t xml:space="preserve"> If the Act has not commenced before 31 March 2024, it will automatically commence on that day. </w:t>
      </w:r>
    </w:p>
    <w:p w14:paraId="748E292C" w14:textId="208CFDEA" w:rsidR="00D141DB" w:rsidRPr="000145D0" w:rsidRDefault="00D141DB" w:rsidP="000165E8">
      <w:pPr>
        <w:keepNext/>
        <w:spacing w:before="100" w:beforeAutospacing="1" w:after="100" w:afterAutospacing="1"/>
        <w:outlineLvl w:val="3"/>
        <w:rPr>
          <w:rFonts w:asciiTheme="minorHAnsi" w:eastAsia="Calibri" w:hAnsiTheme="minorHAnsi" w:cstheme="minorHAnsi"/>
          <w:b/>
          <w:bCs/>
          <w:sz w:val="24"/>
          <w:szCs w:val="24"/>
          <w:lang w:eastAsia="en-AU"/>
        </w:rPr>
      </w:pPr>
      <w:r w:rsidRPr="000145D0">
        <w:rPr>
          <w:rFonts w:asciiTheme="minorHAnsi" w:eastAsia="Calibri" w:hAnsiTheme="minorHAnsi" w:cstheme="minorHAnsi"/>
          <w:b/>
          <w:sz w:val="24"/>
          <w:szCs w:val="24"/>
        </w:rPr>
        <w:t xml:space="preserve">Clause </w:t>
      </w:r>
      <w:r w:rsidRPr="000145D0">
        <w:rPr>
          <w:rFonts w:asciiTheme="minorHAnsi" w:eastAsia="Calibri" w:hAnsiTheme="minorHAnsi" w:cstheme="minorHAnsi"/>
          <w:b/>
          <w:sz w:val="24"/>
          <w:szCs w:val="24"/>
        </w:rPr>
        <w:fldChar w:fldCharType="begin"/>
      </w:r>
      <w:r w:rsidRPr="000145D0">
        <w:rPr>
          <w:rFonts w:asciiTheme="minorHAnsi" w:eastAsia="Calibri" w:hAnsiTheme="minorHAnsi" w:cstheme="minorHAnsi"/>
          <w:b/>
          <w:sz w:val="24"/>
          <w:szCs w:val="24"/>
        </w:rPr>
        <w:instrText xml:space="preserve"> SEQ Clause \* ARABIC </w:instrText>
      </w:r>
      <w:r w:rsidRPr="000145D0">
        <w:rPr>
          <w:rFonts w:asciiTheme="minorHAnsi" w:eastAsia="Calibri" w:hAnsiTheme="minorHAnsi" w:cstheme="minorHAnsi"/>
          <w:b/>
          <w:sz w:val="24"/>
          <w:szCs w:val="24"/>
        </w:rPr>
        <w:fldChar w:fldCharType="separate"/>
      </w:r>
      <w:r w:rsidR="00191866">
        <w:rPr>
          <w:rFonts w:asciiTheme="minorHAnsi" w:eastAsia="Calibri" w:hAnsiTheme="minorHAnsi" w:cstheme="minorHAnsi"/>
          <w:b/>
          <w:noProof/>
          <w:sz w:val="24"/>
          <w:szCs w:val="24"/>
        </w:rPr>
        <w:t>3</w:t>
      </w:r>
      <w:r w:rsidRPr="000145D0">
        <w:rPr>
          <w:rFonts w:asciiTheme="minorHAnsi" w:eastAsia="Calibri" w:hAnsiTheme="minorHAnsi" w:cstheme="minorHAnsi"/>
          <w:b/>
          <w:noProof/>
          <w:sz w:val="24"/>
          <w:szCs w:val="24"/>
        </w:rPr>
        <w:fldChar w:fldCharType="end"/>
      </w:r>
      <w:r w:rsidRPr="000145D0">
        <w:rPr>
          <w:rFonts w:asciiTheme="minorHAnsi" w:eastAsia="Calibri" w:hAnsiTheme="minorHAnsi" w:cstheme="minorHAnsi"/>
          <w:b/>
          <w:bCs/>
          <w:sz w:val="24"/>
          <w:szCs w:val="24"/>
          <w:lang w:eastAsia="en-AU"/>
        </w:rPr>
        <w:t xml:space="preserve"> — Legislation Amended</w:t>
      </w:r>
    </w:p>
    <w:p w14:paraId="0CCE6669" w14:textId="77777777" w:rsidR="00D141DB" w:rsidRPr="000145D0" w:rsidRDefault="00D141DB"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This clause lists the legislation amended by this Bill. This Bill will amend the </w:t>
      </w:r>
      <w:r w:rsidRPr="000145D0">
        <w:rPr>
          <w:rFonts w:asciiTheme="minorHAnsi" w:eastAsia="Calibri" w:hAnsiTheme="minorHAnsi" w:cstheme="minorHAnsi"/>
          <w:i/>
          <w:iCs/>
          <w:sz w:val="24"/>
          <w:szCs w:val="24"/>
          <w:lang w:eastAsia="en-AU"/>
        </w:rPr>
        <w:t>Children and Young People Act 2008.</w:t>
      </w:r>
    </w:p>
    <w:p w14:paraId="14978645" w14:textId="30395819" w:rsidR="00D66F63" w:rsidRPr="000145D0" w:rsidRDefault="00D141DB" w:rsidP="000165E8">
      <w:pPr>
        <w:keepNext/>
        <w:spacing w:before="100" w:beforeAutospacing="1" w:after="100" w:afterAutospacing="1"/>
        <w:outlineLvl w:val="3"/>
        <w:rPr>
          <w:rFonts w:asciiTheme="minorHAnsi" w:hAnsiTheme="minorHAnsi" w:cstheme="minorHAnsi"/>
          <w:b/>
          <w:bCs/>
          <w:sz w:val="24"/>
          <w:szCs w:val="24"/>
        </w:rPr>
      </w:pPr>
      <w:r w:rsidRPr="000145D0">
        <w:rPr>
          <w:rFonts w:asciiTheme="minorHAnsi" w:eastAsia="Calibri" w:hAnsiTheme="minorHAnsi" w:cstheme="minorHAnsi"/>
          <w:b/>
          <w:sz w:val="24"/>
          <w:szCs w:val="24"/>
        </w:rPr>
        <w:t xml:space="preserve">Clause 4 – </w:t>
      </w:r>
      <w:r w:rsidR="00D66F63" w:rsidRPr="000145D0">
        <w:rPr>
          <w:rFonts w:asciiTheme="minorHAnsi" w:hAnsiTheme="minorHAnsi" w:cstheme="minorHAnsi"/>
          <w:b/>
          <w:bCs/>
          <w:sz w:val="24"/>
          <w:szCs w:val="24"/>
        </w:rPr>
        <w:t>Application of Act to children and young people etc Section 6(c)</w:t>
      </w:r>
    </w:p>
    <w:p w14:paraId="2434A522" w14:textId="1CE61F8A" w:rsidR="00D66F63" w:rsidRPr="000145D0" w:rsidRDefault="00D66F63" w:rsidP="000165E8">
      <w:pPr>
        <w:pStyle w:val="Default"/>
        <w:spacing w:before="100" w:beforeAutospacing="1" w:after="100" w:afterAutospacing="1"/>
        <w:rPr>
          <w:rFonts w:asciiTheme="minorHAnsi" w:eastAsia="Calibri" w:hAnsiTheme="minorHAnsi" w:cstheme="minorHAnsi"/>
          <w:color w:val="auto"/>
          <w:lang w:eastAsia="en-AU"/>
        </w:rPr>
      </w:pPr>
      <w:r w:rsidRPr="000145D0">
        <w:rPr>
          <w:rFonts w:asciiTheme="minorHAnsi" w:eastAsia="Calibri" w:hAnsiTheme="minorHAnsi" w:cstheme="minorHAnsi"/>
          <w:color w:val="auto"/>
          <w:lang w:eastAsia="en-AU"/>
        </w:rPr>
        <w:t>This clause amends s354(i)(ii) and (iii)</w:t>
      </w:r>
      <w:r w:rsidR="00D775A9" w:rsidRPr="000145D0">
        <w:rPr>
          <w:rFonts w:asciiTheme="minorHAnsi" w:eastAsia="Calibri" w:hAnsiTheme="minorHAnsi" w:cstheme="minorHAnsi"/>
          <w:lang w:eastAsia="en-AU"/>
        </w:rPr>
        <w:t xml:space="preserve"> </w:t>
      </w:r>
      <w:r w:rsidR="000165E8" w:rsidRPr="000145D0">
        <w:rPr>
          <w:rFonts w:asciiTheme="minorHAnsi" w:eastAsia="Calibri" w:hAnsiTheme="minorHAnsi" w:cstheme="minorHAnsi"/>
          <w:lang w:eastAsia="en-AU"/>
        </w:rPr>
        <w:t xml:space="preserve">by </w:t>
      </w:r>
      <w:r w:rsidR="00D775A9" w:rsidRPr="000145D0">
        <w:rPr>
          <w:rFonts w:asciiTheme="minorHAnsi" w:eastAsia="Calibri" w:hAnsiTheme="minorHAnsi" w:cstheme="minorHAnsi"/>
          <w:lang w:eastAsia="en-AU"/>
        </w:rPr>
        <w:t>omit</w:t>
      </w:r>
      <w:r w:rsidR="000165E8" w:rsidRPr="000145D0">
        <w:rPr>
          <w:rFonts w:asciiTheme="minorHAnsi" w:eastAsia="Calibri" w:hAnsiTheme="minorHAnsi" w:cstheme="minorHAnsi"/>
          <w:lang w:eastAsia="en-AU"/>
        </w:rPr>
        <w:t>ting</w:t>
      </w:r>
      <w:r w:rsidRPr="000145D0">
        <w:rPr>
          <w:rFonts w:asciiTheme="minorHAnsi" w:eastAsia="Calibri" w:hAnsiTheme="minorHAnsi" w:cstheme="minorHAnsi"/>
          <w:color w:val="auto"/>
          <w:lang w:eastAsia="en-AU"/>
        </w:rPr>
        <w:t xml:space="preserve"> abuse and neglect</w:t>
      </w:r>
      <w:r w:rsidR="00D775A9" w:rsidRPr="000145D0">
        <w:rPr>
          <w:rFonts w:asciiTheme="minorHAnsi" w:eastAsia="Calibri" w:hAnsiTheme="minorHAnsi" w:cstheme="minorHAnsi"/>
          <w:color w:val="auto"/>
          <w:lang w:eastAsia="en-AU"/>
        </w:rPr>
        <w:t xml:space="preserve"> and substitut</w:t>
      </w:r>
      <w:r w:rsidR="000165E8" w:rsidRPr="000145D0">
        <w:rPr>
          <w:rFonts w:asciiTheme="minorHAnsi" w:eastAsia="Calibri" w:hAnsiTheme="minorHAnsi" w:cstheme="minorHAnsi"/>
          <w:color w:val="auto"/>
          <w:lang w:eastAsia="en-AU"/>
        </w:rPr>
        <w:t>ing</w:t>
      </w:r>
      <w:r w:rsidR="00D775A9" w:rsidRPr="000145D0">
        <w:rPr>
          <w:rFonts w:asciiTheme="minorHAnsi" w:eastAsia="Calibri" w:hAnsiTheme="minorHAnsi" w:cstheme="minorHAnsi"/>
          <w:color w:val="auto"/>
          <w:lang w:eastAsia="en-AU"/>
        </w:rPr>
        <w:t xml:space="preserve"> risk of significant harm. </w:t>
      </w:r>
    </w:p>
    <w:p w14:paraId="653B937F" w14:textId="206F9BE7" w:rsidR="00D141DB" w:rsidRPr="000145D0" w:rsidRDefault="00D66F63"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5 – </w:t>
      </w:r>
      <w:r w:rsidR="00D141DB" w:rsidRPr="000145D0">
        <w:rPr>
          <w:rFonts w:asciiTheme="minorHAnsi" w:eastAsia="Calibri" w:hAnsiTheme="minorHAnsi" w:cstheme="minorHAnsi"/>
          <w:b/>
          <w:sz w:val="24"/>
          <w:szCs w:val="24"/>
        </w:rPr>
        <w:t>Main objects of Act</w:t>
      </w:r>
    </w:p>
    <w:p w14:paraId="7B5F31ED" w14:textId="00767FB1" w:rsidR="00D66F63" w:rsidRPr="000145D0" w:rsidRDefault="00D141DB"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This clause amends section</w:t>
      </w:r>
      <w:r w:rsidR="007C6A1E">
        <w:rPr>
          <w:rFonts w:asciiTheme="minorHAnsi" w:eastAsia="Calibri" w:hAnsiTheme="minorHAnsi" w:cstheme="minorHAnsi"/>
          <w:sz w:val="24"/>
          <w:szCs w:val="24"/>
          <w:lang w:eastAsia="en-AU"/>
        </w:rPr>
        <w:t xml:space="preserve">s </w:t>
      </w:r>
      <w:r w:rsidR="004C50AA">
        <w:rPr>
          <w:rFonts w:asciiTheme="minorHAnsi" w:eastAsia="Calibri" w:hAnsiTheme="minorHAnsi" w:cstheme="minorHAnsi"/>
          <w:sz w:val="24"/>
          <w:szCs w:val="24"/>
          <w:lang w:eastAsia="en-AU"/>
        </w:rPr>
        <w:t>7</w:t>
      </w:r>
      <w:r w:rsidRPr="000145D0">
        <w:rPr>
          <w:rFonts w:asciiTheme="minorHAnsi" w:eastAsia="Calibri" w:hAnsiTheme="minorHAnsi" w:cstheme="minorHAnsi"/>
          <w:sz w:val="24"/>
          <w:szCs w:val="24"/>
          <w:lang w:eastAsia="en-AU"/>
        </w:rPr>
        <w:t xml:space="preserve">(a) and (b) to omit </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wellbeing, care and protection</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 xml:space="preserve"> to substitute the words </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safety, welfare and wellbeing</w:t>
      </w:r>
      <w:r w:rsidR="00D122B3">
        <w:rPr>
          <w:rFonts w:asciiTheme="minorHAnsi" w:eastAsia="Calibri" w:hAnsiTheme="minorHAnsi" w:cstheme="minorHAnsi"/>
          <w:sz w:val="24"/>
          <w:szCs w:val="24"/>
          <w:lang w:eastAsia="en-AU"/>
        </w:rPr>
        <w:t>”</w:t>
      </w:r>
      <w:r w:rsidR="007C6A1E" w:rsidRPr="00531876">
        <w:rPr>
          <w:rFonts w:asciiTheme="minorHAnsi" w:eastAsia="Calibri" w:hAnsiTheme="minorHAnsi" w:cstheme="minorHAnsi"/>
          <w:sz w:val="24"/>
          <w:szCs w:val="24"/>
          <w:lang w:eastAsia="en-AU"/>
        </w:rPr>
        <w:t>.</w:t>
      </w:r>
      <w:r w:rsidRPr="000145D0">
        <w:rPr>
          <w:rFonts w:asciiTheme="minorHAnsi" w:eastAsia="Calibri" w:hAnsiTheme="minorHAnsi" w:cstheme="minorHAnsi"/>
          <w:i/>
          <w:iCs/>
          <w:sz w:val="24"/>
          <w:szCs w:val="24"/>
          <w:lang w:eastAsia="en-AU"/>
        </w:rPr>
        <w:t xml:space="preserve"> </w:t>
      </w:r>
    </w:p>
    <w:p w14:paraId="5A3A59C9" w14:textId="1550AA1F" w:rsidR="00D141DB" w:rsidRPr="000145D0" w:rsidRDefault="00D141DB"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D775A9" w:rsidRPr="000145D0">
        <w:rPr>
          <w:rFonts w:asciiTheme="minorHAnsi" w:eastAsia="Calibri" w:hAnsiTheme="minorHAnsi" w:cstheme="minorHAnsi"/>
          <w:b/>
          <w:sz w:val="24"/>
          <w:szCs w:val="24"/>
        </w:rPr>
        <w:t>6</w:t>
      </w:r>
      <w:r w:rsidRPr="000145D0">
        <w:rPr>
          <w:rFonts w:asciiTheme="minorHAnsi" w:eastAsia="Calibri" w:hAnsiTheme="minorHAnsi" w:cstheme="minorHAnsi"/>
          <w:b/>
          <w:sz w:val="24"/>
          <w:szCs w:val="24"/>
        </w:rPr>
        <w:t xml:space="preserve"> – Section 7(c)</w:t>
      </w:r>
    </w:p>
    <w:p w14:paraId="6D98C66D" w14:textId="20C446A4" w:rsidR="00A25BAE" w:rsidRPr="000145D0" w:rsidRDefault="00D141DB"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This clause substitutes the existing section 7(c)</w:t>
      </w:r>
      <w:r w:rsidR="007C6A1E">
        <w:rPr>
          <w:rFonts w:asciiTheme="minorHAnsi" w:eastAsia="Calibri" w:hAnsiTheme="minorHAnsi" w:cstheme="minorHAnsi"/>
          <w:sz w:val="24"/>
          <w:szCs w:val="24"/>
          <w:lang w:eastAsia="en-AU"/>
        </w:rPr>
        <w:t xml:space="preserve">, </w:t>
      </w:r>
      <w:r w:rsidRPr="000145D0">
        <w:rPr>
          <w:rFonts w:asciiTheme="minorHAnsi" w:eastAsia="Calibri" w:hAnsiTheme="minorHAnsi" w:cstheme="minorHAnsi"/>
          <w:sz w:val="24"/>
          <w:szCs w:val="24"/>
          <w:lang w:eastAsia="en-AU"/>
        </w:rPr>
        <w:t xml:space="preserve">which defines an object of  </w:t>
      </w:r>
      <w:r w:rsidR="004C50AA">
        <w:rPr>
          <w:rFonts w:asciiTheme="minorHAnsi" w:eastAsia="Calibri" w:hAnsiTheme="minorHAnsi" w:cstheme="minorHAnsi"/>
          <w:sz w:val="24"/>
          <w:szCs w:val="24"/>
          <w:lang w:eastAsia="en-AU"/>
        </w:rPr>
        <w:t xml:space="preserve">Act </w:t>
      </w:r>
      <w:r w:rsidRPr="000145D0">
        <w:rPr>
          <w:rFonts w:asciiTheme="minorHAnsi" w:eastAsia="Calibri" w:hAnsiTheme="minorHAnsi" w:cstheme="minorHAnsi"/>
          <w:sz w:val="24"/>
          <w:szCs w:val="24"/>
          <w:lang w:eastAsia="en-AU"/>
        </w:rPr>
        <w:t xml:space="preserve">as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preventing abuse and neglect of children and young people</w:t>
      </w:r>
      <w:r w:rsidR="00D122B3">
        <w:rPr>
          <w:rFonts w:asciiTheme="minorHAnsi" w:eastAsia="Calibri" w:hAnsiTheme="minorHAnsi" w:cstheme="minorHAnsi"/>
          <w:sz w:val="24"/>
          <w:szCs w:val="24"/>
          <w:lang w:eastAsia="en-AU"/>
        </w:rPr>
        <w:t>”</w:t>
      </w:r>
      <w:r w:rsidR="007C6A1E">
        <w:rPr>
          <w:rFonts w:asciiTheme="minorHAnsi" w:eastAsia="Calibri" w:hAnsiTheme="minorHAnsi" w:cstheme="minorHAnsi"/>
          <w:sz w:val="24"/>
          <w:szCs w:val="24"/>
          <w:lang w:eastAsia="en-AU"/>
        </w:rPr>
        <w:t xml:space="preserve"> </w:t>
      </w:r>
      <w:r w:rsidRPr="000145D0">
        <w:rPr>
          <w:rFonts w:asciiTheme="minorHAnsi" w:eastAsia="Calibri" w:hAnsiTheme="minorHAnsi" w:cstheme="minorHAnsi"/>
          <w:sz w:val="24"/>
          <w:szCs w:val="24"/>
          <w:lang w:eastAsia="en-AU"/>
        </w:rPr>
        <w:t xml:space="preserve">and replaces it with the object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to provide children and young people with the care and protection necessary to protect them from significant harm</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w:t>
      </w:r>
    </w:p>
    <w:p w14:paraId="0B9362EB" w14:textId="7E01BA7A" w:rsidR="00D141DB" w:rsidRPr="000145D0" w:rsidRDefault="00D141DB"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D775A9" w:rsidRPr="000145D0">
        <w:rPr>
          <w:rFonts w:asciiTheme="minorHAnsi" w:eastAsia="Calibri" w:hAnsiTheme="minorHAnsi" w:cstheme="minorHAnsi"/>
          <w:b/>
          <w:sz w:val="24"/>
          <w:szCs w:val="24"/>
        </w:rPr>
        <w:t>7</w:t>
      </w:r>
      <w:r w:rsidRPr="000145D0">
        <w:rPr>
          <w:rFonts w:asciiTheme="minorHAnsi" w:eastAsia="Calibri" w:hAnsiTheme="minorHAnsi" w:cstheme="minorHAnsi"/>
          <w:b/>
          <w:sz w:val="24"/>
          <w:szCs w:val="24"/>
        </w:rPr>
        <w:t xml:space="preserve"> – Section 7(d)(i)</w:t>
      </w:r>
    </w:p>
    <w:p w14:paraId="71D4D587" w14:textId="76E2BC82" w:rsidR="00D141DB" w:rsidRPr="000145D0" w:rsidRDefault="00D141DB"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This clause omits the words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wellbeing, care and protection</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and substitutes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safety, welfare and wellbeing</w:t>
      </w:r>
      <w:r w:rsidR="00D122B3">
        <w:rPr>
          <w:rFonts w:asciiTheme="minorHAnsi" w:eastAsia="Calibri" w:hAnsiTheme="minorHAnsi" w:cstheme="minorHAnsi"/>
          <w:sz w:val="24"/>
          <w:szCs w:val="24"/>
          <w:lang w:eastAsia="en-AU"/>
        </w:rPr>
        <w:t>”</w:t>
      </w:r>
      <w:r w:rsidR="00531876">
        <w:rPr>
          <w:rFonts w:asciiTheme="minorHAnsi" w:eastAsia="Calibri" w:hAnsiTheme="minorHAnsi" w:cstheme="minorHAnsi"/>
          <w:sz w:val="24"/>
          <w:szCs w:val="24"/>
          <w:lang w:eastAsia="en-AU"/>
        </w:rPr>
        <w:t xml:space="preserve">. </w:t>
      </w:r>
    </w:p>
    <w:p w14:paraId="30467E41" w14:textId="736B9D99" w:rsidR="00D141DB"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lastRenderedPageBreak/>
        <w:t xml:space="preserve">Clause </w:t>
      </w:r>
      <w:r w:rsidR="00D66F63" w:rsidRPr="000145D0">
        <w:rPr>
          <w:rFonts w:asciiTheme="minorHAnsi" w:eastAsia="Calibri" w:hAnsiTheme="minorHAnsi" w:cstheme="minorHAnsi"/>
          <w:b/>
          <w:sz w:val="24"/>
          <w:szCs w:val="24"/>
        </w:rPr>
        <w:t>8</w:t>
      </w:r>
      <w:r w:rsidRPr="000145D0">
        <w:rPr>
          <w:rFonts w:asciiTheme="minorHAnsi" w:eastAsia="Calibri" w:hAnsiTheme="minorHAnsi" w:cstheme="minorHAnsi"/>
          <w:b/>
          <w:sz w:val="24"/>
          <w:szCs w:val="24"/>
        </w:rPr>
        <w:t xml:space="preserve"> – </w:t>
      </w:r>
      <w:r w:rsidR="004545E2" w:rsidRPr="000145D0">
        <w:rPr>
          <w:rFonts w:asciiTheme="minorHAnsi" w:eastAsia="Calibri" w:hAnsiTheme="minorHAnsi" w:cstheme="minorHAnsi"/>
          <w:b/>
          <w:sz w:val="24"/>
          <w:szCs w:val="24"/>
        </w:rPr>
        <w:t>Section 97(d)(ii)</w:t>
      </w:r>
    </w:p>
    <w:p w14:paraId="41F66A6E" w14:textId="4EE73170" w:rsidR="004545E2" w:rsidRPr="000145D0" w:rsidRDefault="004545E2"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This clause substitutes </w:t>
      </w:r>
      <w:r w:rsidR="0035149C" w:rsidRPr="000145D0">
        <w:rPr>
          <w:rFonts w:asciiTheme="minorHAnsi" w:eastAsia="Calibri" w:hAnsiTheme="minorHAnsi" w:cstheme="minorHAnsi"/>
          <w:sz w:val="24"/>
          <w:szCs w:val="24"/>
          <w:lang w:eastAsia="en-AU"/>
        </w:rPr>
        <w:t xml:space="preserve">the reference to </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preventing abuse and neglect</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 xml:space="preserve"> of Aboriginal and Torres Strait Islander children and young people </w:t>
      </w:r>
      <w:r w:rsidR="00531876">
        <w:rPr>
          <w:rFonts w:asciiTheme="minorHAnsi" w:eastAsia="Calibri" w:hAnsiTheme="minorHAnsi" w:cstheme="minorHAnsi"/>
          <w:sz w:val="24"/>
          <w:szCs w:val="24"/>
          <w:lang w:eastAsia="en-AU"/>
        </w:rPr>
        <w:t xml:space="preserve">to </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provid</w:t>
      </w:r>
      <w:r w:rsidR="004C50AA">
        <w:rPr>
          <w:rFonts w:asciiTheme="minorHAnsi" w:eastAsia="Calibri" w:hAnsiTheme="minorHAnsi" w:cstheme="minorHAnsi"/>
          <w:sz w:val="24"/>
          <w:szCs w:val="24"/>
          <w:lang w:eastAsia="en-AU"/>
        </w:rPr>
        <w:t xml:space="preserve">ing </w:t>
      </w:r>
      <w:r w:rsidR="0035149C" w:rsidRPr="000145D0">
        <w:rPr>
          <w:rFonts w:asciiTheme="minorHAnsi" w:eastAsia="Calibri" w:hAnsiTheme="minorHAnsi" w:cstheme="minorHAnsi"/>
          <w:sz w:val="24"/>
          <w:szCs w:val="24"/>
          <w:lang w:eastAsia="en-AU"/>
        </w:rPr>
        <w:t>for Aboriginal and Torres Strait Islander children and young people to receive the care and protection necessary to protect them from significant harm</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 xml:space="preserve">. This is consistent with the removal of the concept of </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abuse and neglect</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 xml:space="preserve"> and replacement with </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risk of significant harm</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 xml:space="preserve">. </w:t>
      </w:r>
    </w:p>
    <w:p w14:paraId="1B6655E3" w14:textId="235BC685" w:rsidR="00D141DB"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D66F63" w:rsidRPr="000145D0">
        <w:rPr>
          <w:rFonts w:asciiTheme="minorHAnsi" w:eastAsia="Calibri" w:hAnsiTheme="minorHAnsi" w:cstheme="minorHAnsi"/>
          <w:b/>
          <w:sz w:val="24"/>
          <w:szCs w:val="24"/>
        </w:rPr>
        <w:t>9</w:t>
      </w:r>
      <w:r w:rsidRPr="000145D0">
        <w:rPr>
          <w:rFonts w:asciiTheme="minorHAnsi" w:eastAsia="Calibri" w:hAnsiTheme="minorHAnsi" w:cstheme="minorHAnsi"/>
          <w:b/>
          <w:sz w:val="24"/>
          <w:szCs w:val="24"/>
        </w:rPr>
        <w:t xml:space="preserve"> – </w:t>
      </w:r>
      <w:r w:rsidR="0035149C" w:rsidRPr="000145D0">
        <w:rPr>
          <w:rFonts w:asciiTheme="minorHAnsi" w:eastAsia="Calibri" w:hAnsiTheme="minorHAnsi" w:cstheme="minorHAnsi"/>
          <w:b/>
          <w:sz w:val="24"/>
          <w:szCs w:val="24"/>
        </w:rPr>
        <w:t>Section 7(e)</w:t>
      </w:r>
    </w:p>
    <w:p w14:paraId="135F03F0" w14:textId="41D3902C" w:rsidR="004545E2" w:rsidRPr="000145D0" w:rsidRDefault="004545E2"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This clause</w:t>
      </w:r>
      <w:r w:rsidR="0035149C" w:rsidRPr="000145D0">
        <w:rPr>
          <w:rFonts w:asciiTheme="minorHAnsi" w:eastAsia="Calibri" w:hAnsiTheme="minorHAnsi" w:cstheme="minorHAnsi"/>
          <w:sz w:val="24"/>
          <w:szCs w:val="24"/>
          <w:lang w:eastAsia="en-AU"/>
        </w:rPr>
        <w:t xml:space="preserve"> omits the reference to </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wellbeing, care and protection</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 xml:space="preserve"> and substitutes a reference to </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safety, welfare and wellbeing</w:t>
      </w:r>
      <w:r w:rsidR="00D122B3">
        <w:rPr>
          <w:rFonts w:asciiTheme="minorHAnsi" w:eastAsia="Calibri" w:hAnsiTheme="minorHAnsi" w:cstheme="minorHAnsi"/>
          <w:sz w:val="24"/>
          <w:szCs w:val="24"/>
          <w:lang w:eastAsia="en-AU"/>
        </w:rPr>
        <w:t>”</w:t>
      </w:r>
      <w:r w:rsidR="0035149C" w:rsidRPr="000145D0">
        <w:rPr>
          <w:rFonts w:asciiTheme="minorHAnsi" w:eastAsia="Calibri" w:hAnsiTheme="minorHAnsi" w:cstheme="minorHAnsi"/>
          <w:sz w:val="24"/>
          <w:szCs w:val="24"/>
          <w:lang w:eastAsia="en-AU"/>
        </w:rPr>
        <w:t xml:space="preserve">. </w:t>
      </w:r>
    </w:p>
    <w:p w14:paraId="3FF9A9E0" w14:textId="293CBC91" w:rsidR="00D141DB"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D775A9" w:rsidRPr="000145D0">
        <w:rPr>
          <w:rFonts w:asciiTheme="minorHAnsi" w:eastAsia="Calibri" w:hAnsiTheme="minorHAnsi" w:cstheme="minorHAnsi"/>
          <w:b/>
          <w:sz w:val="24"/>
          <w:szCs w:val="24"/>
        </w:rPr>
        <w:t>10</w:t>
      </w:r>
      <w:r w:rsidRPr="000145D0">
        <w:rPr>
          <w:rFonts w:asciiTheme="minorHAnsi" w:eastAsia="Calibri" w:hAnsiTheme="minorHAnsi" w:cstheme="minorHAnsi"/>
          <w:b/>
          <w:sz w:val="24"/>
          <w:szCs w:val="24"/>
        </w:rPr>
        <w:t xml:space="preserve"> – </w:t>
      </w:r>
      <w:r w:rsidR="0035149C" w:rsidRPr="000145D0">
        <w:rPr>
          <w:rFonts w:asciiTheme="minorHAnsi" w:eastAsia="Calibri" w:hAnsiTheme="minorHAnsi" w:cstheme="minorHAnsi"/>
          <w:b/>
          <w:sz w:val="24"/>
          <w:szCs w:val="24"/>
        </w:rPr>
        <w:t>Section 10</w:t>
      </w:r>
    </w:p>
    <w:p w14:paraId="2D2FA6ED" w14:textId="305B7139" w:rsidR="0035149C" w:rsidRPr="000145D0" w:rsidRDefault="004545E2"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This claus</w:t>
      </w:r>
      <w:r w:rsidR="0035149C" w:rsidRPr="000145D0">
        <w:rPr>
          <w:rFonts w:asciiTheme="minorHAnsi" w:eastAsia="Calibri" w:hAnsiTheme="minorHAnsi" w:cstheme="minorHAnsi"/>
          <w:sz w:val="24"/>
          <w:szCs w:val="24"/>
          <w:lang w:eastAsia="en-AU"/>
        </w:rPr>
        <w:t>e substitute</w:t>
      </w:r>
      <w:r w:rsidR="005264F5" w:rsidRPr="000145D0">
        <w:rPr>
          <w:rFonts w:asciiTheme="minorHAnsi" w:eastAsia="Calibri" w:hAnsiTheme="minorHAnsi" w:cstheme="minorHAnsi"/>
          <w:sz w:val="24"/>
          <w:szCs w:val="24"/>
          <w:lang w:eastAsia="en-AU"/>
        </w:rPr>
        <w:t>s</w:t>
      </w:r>
      <w:r w:rsidR="0035149C" w:rsidRPr="000145D0">
        <w:rPr>
          <w:rFonts w:asciiTheme="minorHAnsi" w:eastAsia="Calibri" w:hAnsiTheme="minorHAnsi" w:cstheme="minorHAnsi"/>
          <w:sz w:val="24"/>
          <w:szCs w:val="24"/>
          <w:lang w:eastAsia="en-AU"/>
        </w:rPr>
        <w:t xml:space="preserve"> a new clause, introducing the Aboriginal and Torres Strait Islander Child Placement Principle. It provides that when making a decision under the </w:t>
      </w:r>
      <w:r w:rsidR="00BF3925">
        <w:rPr>
          <w:rFonts w:asciiTheme="minorHAnsi" w:eastAsia="Calibri" w:hAnsiTheme="minorHAnsi" w:cstheme="minorHAnsi"/>
          <w:sz w:val="24"/>
          <w:szCs w:val="24"/>
          <w:lang w:eastAsia="en-AU"/>
        </w:rPr>
        <w:t>CYPA</w:t>
      </w:r>
      <w:r w:rsidR="0035149C" w:rsidRPr="000145D0">
        <w:rPr>
          <w:rFonts w:asciiTheme="minorHAnsi" w:eastAsia="Calibri" w:hAnsiTheme="minorHAnsi" w:cstheme="minorHAnsi"/>
          <w:sz w:val="24"/>
          <w:szCs w:val="24"/>
          <w:lang w:eastAsia="en-AU"/>
        </w:rPr>
        <w:t xml:space="preserve"> in relation to an Aboriginal or Torres Strait Islander child or young person, the decision maker must take into account the Aboriginal and Torres Strait Islander Child Placement Principle as set out in this new section 10, as well as the matters set out in sections 8 and 9</w:t>
      </w:r>
      <w:r w:rsidR="00531876">
        <w:rPr>
          <w:rFonts w:asciiTheme="minorHAnsi" w:eastAsia="Calibri" w:hAnsiTheme="minorHAnsi" w:cstheme="minorHAnsi"/>
          <w:sz w:val="24"/>
          <w:szCs w:val="24"/>
          <w:lang w:eastAsia="en-AU"/>
        </w:rPr>
        <w:t xml:space="preserve">. </w:t>
      </w:r>
    </w:p>
    <w:p w14:paraId="0CF6DDCA" w14:textId="7F0F68A6" w:rsidR="0035149C" w:rsidRPr="000145D0" w:rsidRDefault="0035149C"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The </w:t>
      </w:r>
      <w:r w:rsidR="00137033">
        <w:rPr>
          <w:rFonts w:asciiTheme="minorHAnsi" w:eastAsia="Calibri" w:hAnsiTheme="minorHAnsi" w:cstheme="minorHAnsi"/>
          <w:sz w:val="24"/>
          <w:szCs w:val="24"/>
          <w:lang w:eastAsia="en-AU"/>
        </w:rPr>
        <w:t>C</w:t>
      </w:r>
      <w:r w:rsidRPr="000145D0">
        <w:rPr>
          <w:rFonts w:asciiTheme="minorHAnsi" w:eastAsia="Calibri" w:hAnsiTheme="minorHAnsi" w:cstheme="minorHAnsi"/>
          <w:sz w:val="24"/>
          <w:szCs w:val="24"/>
          <w:lang w:eastAsia="en-AU"/>
        </w:rPr>
        <w:t xml:space="preserve">hild </w:t>
      </w:r>
      <w:r w:rsidR="00137033">
        <w:rPr>
          <w:rFonts w:asciiTheme="minorHAnsi" w:eastAsia="Calibri" w:hAnsiTheme="minorHAnsi" w:cstheme="minorHAnsi"/>
          <w:sz w:val="24"/>
          <w:szCs w:val="24"/>
          <w:lang w:eastAsia="en-AU"/>
        </w:rPr>
        <w:t>P</w:t>
      </w:r>
      <w:r w:rsidRPr="000145D0">
        <w:rPr>
          <w:rFonts w:asciiTheme="minorHAnsi" w:eastAsia="Calibri" w:hAnsiTheme="minorHAnsi" w:cstheme="minorHAnsi"/>
          <w:sz w:val="24"/>
          <w:szCs w:val="24"/>
          <w:lang w:eastAsia="en-AU"/>
        </w:rPr>
        <w:t xml:space="preserve">lacement </w:t>
      </w:r>
      <w:r w:rsidR="00137033">
        <w:rPr>
          <w:rFonts w:asciiTheme="minorHAnsi" w:eastAsia="Calibri" w:hAnsiTheme="minorHAnsi" w:cstheme="minorHAnsi"/>
          <w:sz w:val="24"/>
          <w:szCs w:val="24"/>
          <w:lang w:eastAsia="en-AU"/>
        </w:rPr>
        <w:t>P</w:t>
      </w:r>
      <w:r w:rsidRPr="000145D0">
        <w:rPr>
          <w:rFonts w:asciiTheme="minorHAnsi" w:eastAsia="Calibri" w:hAnsiTheme="minorHAnsi" w:cstheme="minorHAnsi"/>
          <w:sz w:val="24"/>
          <w:szCs w:val="24"/>
          <w:lang w:eastAsia="en-AU"/>
        </w:rPr>
        <w:t xml:space="preserve">rinciple </w:t>
      </w:r>
      <w:r w:rsidR="00137033">
        <w:rPr>
          <w:rFonts w:asciiTheme="minorHAnsi" w:eastAsia="Calibri" w:hAnsiTheme="minorHAnsi" w:cstheme="minorHAnsi"/>
          <w:sz w:val="24"/>
          <w:szCs w:val="24"/>
          <w:lang w:eastAsia="en-AU"/>
        </w:rPr>
        <w:t>specif</w:t>
      </w:r>
      <w:r w:rsidR="00531876">
        <w:rPr>
          <w:rFonts w:asciiTheme="minorHAnsi" w:eastAsia="Calibri" w:hAnsiTheme="minorHAnsi" w:cstheme="minorHAnsi"/>
          <w:sz w:val="24"/>
          <w:szCs w:val="24"/>
          <w:lang w:eastAsia="en-AU"/>
        </w:rPr>
        <w:t>ies</w:t>
      </w:r>
      <w:r w:rsidR="00137033">
        <w:rPr>
          <w:rFonts w:asciiTheme="minorHAnsi" w:eastAsia="Calibri" w:hAnsiTheme="minorHAnsi" w:cstheme="minorHAnsi"/>
          <w:sz w:val="24"/>
          <w:szCs w:val="24"/>
          <w:lang w:eastAsia="en-AU"/>
        </w:rPr>
        <w:t xml:space="preserve"> that </w:t>
      </w:r>
      <w:r w:rsidRPr="000145D0">
        <w:rPr>
          <w:rFonts w:asciiTheme="minorHAnsi" w:eastAsia="Calibri" w:hAnsiTheme="minorHAnsi" w:cstheme="minorHAnsi"/>
          <w:sz w:val="24"/>
          <w:szCs w:val="24"/>
          <w:lang w:eastAsia="en-AU"/>
        </w:rPr>
        <w:t>Aboriginal and Torres Strait Islander:</w:t>
      </w:r>
    </w:p>
    <w:p w14:paraId="06D6DAA0" w14:textId="04FC4010" w:rsidR="0035149C" w:rsidRPr="00801ACE" w:rsidRDefault="0035149C" w:rsidP="00CD1D78">
      <w:pPr>
        <w:pStyle w:val="ListParagraph"/>
        <w:numPr>
          <w:ilvl w:val="0"/>
          <w:numId w:val="22"/>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children should be brought up within their own family, community and culture (the prevention principle)</w:t>
      </w:r>
    </w:p>
    <w:p w14:paraId="2AD15DF0" w14:textId="7EF066E3" w:rsidR="0035149C" w:rsidRPr="00801ACE" w:rsidRDefault="0035149C" w:rsidP="00CD1D78">
      <w:pPr>
        <w:pStyle w:val="ListParagraph"/>
        <w:numPr>
          <w:ilvl w:val="0"/>
          <w:numId w:val="22"/>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community representatives should be given opportunities to participate in design and delivery of services for children and young people, as well as decisions under th</w:t>
      </w:r>
      <w:r w:rsidR="006F5386" w:rsidRPr="00801ACE">
        <w:rPr>
          <w:rFonts w:asciiTheme="minorHAnsi" w:eastAsia="Calibri" w:hAnsiTheme="minorHAnsi" w:cstheme="minorHAnsi"/>
          <w:sz w:val="24"/>
          <w:szCs w:val="24"/>
        </w:rPr>
        <w:t xml:space="preserve">e CYPA </w:t>
      </w:r>
      <w:r w:rsidRPr="00801ACE">
        <w:rPr>
          <w:rFonts w:asciiTheme="minorHAnsi" w:eastAsia="Calibri" w:hAnsiTheme="minorHAnsi" w:cstheme="minorHAnsi"/>
          <w:sz w:val="24"/>
          <w:szCs w:val="24"/>
        </w:rPr>
        <w:t>about children and young people (the partnership principle)</w:t>
      </w:r>
    </w:p>
    <w:p w14:paraId="7AD3A1E9" w14:textId="4781938D" w:rsidR="0035149C" w:rsidRPr="00801ACE" w:rsidRDefault="0035149C" w:rsidP="00CD1D78">
      <w:pPr>
        <w:pStyle w:val="ListParagraph"/>
        <w:numPr>
          <w:ilvl w:val="0"/>
          <w:numId w:val="22"/>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 xml:space="preserve">children and young people placed with out-of-home carers </w:t>
      </w:r>
      <w:r w:rsidR="000E59EC" w:rsidRPr="00801ACE">
        <w:rPr>
          <w:rFonts w:asciiTheme="minorHAnsi" w:eastAsia="Calibri" w:hAnsiTheme="minorHAnsi" w:cstheme="minorHAnsi"/>
          <w:sz w:val="24"/>
          <w:szCs w:val="24"/>
        </w:rPr>
        <w:t xml:space="preserve">must be placed in accordance with the priorities for placement set out later in the </w:t>
      </w:r>
      <w:r w:rsidR="002B3977" w:rsidRPr="00801ACE">
        <w:rPr>
          <w:rFonts w:asciiTheme="minorHAnsi" w:eastAsia="Calibri" w:hAnsiTheme="minorHAnsi" w:cstheme="minorHAnsi"/>
          <w:sz w:val="24"/>
          <w:szCs w:val="24"/>
        </w:rPr>
        <w:t>CYP</w:t>
      </w:r>
      <w:r w:rsidR="000E59EC" w:rsidRPr="00801ACE">
        <w:rPr>
          <w:rFonts w:asciiTheme="minorHAnsi" w:eastAsia="Calibri" w:hAnsiTheme="minorHAnsi" w:cstheme="minorHAnsi"/>
          <w:sz w:val="24"/>
          <w:szCs w:val="24"/>
        </w:rPr>
        <w:t xml:space="preserve">A </w:t>
      </w:r>
      <w:r w:rsidR="002B3977" w:rsidRPr="00801ACE">
        <w:rPr>
          <w:rFonts w:asciiTheme="minorHAnsi" w:eastAsia="Calibri" w:hAnsiTheme="minorHAnsi" w:cstheme="minorHAnsi"/>
          <w:sz w:val="24"/>
          <w:szCs w:val="24"/>
        </w:rPr>
        <w:t xml:space="preserve">in </w:t>
      </w:r>
      <w:r w:rsidR="000E59EC" w:rsidRPr="00801ACE">
        <w:rPr>
          <w:rFonts w:asciiTheme="minorHAnsi" w:eastAsia="Calibri" w:hAnsiTheme="minorHAnsi" w:cstheme="minorHAnsi"/>
          <w:sz w:val="24"/>
          <w:szCs w:val="24"/>
        </w:rPr>
        <w:t>section 513</w:t>
      </w:r>
      <w:r w:rsidRPr="00801ACE">
        <w:rPr>
          <w:rFonts w:asciiTheme="minorHAnsi" w:eastAsia="Calibri" w:hAnsiTheme="minorHAnsi" w:cstheme="minorHAnsi"/>
          <w:sz w:val="24"/>
          <w:szCs w:val="24"/>
        </w:rPr>
        <w:t xml:space="preserve"> (the </w:t>
      </w:r>
      <w:r w:rsidR="000E59EC" w:rsidRPr="00801ACE">
        <w:rPr>
          <w:rFonts w:asciiTheme="minorHAnsi" w:eastAsia="Calibri" w:hAnsiTheme="minorHAnsi" w:cstheme="minorHAnsi"/>
          <w:sz w:val="24"/>
          <w:szCs w:val="24"/>
        </w:rPr>
        <w:t>placement</w:t>
      </w:r>
      <w:r w:rsidRPr="00801ACE">
        <w:rPr>
          <w:rFonts w:asciiTheme="minorHAnsi" w:eastAsia="Calibri" w:hAnsiTheme="minorHAnsi" w:cstheme="minorHAnsi"/>
          <w:sz w:val="24"/>
          <w:szCs w:val="24"/>
        </w:rPr>
        <w:t xml:space="preserve"> principle)</w:t>
      </w:r>
    </w:p>
    <w:p w14:paraId="560D1BDA" w14:textId="77B69A4C" w:rsidR="000E59EC" w:rsidRPr="00801ACE" w:rsidRDefault="000E59EC" w:rsidP="00CD1D78">
      <w:pPr>
        <w:pStyle w:val="ListParagraph"/>
        <w:numPr>
          <w:ilvl w:val="0"/>
          <w:numId w:val="22"/>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 xml:space="preserve">children and young people, their parents and other family members should be given opportunities to participate in decision making processes about care arrangements (the participation principle), and </w:t>
      </w:r>
    </w:p>
    <w:p w14:paraId="7A7982D4" w14:textId="63F63004" w:rsidR="0035149C" w:rsidRPr="00801ACE" w:rsidRDefault="000E59EC" w:rsidP="00CD1D78">
      <w:pPr>
        <w:pStyle w:val="ListParagraph"/>
        <w:numPr>
          <w:ilvl w:val="0"/>
          <w:numId w:val="22"/>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 xml:space="preserve">children and young people should have connections to family, community, culture and </w:t>
      </w:r>
      <w:r w:rsidR="00B06C1C" w:rsidRPr="00801ACE">
        <w:rPr>
          <w:rFonts w:asciiTheme="minorHAnsi" w:eastAsia="Calibri" w:hAnsiTheme="minorHAnsi" w:cstheme="minorHAnsi"/>
          <w:sz w:val="24"/>
          <w:szCs w:val="24"/>
        </w:rPr>
        <w:t>C</w:t>
      </w:r>
      <w:r w:rsidRPr="00801ACE">
        <w:rPr>
          <w:rFonts w:asciiTheme="minorHAnsi" w:eastAsia="Calibri" w:hAnsiTheme="minorHAnsi" w:cstheme="minorHAnsi"/>
          <w:sz w:val="24"/>
          <w:szCs w:val="24"/>
        </w:rPr>
        <w:t xml:space="preserve">ountry supported and maintained </w:t>
      </w:r>
      <w:r w:rsidR="0035149C" w:rsidRPr="00801ACE">
        <w:rPr>
          <w:rFonts w:asciiTheme="minorHAnsi" w:eastAsia="Calibri" w:hAnsiTheme="minorHAnsi" w:cstheme="minorHAnsi"/>
          <w:sz w:val="24"/>
          <w:szCs w:val="24"/>
        </w:rPr>
        <w:t>(the connection principle).</w:t>
      </w:r>
    </w:p>
    <w:p w14:paraId="3158BA8A" w14:textId="14684A9A" w:rsidR="00372E5F" w:rsidRPr="000145D0" w:rsidRDefault="000E59EC" w:rsidP="000165E8">
      <w:pPr>
        <w:spacing w:before="100" w:beforeAutospacing="1" w:after="100" w:afterAutospacing="1"/>
        <w:rPr>
          <w:rFonts w:asciiTheme="minorHAnsi" w:eastAsia="Calibri" w:hAnsiTheme="minorHAnsi" w:cstheme="minorHAnsi"/>
          <w:sz w:val="24"/>
          <w:szCs w:val="24"/>
        </w:rPr>
      </w:pPr>
      <w:r w:rsidRPr="000145D0">
        <w:rPr>
          <w:rFonts w:asciiTheme="minorHAnsi" w:eastAsia="Calibri" w:hAnsiTheme="minorHAnsi" w:cstheme="minorHAnsi"/>
          <w:sz w:val="24"/>
          <w:szCs w:val="24"/>
        </w:rPr>
        <w:t xml:space="preserve">Additionally, a new Section 10A </w:t>
      </w:r>
      <w:r w:rsidR="00372E5F" w:rsidRPr="000145D0">
        <w:rPr>
          <w:rFonts w:asciiTheme="minorHAnsi" w:eastAsia="Calibri" w:hAnsiTheme="minorHAnsi" w:cstheme="minorHAnsi"/>
          <w:sz w:val="24"/>
          <w:szCs w:val="24"/>
        </w:rPr>
        <w:t>specifies that the following principles are to be applied in administering this Act:</w:t>
      </w:r>
    </w:p>
    <w:p w14:paraId="5BC4682E" w14:textId="77777777" w:rsidR="00372E5F" w:rsidRPr="000145D0" w:rsidRDefault="000E59EC" w:rsidP="00CD1D78">
      <w:pPr>
        <w:pStyle w:val="ListParagraph"/>
        <w:numPr>
          <w:ilvl w:val="0"/>
          <w:numId w:val="5"/>
        </w:numPr>
        <w:spacing w:before="120" w:after="100" w:afterAutospacing="1"/>
        <w:ind w:left="714" w:hanging="357"/>
        <w:rPr>
          <w:rFonts w:asciiTheme="minorHAnsi" w:eastAsia="Calibri" w:hAnsiTheme="minorHAnsi" w:cstheme="minorHAnsi"/>
          <w:sz w:val="24"/>
          <w:szCs w:val="24"/>
        </w:rPr>
      </w:pPr>
      <w:r w:rsidRPr="000145D0">
        <w:rPr>
          <w:rFonts w:asciiTheme="minorHAnsi" w:eastAsia="Calibri" w:hAnsiTheme="minorHAnsi" w:cstheme="minorHAnsi"/>
          <w:sz w:val="24"/>
          <w:szCs w:val="24"/>
        </w:rPr>
        <w:t xml:space="preserve">Aboriginal and Torres Strait Islander people should participate in the care and protection of their children and young people with as much </w:t>
      </w:r>
      <w:r w:rsidR="005264F5" w:rsidRPr="000145D0">
        <w:rPr>
          <w:rFonts w:asciiTheme="minorHAnsi" w:eastAsia="Calibri" w:hAnsiTheme="minorHAnsi" w:cstheme="minorHAnsi"/>
          <w:sz w:val="24"/>
          <w:szCs w:val="24"/>
        </w:rPr>
        <w:t>self-determination</w:t>
      </w:r>
      <w:r w:rsidRPr="000145D0">
        <w:rPr>
          <w:rFonts w:asciiTheme="minorHAnsi" w:eastAsia="Calibri" w:hAnsiTheme="minorHAnsi" w:cstheme="minorHAnsi"/>
          <w:sz w:val="24"/>
          <w:szCs w:val="24"/>
        </w:rPr>
        <w:t xml:space="preserve"> as possible</w:t>
      </w:r>
    </w:p>
    <w:p w14:paraId="517D68DE" w14:textId="35DAA02D" w:rsidR="000E59EC" w:rsidRPr="000145D0" w:rsidRDefault="000E59EC" w:rsidP="00CD1D78">
      <w:pPr>
        <w:pStyle w:val="ListParagraph"/>
        <w:numPr>
          <w:ilvl w:val="0"/>
          <w:numId w:val="5"/>
        </w:numPr>
        <w:spacing w:before="120" w:after="100" w:afterAutospacing="1"/>
        <w:ind w:left="714" w:hanging="357"/>
        <w:rPr>
          <w:rFonts w:asciiTheme="minorHAnsi" w:eastAsia="Calibri" w:hAnsiTheme="minorHAnsi" w:cstheme="minorHAnsi"/>
          <w:sz w:val="24"/>
          <w:szCs w:val="24"/>
        </w:rPr>
      </w:pPr>
      <w:r w:rsidRPr="000145D0">
        <w:rPr>
          <w:rFonts w:asciiTheme="minorHAnsi" w:eastAsia="Calibri" w:hAnsiTheme="minorHAnsi" w:cstheme="minorHAnsi"/>
          <w:sz w:val="24"/>
          <w:szCs w:val="24"/>
        </w:rPr>
        <w:lastRenderedPageBreak/>
        <w:t>that government has a responsibility to protect and promote Aboriginal and Torres Strait Islander children and young people</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 xml:space="preserve">s cultural identity. </w:t>
      </w:r>
    </w:p>
    <w:p w14:paraId="67F6C9FE" w14:textId="6AC35885" w:rsidR="00D141DB"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1</w:t>
      </w:r>
      <w:r w:rsidR="00D775A9" w:rsidRPr="000145D0">
        <w:rPr>
          <w:rFonts w:asciiTheme="minorHAnsi" w:eastAsia="Calibri" w:hAnsiTheme="minorHAnsi" w:cstheme="minorHAnsi"/>
          <w:b/>
          <w:sz w:val="24"/>
          <w:szCs w:val="24"/>
        </w:rPr>
        <w:t>1</w:t>
      </w:r>
      <w:r w:rsidRPr="000145D0">
        <w:rPr>
          <w:rFonts w:asciiTheme="minorHAnsi" w:eastAsia="Calibri" w:hAnsiTheme="minorHAnsi" w:cstheme="minorHAnsi"/>
          <w:b/>
          <w:sz w:val="24"/>
          <w:szCs w:val="24"/>
        </w:rPr>
        <w:t xml:space="preserve"> – </w:t>
      </w:r>
      <w:r w:rsidR="000E59EC" w:rsidRPr="000145D0">
        <w:rPr>
          <w:rFonts w:asciiTheme="minorHAnsi" w:eastAsia="Calibri" w:hAnsiTheme="minorHAnsi" w:cstheme="minorHAnsi"/>
          <w:b/>
          <w:sz w:val="24"/>
          <w:szCs w:val="24"/>
        </w:rPr>
        <w:t>Director-general</w:t>
      </w:r>
      <w:r w:rsidR="00D122B3">
        <w:rPr>
          <w:rFonts w:asciiTheme="minorHAnsi" w:eastAsia="Calibri" w:hAnsiTheme="minorHAnsi" w:cstheme="minorHAnsi"/>
          <w:b/>
          <w:sz w:val="24"/>
          <w:szCs w:val="24"/>
        </w:rPr>
        <w:t>’</w:t>
      </w:r>
      <w:r w:rsidR="000E59EC" w:rsidRPr="000145D0">
        <w:rPr>
          <w:rFonts w:asciiTheme="minorHAnsi" w:eastAsia="Calibri" w:hAnsiTheme="minorHAnsi" w:cstheme="minorHAnsi"/>
          <w:b/>
          <w:sz w:val="24"/>
          <w:szCs w:val="24"/>
        </w:rPr>
        <w:t xml:space="preserve">s functions Section 22(1)(a) and (b) </w:t>
      </w:r>
    </w:p>
    <w:p w14:paraId="4DB7BBFB" w14:textId="26E8C0CD" w:rsidR="004545E2" w:rsidRPr="000145D0" w:rsidRDefault="007D232D" w:rsidP="000165E8">
      <w:pPr>
        <w:spacing w:before="100" w:beforeAutospacing="1" w:after="100" w:afterAutospacing="1"/>
        <w:rPr>
          <w:rFonts w:asciiTheme="minorHAnsi" w:eastAsia="Calibri" w:hAnsiTheme="minorHAnsi" w:cstheme="minorHAnsi"/>
          <w:sz w:val="24"/>
          <w:szCs w:val="24"/>
          <w:lang w:eastAsia="en-AU"/>
        </w:rPr>
      </w:pPr>
      <w:r w:rsidRPr="00531876">
        <w:rPr>
          <w:rFonts w:asciiTheme="minorHAnsi" w:eastAsia="Calibri" w:hAnsiTheme="minorHAnsi" w:cstheme="minorHAnsi"/>
          <w:sz w:val="24"/>
          <w:szCs w:val="24"/>
          <w:lang w:eastAsia="en-AU"/>
        </w:rPr>
        <w:t xml:space="preserve">This clause omits the reference to </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wellbeing, care and protection</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 xml:space="preserve"> and substitutes a reference to </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safety, welfare and wellbeing</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w:t>
      </w:r>
      <w:r>
        <w:rPr>
          <w:rFonts w:asciiTheme="minorHAnsi" w:eastAsia="Calibri" w:hAnsiTheme="minorHAnsi" w:cstheme="minorHAnsi"/>
          <w:sz w:val="24"/>
          <w:szCs w:val="24"/>
          <w:lang w:eastAsia="en-AU"/>
        </w:rPr>
        <w:t xml:space="preserve"> </w:t>
      </w:r>
      <w:r w:rsidRPr="007D232D">
        <w:rPr>
          <w:rFonts w:asciiTheme="minorHAnsi" w:eastAsia="Calibri" w:hAnsiTheme="minorHAnsi" w:cstheme="minorHAnsi"/>
          <w:sz w:val="24"/>
          <w:szCs w:val="24"/>
          <w:lang w:eastAsia="en-AU"/>
        </w:rPr>
        <w:t xml:space="preserve">Furthermore, it replaces the term </w:t>
      </w:r>
      <w:r w:rsidR="00D122B3">
        <w:rPr>
          <w:rFonts w:asciiTheme="minorHAnsi" w:eastAsia="Calibri" w:hAnsiTheme="minorHAnsi" w:cstheme="minorHAnsi"/>
          <w:sz w:val="24"/>
          <w:szCs w:val="24"/>
          <w:lang w:eastAsia="en-AU"/>
        </w:rPr>
        <w:t>“</w:t>
      </w:r>
      <w:r w:rsidRPr="007D232D">
        <w:rPr>
          <w:rFonts w:asciiTheme="minorHAnsi" w:eastAsia="Calibri" w:hAnsiTheme="minorHAnsi" w:cstheme="minorHAnsi"/>
          <w:sz w:val="24"/>
          <w:szCs w:val="24"/>
          <w:lang w:eastAsia="en-AU"/>
        </w:rPr>
        <w:t>abuse and neglect</w:t>
      </w:r>
      <w:r w:rsidR="00D122B3">
        <w:rPr>
          <w:rFonts w:asciiTheme="minorHAnsi" w:eastAsia="Calibri" w:hAnsiTheme="minorHAnsi" w:cstheme="minorHAnsi"/>
          <w:sz w:val="24"/>
          <w:szCs w:val="24"/>
          <w:lang w:eastAsia="en-AU"/>
        </w:rPr>
        <w:t>”</w:t>
      </w:r>
      <w:r w:rsidRPr="007D232D">
        <w:rPr>
          <w:rFonts w:asciiTheme="minorHAnsi" w:eastAsia="Calibri" w:hAnsiTheme="minorHAnsi" w:cstheme="minorHAnsi"/>
          <w:sz w:val="24"/>
          <w:szCs w:val="24"/>
          <w:lang w:eastAsia="en-AU"/>
        </w:rPr>
        <w:t xml:space="preserve"> with </w:t>
      </w:r>
      <w:r w:rsidR="00D122B3">
        <w:rPr>
          <w:rFonts w:asciiTheme="minorHAnsi" w:eastAsia="Calibri" w:hAnsiTheme="minorHAnsi" w:cstheme="minorHAnsi"/>
          <w:sz w:val="24"/>
          <w:szCs w:val="24"/>
          <w:lang w:eastAsia="en-AU"/>
        </w:rPr>
        <w:t>“</w:t>
      </w:r>
      <w:r w:rsidRPr="007D232D">
        <w:rPr>
          <w:rFonts w:asciiTheme="minorHAnsi" w:eastAsia="Calibri" w:hAnsiTheme="minorHAnsi" w:cstheme="minorHAnsi"/>
          <w:sz w:val="24"/>
          <w:szCs w:val="24"/>
          <w:lang w:eastAsia="en-AU"/>
        </w:rPr>
        <w:t>risk of significant harm.</w:t>
      </w:r>
      <w:r w:rsidR="00D122B3">
        <w:rPr>
          <w:rFonts w:asciiTheme="minorHAnsi" w:eastAsia="Calibri" w:hAnsiTheme="minorHAnsi" w:cstheme="minorHAnsi"/>
          <w:sz w:val="24"/>
          <w:szCs w:val="24"/>
          <w:lang w:eastAsia="en-AU"/>
        </w:rPr>
        <w:t>”</w:t>
      </w:r>
      <w:r w:rsidRPr="007D232D">
        <w:rPr>
          <w:rFonts w:asciiTheme="minorHAnsi" w:eastAsia="Calibri" w:hAnsiTheme="minorHAnsi" w:cstheme="minorHAnsi"/>
          <w:sz w:val="24"/>
          <w:szCs w:val="24"/>
          <w:lang w:eastAsia="en-AU"/>
        </w:rPr>
        <w:t xml:space="preserve"> Additionally, it provides clarification</w:t>
      </w:r>
      <w:r>
        <w:rPr>
          <w:rFonts w:asciiTheme="minorHAnsi" w:eastAsia="Calibri" w:hAnsiTheme="minorHAnsi" w:cstheme="minorHAnsi"/>
          <w:sz w:val="24"/>
          <w:szCs w:val="24"/>
          <w:lang w:eastAsia="en-AU"/>
        </w:rPr>
        <w:t xml:space="preserve"> </w:t>
      </w:r>
      <w:r w:rsidR="00A25BAE" w:rsidRPr="000145D0">
        <w:rPr>
          <w:rFonts w:asciiTheme="minorHAnsi" w:eastAsia="Calibri" w:hAnsiTheme="minorHAnsi" w:cstheme="minorHAnsi"/>
          <w:sz w:val="24"/>
          <w:szCs w:val="24"/>
          <w:lang w:eastAsia="en-AU"/>
        </w:rPr>
        <w:t xml:space="preserve">that </w:t>
      </w:r>
      <w:r w:rsidR="000E59EC" w:rsidRPr="000145D0">
        <w:rPr>
          <w:rFonts w:asciiTheme="minorHAnsi" w:eastAsia="Calibri" w:hAnsiTheme="minorHAnsi" w:cstheme="minorHAnsi"/>
          <w:sz w:val="24"/>
          <w:szCs w:val="24"/>
          <w:lang w:eastAsia="en-AU"/>
        </w:rPr>
        <w:t xml:space="preserve">the director-general must provide assistance to families in </w:t>
      </w:r>
      <w:r>
        <w:rPr>
          <w:rFonts w:asciiTheme="minorHAnsi" w:eastAsia="Calibri" w:hAnsiTheme="minorHAnsi" w:cstheme="minorHAnsi"/>
          <w:sz w:val="24"/>
          <w:szCs w:val="24"/>
          <w:lang w:eastAsia="en-AU"/>
        </w:rPr>
        <w:t xml:space="preserve">(a) </w:t>
      </w:r>
      <w:r w:rsidR="000E59EC" w:rsidRPr="000145D0">
        <w:rPr>
          <w:rFonts w:asciiTheme="minorHAnsi" w:eastAsia="Calibri" w:hAnsiTheme="minorHAnsi" w:cstheme="minorHAnsi"/>
          <w:sz w:val="24"/>
          <w:szCs w:val="24"/>
          <w:lang w:eastAsia="en-AU"/>
        </w:rPr>
        <w:t xml:space="preserve">reducing the </w:t>
      </w:r>
      <w:r>
        <w:rPr>
          <w:rFonts w:asciiTheme="minorHAnsi" w:eastAsia="Calibri" w:hAnsiTheme="minorHAnsi" w:cstheme="minorHAnsi"/>
          <w:sz w:val="24"/>
          <w:szCs w:val="24"/>
          <w:lang w:eastAsia="en-AU"/>
        </w:rPr>
        <w:t xml:space="preserve">risk </w:t>
      </w:r>
      <w:r w:rsidR="000E59EC" w:rsidRPr="000145D0">
        <w:rPr>
          <w:rFonts w:asciiTheme="minorHAnsi" w:eastAsia="Calibri" w:hAnsiTheme="minorHAnsi" w:cstheme="minorHAnsi"/>
          <w:sz w:val="24"/>
          <w:szCs w:val="24"/>
          <w:lang w:eastAsia="en-AU"/>
        </w:rPr>
        <w:t xml:space="preserve">of significant harm to children and young people and to </w:t>
      </w:r>
      <w:r>
        <w:rPr>
          <w:rFonts w:asciiTheme="minorHAnsi" w:eastAsia="Calibri" w:hAnsiTheme="minorHAnsi" w:cstheme="minorHAnsi"/>
          <w:sz w:val="24"/>
          <w:szCs w:val="24"/>
          <w:lang w:eastAsia="en-AU"/>
        </w:rPr>
        <w:t xml:space="preserve">(b) </w:t>
      </w:r>
      <w:r w:rsidR="000E59EC" w:rsidRPr="000145D0">
        <w:rPr>
          <w:rFonts w:asciiTheme="minorHAnsi" w:eastAsia="Calibri" w:hAnsiTheme="minorHAnsi" w:cstheme="minorHAnsi"/>
          <w:sz w:val="24"/>
          <w:szCs w:val="24"/>
          <w:lang w:eastAsia="en-AU"/>
        </w:rPr>
        <w:t xml:space="preserve">protect children and young people where a risk of significant harm has been identified. </w:t>
      </w:r>
    </w:p>
    <w:p w14:paraId="01B00A64" w14:textId="7A68A37E" w:rsidR="00D141DB"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1</w:t>
      </w:r>
      <w:r w:rsidR="00D775A9" w:rsidRPr="000145D0">
        <w:rPr>
          <w:rFonts w:asciiTheme="minorHAnsi" w:eastAsia="Calibri" w:hAnsiTheme="minorHAnsi" w:cstheme="minorHAnsi"/>
          <w:b/>
          <w:sz w:val="24"/>
          <w:szCs w:val="24"/>
        </w:rPr>
        <w:t>2</w:t>
      </w:r>
      <w:r w:rsidRPr="000145D0">
        <w:rPr>
          <w:rFonts w:asciiTheme="minorHAnsi" w:eastAsia="Calibri" w:hAnsiTheme="minorHAnsi" w:cstheme="minorHAnsi"/>
          <w:b/>
          <w:sz w:val="24"/>
          <w:szCs w:val="24"/>
        </w:rPr>
        <w:t xml:space="preserve"> – </w:t>
      </w:r>
      <w:r w:rsidR="001D3E7E" w:rsidRPr="000145D0">
        <w:rPr>
          <w:rFonts w:asciiTheme="minorHAnsi" w:eastAsia="Calibri" w:hAnsiTheme="minorHAnsi" w:cstheme="minorHAnsi"/>
          <w:b/>
          <w:sz w:val="24"/>
          <w:szCs w:val="24"/>
        </w:rPr>
        <w:t>Section 22(1)(d) and (e)</w:t>
      </w:r>
    </w:p>
    <w:p w14:paraId="661F0201" w14:textId="19FA59A8" w:rsidR="007D232D" w:rsidRPr="000145D0" w:rsidRDefault="007D232D" w:rsidP="000165E8">
      <w:pPr>
        <w:keepNext/>
        <w:spacing w:before="100" w:beforeAutospacing="1" w:after="100" w:afterAutospacing="1"/>
        <w:outlineLvl w:val="3"/>
        <w:rPr>
          <w:rFonts w:asciiTheme="minorHAnsi" w:eastAsia="Calibri" w:hAnsiTheme="minorHAnsi" w:cstheme="minorHAnsi"/>
          <w:b/>
          <w:sz w:val="24"/>
          <w:szCs w:val="24"/>
        </w:rPr>
      </w:pPr>
      <w:r w:rsidRPr="00531876">
        <w:rPr>
          <w:rFonts w:asciiTheme="minorHAnsi" w:eastAsia="Calibri" w:hAnsiTheme="minorHAnsi" w:cstheme="minorHAnsi"/>
          <w:sz w:val="24"/>
          <w:szCs w:val="24"/>
          <w:lang w:eastAsia="en-AU"/>
        </w:rPr>
        <w:t xml:space="preserve">This clause omits the reference to </w:t>
      </w:r>
      <w:r w:rsidR="00D122B3">
        <w:rPr>
          <w:rFonts w:asciiTheme="minorHAnsi" w:eastAsia="Calibri" w:hAnsiTheme="minorHAnsi" w:cstheme="minorHAnsi"/>
          <w:sz w:val="24"/>
          <w:szCs w:val="24"/>
          <w:lang w:eastAsia="en-AU"/>
        </w:rPr>
        <w:t>“</w:t>
      </w:r>
      <w:r>
        <w:rPr>
          <w:rFonts w:asciiTheme="minorHAnsi" w:eastAsia="Calibri" w:hAnsiTheme="minorHAnsi" w:cstheme="minorHAnsi"/>
          <w:sz w:val="24"/>
          <w:szCs w:val="24"/>
          <w:lang w:eastAsia="en-AU"/>
        </w:rPr>
        <w:t>abuse and neglect</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 xml:space="preserve"> and substitutes a reference to </w:t>
      </w:r>
      <w:r w:rsidR="00D122B3">
        <w:rPr>
          <w:rFonts w:asciiTheme="minorHAnsi" w:eastAsia="Calibri" w:hAnsiTheme="minorHAnsi" w:cstheme="minorHAnsi"/>
          <w:sz w:val="24"/>
          <w:szCs w:val="24"/>
          <w:lang w:eastAsia="en-AU"/>
        </w:rPr>
        <w:t>“</w:t>
      </w:r>
      <w:r>
        <w:rPr>
          <w:rFonts w:asciiTheme="minorHAnsi" w:eastAsia="Calibri" w:hAnsiTheme="minorHAnsi" w:cstheme="minorHAnsi"/>
          <w:sz w:val="24"/>
          <w:szCs w:val="24"/>
          <w:lang w:eastAsia="en-AU"/>
        </w:rPr>
        <w:t>risk of significant harm</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w:t>
      </w:r>
    </w:p>
    <w:p w14:paraId="598B4E22" w14:textId="17C8B449" w:rsidR="00D141DB"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1</w:t>
      </w:r>
      <w:r w:rsidR="00D775A9" w:rsidRPr="000145D0">
        <w:rPr>
          <w:rFonts w:asciiTheme="minorHAnsi" w:eastAsia="Calibri" w:hAnsiTheme="minorHAnsi" w:cstheme="minorHAnsi"/>
          <w:b/>
          <w:sz w:val="24"/>
          <w:szCs w:val="24"/>
        </w:rPr>
        <w:t>3</w:t>
      </w:r>
      <w:r w:rsidRPr="000145D0">
        <w:rPr>
          <w:rFonts w:asciiTheme="minorHAnsi" w:eastAsia="Calibri" w:hAnsiTheme="minorHAnsi" w:cstheme="minorHAnsi"/>
          <w:b/>
          <w:sz w:val="24"/>
          <w:szCs w:val="24"/>
        </w:rPr>
        <w:t xml:space="preserve"> – </w:t>
      </w:r>
      <w:r w:rsidR="001D3E7E" w:rsidRPr="000145D0">
        <w:rPr>
          <w:rFonts w:asciiTheme="minorHAnsi" w:eastAsia="Calibri" w:hAnsiTheme="minorHAnsi" w:cstheme="minorHAnsi"/>
          <w:b/>
          <w:sz w:val="24"/>
          <w:szCs w:val="24"/>
        </w:rPr>
        <w:t xml:space="preserve">What is </w:t>
      </w:r>
      <w:r w:rsidR="001D3E7E" w:rsidRPr="000145D0">
        <w:rPr>
          <w:rFonts w:asciiTheme="minorHAnsi" w:eastAsia="Calibri" w:hAnsiTheme="minorHAnsi" w:cstheme="minorHAnsi"/>
          <w:b/>
          <w:i/>
          <w:iCs/>
          <w:sz w:val="24"/>
          <w:szCs w:val="24"/>
        </w:rPr>
        <w:t xml:space="preserve">suitability information? </w:t>
      </w:r>
      <w:r w:rsidR="001D3E7E" w:rsidRPr="000145D0">
        <w:rPr>
          <w:rFonts w:asciiTheme="minorHAnsi" w:eastAsia="Calibri" w:hAnsiTheme="minorHAnsi" w:cstheme="minorHAnsi"/>
          <w:b/>
          <w:sz w:val="24"/>
          <w:szCs w:val="24"/>
        </w:rPr>
        <w:t xml:space="preserve">Section 65(1), definition of suitability information, paragraph (g) </w:t>
      </w:r>
    </w:p>
    <w:p w14:paraId="177F6DC7" w14:textId="276E5B16" w:rsidR="004545E2" w:rsidRPr="000145D0" w:rsidRDefault="00531876" w:rsidP="000165E8">
      <w:pPr>
        <w:spacing w:before="100" w:beforeAutospacing="1" w:after="100" w:afterAutospacing="1"/>
        <w:rPr>
          <w:rFonts w:asciiTheme="minorHAnsi" w:eastAsia="Calibri" w:hAnsiTheme="minorHAnsi" w:cstheme="minorHAnsi"/>
          <w:sz w:val="24"/>
          <w:szCs w:val="24"/>
          <w:lang w:eastAsia="en-AU"/>
        </w:rPr>
      </w:pPr>
      <w:r w:rsidRPr="00531876">
        <w:rPr>
          <w:rFonts w:asciiTheme="minorHAnsi" w:eastAsia="Calibri" w:hAnsiTheme="minorHAnsi" w:cstheme="minorHAnsi"/>
          <w:sz w:val="24"/>
          <w:szCs w:val="24"/>
          <w:lang w:eastAsia="en-AU"/>
        </w:rPr>
        <w:t xml:space="preserve">This clause substitutes </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Pr="00531876">
        <w:rPr>
          <w:rFonts w:asciiTheme="minorHAnsi" w:eastAsia="Calibri" w:hAnsiTheme="minorHAnsi" w:cstheme="minorHAnsi"/>
          <w:sz w:val="24"/>
          <w:szCs w:val="24"/>
          <w:lang w:eastAsia="en-AU"/>
        </w:rPr>
        <w:t>voluntary report or mandatory report.</w:t>
      </w:r>
      <w:r w:rsidR="00D122B3">
        <w:rPr>
          <w:rFonts w:asciiTheme="minorHAnsi" w:eastAsia="Calibri" w:hAnsiTheme="minorHAnsi" w:cstheme="minorHAnsi"/>
          <w:sz w:val="24"/>
          <w:szCs w:val="24"/>
          <w:lang w:eastAsia="en-AU"/>
        </w:rPr>
        <w:t>”</w:t>
      </w:r>
    </w:p>
    <w:p w14:paraId="293951FF" w14:textId="6A7A6F32" w:rsidR="001D3E7E"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1</w:t>
      </w:r>
      <w:r w:rsidR="00D775A9" w:rsidRPr="000145D0">
        <w:rPr>
          <w:rFonts w:asciiTheme="minorHAnsi" w:eastAsia="Calibri" w:hAnsiTheme="minorHAnsi" w:cstheme="minorHAnsi"/>
          <w:b/>
          <w:sz w:val="24"/>
          <w:szCs w:val="24"/>
        </w:rPr>
        <w:t>4</w:t>
      </w:r>
      <w:r w:rsidRPr="000145D0">
        <w:rPr>
          <w:rFonts w:asciiTheme="minorHAnsi" w:eastAsia="Calibri" w:hAnsiTheme="minorHAnsi" w:cstheme="minorHAnsi"/>
          <w:b/>
          <w:sz w:val="24"/>
          <w:szCs w:val="24"/>
        </w:rPr>
        <w:t xml:space="preserve"> – </w:t>
      </w:r>
      <w:r w:rsidR="001D3E7E" w:rsidRPr="000145D0">
        <w:rPr>
          <w:rFonts w:asciiTheme="minorHAnsi" w:eastAsia="Calibri" w:hAnsiTheme="minorHAnsi" w:cstheme="minorHAnsi"/>
          <w:b/>
          <w:sz w:val="24"/>
          <w:szCs w:val="24"/>
        </w:rPr>
        <w:t xml:space="preserve">Family group conferences – criteria Section 80(2), example </w:t>
      </w:r>
      <w:r w:rsidR="00BF3925">
        <w:rPr>
          <w:rFonts w:asciiTheme="minorHAnsi" w:eastAsia="Calibri" w:hAnsiTheme="minorHAnsi" w:cstheme="minorHAnsi"/>
          <w:b/>
          <w:sz w:val="24"/>
          <w:szCs w:val="24"/>
        </w:rPr>
        <w:t>1</w:t>
      </w:r>
    </w:p>
    <w:p w14:paraId="7AC5957E" w14:textId="3BAAD236" w:rsidR="007D232D" w:rsidRDefault="004545E2"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This clause</w:t>
      </w:r>
      <w:r w:rsidR="001D3E7E" w:rsidRPr="000145D0">
        <w:rPr>
          <w:rFonts w:asciiTheme="minorHAnsi" w:eastAsia="Calibri" w:hAnsiTheme="minorHAnsi" w:cstheme="minorHAnsi"/>
          <w:sz w:val="24"/>
          <w:szCs w:val="24"/>
          <w:lang w:eastAsia="en-AU"/>
        </w:rPr>
        <w:t xml:space="preserve"> substitutes a reference to </w:t>
      </w:r>
      <w:r w:rsidR="00D122B3">
        <w:rPr>
          <w:rFonts w:asciiTheme="minorHAnsi" w:eastAsia="Calibri" w:hAnsiTheme="minorHAnsi" w:cstheme="minorHAnsi"/>
          <w:sz w:val="24"/>
          <w:szCs w:val="24"/>
          <w:lang w:eastAsia="en-AU"/>
        </w:rPr>
        <w:t>“</w:t>
      </w:r>
      <w:r w:rsidR="001D3E7E" w:rsidRPr="000145D0">
        <w:rPr>
          <w:rFonts w:asciiTheme="minorHAnsi" w:eastAsia="Calibri" w:hAnsiTheme="minorHAnsi" w:cstheme="minorHAnsi"/>
          <w:sz w:val="24"/>
          <w:szCs w:val="24"/>
          <w:lang w:eastAsia="en-AU"/>
        </w:rPr>
        <w:t>substantiated abuse</w:t>
      </w:r>
      <w:r w:rsidR="00D122B3">
        <w:rPr>
          <w:rFonts w:asciiTheme="minorHAnsi" w:eastAsia="Calibri" w:hAnsiTheme="minorHAnsi" w:cstheme="minorHAnsi"/>
          <w:sz w:val="24"/>
          <w:szCs w:val="24"/>
          <w:lang w:eastAsia="en-AU"/>
        </w:rPr>
        <w:t>”</w:t>
      </w:r>
      <w:r w:rsidR="001D3E7E" w:rsidRPr="000145D0">
        <w:rPr>
          <w:rFonts w:asciiTheme="minorHAnsi" w:eastAsia="Calibri" w:hAnsiTheme="minorHAnsi" w:cstheme="minorHAnsi"/>
          <w:sz w:val="24"/>
          <w:szCs w:val="24"/>
          <w:lang w:eastAsia="en-AU"/>
        </w:rPr>
        <w:t xml:space="preserve"> for where the director-general </w:t>
      </w:r>
      <w:r w:rsidR="00D122B3">
        <w:rPr>
          <w:rFonts w:asciiTheme="minorHAnsi" w:eastAsia="Calibri" w:hAnsiTheme="minorHAnsi" w:cstheme="minorHAnsi"/>
          <w:sz w:val="24"/>
          <w:szCs w:val="24"/>
          <w:lang w:eastAsia="en-AU"/>
        </w:rPr>
        <w:t>“</w:t>
      </w:r>
      <w:r w:rsidR="001D3E7E" w:rsidRPr="000145D0">
        <w:rPr>
          <w:rFonts w:asciiTheme="minorHAnsi" w:eastAsia="Calibri" w:hAnsiTheme="minorHAnsi" w:cstheme="minorHAnsi"/>
          <w:sz w:val="24"/>
          <w:szCs w:val="24"/>
          <w:lang w:eastAsia="en-AU"/>
        </w:rPr>
        <w:t>identifies a risk of significant harm</w:t>
      </w:r>
      <w:r w:rsidR="00D122B3">
        <w:rPr>
          <w:rFonts w:asciiTheme="minorHAnsi" w:eastAsia="Calibri" w:hAnsiTheme="minorHAnsi" w:cstheme="minorHAnsi"/>
          <w:sz w:val="24"/>
          <w:szCs w:val="24"/>
          <w:lang w:eastAsia="en-AU"/>
        </w:rPr>
        <w:t>”</w:t>
      </w:r>
      <w:r w:rsidR="001D3E7E" w:rsidRPr="000145D0">
        <w:rPr>
          <w:rFonts w:asciiTheme="minorHAnsi" w:eastAsia="Calibri" w:hAnsiTheme="minorHAnsi" w:cstheme="minorHAnsi"/>
          <w:sz w:val="24"/>
          <w:szCs w:val="24"/>
          <w:lang w:eastAsia="en-AU"/>
        </w:rPr>
        <w:t xml:space="preserve">. This is consistent with the introduction of significant harm to the </w:t>
      </w:r>
      <w:r w:rsidR="00BF3925">
        <w:rPr>
          <w:rFonts w:asciiTheme="minorHAnsi" w:eastAsia="Calibri" w:hAnsiTheme="minorHAnsi" w:cstheme="minorHAnsi"/>
          <w:sz w:val="24"/>
          <w:szCs w:val="24"/>
          <w:lang w:eastAsia="en-AU"/>
        </w:rPr>
        <w:t>CYPA</w:t>
      </w:r>
      <w:r w:rsidR="001D3E7E" w:rsidRPr="000145D0">
        <w:rPr>
          <w:rFonts w:asciiTheme="minorHAnsi" w:eastAsia="Calibri" w:hAnsiTheme="minorHAnsi" w:cstheme="minorHAnsi"/>
          <w:sz w:val="24"/>
          <w:szCs w:val="24"/>
          <w:lang w:eastAsia="en-AU"/>
        </w:rPr>
        <w:t>.</w:t>
      </w:r>
    </w:p>
    <w:p w14:paraId="59EF5FF3" w14:textId="77777777" w:rsidR="007D232D" w:rsidRDefault="00D141DB"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
          <w:sz w:val="24"/>
          <w:szCs w:val="24"/>
        </w:rPr>
        <w:t>Clause 1</w:t>
      </w:r>
      <w:r w:rsidR="00D775A9" w:rsidRPr="000145D0">
        <w:rPr>
          <w:rFonts w:asciiTheme="minorHAnsi" w:eastAsia="Calibri" w:hAnsiTheme="minorHAnsi" w:cstheme="minorHAnsi"/>
          <w:b/>
          <w:sz w:val="24"/>
          <w:szCs w:val="24"/>
        </w:rPr>
        <w:t>5 – Section 80(2), example 3</w:t>
      </w:r>
    </w:p>
    <w:p w14:paraId="15260BAA" w14:textId="1E689C16" w:rsidR="007D232D" w:rsidRDefault="00D775A9"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Cs/>
          <w:sz w:val="24"/>
          <w:szCs w:val="24"/>
        </w:rPr>
        <w:t xml:space="preserve">This clause omits </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substantiates the abuse</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 xml:space="preserve"> and substitutes with </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identifies a risk of significant harm</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w:t>
      </w:r>
      <w:r w:rsidR="00A25BAE" w:rsidRPr="000145D0">
        <w:rPr>
          <w:rFonts w:asciiTheme="minorHAnsi" w:eastAsia="Calibri" w:hAnsiTheme="minorHAnsi" w:cstheme="minorHAnsi"/>
          <w:sz w:val="24"/>
          <w:szCs w:val="24"/>
          <w:lang w:eastAsia="en-AU"/>
        </w:rPr>
        <w:t xml:space="preserve"> This is consistent with the introduction of significant harm to the </w:t>
      </w:r>
      <w:r w:rsidR="00BF3925">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w:t>
      </w:r>
    </w:p>
    <w:p w14:paraId="4B8A2A1D" w14:textId="77777777" w:rsidR="007D232D" w:rsidRDefault="00D775A9"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
          <w:sz w:val="24"/>
          <w:szCs w:val="24"/>
        </w:rPr>
        <w:t>Clause 16</w:t>
      </w:r>
      <w:r w:rsidRPr="000145D0">
        <w:rPr>
          <w:rFonts w:asciiTheme="minorHAnsi" w:hAnsiTheme="minorHAnsi" w:cstheme="minorHAnsi"/>
          <w:b/>
          <w:bCs/>
          <w:sz w:val="24"/>
          <w:szCs w:val="24"/>
        </w:rPr>
        <w:t xml:space="preserve"> </w:t>
      </w:r>
      <w:r w:rsidR="00A25BAE" w:rsidRPr="000145D0">
        <w:rPr>
          <w:rFonts w:asciiTheme="minorHAnsi" w:eastAsia="Calibri" w:hAnsiTheme="minorHAnsi" w:cstheme="minorHAnsi"/>
          <w:b/>
          <w:sz w:val="24"/>
          <w:szCs w:val="24"/>
        </w:rPr>
        <w:t>– Application</w:t>
      </w:r>
      <w:r w:rsidRPr="000145D0">
        <w:rPr>
          <w:rFonts w:asciiTheme="minorHAnsi" w:hAnsiTheme="minorHAnsi" w:cstheme="minorHAnsi"/>
          <w:b/>
          <w:bCs/>
          <w:sz w:val="24"/>
          <w:szCs w:val="24"/>
        </w:rPr>
        <w:t xml:space="preserve"> of care and protection chapters Part 10.1 heading, note, paragraph (c)</w:t>
      </w:r>
    </w:p>
    <w:p w14:paraId="27228544" w14:textId="7D1EBD70" w:rsidR="007D232D" w:rsidRDefault="00697A3C"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Cs/>
          <w:sz w:val="24"/>
          <w:szCs w:val="24"/>
        </w:rPr>
        <w:t xml:space="preserve">This clause omits substantiates the abuse and substitutes with </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identifies a risk of significant harm</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w:t>
      </w:r>
      <w:r w:rsidR="00A25BAE" w:rsidRPr="000145D0">
        <w:rPr>
          <w:rFonts w:asciiTheme="minorHAnsi" w:eastAsia="Calibri" w:hAnsiTheme="minorHAnsi" w:cstheme="minorHAnsi"/>
          <w:sz w:val="24"/>
          <w:szCs w:val="24"/>
          <w:lang w:eastAsia="en-AU"/>
        </w:rPr>
        <w:t xml:space="preserve"> This is consistent with the introduction of significant harm to the </w:t>
      </w:r>
      <w:r w:rsidR="00BF3925">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w:t>
      </w:r>
    </w:p>
    <w:p w14:paraId="2ABC8C0A" w14:textId="77777777" w:rsidR="007D232D" w:rsidRDefault="00D775A9" w:rsidP="007D232D">
      <w:pPr>
        <w:spacing w:before="100" w:beforeAutospacing="1" w:after="100" w:afterAutospacing="1"/>
        <w:rPr>
          <w:rFonts w:asciiTheme="minorHAnsi" w:eastAsia="Calibri" w:hAnsiTheme="minorHAnsi" w:cstheme="minorHAnsi"/>
          <w:sz w:val="24"/>
          <w:szCs w:val="24"/>
          <w:lang w:eastAsia="en-AU"/>
        </w:rPr>
      </w:pPr>
      <w:r w:rsidRPr="00BF3925">
        <w:rPr>
          <w:rFonts w:asciiTheme="minorHAnsi" w:eastAsia="Calibri" w:hAnsiTheme="minorHAnsi" w:cstheme="minorHAnsi"/>
          <w:b/>
          <w:sz w:val="24"/>
          <w:szCs w:val="24"/>
        </w:rPr>
        <w:t>Clause 17 –</w:t>
      </w:r>
      <w:r w:rsidR="000E555E" w:rsidRPr="00BF3925">
        <w:rPr>
          <w:rFonts w:asciiTheme="minorHAnsi" w:hAnsiTheme="minorHAnsi" w:cstheme="minorHAnsi"/>
          <w:b/>
          <w:sz w:val="24"/>
          <w:szCs w:val="24"/>
        </w:rPr>
        <w:t>What are the care and protection chapters? Section 336, definition of care and protection chapters, paragraph (b)</w:t>
      </w:r>
    </w:p>
    <w:p w14:paraId="2E6708FB" w14:textId="6B446335" w:rsidR="007D232D" w:rsidRDefault="000E555E"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Cs/>
          <w:sz w:val="24"/>
          <w:szCs w:val="24"/>
        </w:rPr>
        <w:t xml:space="preserve">This clause omits </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abuse and neglect</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 xml:space="preserve"> and substitutes with </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risk of significant harm</w:t>
      </w:r>
      <w:r w:rsidR="00D122B3">
        <w:rPr>
          <w:rFonts w:asciiTheme="minorHAnsi" w:eastAsia="Calibri" w:hAnsiTheme="minorHAnsi" w:cstheme="minorHAnsi"/>
          <w:bCs/>
          <w:sz w:val="24"/>
          <w:szCs w:val="24"/>
        </w:rPr>
        <w:t>”</w:t>
      </w:r>
      <w:r w:rsidRPr="000145D0">
        <w:rPr>
          <w:rFonts w:asciiTheme="minorHAnsi" w:eastAsia="Calibri" w:hAnsiTheme="minorHAnsi" w:cstheme="minorHAnsi"/>
          <w:bCs/>
          <w:sz w:val="24"/>
          <w:szCs w:val="24"/>
        </w:rPr>
        <w:t xml:space="preserve">. </w:t>
      </w:r>
      <w:r w:rsidR="00A25BAE" w:rsidRPr="000145D0">
        <w:rPr>
          <w:rFonts w:asciiTheme="minorHAnsi" w:eastAsia="Calibri" w:hAnsiTheme="minorHAnsi" w:cstheme="minorHAnsi"/>
          <w:sz w:val="24"/>
          <w:szCs w:val="24"/>
          <w:lang w:eastAsia="en-AU"/>
        </w:rPr>
        <w:t xml:space="preserve">This is consistent with the introduction of significant harm to the </w:t>
      </w:r>
      <w:r w:rsidR="00BF3925">
        <w:rPr>
          <w:rFonts w:asciiTheme="minorHAnsi" w:eastAsia="Calibri" w:hAnsiTheme="minorHAnsi" w:cstheme="minorHAnsi"/>
          <w:sz w:val="24"/>
          <w:szCs w:val="24"/>
          <w:lang w:eastAsia="en-AU"/>
        </w:rPr>
        <w:t>CYPA</w:t>
      </w:r>
    </w:p>
    <w:p w14:paraId="72D4AFF9" w14:textId="43C66D97" w:rsidR="00D141DB" w:rsidRPr="007D232D" w:rsidRDefault="00D775A9" w:rsidP="007D232D">
      <w:pPr>
        <w:spacing w:before="100" w:beforeAutospacing="1" w:after="100" w:afterAutospacing="1"/>
        <w:rPr>
          <w:rFonts w:asciiTheme="minorHAnsi" w:eastAsia="Calibri" w:hAnsiTheme="minorHAnsi" w:cstheme="minorHAnsi"/>
          <w:sz w:val="24"/>
          <w:szCs w:val="24"/>
          <w:lang w:eastAsia="en-AU"/>
        </w:rPr>
      </w:pPr>
      <w:r w:rsidRPr="00BF3925">
        <w:rPr>
          <w:rFonts w:asciiTheme="minorHAnsi" w:eastAsia="Calibri" w:hAnsiTheme="minorHAnsi" w:cstheme="minorHAnsi"/>
          <w:b/>
          <w:sz w:val="24"/>
          <w:szCs w:val="24"/>
        </w:rPr>
        <w:lastRenderedPageBreak/>
        <w:t xml:space="preserve">Clause 18 </w:t>
      </w:r>
      <w:r w:rsidR="00D141DB" w:rsidRPr="00BF3925">
        <w:rPr>
          <w:rFonts w:asciiTheme="minorHAnsi" w:eastAsia="Calibri" w:hAnsiTheme="minorHAnsi" w:cstheme="minorHAnsi"/>
          <w:b/>
          <w:sz w:val="24"/>
          <w:szCs w:val="24"/>
        </w:rPr>
        <w:t xml:space="preserve">– </w:t>
      </w:r>
      <w:r w:rsidR="001D3E7E" w:rsidRPr="00BF3925">
        <w:rPr>
          <w:rFonts w:asciiTheme="minorHAnsi" w:eastAsia="Calibri" w:hAnsiTheme="minorHAnsi" w:cstheme="minorHAnsi"/>
          <w:b/>
          <w:sz w:val="24"/>
          <w:szCs w:val="24"/>
        </w:rPr>
        <w:t>Definitions – care and protection chapters Section 341(1), definitions of abuse and neglect</w:t>
      </w:r>
    </w:p>
    <w:p w14:paraId="2EFCD37D" w14:textId="1B8C21BA" w:rsidR="004545E2" w:rsidRPr="00BF3925" w:rsidRDefault="004545E2" w:rsidP="000165E8">
      <w:pPr>
        <w:spacing w:before="100" w:beforeAutospacing="1" w:after="100" w:afterAutospacing="1"/>
        <w:rPr>
          <w:rFonts w:asciiTheme="minorHAnsi" w:eastAsia="Calibri" w:hAnsiTheme="minorHAnsi" w:cstheme="minorHAnsi"/>
          <w:sz w:val="24"/>
          <w:szCs w:val="24"/>
          <w:lang w:eastAsia="en-AU"/>
        </w:rPr>
      </w:pPr>
      <w:r w:rsidRPr="00BF3925">
        <w:rPr>
          <w:rFonts w:asciiTheme="minorHAnsi" w:eastAsia="Calibri" w:hAnsiTheme="minorHAnsi" w:cstheme="minorHAnsi"/>
          <w:sz w:val="24"/>
          <w:szCs w:val="24"/>
          <w:lang w:eastAsia="en-AU"/>
        </w:rPr>
        <w:t>This clause</w:t>
      </w:r>
      <w:r w:rsidR="001D3E7E" w:rsidRPr="00BF3925">
        <w:rPr>
          <w:rFonts w:asciiTheme="minorHAnsi" w:eastAsia="Calibri" w:hAnsiTheme="minorHAnsi" w:cstheme="minorHAnsi"/>
          <w:sz w:val="24"/>
          <w:szCs w:val="24"/>
          <w:lang w:eastAsia="en-AU"/>
        </w:rPr>
        <w:t xml:space="preserve"> is omitted. </w:t>
      </w:r>
    </w:p>
    <w:p w14:paraId="69F68D32" w14:textId="3B9C35FD" w:rsidR="000E555E" w:rsidRPr="00BF3925" w:rsidRDefault="000E555E" w:rsidP="000165E8">
      <w:pPr>
        <w:spacing w:before="100" w:beforeAutospacing="1" w:after="100" w:afterAutospacing="1"/>
        <w:rPr>
          <w:rFonts w:asciiTheme="minorHAnsi" w:hAnsiTheme="minorHAnsi" w:cstheme="minorHAnsi"/>
          <w:b/>
          <w:bCs/>
          <w:sz w:val="24"/>
          <w:szCs w:val="24"/>
        </w:rPr>
      </w:pPr>
      <w:r w:rsidRPr="00BF3925">
        <w:rPr>
          <w:rFonts w:asciiTheme="minorHAnsi" w:eastAsia="Calibri" w:hAnsiTheme="minorHAnsi" w:cstheme="minorHAnsi"/>
          <w:b/>
          <w:sz w:val="24"/>
          <w:szCs w:val="24"/>
        </w:rPr>
        <w:t>Clause 19 – Se</w:t>
      </w:r>
      <w:r w:rsidRPr="00BF3925">
        <w:rPr>
          <w:rFonts w:asciiTheme="minorHAnsi" w:hAnsiTheme="minorHAnsi" w:cstheme="minorHAnsi"/>
          <w:b/>
          <w:bCs/>
          <w:sz w:val="24"/>
          <w:szCs w:val="24"/>
        </w:rPr>
        <w:t>ction 341(1), new definition of significant harm</w:t>
      </w:r>
    </w:p>
    <w:p w14:paraId="49F7A923" w14:textId="30AF73B2" w:rsidR="000E555E" w:rsidRPr="00BF3925" w:rsidRDefault="000E555E" w:rsidP="000165E8">
      <w:pPr>
        <w:spacing w:before="100" w:beforeAutospacing="1" w:after="100" w:afterAutospacing="1"/>
        <w:rPr>
          <w:rFonts w:asciiTheme="minorHAnsi" w:eastAsia="Calibri" w:hAnsiTheme="minorHAnsi" w:cstheme="minorHAnsi"/>
          <w:sz w:val="24"/>
          <w:szCs w:val="24"/>
          <w:lang w:eastAsia="en-AU"/>
        </w:rPr>
      </w:pPr>
      <w:r w:rsidRPr="00BF3925">
        <w:rPr>
          <w:rFonts w:asciiTheme="minorHAnsi" w:eastAsia="Calibri" w:hAnsiTheme="minorHAnsi" w:cstheme="minorHAnsi"/>
          <w:sz w:val="24"/>
          <w:szCs w:val="24"/>
          <w:lang w:eastAsia="en-AU"/>
        </w:rPr>
        <w:t>This clause inse</w:t>
      </w:r>
      <w:r w:rsidR="00A25BAE" w:rsidRPr="00BF3925">
        <w:rPr>
          <w:rFonts w:asciiTheme="minorHAnsi" w:eastAsia="Calibri" w:hAnsiTheme="minorHAnsi" w:cstheme="minorHAnsi"/>
          <w:sz w:val="24"/>
          <w:szCs w:val="24"/>
          <w:lang w:eastAsia="en-AU"/>
        </w:rPr>
        <w:t>r</w:t>
      </w:r>
      <w:r w:rsidRPr="00BF3925">
        <w:rPr>
          <w:rFonts w:asciiTheme="minorHAnsi" w:eastAsia="Calibri" w:hAnsiTheme="minorHAnsi" w:cstheme="minorHAnsi"/>
          <w:sz w:val="24"/>
          <w:szCs w:val="24"/>
          <w:lang w:eastAsia="en-AU"/>
        </w:rPr>
        <w:t xml:space="preserve">ts </w:t>
      </w:r>
      <w:r w:rsidR="007D232D">
        <w:rPr>
          <w:rFonts w:asciiTheme="minorHAnsi" w:eastAsia="Calibri" w:hAnsiTheme="minorHAnsi" w:cstheme="minorHAnsi"/>
          <w:sz w:val="24"/>
          <w:szCs w:val="24"/>
          <w:lang w:eastAsia="en-AU"/>
        </w:rPr>
        <w:t xml:space="preserve">definition of </w:t>
      </w:r>
      <w:r w:rsidRPr="00BF3925">
        <w:rPr>
          <w:rFonts w:asciiTheme="minorHAnsi" w:eastAsia="Calibri" w:hAnsiTheme="minorHAnsi" w:cstheme="minorHAnsi"/>
          <w:sz w:val="24"/>
          <w:szCs w:val="24"/>
          <w:lang w:eastAsia="en-AU"/>
        </w:rPr>
        <w:t>significant harm</w:t>
      </w:r>
      <w:r w:rsidR="007D232D">
        <w:rPr>
          <w:rFonts w:asciiTheme="minorHAnsi" w:eastAsia="Calibri" w:hAnsiTheme="minorHAnsi" w:cstheme="minorHAnsi"/>
          <w:sz w:val="24"/>
          <w:szCs w:val="24"/>
          <w:lang w:eastAsia="en-AU"/>
        </w:rPr>
        <w:t xml:space="preserve"> at section 344</w:t>
      </w:r>
      <w:r w:rsidRPr="00BF3925">
        <w:rPr>
          <w:rFonts w:asciiTheme="minorHAnsi" w:eastAsia="Calibri" w:hAnsiTheme="minorHAnsi" w:cstheme="minorHAnsi"/>
          <w:sz w:val="24"/>
          <w:szCs w:val="24"/>
          <w:lang w:eastAsia="en-AU"/>
        </w:rPr>
        <w:t>.</w:t>
      </w:r>
    </w:p>
    <w:p w14:paraId="3363BD62" w14:textId="3DF358A3" w:rsidR="00D141DB" w:rsidRPr="00BF3925"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BF3925">
        <w:rPr>
          <w:rFonts w:asciiTheme="minorHAnsi" w:eastAsia="Calibri" w:hAnsiTheme="minorHAnsi" w:cstheme="minorHAnsi"/>
          <w:b/>
          <w:sz w:val="24"/>
          <w:szCs w:val="24"/>
        </w:rPr>
        <w:t xml:space="preserve">Clause </w:t>
      </w:r>
      <w:r w:rsidR="000E555E" w:rsidRPr="00BF3925">
        <w:rPr>
          <w:rFonts w:asciiTheme="minorHAnsi" w:eastAsia="Calibri" w:hAnsiTheme="minorHAnsi" w:cstheme="minorHAnsi"/>
          <w:b/>
          <w:sz w:val="24"/>
          <w:szCs w:val="24"/>
        </w:rPr>
        <w:t>20</w:t>
      </w:r>
      <w:r w:rsidRPr="00BF3925">
        <w:rPr>
          <w:rFonts w:asciiTheme="minorHAnsi" w:eastAsia="Calibri" w:hAnsiTheme="minorHAnsi" w:cstheme="minorHAnsi"/>
          <w:b/>
          <w:sz w:val="24"/>
          <w:szCs w:val="24"/>
        </w:rPr>
        <w:t xml:space="preserve">– </w:t>
      </w:r>
      <w:r w:rsidR="001D3E7E" w:rsidRPr="00BF3925">
        <w:rPr>
          <w:rFonts w:asciiTheme="minorHAnsi" w:eastAsia="Calibri" w:hAnsiTheme="minorHAnsi" w:cstheme="minorHAnsi"/>
          <w:b/>
          <w:sz w:val="24"/>
          <w:szCs w:val="24"/>
        </w:rPr>
        <w:t xml:space="preserve">Section 341(2), definitions of at risk of abuse or neglect and significant harm </w:t>
      </w:r>
    </w:p>
    <w:p w14:paraId="208102C5" w14:textId="491BB967" w:rsidR="004545E2" w:rsidRPr="000145D0" w:rsidRDefault="004545E2"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This clause</w:t>
      </w:r>
      <w:r w:rsidR="001D3E7E" w:rsidRPr="000145D0">
        <w:rPr>
          <w:rFonts w:asciiTheme="minorHAnsi" w:eastAsia="Calibri" w:hAnsiTheme="minorHAnsi" w:cstheme="minorHAnsi"/>
          <w:sz w:val="24"/>
          <w:szCs w:val="24"/>
          <w:lang w:eastAsia="en-AU"/>
        </w:rPr>
        <w:t xml:space="preserve"> is omitted. </w:t>
      </w:r>
    </w:p>
    <w:p w14:paraId="1465184B" w14:textId="26465E98" w:rsidR="00D141DB"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w:t>
      </w:r>
      <w:r w:rsidR="000E555E" w:rsidRPr="000145D0">
        <w:rPr>
          <w:rFonts w:asciiTheme="minorHAnsi" w:eastAsia="Calibri" w:hAnsiTheme="minorHAnsi" w:cstheme="minorHAnsi"/>
          <w:b/>
          <w:sz w:val="24"/>
          <w:szCs w:val="24"/>
        </w:rPr>
        <w:t xml:space="preserve"> 21</w:t>
      </w:r>
      <w:r w:rsidRPr="000145D0">
        <w:rPr>
          <w:rFonts w:asciiTheme="minorHAnsi" w:eastAsia="Calibri" w:hAnsiTheme="minorHAnsi" w:cstheme="minorHAnsi"/>
          <w:b/>
          <w:sz w:val="24"/>
          <w:szCs w:val="24"/>
        </w:rPr>
        <w:t xml:space="preserve"> – </w:t>
      </w:r>
      <w:r w:rsidR="001D3E7E" w:rsidRPr="000145D0">
        <w:rPr>
          <w:rFonts w:asciiTheme="minorHAnsi" w:eastAsia="Calibri" w:hAnsiTheme="minorHAnsi" w:cstheme="minorHAnsi"/>
          <w:b/>
          <w:sz w:val="24"/>
          <w:szCs w:val="24"/>
        </w:rPr>
        <w:t xml:space="preserve">Sections 342 and </w:t>
      </w:r>
      <w:r w:rsidR="00CD5BCF" w:rsidRPr="000145D0">
        <w:rPr>
          <w:rFonts w:asciiTheme="minorHAnsi" w:eastAsia="Calibri" w:hAnsiTheme="minorHAnsi" w:cstheme="minorHAnsi"/>
          <w:b/>
          <w:sz w:val="24"/>
          <w:szCs w:val="24"/>
        </w:rPr>
        <w:t>343.</w:t>
      </w:r>
    </w:p>
    <w:p w14:paraId="27613B5F" w14:textId="22E84C40" w:rsidR="004545E2" w:rsidRPr="000145D0" w:rsidRDefault="004545E2"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This clause</w:t>
      </w:r>
      <w:r w:rsidR="00CD5BCF" w:rsidRPr="000145D0">
        <w:rPr>
          <w:rFonts w:asciiTheme="minorHAnsi" w:eastAsia="Calibri" w:hAnsiTheme="minorHAnsi" w:cstheme="minorHAnsi"/>
          <w:sz w:val="24"/>
          <w:szCs w:val="24"/>
          <w:lang w:eastAsia="en-AU"/>
        </w:rPr>
        <w:t xml:space="preserve"> is omitted. </w:t>
      </w:r>
    </w:p>
    <w:p w14:paraId="0561B7DC" w14:textId="5266B5DC" w:rsidR="00D141DB"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0E555E" w:rsidRPr="000145D0">
        <w:rPr>
          <w:rFonts w:asciiTheme="minorHAnsi" w:eastAsia="Calibri" w:hAnsiTheme="minorHAnsi" w:cstheme="minorHAnsi"/>
          <w:b/>
          <w:sz w:val="24"/>
          <w:szCs w:val="24"/>
        </w:rPr>
        <w:t>22</w:t>
      </w:r>
      <w:r w:rsidRPr="000145D0">
        <w:rPr>
          <w:rFonts w:asciiTheme="minorHAnsi" w:eastAsia="Calibri" w:hAnsiTheme="minorHAnsi" w:cstheme="minorHAnsi"/>
          <w:b/>
          <w:sz w:val="24"/>
          <w:szCs w:val="24"/>
        </w:rPr>
        <w:t xml:space="preserve"> – </w:t>
      </w:r>
      <w:r w:rsidR="00CD5BCF" w:rsidRPr="000145D0">
        <w:rPr>
          <w:rFonts w:asciiTheme="minorHAnsi" w:eastAsia="Calibri" w:hAnsiTheme="minorHAnsi" w:cstheme="minorHAnsi"/>
          <w:b/>
          <w:sz w:val="24"/>
          <w:szCs w:val="24"/>
        </w:rPr>
        <w:t xml:space="preserve">Section 344 </w:t>
      </w:r>
    </w:p>
    <w:p w14:paraId="079E7A8C" w14:textId="0288D8B7" w:rsidR="00CD5BCF" w:rsidRPr="000145D0" w:rsidRDefault="00CD5BCF"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This clause introduces the definition and concepts of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significant harm</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replacing the concept of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abuse and neglect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w:t>
      </w:r>
    </w:p>
    <w:p w14:paraId="4D74C3D8" w14:textId="22C9B343" w:rsidR="00CD5BCF" w:rsidRPr="000145D0" w:rsidRDefault="00CD5BCF"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The clause defines significant harm to </w:t>
      </w:r>
      <w:r w:rsidR="007E73AE" w:rsidRPr="000145D0">
        <w:rPr>
          <w:rFonts w:asciiTheme="minorHAnsi" w:eastAsia="Calibri" w:hAnsiTheme="minorHAnsi" w:cstheme="minorHAnsi"/>
          <w:sz w:val="24"/>
          <w:szCs w:val="24"/>
          <w:lang w:eastAsia="en-AU"/>
        </w:rPr>
        <w:t>mean</w:t>
      </w:r>
      <w:r w:rsidR="00993C79" w:rsidRPr="000145D0">
        <w:rPr>
          <w:rFonts w:asciiTheme="minorHAnsi" w:eastAsia="Calibri" w:hAnsiTheme="minorHAnsi" w:cstheme="minorHAnsi"/>
          <w:sz w:val="24"/>
          <w:szCs w:val="24"/>
          <w:lang w:eastAsia="en-AU"/>
        </w:rPr>
        <w:t xml:space="preserve"> </w:t>
      </w:r>
      <w:r w:rsidR="00D122B3">
        <w:rPr>
          <w:rFonts w:asciiTheme="minorHAnsi" w:eastAsia="Calibri" w:hAnsiTheme="minorHAnsi" w:cstheme="minorHAnsi"/>
          <w:sz w:val="24"/>
          <w:szCs w:val="24"/>
          <w:lang w:eastAsia="en-AU"/>
        </w:rPr>
        <w:t>“</w:t>
      </w:r>
      <w:r w:rsidR="007E73AE" w:rsidRPr="00BF3925">
        <w:rPr>
          <w:rFonts w:asciiTheme="minorHAnsi" w:eastAsia="Calibri" w:hAnsiTheme="minorHAnsi" w:cstheme="minorHAnsi"/>
          <w:sz w:val="24"/>
          <w:szCs w:val="24"/>
          <w:lang w:eastAsia="en-AU"/>
        </w:rPr>
        <w:t>any detrimental effect of a significant nature on the safety, welfare or wellbeing of the child or young person</w:t>
      </w:r>
      <w:r w:rsidR="00D122B3">
        <w:rPr>
          <w:rFonts w:asciiTheme="minorHAnsi" w:eastAsia="Calibri" w:hAnsiTheme="minorHAnsi" w:cstheme="minorHAnsi"/>
          <w:sz w:val="24"/>
          <w:szCs w:val="24"/>
          <w:lang w:eastAsia="en-AU"/>
        </w:rPr>
        <w:t>”</w:t>
      </w:r>
      <w:r w:rsidR="007E73AE" w:rsidRPr="00BF3925">
        <w:rPr>
          <w:rFonts w:asciiTheme="minorHAnsi" w:eastAsia="Calibri" w:hAnsiTheme="minorHAnsi" w:cstheme="minorHAnsi"/>
          <w:sz w:val="24"/>
          <w:szCs w:val="24"/>
          <w:lang w:eastAsia="en-AU"/>
        </w:rPr>
        <w:t>.</w:t>
      </w:r>
      <w:r w:rsidR="007C6A1E">
        <w:rPr>
          <w:rFonts w:asciiTheme="minorHAnsi" w:eastAsia="Calibri" w:hAnsiTheme="minorHAnsi" w:cstheme="minorHAnsi"/>
          <w:sz w:val="24"/>
          <w:szCs w:val="24"/>
          <w:lang w:eastAsia="en-AU"/>
        </w:rPr>
        <w:t xml:space="preserve"> </w:t>
      </w:r>
      <w:r w:rsidR="00E117F6" w:rsidRPr="00E117F6">
        <w:rPr>
          <w:rFonts w:asciiTheme="minorHAnsi" w:eastAsia="Calibri" w:hAnsiTheme="minorHAnsi" w:cstheme="minorHAnsi"/>
          <w:sz w:val="24"/>
          <w:szCs w:val="24"/>
          <w:lang w:eastAsia="en-AU"/>
        </w:rPr>
        <w:t>Without limiting subsection (1),</w:t>
      </w:r>
      <w:r w:rsidR="00993C79" w:rsidRPr="000145D0">
        <w:rPr>
          <w:rFonts w:asciiTheme="minorHAnsi" w:eastAsia="Calibri" w:hAnsiTheme="minorHAnsi" w:cstheme="minorHAnsi"/>
          <w:sz w:val="24"/>
          <w:szCs w:val="24"/>
          <w:lang w:eastAsia="en-AU"/>
        </w:rPr>
        <w:t xml:space="preserve"> s</w:t>
      </w:r>
      <w:r w:rsidR="00A416F8" w:rsidRPr="000145D0">
        <w:rPr>
          <w:rFonts w:asciiTheme="minorHAnsi" w:eastAsia="Calibri" w:hAnsiTheme="minorHAnsi" w:cstheme="minorHAnsi"/>
          <w:sz w:val="24"/>
          <w:szCs w:val="24"/>
          <w:lang w:eastAsia="en-AU"/>
        </w:rPr>
        <w:t xml:space="preserve">ection </w:t>
      </w:r>
      <w:r w:rsidR="00993C79" w:rsidRPr="000145D0">
        <w:rPr>
          <w:rFonts w:asciiTheme="minorHAnsi" w:eastAsia="Calibri" w:hAnsiTheme="minorHAnsi" w:cstheme="minorHAnsi"/>
          <w:sz w:val="24"/>
          <w:szCs w:val="24"/>
          <w:lang w:eastAsia="en-AU"/>
        </w:rPr>
        <w:t>344(2) sets out</w:t>
      </w:r>
      <w:r w:rsidR="003F69CA">
        <w:rPr>
          <w:rFonts w:asciiTheme="minorHAnsi" w:eastAsia="Calibri" w:hAnsiTheme="minorHAnsi" w:cstheme="minorHAnsi"/>
          <w:sz w:val="24"/>
          <w:szCs w:val="24"/>
          <w:lang w:eastAsia="en-AU"/>
        </w:rPr>
        <w:t xml:space="preserve"> examples </w:t>
      </w:r>
      <w:r w:rsidRPr="000145D0">
        <w:rPr>
          <w:rFonts w:asciiTheme="minorHAnsi" w:eastAsia="Calibri" w:hAnsiTheme="minorHAnsi" w:cstheme="minorHAnsi"/>
          <w:sz w:val="24"/>
          <w:szCs w:val="24"/>
          <w:lang w:eastAsia="en-AU"/>
        </w:rPr>
        <w:t>of significant harm as 1 or more of the following circumstances being either experienced:</w:t>
      </w:r>
    </w:p>
    <w:p w14:paraId="293131DC" w14:textId="5DCECE7D" w:rsidR="00CD5BCF" w:rsidRPr="00801ACE" w:rsidRDefault="00CD5BCF" w:rsidP="00CD1D78">
      <w:pPr>
        <w:pStyle w:val="ListParagraph"/>
        <w:numPr>
          <w:ilvl w:val="0"/>
          <w:numId w:val="21"/>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sexual abuse, grooming or sexual exploitation</w:t>
      </w:r>
      <w:r w:rsidR="00F05D1C" w:rsidRPr="00801ACE">
        <w:rPr>
          <w:rFonts w:asciiTheme="minorHAnsi" w:eastAsia="Calibri" w:hAnsiTheme="minorHAnsi" w:cstheme="minorHAnsi"/>
          <w:sz w:val="24"/>
          <w:szCs w:val="24"/>
        </w:rPr>
        <w:t>; or</w:t>
      </w:r>
    </w:p>
    <w:p w14:paraId="5C575882" w14:textId="3B1FAFF4" w:rsidR="00CD5BCF" w:rsidRPr="00801ACE" w:rsidRDefault="00CD5BCF" w:rsidP="00CD1D78">
      <w:pPr>
        <w:pStyle w:val="ListParagraph"/>
        <w:numPr>
          <w:ilvl w:val="0"/>
          <w:numId w:val="21"/>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physical or emotional abuse</w:t>
      </w:r>
    </w:p>
    <w:p w14:paraId="1280A285" w14:textId="0BD79899" w:rsidR="00CD5BCF" w:rsidRPr="00801ACE" w:rsidRDefault="00CD5BCF" w:rsidP="00CD1D78">
      <w:pPr>
        <w:pStyle w:val="ListParagraph"/>
        <w:numPr>
          <w:ilvl w:val="0"/>
          <w:numId w:val="21"/>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the child or young person</w:t>
      </w:r>
      <w:r w:rsidR="00D122B3">
        <w:rPr>
          <w:rFonts w:asciiTheme="minorHAnsi" w:eastAsia="Calibri" w:hAnsiTheme="minorHAnsi" w:cstheme="minorHAnsi"/>
          <w:sz w:val="24"/>
          <w:szCs w:val="24"/>
        </w:rPr>
        <w:t>’</w:t>
      </w:r>
      <w:r w:rsidRPr="00801ACE">
        <w:rPr>
          <w:rFonts w:asciiTheme="minorHAnsi" w:eastAsia="Calibri" w:hAnsiTheme="minorHAnsi" w:cstheme="minorHAnsi"/>
          <w:sz w:val="24"/>
          <w:szCs w:val="24"/>
        </w:rPr>
        <w:t>s basic physical, emotional, developmental or psychological needs are not being met</w:t>
      </w:r>
    </w:p>
    <w:p w14:paraId="2D5A97E4" w14:textId="58DE1425" w:rsidR="00CD5BCF" w:rsidRPr="00801ACE" w:rsidRDefault="00CD5BCF" w:rsidP="00CD1D78">
      <w:pPr>
        <w:pStyle w:val="ListParagraph"/>
        <w:numPr>
          <w:ilvl w:val="0"/>
          <w:numId w:val="21"/>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the child or young person is being exposed to family violence</w:t>
      </w:r>
      <w:r w:rsidR="00993C79" w:rsidRPr="00801ACE">
        <w:rPr>
          <w:rFonts w:asciiTheme="minorHAnsi" w:eastAsia="Calibri" w:hAnsiTheme="minorHAnsi" w:cstheme="minorHAnsi"/>
          <w:sz w:val="24"/>
          <w:szCs w:val="24"/>
        </w:rPr>
        <w:t xml:space="preserve"> as defined </w:t>
      </w:r>
      <w:r w:rsidR="002B3977" w:rsidRPr="00801ACE">
        <w:rPr>
          <w:rFonts w:asciiTheme="minorHAnsi" w:eastAsia="Calibri" w:hAnsiTheme="minorHAnsi" w:cstheme="minorHAnsi"/>
          <w:sz w:val="24"/>
          <w:szCs w:val="24"/>
        </w:rPr>
        <w:t>in</w:t>
      </w:r>
      <w:r w:rsidR="00993C79" w:rsidRPr="00801ACE">
        <w:rPr>
          <w:rFonts w:asciiTheme="minorHAnsi" w:eastAsia="Calibri" w:hAnsiTheme="minorHAnsi" w:cstheme="minorHAnsi"/>
          <w:sz w:val="24"/>
          <w:szCs w:val="24"/>
        </w:rPr>
        <w:t xml:space="preserve"> s</w:t>
      </w:r>
      <w:r w:rsidR="00A416F8" w:rsidRPr="00801ACE">
        <w:rPr>
          <w:rFonts w:asciiTheme="minorHAnsi" w:eastAsia="Calibri" w:hAnsiTheme="minorHAnsi" w:cstheme="minorHAnsi"/>
          <w:sz w:val="24"/>
          <w:szCs w:val="24"/>
        </w:rPr>
        <w:t xml:space="preserve">ection </w:t>
      </w:r>
      <w:r w:rsidR="00993C79" w:rsidRPr="00801ACE">
        <w:rPr>
          <w:rFonts w:asciiTheme="minorHAnsi" w:eastAsia="Calibri" w:hAnsiTheme="minorHAnsi" w:cstheme="minorHAnsi"/>
          <w:sz w:val="24"/>
          <w:szCs w:val="24"/>
        </w:rPr>
        <w:t>344(4).</w:t>
      </w:r>
    </w:p>
    <w:p w14:paraId="01A8E116" w14:textId="77777777" w:rsidR="007D232D" w:rsidRDefault="00993C79" w:rsidP="007D232D">
      <w:pPr>
        <w:spacing w:before="100" w:beforeAutospacing="1" w:after="100" w:afterAutospacing="1"/>
        <w:rPr>
          <w:rFonts w:asciiTheme="minorHAnsi" w:eastAsia="Calibri" w:hAnsiTheme="minorHAnsi" w:cstheme="minorHAnsi"/>
          <w:sz w:val="24"/>
          <w:szCs w:val="24"/>
        </w:rPr>
      </w:pPr>
      <w:r w:rsidRPr="000145D0">
        <w:rPr>
          <w:rFonts w:asciiTheme="minorHAnsi" w:eastAsia="Calibri" w:hAnsiTheme="minorHAnsi" w:cstheme="minorHAnsi"/>
          <w:sz w:val="24"/>
          <w:szCs w:val="24"/>
        </w:rPr>
        <w:t>Section 344(3) set</w:t>
      </w:r>
      <w:r w:rsidR="007C6A1E">
        <w:rPr>
          <w:rFonts w:asciiTheme="minorHAnsi" w:eastAsia="Calibri" w:hAnsiTheme="minorHAnsi" w:cstheme="minorHAnsi"/>
          <w:sz w:val="24"/>
          <w:szCs w:val="24"/>
        </w:rPr>
        <w:t xml:space="preserve">s </w:t>
      </w:r>
      <w:r w:rsidRPr="000145D0">
        <w:rPr>
          <w:rFonts w:asciiTheme="minorHAnsi" w:eastAsia="Calibri" w:hAnsiTheme="minorHAnsi" w:cstheme="minorHAnsi"/>
          <w:sz w:val="24"/>
          <w:szCs w:val="24"/>
        </w:rPr>
        <w:t>out that t</w:t>
      </w:r>
      <w:r w:rsidR="00CD5BCF" w:rsidRPr="000145D0">
        <w:rPr>
          <w:rFonts w:asciiTheme="minorHAnsi" w:eastAsia="Calibri" w:hAnsiTheme="minorHAnsi" w:cstheme="minorHAnsi"/>
          <w:sz w:val="24"/>
          <w:szCs w:val="24"/>
        </w:rPr>
        <w:t>he above may relate to a single act</w:t>
      </w:r>
      <w:r w:rsidR="006E35AD" w:rsidRPr="000145D0">
        <w:rPr>
          <w:rFonts w:asciiTheme="minorHAnsi" w:eastAsia="Calibri" w:hAnsiTheme="minorHAnsi" w:cstheme="minorHAnsi"/>
          <w:sz w:val="24"/>
          <w:szCs w:val="24"/>
        </w:rPr>
        <w:t>,</w:t>
      </w:r>
      <w:r w:rsidR="00CD5BCF" w:rsidRPr="000145D0">
        <w:rPr>
          <w:rFonts w:asciiTheme="minorHAnsi" w:eastAsia="Calibri" w:hAnsiTheme="minorHAnsi" w:cstheme="minorHAnsi"/>
          <w:sz w:val="24"/>
          <w:szCs w:val="24"/>
        </w:rPr>
        <w:t xml:space="preserve"> omission</w:t>
      </w:r>
      <w:r w:rsidR="006E35AD" w:rsidRPr="000145D0">
        <w:rPr>
          <w:rFonts w:asciiTheme="minorHAnsi" w:eastAsia="Calibri" w:hAnsiTheme="minorHAnsi" w:cstheme="minorHAnsi"/>
          <w:sz w:val="24"/>
          <w:szCs w:val="24"/>
        </w:rPr>
        <w:t xml:space="preserve"> or circumstance</w:t>
      </w:r>
      <w:r w:rsidR="00CD5BCF" w:rsidRPr="000145D0">
        <w:rPr>
          <w:rFonts w:asciiTheme="minorHAnsi" w:eastAsia="Calibri" w:hAnsiTheme="minorHAnsi" w:cstheme="minorHAnsi"/>
          <w:sz w:val="24"/>
          <w:szCs w:val="24"/>
        </w:rPr>
        <w:t xml:space="preserve">, or a </w:t>
      </w:r>
      <w:r w:rsidR="00964042" w:rsidRPr="000145D0">
        <w:rPr>
          <w:rFonts w:asciiTheme="minorHAnsi" w:eastAsia="Calibri" w:hAnsiTheme="minorHAnsi" w:cstheme="minorHAnsi"/>
          <w:sz w:val="24"/>
          <w:szCs w:val="24"/>
        </w:rPr>
        <w:t xml:space="preserve">combination or accumulation of acts, omissions or circumstances. </w:t>
      </w:r>
    </w:p>
    <w:p w14:paraId="350DB3E6" w14:textId="77777777" w:rsidR="007D232D" w:rsidRDefault="00D141DB" w:rsidP="007D232D">
      <w:pPr>
        <w:spacing w:before="100" w:beforeAutospacing="1" w:after="100" w:afterAutospacing="1"/>
        <w:rPr>
          <w:rFonts w:asciiTheme="minorHAnsi" w:eastAsia="Calibri" w:hAnsiTheme="minorHAnsi" w:cstheme="minorHAnsi"/>
          <w:sz w:val="24"/>
          <w:szCs w:val="24"/>
        </w:rPr>
      </w:pPr>
      <w:r w:rsidRPr="000145D0">
        <w:rPr>
          <w:rFonts w:asciiTheme="minorHAnsi" w:eastAsia="Calibri" w:hAnsiTheme="minorHAnsi" w:cstheme="minorHAnsi"/>
          <w:b/>
          <w:sz w:val="24"/>
          <w:szCs w:val="24"/>
        </w:rPr>
        <w:t xml:space="preserve">Clause </w:t>
      </w:r>
      <w:r w:rsidR="000E555E" w:rsidRPr="000145D0">
        <w:rPr>
          <w:rFonts w:asciiTheme="minorHAnsi" w:eastAsia="Calibri" w:hAnsiTheme="minorHAnsi" w:cstheme="minorHAnsi"/>
          <w:b/>
          <w:sz w:val="24"/>
          <w:szCs w:val="24"/>
        </w:rPr>
        <w:t xml:space="preserve">23 </w:t>
      </w:r>
      <w:r w:rsidRPr="000145D0">
        <w:rPr>
          <w:rFonts w:asciiTheme="minorHAnsi" w:eastAsia="Calibri" w:hAnsiTheme="minorHAnsi" w:cstheme="minorHAnsi"/>
          <w:b/>
          <w:sz w:val="24"/>
          <w:szCs w:val="24"/>
        </w:rPr>
        <w:t xml:space="preserve">– </w:t>
      </w:r>
      <w:r w:rsidR="00CD5BCF" w:rsidRPr="000145D0">
        <w:rPr>
          <w:rFonts w:asciiTheme="minorHAnsi" w:eastAsia="Calibri" w:hAnsiTheme="minorHAnsi" w:cstheme="minorHAnsi"/>
          <w:b/>
          <w:sz w:val="24"/>
          <w:szCs w:val="24"/>
        </w:rPr>
        <w:t>When are children and young people in need of care and protection? Section 345(1)</w:t>
      </w:r>
    </w:p>
    <w:p w14:paraId="03859C8A" w14:textId="5A765394" w:rsidR="007D232D" w:rsidRDefault="00E117F6" w:rsidP="007D232D">
      <w:pPr>
        <w:spacing w:before="100" w:beforeAutospacing="1" w:after="100" w:afterAutospacing="1"/>
        <w:rPr>
          <w:rFonts w:asciiTheme="minorHAnsi" w:eastAsia="Calibri" w:hAnsiTheme="minorHAnsi" w:cstheme="minorHAnsi"/>
          <w:sz w:val="24"/>
          <w:szCs w:val="24"/>
        </w:rPr>
      </w:pPr>
      <w:r w:rsidRPr="00E117F6">
        <w:rPr>
          <w:rFonts w:asciiTheme="minorHAnsi" w:eastAsia="Calibri" w:hAnsiTheme="minorHAnsi" w:cstheme="minorHAnsi"/>
          <w:sz w:val="24"/>
          <w:szCs w:val="24"/>
          <w:lang w:eastAsia="en-AU"/>
        </w:rPr>
        <w:t xml:space="preserve">This clause omits </w:t>
      </w:r>
      <w:r w:rsidR="00D122B3">
        <w:rPr>
          <w:rFonts w:asciiTheme="minorHAnsi" w:eastAsia="Calibri" w:hAnsiTheme="minorHAnsi" w:cstheme="minorHAnsi"/>
          <w:sz w:val="24"/>
          <w:szCs w:val="24"/>
          <w:lang w:eastAsia="en-AU"/>
        </w:rPr>
        <w:t>“</w:t>
      </w:r>
      <w:r w:rsidRPr="00E117F6">
        <w:rPr>
          <w:rFonts w:asciiTheme="minorHAnsi" w:eastAsia="Calibri" w:hAnsiTheme="minorHAnsi" w:cstheme="minorHAnsi"/>
          <w:sz w:val="24"/>
          <w:szCs w:val="24"/>
          <w:lang w:eastAsia="en-AU"/>
        </w:rPr>
        <w:t>abuse and neglect</w:t>
      </w:r>
      <w:r w:rsidR="00D122B3">
        <w:rPr>
          <w:rFonts w:asciiTheme="minorHAnsi" w:eastAsia="Calibri" w:hAnsiTheme="minorHAnsi" w:cstheme="minorHAnsi"/>
          <w:sz w:val="24"/>
          <w:szCs w:val="24"/>
          <w:lang w:eastAsia="en-AU"/>
        </w:rPr>
        <w:t>”</w:t>
      </w:r>
      <w:r w:rsidRPr="00E117F6">
        <w:rPr>
          <w:rFonts w:asciiTheme="minorHAnsi" w:eastAsia="Calibri" w:hAnsiTheme="minorHAnsi" w:cstheme="minorHAnsi"/>
          <w:sz w:val="24"/>
          <w:szCs w:val="24"/>
          <w:lang w:eastAsia="en-AU"/>
        </w:rPr>
        <w:t xml:space="preserve"> and substitutes with </w:t>
      </w:r>
      <w:r w:rsidR="00D122B3">
        <w:rPr>
          <w:rFonts w:asciiTheme="minorHAnsi" w:eastAsia="Calibri" w:hAnsiTheme="minorHAnsi" w:cstheme="minorHAnsi"/>
          <w:sz w:val="24"/>
          <w:szCs w:val="24"/>
          <w:lang w:eastAsia="en-AU"/>
        </w:rPr>
        <w:t>“</w:t>
      </w:r>
      <w:r w:rsidRPr="00E117F6">
        <w:rPr>
          <w:rFonts w:asciiTheme="minorHAnsi" w:eastAsia="Calibri" w:hAnsiTheme="minorHAnsi" w:cstheme="minorHAnsi"/>
          <w:sz w:val="24"/>
          <w:szCs w:val="24"/>
          <w:lang w:eastAsia="en-AU"/>
        </w:rPr>
        <w:t>risk of significant harm</w:t>
      </w:r>
      <w:r w:rsidR="00D122B3">
        <w:rPr>
          <w:rFonts w:asciiTheme="minorHAnsi" w:eastAsia="Calibri" w:hAnsiTheme="minorHAnsi" w:cstheme="minorHAnsi"/>
          <w:sz w:val="24"/>
          <w:szCs w:val="24"/>
          <w:lang w:eastAsia="en-AU"/>
        </w:rPr>
        <w:t>”</w:t>
      </w:r>
      <w:r w:rsidRPr="00E117F6">
        <w:rPr>
          <w:rFonts w:asciiTheme="minorHAnsi" w:eastAsia="Calibri" w:hAnsiTheme="minorHAnsi" w:cstheme="minorHAnsi"/>
          <w:sz w:val="24"/>
          <w:szCs w:val="24"/>
          <w:lang w:eastAsia="en-AU"/>
        </w:rPr>
        <w:t>. This is consistent with the introduction of significant harm to the CYPA</w:t>
      </w:r>
    </w:p>
    <w:p w14:paraId="280A6C60" w14:textId="77777777" w:rsidR="007D232D" w:rsidRDefault="007D232D" w:rsidP="000165E8">
      <w:pPr>
        <w:spacing w:before="100" w:beforeAutospacing="1" w:after="100" w:afterAutospacing="1"/>
        <w:rPr>
          <w:rFonts w:asciiTheme="minorHAnsi" w:eastAsia="Calibri" w:hAnsiTheme="minorHAnsi" w:cstheme="minorHAnsi"/>
          <w:b/>
          <w:sz w:val="24"/>
          <w:szCs w:val="24"/>
        </w:rPr>
      </w:pPr>
    </w:p>
    <w:p w14:paraId="3E8EE031" w14:textId="0A3B8282" w:rsidR="007D232D" w:rsidRDefault="00D141DB" w:rsidP="000165E8">
      <w:pPr>
        <w:spacing w:before="100" w:beforeAutospacing="1" w:after="100" w:afterAutospacing="1"/>
        <w:rPr>
          <w:rFonts w:asciiTheme="minorHAnsi" w:eastAsia="Calibri" w:hAnsiTheme="minorHAnsi" w:cstheme="minorHAnsi"/>
          <w:sz w:val="24"/>
          <w:szCs w:val="24"/>
        </w:rPr>
      </w:pPr>
      <w:r w:rsidRPr="000145D0">
        <w:rPr>
          <w:rFonts w:asciiTheme="minorHAnsi" w:eastAsia="Calibri" w:hAnsiTheme="minorHAnsi" w:cstheme="minorHAnsi"/>
          <w:b/>
          <w:sz w:val="24"/>
          <w:szCs w:val="24"/>
        </w:rPr>
        <w:lastRenderedPageBreak/>
        <w:t xml:space="preserve">Clause </w:t>
      </w:r>
      <w:r w:rsidR="000E555E" w:rsidRPr="000145D0">
        <w:rPr>
          <w:rFonts w:asciiTheme="minorHAnsi" w:eastAsia="Calibri" w:hAnsiTheme="minorHAnsi" w:cstheme="minorHAnsi"/>
          <w:b/>
          <w:sz w:val="24"/>
          <w:szCs w:val="24"/>
        </w:rPr>
        <w:t>24</w:t>
      </w:r>
      <w:r w:rsidRPr="000145D0">
        <w:rPr>
          <w:rFonts w:asciiTheme="minorHAnsi" w:eastAsia="Calibri" w:hAnsiTheme="minorHAnsi" w:cstheme="minorHAnsi"/>
          <w:b/>
          <w:sz w:val="24"/>
          <w:szCs w:val="24"/>
        </w:rPr>
        <w:t xml:space="preserve"> – </w:t>
      </w:r>
      <w:r w:rsidR="00CD5BCF" w:rsidRPr="000145D0">
        <w:rPr>
          <w:rFonts w:asciiTheme="minorHAnsi" w:eastAsia="Calibri" w:hAnsiTheme="minorHAnsi" w:cstheme="minorHAnsi"/>
          <w:b/>
          <w:sz w:val="24"/>
          <w:szCs w:val="24"/>
        </w:rPr>
        <w:t>Section 346</w:t>
      </w:r>
    </w:p>
    <w:p w14:paraId="47268769" w14:textId="37C93F51" w:rsidR="00CD5BCF" w:rsidRPr="000145D0" w:rsidRDefault="00CD5BCF" w:rsidP="000165E8">
      <w:pPr>
        <w:spacing w:before="100" w:beforeAutospacing="1" w:after="100" w:afterAutospacing="1"/>
        <w:rPr>
          <w:rFonts w:asciiTheme="minorHAnsi" w:eastAsia="Calibri" w:hAnsiTheme="minorHAnsi" w:cstheme="minorHAnsi"/>
          <w:sz w:val="24"/>
          <w:szCs w:val="24"/>
        </w:rPr>
      </w:pPr>
      <w:r w:rsidRPr="000145D0">
        <w:rPr>
          <w:rFonts w:asciiTheme="minorHAnsi" w:eastAsia="Calibri" w:hAnsiTheme="minorHAnsi" w:cstheme="minorHAnsi"/>
          <w:sz w:val="24"/>
          <w:szCs w:val="24"/>
          <w:lang w:eastAsia="en-AU"/>
        </w:rPr>
        <w:t xml:space="preserve">This clause collapses section 346, specifying that for the care and protection chapters, the circumstances may have arisen wholly or partly outside the ACT where a belief or suspicion arises that a child is at risk of significant harm. </w:t>
      </w:r>
    </w:p>
    <w:p w14:paraId="1398582D" w14:textId="51622A08" w:rsidR="00D141DB" w:rsidRPr="000145D0"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2</w:t>
      </w:r>
      <w:r w:rsidR="00DD1CA9" w:rsidRPr="000145D0">
        <w:rPr>
          <w:rFonts w:asciiTheme="minorHAnsi" w:eastAsia="Calibri" w:hAnsiTheme="minorHAnsi" w:cstheme="minorHAnsi"/>
          <w:b/>
          <w:sz w:val="24"/>
          <w:szCs w:val="24"/>
        </w:rPr>
        <w:t>5</w:t>
      </w:r>
      <w:r w:rsidRPr="000145D0">
        <w:rPr>
          <w:rFonts w:asciiTheme="minorHAnsi" w:eastAsia="Calibri" w:hAnsiTheme="minorHAnsi" w:cstheme="minorHAnsi"/>
          <w:b/>
          <w:sz w:val="24"/>
          <w:szCs w:val="24"/>
        </w:rPr>
        <w:t xml:space="preserve"> – </w:t>
      </w:r>
      <w:r w:rsidR="00CD5BCF" w:rsidRPr="000145D0">
        <w:rPr>
          <w:rFonts w:asciiTheme="minorHAnsi" w:eastAsia="Calibri" w:hAnsiTheme="minorHAnsi" w:cstheme="minorHAnsi"/>
          <w:b/>
          <w:sz w:val="24"/>
          <w:szCs w:val="24"/>
        </w:rPr>
        <w:t>Section 349</w:t>
      </w:r>
      <w:r w:rsidR="000E555E" w:rsidRPr="000145D0">
        <w:rPr>
          <w:rFonts w:asciiTheme="minorHAnsi" w:eastAsia="Calibri" w:hAnsiTheme="minorHAnsi" w:cstheme="minorHAnsi"/>
          <w:b/>
          <w:sz w:val="24"/>
          <w:szCs w:val="24"/>
        </w:rPr>
        <w:t xml:space="preserve"> </w:t>
      </w:r>
      <w:r w:rsidR="000E555E" w:rsidRPr="000145D0">
        <w:rPr>
          <w:rFonts w:asciiTheme="minorHAnsi" w:hAnsiTheme="minorHAnsi" w:cstheme="minorHAnsi"/>
          <w:b/>
          <w:bCs/>
          <w:sz w:val="24"/>
          <w:szCs w:val="24"/>
        </w:rPr>
        <w:t>What is in best interests of child or young person? Section 349(1) and (2)</w:t>
      </w:r>
    </w:p>
    <w:p w14:paraId="01AA4B7D" w14:textId="65951033" w:rsidR="00DD1CA9" w:rsidRPr="000145D0" w:rsidRDefault="00CD5BCF" w:rsidP="007D232D">
      <w:pPr>
        <w:spacing w:before="240" w:after="120"/>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Section 349 outlines the matters that a</w:t>
      </w:r>
      <w:r w:rsidR="007C6A1E">
        <w:rPr>
          <w:rFonts w:asciiTheme="minorHAnsi" w:eastAsia="Calibri" w:hAnsiTheme="minorHAnsi" w:cstheme="minorHAnsi"/>
          <w:sz w:val="24"/>
          <w:szCs w:val="24"/>
          <w:lang w:eastAsia="en-AU"/>
        </w:rPr>
        <w:t>re</w:t>
      </w:r>
      <w:r w:rsidRPr="000145D0">
        <w:rPr>
          <w:rFonts w:asciiTheme="minorHAnsi" w:eastAsia="Calibri" w:hAnsiTheme="minorHAnsi" w:cstheme="minorHAnsi"/>
          <w:sz w:val="24"/>
          <w:szCs w:val="24"/>
          <w:lang w:eastAsia="en-AU"/>
        </w:rPr>
        <w:t xml:space="preserve"> relevant to the best interest of a child or young person.</w:t>
      </w:r>
      <w:r w:rsidR="002B70F5" w:rsidRPr="000145D0">
        <w:rPr>
          <w:rFonts w:asciiTheme="minorHAnsi" w:hAnsiTheme="minorHAnsi" w:cstheme="minorHAnsi"/>
          <w:sz w:val="24"/>
          <w:szCs w:val="24"/>
        </w:rPr>
        <w:t xml:space="preserve"> </w:t>
      </w:r>
      <w:r w:rsidR="00DD1CA9" w:rsidRPr="000145D0">
        <w:rPr>
          <w:rFonts w:asciiTheme="minorHAnsi" w:eastAsia="Calibri" w:hAnsiTheme="minorHAnsi" w:cstheme="minorHAnsi"/>
          <w:sz w:val="24"/>
          <w:szCs w:val="24"/>
          <w:lang w:eastAsia="en-AU"/>
        </w:rPr>
        <w:t xml:space="preserve">This clause revises the best interest principles as: </w:t>
      </w:r>
    </w:p>
    <w:p w14:paraId="3F7727A6" w14:textId="78B8C7D6" w:rsidR="00DD1CA9" w:rsidRPr="000145D0" w:rsidRDefault="00DD1CA9" w:rsidP="00CD1D78">
      <w:pPr>
        <w:pStyle w:val="ListParagraph"/>
        <w:numPr>
          <w:ilvl w:val="0"/>
          <w:numId w:val="4"/>
        </w:numPr>
        <w:spacing w:before="120"/>
        <w:ind w:left="714" w:hanging="357"/>
        <w:rPr>
          <w:rFonts w:asciiTheme="minorHAnsi" w:eastAsia="Calibri" w:hAnsiTheme="minorHAnsi" w:cstheme="minorHAnsi"/>
          <w:sz w:val="24"/>
          <w:szCs w:val="24"/>
        </w:rPr>
      </w:pPr>
      <w:r w:rsidRPr="000145D0">
        <w:rPr>
          <w:rFonts w:asciiTheme="minorHAnsi" w:eastAsia="Calibri" w:hAnsiTheme="minorHAnsi" w:cstheme="minorHAnsi"/>
          <w:sz w:val="24"/>
          <w:szCs w:val="24"/>
        </w:rPr>
        <w:t>For the care and protection chapters, in deciding what is in the best interests of a child or young person, the need to ensure the child or young person is not at risk of significant harm must always be considered.</w:t>
      </w:r>
    </w:p>
    <w:p w14:paraId="10F6C216" w14:textId="77777777" w:rsidR="00A25BAE" w:rsidRPr="000145D0" w:rsidRDefault="00DD1CA9" w:rsidP="00CD1D78">
      <w:pPr>
        <w:pStyle w:val="ListParagraph"/>
        <w:numPr>
          <w:ilvl w:val="0"/>
          <w:numId w:val="4"/>
        </w:numPr>
        <w:spacing w:before="120"/>
        <w:ind w:left="714" w:hanging="357"/>
        <w:rPr>
          <w:rFonts w:asciiTheme="minorHAnsi" w:eastAsia="Calibri" w:hAnsiTheme="minorHAnsi" w:cstheme="minorHAnsi"/>
          <w:sz w:val="24"/>
          <w:szCs w:val="24"/>
        </w:rPr>
      </w:pPr>
      <w:r w:rsidRPr="000145D0">
        <w:rPr>
          <w:rFonts w:asciiTheme="minorHAnsi" w:eastAsia="Calibri" w:hAnsiTheme="minorHAnsi" w:cstheme="minorHAnsi"/>
          <w:sz w:val="24"/>
          <w:szCs w:val="24"/>
        </w:rPr>
        <w:t>The decision-maker must also consider each of the following matters that are relevant to the child or young person:</w:t>
      </w:r>
    </w:p>
    <w:p w14:paraId="3A7BD1F0" w14:textId="784A2241"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any views or wishes expressed by the child or young person</w:t>
      </w:r>
      <w:r w:rsidR="00E117F6">
        <w:rPr>
          <w:rFonts w:asciiTheme="minorHAnsi" w:eastAsia="Calibri" w:hAnsiTheme="minorHAnsi" w:cstheme="minorHAnsi"/>
          <w:sz w:val="24"/>
          <w:szCs w:val="24"/>
        </w:rPr>
        <w:t>.</w:t>
      </w:r>
    </w:p>
    <w:p w14:paraId="4FEC0811" w14:textId="393A9BCE"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the nature of the child</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or young person</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relationship with each parent and anyone else</w:t>
      </w:r>
      <w:r w:rsidR="00E117F6">
        <w:rPr>
          <w:rFonts w:asciiTheme="minorHAnsi" w:eastAsia="Calibri" w:hAnsiTheme="minorHAnsi" w:cstheme="minorHAnsi"/>
          <w:sz w:val="24"/>
          <w:szCs w:val="24"/>
        </w:rPr>
        <w:t>.</w:t>
      </w:r>
    </w:p>
    <w:p w14:paraId="741BA458" w14:textId="35885CA2"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the likely effect on the child or young person of changes to the child</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or young person</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circumstances, including separation from a parent or anyone else with whom the child or young person has been living</w:t>
      </w:r>
      <w:r w:rsidR="00E117F6">
        <w:rPr>
          <w:rFonts w:asciiTheme="minorHAnsi" w:eastAsia="Calibri" w:hAnsiTheme="minorHAnsi" w:cstheme="minorHAnsi"/>
          <w:sz w:val="24"/>
          <w:szCs w:val="24"/>
        </w:rPr>
        <w:t>.</w:t>
      </w:r>
    </w:p>
    <w:p w14:paraId="751B5081" w14:textId="3337FA25"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the practicalities of the child or young person maintaining contact with each parent and anyone else with whom the child or young person has been living or with whom the child or young person has been having substantial contact</w:t>
      </w:r>
      <w:r w:rsidR="00E117F6">
        <w:rPr>
          <w:rFonts w:asciiTheme="minorHAnsi" w:eastAsia="Calibri" w:hAnsiTheme="minorHAnsi" w:cstheme="minorHAnsi"/>
          <w:sz w:val="24"/>
          <w:szCs w:val="24"/>
        </w:rPr>
        <w:t>.</w:t>
      </w:r>
    </w:p>
    <w:p w14:paraId="6C648BBB" w14:textId="031E794F"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the capacity of the child</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or young person</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parents, or anyone else, to provide for the child</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or young person</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needs including emotional and intellectual needs</w:t>
      </w:r>
      <w:r w:rsidR="00E117F6">
        <w:rPr>
          <w:rFonts w:asciiTheme="minorHAnsi" w:eastAsia="Calibri" w:hAnsiTheme="minorHAnsi" w:cstheme="minorHAnsi"/>
          <w:sz w:val="24"/>
          <w:szCs w:val="24"/>
        </w:rPr>
        <w:t>.</w:t>
      </w:r>
    </w:p>
    <w:p w14:paraId="07D869FA" w14:textId="7C9FC83A"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for an Aboriginal or Torres Strait Islander child or young person—the Aboriginal and Torres Strait Islander children and young people placement principles set out in section 10</w:t>
      </w:r>
      <w:r w:rsidR="00E117F6">
        <w:rPr>
          <w:rFonts w:asciiTheme="minorHAnsi" w:eastAsia="Calibri" w:hAnsiTheme="minorHAnsi" w:cstheme="minorHAnsi"/>
          <w:sz w:val="24"/>
          <w:szCs w:val="24"/>
        </w:rPr>
        <w:t>.</w:t>
      </w:r>
    </w:p>
    <w:p w14:paraId="3D3D0700" w14:textId="63638EA3"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that it is important for the child or young person to have settled, stable and permanent living arrangements</w:t>
      </w:r>
    </w:p>
    <w:p w14:paraId="7C915BAB" w14:textId="37C78756"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for decisions about placement of a child or young person—the need to ensure that the earliest possible decisions are made about a safe, supportive and stable placement</w:t>
      </w:r>
      <w:r w:rsidR="00E117F6">
        <w:rPr>
          <w:rFonts w:asciiTheme="minorHAnsi" w:eastAsia="Calibri" w:hAnsiTheme="minorHAnsi" w:cstheme="minorHAnsi"/>
          <w:sz w:val="24"/>
          <w:szCs w:val="24"/>
        </w:rPr>
        <w:t>.</w:t>
      </w:r>
    </w:p>
    <w:p w14:paraId="6AE3D28D" w14:textId="59B935BF"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the attitude to the child or young person, and to parental responsibilities, demonstrated by each of the child</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or young person</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s parents or anyone else</w:t>
      </w:r>
      <w:r w:rsidR="00E117F6">
        <w:rPr>
          <w:rFonts w:asciiTheme="minorHAnsi" w:eastAsia="Calibri" w:hAnsiTheme="minorHAnsi" w:cstheme="minorHAnsi"/>
          <w:sz w:val="24"/>
          <w:szCs w:val="24"/>
        </w:rPr>
        <w:t>.</w:t>
      </w:r>
    </w:p>
    <w:p w14:paraId="1D7F328E" w14:textId="51635DD2" w:rsidR="00A25BAE"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t xml:space="preserve">any significant harm to the child or young person, or a family member of the child or young </w:t>
      </w:r>
      <w:r w:rsidR="00BF3925" w:rsidRPr="000145D0">
        <w:rPr>
          <w:rFonts w:asciiTheme="minorHAnsi" w:eastAsia="Calibri" w:hAnsiTheme="minorHAnsi" w:cstheme="minorHAnsi"/>
          <w:sz w:val="24"/>
          <w:szCs w:val="24"/>
        </w:rPr>
        <w:t>perso</w:t>
      </w:r>
      <w:r w:rsidR="00BF3925">
        <w:rPr>
          <w:rFonts w:asciiTheme="minorHAnsi" w:eastAsia="Calibri" w:hAnsiTheme="minorHAnsi" w:cstheme="minorHAnsi"/>
          <w:sz w:val="24"/>
          <w:szCs w:val="24"/>
        </w:rPr>
        <w:t>n</w:t>
      </w:r>
      <w:r w:rsidR="00E117F6">
        <w:rPr>
          <w:rFonts w:asciiTheme="minorHAnsi" w:eastAsia="Calibri" w:hAnsiTheme="minorHAnsi" w:cstheme="minorHAnsi"/>
          <w:sz w:val="24"/>
          <w:szCs w:val="24"/>
        </w:rPr>
        <w:t>.</w:t>
      </w:r>
    </w:p>
    <w:p w14:paraId="68B118CB" w14:textId="77777777" w:rsidR="000366D1" w:rsidRPr="000145D0" w:rsidRDefault="00DD1CA9" w:rsidP="00CD1D78">
      <w:pPr>
        <w:pStyle w:val="ListParagraph"/>
        <w:numPr>
          <w:ilvl w:val="0"/>
          <w:numId w:val="17"/>
        </w:numPr>
        <w:spacing w:before="120"/>
        <w:rPr>
          <w:rFonts w:asciiTheme="minorHAnsi" w:eastAsia="Calibri" w:hAnsiTheme="minorHAnsi" w:cstheme="minorHAnsi"/>
          <w:sz w:val="24"/>
          <w:szCs w:val="24"/>
        </w:rPr>
      </w:pPr>
      <w:r w:rsidRPr="000145D0">
        <w:rPr>
          <w:rFonts w:asciiTheme="minorHAnsi" w:eastAsia="Calibri" w:hAnsiTheme="minorHAnsi" w:cstheme="minorHAnsi"/>
          <w:sz w:val="24"/>
          <w:szCs w:val="24"/>
        </w:rPr>
        <w:lastRenderedPageBreak/>
        <w:t>any court order that applies to the child or young person, or a family member of the child or young person.</w:t>
      </w:r>
    </w:p>
    <w:p w14:paraId="58EFA6CD" w14:textId="4DAFB49F" w:rsidR="00964042" w:rsidRPr="000145D0" w:rsidRDefault="000366D1" w:rsidP="00CD1D78">
      <w:pPr>
        <w:pStyle w:val="ListParagraph"/>
        <w:numPr>
          <w:ilvl w:val="0"/>
          <w:numId w:val="4"/>
        </w:numPr>
        <w:spacing w:before="120"/>
        <w:ind w:left="714" w:hanging="357"/>
        <w:rPr>
          <w:rFonts w:asciiTheme="minorHAnsi" w:eastAsia="Calibri" w:hAnsiTheme="minorHAnsi" w:cstheme="minorHAnsi"/>
          <w:sz w:val="24"/>
          <w:szCs w:val="24"/>
        </w:rPr>
      </w:pPr>
      <w:r w:rsidRPr="000145D0">
        <w:rPr>
          <w:rFonts w:asciiTheme="minorHAnsi" w:eastAsia="Calibri" w:hAnsiTheme="minorHAnsi" w:cstheme="minorHAnsi"/>
          <w:sz w:val="24"/>
          <w:szCs w:val="24"/>
        </w:rPr>
        <w:t>The decision-maker may also consider any other fact or circumstance the decision-maker considers relevant.</w:t>
      </w:r>
    </w:p>
    <w:p w14:paraId="57CDA4F8" w14:textId="7B42EBEF" w:rsidR="00DD1CA9" w:rsidRPr="000145D0" w:rsidRDefault="00DD1CA9" w:rsidP="000165E8">
      <w:pPr>
        <w:keepNext/>
        <w:spacing w:before="100" w:beforeAutospacing="1" w:after="100" w:afterAutospacing="1"/>
        <w:outlineLvl w:val="3"/>
        <w:rPr>
          <w:rFonts w:asciiTheme="minorHAnsi" w:hAnsiTheme="minorHAnsi" w:cstheme="minorHAnsi"/>
          <w:b/>
          <w:bCs/>
          <w:sz w:val="24"/>
          <w:szCs w:val="24"/>
        </w:rPr>
      </w:pPr>
      <w:r w:rsidRPr="000145D0">
        <w:rPr>
          <w:rFonts w:asciiTheme="minorHAnsi" w:eastAsia="Calibri" w:hAnsiTheme="minorHAnsi" w:cstheme="minorHAnsi"/>
          <w:b/>
          <w:sz w:val="24"/>
          <w:szCs w:val="24"/>
        </w:rPr>
        <w:t xml:space="preserve">Clause 26 – </w:t>
      </w:r>
      <w:r w:rsidRPr="000145D0">
        <w:rPr>
          <w:rFonts w:asciiTheme="minorHAnsi" w:hAnsiTheme="minorHAnsi" w:cstheme="minorHAnsi"/>
          <w:b/>
          <w:bCs/>
          <w:sz w:val="24"/>
          <w:szCs w:val="24"/>
        </w:rPr>
        <w:t>Care and protection principles Section 350(1)(b)</w:t>
      </w:r>
    </w:p>
    <w:p w14:paraId="29DD06AE" w14:textId="19378C60" w:rsidR="00E117F6" w:rsidRPr="000145D0" w:rsidRDefault="00E117F6" w:rsidP="000165E8">
      <w:pPr>
        <w:spacing w:before="100" w:beforeAutospacing="1" w:after="100" w:afterAutospacing="1"/>
        <w:rPr>
          <w:rFonts w:asciiTheme="minorHAnsi" w:eastAsia="Calibri" w:hAnsiTheme="minorHAnsi" w:cstheme="minorHAnsi"/>
          <w:sz w:val="24"/>
          <w:szCs w:val="24"/>
          <w:lang w:eastAsia="en-AU"/>
        </w:rPr>
      </w:pPr>
      <w:r w:rsidRPr="00E117F6">
        <w:rPr>
          <w:rFonts w:asciiTheme="minorHAnsi" w:eastAsia="Calibri" w:hAnsiTheme="minorHAnsi" w:cstheme="minorHAnsi"/>
          <w:sz w:val="24"/>
          <w:szCs w:val="24"/>
          <w:lang w:eastAsia="en-AU"/>
        </w:rPr>
        <w:t>This clause omits</w:t>
      </w:r>
      <w:r>
        <w:rPr>
          <w:rFonts w:asciiTheme="minorHAnsi" w:eastAsia="Calibri" w:hAnsiTheme="minorHAnsi" w:cstheme="minorHAnsi"/>
          <w:sz w:val="24"/>
          <w:szCs w:val="24"/>
          <w:lang w:eastAsia="en-AU"/>
        </w:rPr>
        <w:t xml:space="preserve">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wellbeing, care and protection</w:t>
      </w:r>
      <w:r w:rsidR="00D122B3">
        <w:rPr>
          <w:rFonts w:asciiTheme="minorHAnsi" w:eastAsia="Calibri" w:hAnsiTheme="minorHAnsi" w:cstheme="minorHAnsi"/>
          <w:sz w:val="24"/>
          <w:szCs w:val="24"/>
          <w:lang w:eastAsia="en-AU"/>
        </w:rPr>
        <w:t>”</w:t>
      </w:r>
      <w:r w:rsidRPr="00E117F6">
        <w:rPr>
          <w:rFonts w:asciiTheme="minorHAnsi" w:eastAsia="Calibri" w:hAnsiTheme="minorHAnsi" w:cstheme="minorHAnsi"/>
          <w:sz w:val="24"/>
          <w:szCs w:val="24"/>
          <w:lang w:eastAsia="en-AU"/>
        </w:rPr>
        <w:t xml:space="preserve"> and substitutes with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safety, welfare and wellbeing</w:t>
      </w:r>
      <w:r w:rsidR="00D122B3">
        <w:rPr>
          <w:rFonts w:asciiTheme="minorHAnsi" w:eastAsia="Calibri" w:hAnsiTheme="minorHAnsi" w:cstheme="minorHAnsi"/>
          <w:sz w:val="24"/>
          <w:szCs w:val="24"/>
          <w:lang w:eastAsia="en-AU"/>
        </w:rPr>
        <w:t>”</w:t>
      </w:r>
      <w:r>
        <w:rPr>
          <w:rFonts w:asciiTheme="minorHAnsi" w:eastAsia="Calibri" w:hAnsiTheme="minorHAnsi" w:cstheme="minorHAnsi"/>
          <w:sz w:val="24"/>
          <w:szCs w:val="24"/>
          <w:lang w:eastAsia="en-AU"/>
        </w:rPr>
        <w:t>.</w:t>
      </w:r>
    </w:p>
    <w:p w14:paraId="665601F0" w14:textId="35E99B8E" w:rsidR="00DD1CA9" w:rsidRPr="000145D0" w:rsidRDefault="00DD1CA9"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27 –</w:t>
      </w:r>
      <w:r w:rsidRPr="000145D0">
        <w:rPr>
          <w:rFonts w:asciiTheme="minorHAnsi" w:hAnsiTheme="minorHAnsi" w:cstheme="minorHAnsi"/>
          <w:sz w:val="24"/>
          <w:szCs w:val="24"/>
        </w:rPr>
        <w:t xml:space="preserve"> </w:t>
      </w:r>
      <w:r w:rsidRPr="000145D0">
        <w:rPr>
          <w:rFonts w:asciiTheme="minorHAnsi" w:eastAsia="Calibri" w:hAnsiTheme="minorHAnsi" w:cstheme="minorHAnsi"/>
          <w:b/>
          <w:sz w:val="24"/>
          <w:szCs w:val="24"/>
        </w:rPr>
        <w:t>Section 350(2)</w:t>
      </w:r>
    </w:p>
    <w:p w14:paraId="0156E2D4" w14:textId="2AD65EEA" w:rsidR="00DD1CA9" w:rsidRPr="000145D0" w:rsidRDefault="00DD1CA9" w:rsidP="000165E8">
      <w:pPr>
        <w:spacing w:before="100" w:beforeAutospacing="1" w:after="100" w:afterAutospacing="1"/>
        <w:rPr>
          <w:rFonts w:asciiTheme="minorHAnsi" w:hAnsiTheme="minorHAnsi" w:cstheme="minorHAnsi"/>
          <w:bCs/>
          <w:sz w:val="24"/>
          <w:szCs w:val="24"/>
        </w:rPr>
      </w:pPr>
      <w:r w:rsidRPr="000145D0">
        <w:rPr>
          <w:rFonts w:asciiTheme="minorHAnsi" w:eastAsia="Calibri" w:hAnsiTheme="minorHAnsi" w:cstheme="minorHAnsi"/>
          <w:bCs/>
          <w:sz w:val="24"/>
          <w:szCs w:val="24"/>
        </w:rPr>
        <w:t xml:space="preserve">This clause revises wording from </w:t>
      </w:r>
      <w:r w:rsidR="00D122B3">
        <w:rPr>
          <w:rFonts w:asciiTheme="minorHAnsi" w:eastAsia="Calibri" w:hAnsiTheme="minorHAnsi" w:cstheme="minorHAnsi"/>
          <w:bCs/>
          <w:sz w:val="24"/>
          <w:szCs w:val="24"/>
        </w:rPr>
        <w:t>“</w:t>
      </w:r>
      <w:r w:rsidRPr="000145D0">
        <w:rPr>
          <w:rFonts w:asciiTheme="minorHAnsi" w:hAnsiTheme="minorHAnsi" w:cstheme="minorHAnsi"/>
          <w:bCs/>
          <w:sz w:val="24"/>
          <w:szCs w:val="24"/>
        </w:rPr>
        <w:t>section 10 (Aboriginal and Torres Strait Islander children and young people principle)</w:t>
      </w:r>
      <w:r w:rsidR="00D122B3">
        <w:rPr>
          <w:rFonts w:asciiTheme="minorHAnsi" w:hAnsiTheme="minorHAnsi" w:cstheme="minorHAnsi"/>
          <w:bCs/>
          <w:sz w:val="24"/>
          <w:szCs w:val="24"/>
        </w:rPr>
        <w:t>”</w:t>
      </w:r>
      <w:r w:rsidRPr="000145D0">
        <w:rPr>
          <w:rFonts w:asciiTheme="minorHAnsi" w:hAnsiTheme="minorHAnsi" w:cstheme="minorHAnsi"/>
          <w:bCs/>
          <w:sz w:val="24"/>
          <w:szCs w:val="24"/>
        </w:rPr>
        <w:t xml:space="preserve"> to </w:t>
      </w:r>
      <w:r w:rsidR="00D122B3">
        <w:rPr>
          <w:rFonts w:asciiTheme="minorHAnsi" w:hAnsiTheme="minorHAnsi" w:cstheme="minorHAnsi"/>
          <w:bCs/>
          <w:sz w:val="24"/>
          <w:szCs w:val="24"/>
        </w:rPr>
        <w:t>“</w:t>
      </w:r>
      <w:r w:rsidRPr="000145D0">
        <w:rPr>
          <w:rFonts w:asciiTheme="minorHAnsi" w:hAnsiTheme="minorHAnsi" w:cstheme="minorHAnsi"/>
          <w:bCs/>
          <w:sz w:val="24"/>
          <w:szCs w:val="24"/>
        </w:rPr>
        <w:t>section 10 (Aboriginal and Torres Strait Islander children and young people—placement principles)</w:t>
      </w:r>
      <w:r w:rsidR="00D122B3">
        <w:rPr>
          <w:rFonts w:asciiTheme="minorHAnsi" w:hAnsiTheme="minorHAnsi" w:cstheme="minorHAnsi"/>
          <w:bCs/>
          <w:sz w:val="24"/>
          <w:szCs w:val="24"/>
        </w:rPr>
        <w:t>”</w:t>
      </w:r>
      <w:r w:rsidRPr="000145D0">
        <w:rPr>
          <w:rFonts w:asciiTheme="minorHAnsi" w:hAnsiTheme="minorHAnsi" w:cstheme="minorHAnsi"/>
          <w:bCs/>
          <w:sz w:val="24"/>
          <w:szCs w:val="24"/>
        </w:rPr>
        <w:t>.</w:t>
      </w:r>
    </w:p>
    <w:p w14:paraId="590C00BD" w14:textId="2985E359" w:rsidR="00DD1CA9" w:rsidRPr="000145D0" w:rsidRDefault="00DD1CA9" w:rsidP="007D232D">
      <w:pPr>
        <w:spacing w:after="160" w:line="259" w:lineRule="auto"/>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28 – Chapter 11 heading</w:t>
      </w:r>
    </w:p>
    <w:p w14:paraId="33FE4F17" w14:textId="28FC126C" w:rsidR="00DD1CA9" w:rsidRPr="000145D0" w:rsidRDefault="00DD1CA9" w:rsidP="000165E8">
      <w:pPr>
        <w:spacing w:before="100" w:beforeAutospacing="1" w:after="100" w:afterAutospacing="1"/>
        <w:rPr>
          <w:rFonts w:asciiTheme="minorHAnsi" w:hAnsiTheme="minorHAnsi" w:cstheme="minorHAnsi"/>
          <w:bCs/>
          <w:sz w:val="24"/>
          <w:szCs w:val="24"/>
        </w:rPr>
      </w:pPr>
      <w:r w:rsidRPr="000145D0">
        <w:rPr>
          <w:rFonts w:asciiTheme="minorHAnsi" w:hAnsiTheme="minorHAnsi" w:cstheme="minorHAnsi"/>
          <w:bCs/>
          <w:sz w:val="24"/>
          <w:szCs w:val="24"/>
        </w:rPr>
        <w:t xml:space="preserve">This clause revises the </w:t>
      </w:r>
      <w:r w:rsidR="003806BC" w:rsidRPr="000145D0">
        <w:rPr>
          <w:rFonts w:asciiTheme="minorHAnsi" w:hAnsiTheme="minorHAnsi" w:cstheme="minorHAnsi"/>
          <w:bCs/>
          <w:sz w:val="24"/>
          <w:szCs w:val="24"/>
        </w:rPr>
        <w:t xml:space="preserve">heading </w:t>
      </w:r>
      <w:r w:rsidRPr="000145D0">
        <w:rPr>
          <w:rFonts w:asciiTheme="minorHAnsi" w:hAnsiTheme="minorHAnsi" w:cstheme="minorHAnsi"/>
          <w:bCs/>
          <w:sz w:val="24"/>
          <w:szCs w:val="24"/>
        </w:rPr>
        <w:t xml:space="preserve">to </w:t>
      </w:r>
      <w:r w:rsidR="00D122B3">
        <w:rPr>
          <w:rFonts w:asciiTheme="minorHAnsi" w:hAnsiTheme="minorHAnsi" w:cstheme="minorHAnsi"/>
          <w:bCs/>
          <w:sz w:val="24"/>
          <w:szCs w:val="24"/>
        </w:rPr>
        <w:t>“</w:t>
      </w:r>
      <w:r w:rsidR="00300D84" w:rsidRPr="000145D0">
        <w:rPr>
          <w:rFonts w:asciiTheme="minorHAnsi" w:hAnsiTheme="minorHAnsi" w:cstheme="minorHAnsi"/>
          <w:bCs/>
          <w:sz w:val="24"/>
          <w:szCs w:val="24"/>
        </w:rPr>
        <w:t>c</w:t>
      </w:r>
      <w:r w:rsidR="003806BC" w:rsidRPr="000145D0">
        <w:rPr>
          <w:rFonts w:asciiTheme="minorHAnsi" w:hAnsiTheme="minorHAnsi" w:cstheme="minorHAnsi"/>
          <w:bCs/>
          <w:sz w:val="24"/>
          <w:szCs w:val="24"/>
        </w:rPr>
        <w:t>are and protection—reporting and assessing risk of significant harm</w:t>
      </w:r>
      <w:r w:rsidR="00D122B3">
        <w:rPr>
          <w:rFonts w:asciiTheme="minorHAnsi" w:hAnsiTheme="minorHAnsi" w:cstheme="minorHAnsi"/>
          <w:bCs/>
          <w:sz w:val="24"/>
          <w:szCs w:val="24"/>
        </w:rPr>
        <w:t>”</w:t>
      </w:r>
      <w:r w:rsidR="003806BC" w:rsidRPr="000145D0">
        <w:rPr>
          <w:rFonts w:asciiTheme="minorHAnsi" w:hAnsiTheme="minorHAnsi" w:cstheme="minorHAnsi"/>
          <w:bCs/>
          <w:sz w:val="24"/>
          <w:szCs w:val="24"/>
        </w:rPr>
        <w:t xml:space="preserve">. </w:t>
      </w:r>
      <w:r w:rsidR="00A25BAE" w:rsidRPr="000145D0">
        <w:rPr>
          <w:rFonts w:asciiTheme="minorHAnsi" w:eastAsia="Calibri" w:hAnsiTheme="minorHAnsi" w:cstheme="minorHAnsi"/>
          <w:sz w:val="24"/>
          <w:szCs w:val="24"/>
          <w:lang w:eastAsia="en-AU"/>
        </w:rPr>
        <w:t xml:space="preserve">This is consistent with the introduction of significant harm to the </w:t>
      </w:r>
      <w:r w:rsidR="00BF3925">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w:t>
      </w:r>
    </w:p>
    <w:p w14:paraId="4A786DBE" w14:textId="1F9FDDC5" w:rsidR="003806BC" w:rsidRPr="000145D0" w:rsidRDefault="003806BC"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29 – Part 11.1 heading</w:t>
      </w:r>
    </w:p>
    <w:p w14:paraId="31890B69" w14:textId="08F0DC44" w:rsidR="003806BC" w:rsidRPr="000145D0" w:rsidRDefault="003806BC" w:rsidP="000165E8">
      <w:pPr>
        <w:spacing w:before="100" w:beforeAutospacing="1" w:after="100" w:afterAutospacing="1"/>
        <w:rPr>
          <w:rFonts w:asciiTheme="minorHAnsi" w:hAnsiTheme="minorHAnsi" w:cstheme="minorHAnsi"/>
          <w:bCs/>
          <w:sz w:val="24"/>
          <w:szCs w:val="24"/>
        </w:rPr>
      </w:pPr>
      <w:r w:rsidRPr="000145D0">
        <w:rPr>
          <w:rFonts w:asciiTheme="minorHAnsi" w:hAnsiTheme="minorHAnsi" w:cstheme="minorHAnsi"/>
          <w:bCs/>
          <w:sz w:val="24"/>
          <w:szCs w:val="24"/>
        </w:rPr>
        <w:t xml:space="preserve">This clause revises the heading to </w:t>
      </w:r>
      <w:r w:rsidR="00D122B3">
        <w:rPr>
          <w:rFonts w:asciiTheme="minorHAnsi" w:hAnsiTheme="minorHAnsi" w:cstheme="minorHAnsi"/>
          <w:bCs/>
          <w:sz w:val="24"/>
          <w:szCs w:val="24"/>
        </w:rPr>
        <w:t>“</w:t>
      </w:r>
      <w:r w:rsidR="00300D84" w:rsidRPr="000145D0">
        <w:rPr>
          <w:rFonts w:asciiTheme="minorHAnsi" w:hAnsiTheme="minorHAnsi" w:cstheme="minorHAnsi"/>
          <w:bCs/>
          <w:sz w:val="24"/>
          <w:szCs w:val="24"/>
        </w:rPr>
        <w:t>c</w:t>
      </w:r>
      <w:r w:rsidRPr="000145D0">
        <w:rPr>
          <w:rFonts w:asciiTheme="minorHAnsi" w:hAnsiTheme="minorHAnsi" w:cstheme="minorHAnsi"/>
          <w:bCs/>
          <w:sz w:val="24"/>
          <w:szCs w:val="24"/>
        </w:rPr>
        <w:t>are and protection—reporting of significant harm</w:t>
      </w:r>
      <w:r w:rsidR="00D122B3">
        <w:rPr>
          <w:rFonts w:asciiTheme="minorHAnsi" w:hAnsiTheme="minorHAnsi" w:cstheme="minorHAnsi"/>
          <w:bCs/>
          <w:sz w:val="24"/>
          <w:szCs w:val="24"/>
        </w:rPr>
        <w:t>”</w:t>
      </w:r>
      <w:r w:rsidRPr="000145D0">
        <w:rPr>
          <w:rFonts w:asciiTheme="minorHAnsi" w:hAnsiTheme="minorHAnsi" w:cstheme="minorHAnsi"/>
          <w:bCs/>
          <w:sz w:val="24"/>
          <w:szCs w:val="24"/>
        </w:rPr>
        <w:t>.</w:t>
      </w:r>
      <w:r w:rsidR="00A25BAE" w:rsidRPr="000145D0">
        <w:rPr>
          <w:rFonts w:asciiTheme="minorHAnsi" w:eastAsia="Calibri" w:hAnsiTheme="minorHAnsi" w:cstheme="minorHAnsi"/>
          <w:sz w:val="24"/>
          <w:szCs w:val="24"/>
          <w:lang w:eastAsia="en-AU"/>
        </w:rPr>
        <w:t xml:space="preserve"> This is consistent with the introduction of significant harm to the </w:t>
      </w:r>
      <w:r w:rsidR="00BF3925">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 xml:space="preserve"> </w:t>
      </w:r>
    </w:p>
    <w:p w14:paraId="50844502" w14:textId="53AB365E" w:rsidR="003806BC" w:rsidRPr="000145D0" w:rsidRDefault="003806BC" w:rsidP="000165E8">
      <w:pPr>
        <w:keepNext/>
        <w:spacing w:before="100" w:beforeAutospacing="1" w:after="100" w:afterAutospacing="1"/>
        <w:outlineLvl w:val="3"/>
        <w:rPr>
          <w:rFonts w:asciiTheme="minorHAnsi" w:hAnsiTheme="minorHAnsi" w:cstheme="minorHAnsi"/>
          <w:b/>
          <w:bCs/>
          <w:i/>
          <w:iCs/>
          <w:sz w:val="24"/>
          <w:szCs w:val="24"/>
        </w:rPr>
      </w:pPr>
      <w:r w:rsidRPr="000145D0">
        <w:rPr>
          <w:rFonts w:asciiTheme="minorHAnsi" w:eastAsia="Calibri" w:hAnsiTheme="minorHAnsi" w:cstheme="minorHAnsi"/>
          <w:b/>
          <w:sz w:val="24"/>
          <w:szCs w:val="24"/>
        </w:rPr>
        <w:t xml:space="preserve">Clause 30 – </w:t>
      </w:r>
      <w:r w:rsidRPr="000145D0">
        <w:rPr>
          <w:rFonts w:asciiTheme="minorHAnsi" w:hAnsiTheme="minorHAnsi" w:cstheme="minorHAnsi"/>
          <w:b/>
          <w:bCs/>
          <w:sz w:val="24"/>
          <w:szCs w:val="24"/>
        </w:rPr>
        <w:t xml:space="preserve">Definitions—Act </w:t>
      </w:r>
      <w:r w:rsidRPr="00801ACE">
        <w:rPr>
          <w:rFonts w:asciiTheme="minorHAnsi" w:hAnsiTheme="minorHAnsi" w:cstheme="minorHAnsi"/>
          <w:b/>
          <w:bCs/>
          <w:sz w:val="24"/>
          <w:szCs w:val="24"/>
        </w:rPr>
        <w:t>Section 353, definition of child concern report</w:t>
      </w:r>
    </w:p>
    <w:p w14:paraId="1E25410E" w14:textId="77777777" w:rsidR="007D232D" w:rsidRDefault="003806BC"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This clause is omitted. </w:t>
      </w:r>
    </w:p>
    <w:p w14:paraId="6E664964" w14:textId="77777777" w:rsidR="007D232D" w:rsidRDefault="003806BC"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
          <w:sz w:val="24"/>
          <w:szCs w:val="24"/>
        </w:rPr>
        <w:t>Clause 31 – Division 11.1.2 heading</w:t>
      </w:r>
    </w:p>
    <w:p w14:paraId="612F57BB" w14:textId="5DC1D73E" w:rsidR="007D232D" w:rsidRDefault="003806BC"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bCs/>
          <w:sz w:val="24"/>
          <w:szCs w:val="24"/>
        </w:rPr>
        <w:t>This clause revises the heading to</w:t>
      </w:r>
      <w:r w:rsidRPr="000145D0">
        <w:rPr>
          <w:rFonts w:asciiTheme="minorHAnsi" w:hAnsiTheme="minorHAnsi" w:cstheme="minorHAnsi"/>
          <w:sz w:val="24"/>
          <w:szCs w:val="24"/>
        </w:rPr>
        <w:t xml:space="preserve"> </w:t>
      </w:r>
      <w:r w:rsidR="00D122B3">
        <w:rPr>
          <w:rFonts w:asciiTheme="minorHAnsi" w:hAnsiTheme="minorHAnsi" w:cstheme="minorHAnsi"/>
          <w:sz w:val="24"/>
          <w:szCs w:val="24"/>
        </w:rPr>
        <w:t>“</w:t>
      </w:r>
      <w:r w:rsidR="00300D84" w:rsidRPr="000145D0">
        <w:rPr>
          <w:rFonts w:asciiTheme="minorHAnsi" w:hAnsiTheme="minorHAnsi" w:cstheme="minorHAnsi"/>
          <w:bCs/>
          <w:sz w:val="24"/>
          <w:szCs w:val="24"/>
        </w:rPr>
        <w:t>r</w:t>
      </w:r>
      <w:r w:rsidRPr="000145D0">
        <w:rPr>
          <w:rFonts w:asciiTheme="minorHAnsi" w:hAnsiTheme="minorHAnsi" w:cstheme="minorHAnsi"/>
          <w:bCs/>
          <w:sz w:val="24"/>
          <w:szCs w:val="24"/>
        </w:rPr>
        <w:t>eporting risk of significant harm to children and young people</w:t>
      </w:r>
      <w:r w:rsidR="00D122B3">
        <w:rPr>
          <w:rFonts w:asciiTheme="minorHAnsi" w:hAnsiTheme="minorHAnsi" w:cstheme="minorHAnsi"/>
          <w:bCs/>
          <w:sz w:val="24"/>
          <w:szCs w:val="24"/>
        </w:rPr>
        <w:t>”</w:t>
      </w:r>
      <w:r w:rsidRPr="000145D0">
        <w:rPr>
          <w:rFonts w:asciiTheme="minorHAnsi" w:hAnsiTheme="minorHAnsi" w:cstheme="minorHAnsi"/>
          <w:bCs/>
          <w:sz w:val="24"/>
          <w:szCs w:val="24"/>
        </w:rPr>
        <w:t>.</w:t>
      </w:r>
      <w:r w:rsidR="00A25BAE" w:rsidRPr="000145D0">
        <w:rPr>
          <w:rFonts w:asciiTheme="minorHAnsi" w:eastAsia="Calibri" w:hAnsiTheme="minorHAnsi" w:cstheme="minorHAnsi"/>
          <w:sz w:val="24"/>
          <w:szCs w:val="24"/>
          <w:lang w:eastAsia="en-AU"/>
        </w:rPr>
        <w:t xml:space="preserve"> This is consistent with the introduction of significant harm to the </w:t>
      </w:r>
      <w:r w:rsidR="00BF3925">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w:t>
      </w:r>
    </w:p>
    <w:p w14:paraId="76766F8E" w14:textId="77777777" w:rsidR="007D232D" w:rsidRDefault="003806BC"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
          <w:sz w:val="24"/>
          <w:szCs w:val="24"/>
        </w:rPr>
        <w:t>Clause 32 – Section 354 heading</w:t>
      </w:r>
    </w:p>
    <w:p w14:paraId="0E1DFD21" w14:textId="308A167C" w:rsidR="007D232D" w:rsidRDefault="003806BC"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This clause omits the reference to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abuse and neglect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substitutes</w:t>
      </w:r>
      <w:r w:rsidRPr="000145D0">
        <w:rPr>
          <w:rFonts w:asciiTheme="minorHAnsi" w:hAnsiTheme="minorHAnsi" w:cstheme="minorHAnsi"/>
          <w:b/>
          <w:bCs/>
          <w:sz w:val="24"/>
          <w:szCs w:val="24"/>
        </w:rPr>
        <w:t xml:space="preserve"> </w:t>
      </w:r>
      <w:r w:rsidRPr="000145D0">
        <w:rPr>
          <w:rFonts w:asciiTheme="minorHAnsi" w:eastAsia="Calibri" w:hAnsiTheme="minorHAnsi" w:cstheme="minorHAnsi"/>
          <w:sz w:val="24"/>
          <w:szCs w:val="24"/>
          <w:lang w:eastAsia="en-AU"/>
        </w:rPr>
        <w:t xml:space="preserve">risk of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significant harm</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w:t>
      </w:r>
      <w:r w:rsidRPr="000145D0">
        <w:rPr>
          <w:rFonts w:asciiTheme="minorHAnsi" w:hAnsiTheme="minorHAnsi" w:cstheme="minorHAnsi"/>
          <w:b/>
          <w:bCs/>
          <w:sz w:val="24"/>
          <w:szCs w:val="24"/>
        </w:rPr>
        <w:t xml:space="preserve"> </w:t>
      </w:r>
      <w:r w:rsidR="00A25BAE" w:rsidRPr="000145D0">
        <w:rPr>
          <w:rFonts w:asciiTheme="minorHAnsi" w:eastAsia="Calibri" w:hAnsiTheme="minorHAnsi" w:cstheme="minorHAnsi"/>
          <w:sz w:val="24"/>
          <w:szCs w:val="24"/>
          <w:lang w:eastAsia="en-AU"/>
        </w:rPr>
        <w:t xml:space="preserve">This is consistent with the introduction of significant harm to the </w:t>
      </w:r>
      <w:r w:rsidR="00BF3925">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w:t>
      </w:r>
    </w:p>
    <w:p w14:paraId="27B2F83A" w14:textId="77777777" w:rsidR="007D232D" w:rsidRDefault="003806BC"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
          <w:sz w:val="24"/>
          <w:szCs w:val="24"/>
        </w:rPr>
        <w:t>Clause 33 – Section 354(1)</w:t>
      </w:r>
    </w:p>
    <w:p w14:paraId="61A6991E" w14:textId="788437C9" w:rsidR="00051B2E" w:rsidRPr="007D232D" w:rsidRDefault="00051B2E" w:rsidP="007D232D">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This clause omits the reference to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abuse and neglect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substitutes</w:t>
      </w:r>
      <w:r w:rsidRPr="000145D0">
        <w:rPr>
          <w:rFonts w:asciiTheme="minorHAnsi" w:hAnsiTheme="minorHAnsi" w:cstheme="minorHAnsi"/>
          <w:b/>
          <w:bCs/>
          <w:sz w:val="24"/>
          <w:szCs w:val="24"/>
        </w:rPr>
        <w:t xml:space="preserve"> </w:t>
      </w:r>
      <w:r w:rsidRPr="000145D0">
        <w:rPr>
          <w:rFonts w:asciiTheme="minorHAnsi" w:eastAsia="Calibri" w:hAnsiTheme="minorHAnsi" w:cstheme="minorHAnsi"/>
          <w:sz w:val="24"/>
          <w:szCs w:val="24"/>
          <w:lang w:eastAsia="en-AU"/>
        </w:rPr>
        <w:t xml:space="preserve">risk of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significant harm</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w:t>
      </w:r>
      <w:r w:rsidRPr="000145D0">
        <w:rPr>
          <w:rFonts w:asciiTheme="minorHAnsi" w:hAnsiTheme="minorHAnsi" w:cstheme="minorHAnsi"/>
          <w:b/>
          <w:bCs/>
          <w:sz w:val="24"/>
          <w:szCs w:val="24"/>
        </w:rPr>
        <w:t xml:space="preserve"> </w:t>
      </w:r>
      <w:r w:rsidRPr="000145D0">
        <w:rPr>
          <w:rFonts w:asciiTheme="minorHAnsi" w:eastAsia="Calibri" w:hAnsiTheme="minorHAnsi" w:cstheme="minorHAnsi"/>
          <w:sz w:val="24"/>
          <w:szCs w:val="24"/>
          <w:lang w:eastAsia="en-AU"/>
        </w:rPr>
        <w:t xml:space="preserve">This is consistent with the introduction of significant harm to the </w:t>
      </w:r>
      <w:r>
        <w:rPr>
          <w:rFonts w:asciiTheme="minorHAnsi" w:eastAsia="Calibri" w:hAnsiTheme="minorHAnsi" w:cstheme="minorHAnsi"/>
          <w:sz w:val="24"/>
          <w:szCs w:val="24"/>
          <w:lang w:eastAsia="en-AU"/>
        </w:rPr>
        <w:t>CYPA</w:t>
      </w:r>
      <w:r w:rsidRPr="000145D0">
        <w:rPr>
          <w:rFonts w:asciiTheme="minorHAnsi" w:eastAsia="Calibri" w:hAnsiTheme="minorHAnsi" w:cstheme="minorHAnsi"/>
          <w:sz w:val="24"/>
          <w:szCs w:val="24"/>
          <w:lang w:eastAsia="en-AU"/>
        </w:rPr>
        <w:t>.</w:t>
      </w:r>
    </w:p>
    <w:p w14:paraId="10A41099" w14:textId="51A4346E" w:rsidR="003806BC" w:rsidRPr="000145D0" w:rsidRDefault="003806BC"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lastRenderedPageBreak/>
        <w:t>Clause 34 – Section 356 heading</w:t>
      </w:r>
    </w:p>
    <w:p w14:paraId="4F4CF2FB" w14:textId="6E5ED29E" w:rsidR="00051B2E" w:rsidRPr="000145D0" w:rsidRDefault="00051B2E" w:rsidP="00051B2E">
      <w:pPr>
        <w:keepNext/>
        <w:spacing w:before="100" w:beforeAutospacing="1" w:after="100" w:afterAutospacing="1"/>
        <w:outlineLvl w:val="3"/>
        <w:rPr>
          <w:rFonts w:asciiTheme="minorHAnsi" w:hAnsiTheme="minorHAnsi" w:cstheme="minorHAnsi"/>
          <w:b/>
          <w:bCs/>
          <w:sz w:val="24"/>
          <w:szCs w:val="24"/>
        </w:rPr>
      </w:pPr>
      <w:r w:rsidRPr="000145D0">
        <w:rPr>
          <w:rFonts w:asciiTheme="minorHAnsi" w:eastAsia="Calibri" w:hAnsiTheme="minorHAnsi" w:cstheme="minorHAnsi"/>
          <w:sz w:val="24"/>
          <w:szCs w:val="24"/>
          <w:lang w:eastAsia="en-AU"/>
        </w:rPr>
        <w:t xml:space="preserve">This clause omits the reference to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abuse and neglect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substitutes</w:t>
      </w:r>
      <w:r w:rsidRPr="000145D0">
        <w:rPr>
          <w:rFonts w:asciiTheme="minorHAnsi" w:hAnsiTheme="minorHAnsi" w:cstheme="minorHAnsi"/>
          <w:b/>
          <w:bCs/>
          <w:sz w:val="24"/>
          <w:szCs w:val="24"/>
        </w:rPr>
        <w:t xml:space="preserve"> </w:t>
      </w:r>
      <w:r w:rsidRPr="000145D0">
        <w:rPr>
          <w:rFonts w:asciiTheme="minorHAnsi" w:eastAsia="Calibri" w:hAnsiTheme="minorHAnsi" w:cstheme="minorHAnsi"/>
          <w:sz w:val="24"/>
          <w:szCs w:val="24"/>
          <w:lang w:eastAsia="en-AU"/>
        </w:rPr>
        <w:t xml:space="preserve">risk of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significant harm</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w:t>
      </w:r>
      <w:r w:rsidRPr="000145D0">
        <w:rPr>
          <w:rFonts w:asciiTheme="minorHAnsi" w:hAnsiTheme="minorHAnsi" w:cstheme="minorHAnsi"/>
          <w:b/>
          <w:bCs/>
          <w:sz w:val="24"/>
          <w:szCs w:val="24"/>
        </w:rPr>
        <w:t xml:space="preserve"> </w:t>
      </w:r>
      <w:r w:rsidRPr="000145D0">
        <w:rPr>
          <w:rFonts w:asciiTheme="minorHAnsi" w:eastAsia="Calibri" w:hAnsiTheme="minorHAnsi" w:cstheme="minorHAnsi"/>
          <w:sz w:val="24"/>
          <w:szCs w:val="24"/>
          <w:lang w:eastAsia="en-AU"/>
        </w:rPr>
        <w:t xml:space="preserve">This is consistent with the introduction of significant harm to the </w:t>
      </w:r>
      <w:r>
        <w:rPr>
          <w:rFonts w:asciiTheme="minorHAnsi" w:eastAsia="Calibri" w:hAnsiTheme="minorHAnsi" w:cstheme="minorHAnsi"/>
          <w:sz w:val="24"/>
          <w:szCs w:val="24"/>
          <w:lang w:eastAsia="en-AU"/>
        </w:rPr>
        <w:t>CYPA</w:t>
      </w:r>
      <w:r w:rsidRPr="000145D0">
        <w:rPr>
          <w:rFonts w:asciiTheme="minorHAnsi" w:eastAsia="Calibri" w:hAnsiTheme="minorHAnsi" w:cstheme="minorHAnsi"/>
          <w:sz w:val="24"/>
          <w:szCs w:val="24"/>
          <w:lang w:eastAsia="en-AU"/>
        </w:rPr>
        <w:t>.</w:t>
      </w:r>
    </w:p>
    <w:p w14:paraId="3025A268" w14:textId="57DC4AEB" w:rsidR="006039AB" w:rsidRPr="000145D0" w:rsidRDefault="006039AB" w:rsidP="000165E8">
      <w:pPr>
        <w:spacing w:before="100" w:beforeAutospacing="1" w:after="100" w:afterAutospacing="1"/>
        <w:rPr>
          <w:rFonts w:asciiTheme="minorHAnsi" w:hAnsiTheme="minorHAnsi" w:cstheme="minorHAnsi"/>
          <w:sz w:val="24"/>
          <w:szCs w:val="24"/>
        </w:rPr>
      </w:pPr>
      <w:r w:rsidRPr="000145D0">
        <w:rPr>
          <w:rFonts w:asciiTheme="minorHAnsi" w:eastAsia="Calibri" w:hAnsiTheme="minorHAnsi" w:cstheme="minorHAnsi"/>
          <w:b/>
          <w:sz w:val="24"/>
          <w:szCs w:val="24"/>
        </w:rPr>
        <w:t xml:space="preserve">Clause </w:t>
      </w:r>
      <w:r w:rsidR="009268B5" w:rsidRPr="000145D0">
        <w:rPr>
          <w:rFonts w:asciiTheme="minorHAnsi" w:eastAsia="Calibri" w:hAnsiTheme="minorHAnsi" w:cstheme="minorHAnsi"/>
          <w:b/>
          <w:sz w:val="24"/>
          <w:szCs w:val="24"/>
        </w:rPr>
        <w:t>35</w:t>
      </w:r>
      <w:r w:rsidRPr="000145D0">
        <w:rPr>
          <w:rFonts w:asciiTheme="minorHAnsi" w:eastAsia="Calibri" w:hAnsiTheme="minorHAnsi" w:cstheme="minorHAnsi"/>
          <w:b/>
          <w:sz w:val="24"/>
          <w:szCs w:val="24"/>
        </w:rPr>
        <w:t xml:space="preserve"> – Reports made to public advocate or Aboriginal and Torres Strait Islander children and young people commissioner Section 359(1) (a) </w:t>
      </w:r>
    </w:p>
    <w:p w14:paraId="282B7BE5" w14:textId="77777777" w:rsidR="007D232D" w:rsidRDefault="006039AB"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sz w:val="24"/>
          <w:szCs w:val="24"/>
          <w:lang w:eastAsia="en-AU"/>
        </w:rPr>
        <w:t>This clause s</w:t>
      </w:r>
      <w:r w:rsidR="008C7056" w:rsidRPr="000145D0">
        <w:rPr>
          <w:rFonts w:asciiTheme="minorHAnsi" w:eastAsia="Calibri" w:hAnsiTheme="minorHAnsi" w:cstheme="minorHAnsi"/>
          <w:sz w:val="24"/>
          <w:szCs w:val="24"/>
          <w:lang w:eastAsia="en-AU"/>
        </w:rPr>
        <w:t xml:space="preserve">ubstitutes clause (a) providing for where a person believes or suspects that a child or young person is at risk of significant harm. </w:t>
      </w:r>
      <w:r w:rsidR="00A25BAE" w:rsidRPr="000145D0">
        <w:rPr>
          <w:rFonts w:asciiTheme="minorHAnsi" w:eastAsia="Calibri" w:hAnsiTheme="minorHAnsi" w:cstheme="minorHAnsi"/>
          <w:sz w:val="24"/>
          <w:szCs w:val="24"/>
          <w:lang w:eastAsia="en-AU"/>
        </w:rPr>
        <w:t xml:space="preserve">This is consistent with the introduction of significant harm to the </w:t>
      </w:r>
      <w:r w:rsidR="00BF3925">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w:t>
      </w:r>
    </w:p>
    <w:p w14:paraId="27935471" w14:textId="0DC3B60B" w:rsidR="007929E8" w:rsidRPr="007D232D" w:rsidRDefault="007929E8"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b/>
          <w:sz w:val="24"/>
          <w:szCs w:val="24"/>
        </w:rPr>
        <w:t>Clause 3</w:t>
      </w:r>
      <w:r w:rsidR="009268B5" w:rsidRPr="000145D0">
        <w:rPr>
          <w:rFonts w:asciiTheme="minorHAnsi" w:eastAsia="Calibri" w:hAnsiTheme="minorHAnsi" w:cstheme="minorHAnsi"/>
          <w:b/>
          <w:sz w:val="24"/>
          <w:szCs w:val="24"/>
        </w:rPr>
        <w:t>6</w:t>
      </w:r>
      <w:r w:rsidRPr="000145D0">
        <w:rPr>
          <w:rFonts w:asciiTheme="minorHAnsi" w:eastAsia="Calibri" w:hAnsiTheme="minorHAnsi" w:cstheme="minorHAnsi"/>
          <w:b/>
          <w:sz w:val="24"/>
          <w:szCs w:val="24"/>
        </w:rPr>
        <w:t xml:space="preserve"> – Sections 360 and 361</w:t>
      </w:r>
    </w:p>
    <w:p w14:paraId="690DF704" w14:textId="50A4B0E0" w:rsidR="00051B2E" w:rsidRDefault="00051B2E" w:rsidP="000165E8">
      <w:pPr>
        <w:spacing w:before="100" w:beforeAutospacing="1" w:after="100" w:afterAutospacing="1"/>
        <w:rPr>
          <w:rFonts w:asciiTheme="minorHAnsi" w:hAnsiTheme="minorHAnsi" w:cstheme="minorHAnsi"/>
          <w:sz w:val="24"/>
          <w:szCs w:val="24"/>
        </w:rPr>
      </w:pPr>
      <w:r w:rsidRPr="00051B2E">
        <w:rPr>
          <w:rFonts w:asciiTheme="minorHAnsi" w:hAnsiTheme="minorHAnsi" w:cstheme="minorHAnsi"/>
          <w:sz w:val="24"/>
          <w:szCs w:val="24"/>
        </w:rPr>
        <w:t xml:space="preserve">Clause 36 proposes to simplify the two-tier hierarchical structure of a child concern report (s 360) and a child protection report (s361) into a unified assessment provision proposed in section 360. It also removes the legislative threshold of </w:t>
      </w:r>
      <w:r w:rsidR="00D122B3">
        <w:rPr>
          <w:rFonts w:asciiTheme="minorHAnsi" w:hAnsiTheme="minorHAnsi" w:cstheme="minorHAnsi"/>
          <w:sz w:val="24"/>
          <w:szCs w:val="24"/>
        </w:rPr>
        <w:t>“</w:t>
      </w:r>
      <w:r w:rsidRPr="00051B2E">
        <w:rPr>
          <w:rFonts w:asciiTheme="minorHAnsi" w:hAnsiTheme="minorHAnsi" w:cstheme="minorHAnsi"/>
          <w:sz w:val="24"/>
          <w:szCs w:val="24"/>
        </w:rPr>
        <w:t>in need of care and protection</w:t>
      </w:r>
      <w:r w:rsidR="00D122B3">
        <w:rPr>
          <w:rFonts w:asciiTheme="minorHAnsi" w:hAnsiTheme="minorHAnsi" w:cstheme="minorHAnsi"/>
          <w:sz w:val="24"/>
          <w:szCs w:val="24"/>
        </w:rPr>
        <w:t>”</w:t>
      </w:r>
      <w:r w:rsidRPr="00051B2E">
        <w:rPr>
          <w:rFonts w:asciiTheme="minorHAnsi" w:hAnsiTheme="minorHAnsi" w:cstheme="minorHAnsi"/>
          <w:sz w:val="24"/>
          <w:szCs w:val="24"/>
        </w:rPr>
        <w:t xml:space="preserve"> in section 360(b) and replaces it with </w:t>
      </w:r>
      <w:r w:rsidR="00D122B3">
        <w:rPr>
          <w:rFonts w:asciiTheme="minorHAnsi" w:hAnsiTheme="minorHAnsi" w:cstheme="minorHAnsi"/>
          <w:sz w:val="24"/>
          <w:szCs w:val="24"/>
        </w:rPr>
        <w:t>“</w:t>
      </w:r>
      <w:r w:rsidRPr="00051B2E">
        <w:rPr>
          <w:rFonts w:asciiTheme="minorHAnsi" w:hAnsiTheme="minorHAnsi" w:cstheme="minorHAnsi"/>
          <w:sz w:val="24"/>
          <w:szCs w:val="24"/>
        </w:rPr>
        <w:t>risk of significant harm</w:t>
      </w:r>
      <w:r w:rsidR="00D122B3">
        <w:rPr>
          <w:rFonts w:asciiTheme="minorHAnsi" w:hAnsiTheme="minorHAnsi" w:cstheme="minorHAnsi"/>
          <w:sz w:val="24"/>
          <w:szCs w:val="24"/>
        </w:rPr>
        <w:t>”</w:t>
      </w:r>
      <w:r w:rsidRPr="00051B2E">
        <w:rPr>
          <w:rFonts w:asciiTheme="minorHAnsi" w:hAnsiTheme="minorHAnsi" w:cstheme="minorHAnsi"/>
          <w:sz w:val="24"/>
          <w:szCs w:val="24"/>
        </w:rPr>
        <w:t xml:space="preserve">. </w:t>
      </w:r>
    </w:p>
    <w:p w14:paraId="56FE2809" w14:textId="3880DD49" w:rsidR="00051B2E" w:rsidRDefault="00051B2E" w:rsidP="000165E8">
      <w:pPr>
        <w:spacing w:before="100" w:beforeAutospacing="1" w:after="100" w:afterAutospacing="1"/>
        <w:rPr>
          <w:rFonts w:asciiTheme="minorHAnsi" w:hAnsiTheme="minorHAnsi" w:cstheme="minorHAnsi"/>
          <w:sz w:val="24"/>
          <w:szCs w:val="24"/>
        </w:rPr>
      </w:pPr>
      <w:r w:rsidRPr="00051B2E">
        <w:rPr>
          <w:rFonts w:asciiTheme="minorHAnsi" w:hAnsiTheme="minorHAnsi" w:cstheme="minorHAnsi"/>
          <w:sz w:val="24"/>
          <w:szCs w:val="24"/>
        </w:rPr>
        <w:t xml:space="preserve">Proposed section 360(1) clarifies that </w:t>
      </w:r>
      <w:r>
        <w:rPr>
          <w:rFonts w:asciiTheme="minorHAnsi" w:hAnsiTheme="minorHAnsi" w:cstheme="minorHAnsi"/>
          <w:sz w:val="24"/>
          <w:szCs w:val="24"/>
        </w:rPr>
        <w:t xml:space="preserve">this section applies if the </w:t>
      </w:r>
      <w:r w:rsidR="00DB0438">
        <w:rPr>
          <w:rFonts w:asciiTheme="minorHAnsi" w:hAnsiTheme="minorHAnsi" w:cstheme="minorHAnsi"/>
          <w:sz w:val="24"/>
          <w:szCs w:val="24"/>
        </w:rPr>
        <w:t>d</w:t>
      </w:r>
      <w:r>
        <w:rPr>
          <w:rFonts w:asciiTheme="minorHAnsi" w:hAnsiTheme="minorHAnsi" w:cstheme="minorHAnsi"/>
          <w:sz w:val="24"/>
          <w:szCs w:val="24"/>
        </w:rPr>
        <w:t>irector</w:t>
      </w:r>
      <w:r w:rsidR="00DB0438">
        <w:rPr>
          <w:rFonts w:asciiTheme="minorHAnsi" w:hAnsiTheme="minorHAnsi" w:cstheme="minorHAnsi"/>
          <w:sz w:val="24"/>
          <w:szCs w:val="24"/>
        </w:rPr>
        <w:t>-</w:t>
      </w:r>
      <w:r>
        <w:rPr>
          <w:rFonts w:asciiTheme="minorHAnsi" w:hAnsiTheme="minorHAnsi" w:cstheme="minorHAnsi"/>
          <w:sz w:val="24"/>
          <w:szCs w:val="24"/>
        </w:rPr>
        <w:t xml:space="preserve">general </w:t>
      </w:r>
    </w:p>
    <w:p w14:paraId="614AF300" w14:textId="6DB48294" w:rsidR="00051B2E" w:rsidRPr="007D232D" w:rsidRDefault="00051B2E" w:rsidP="00CD1D78">
      <w:pPr>
        <w:pStyle w:val="ListParagraph"/>
        <w:numPr>
          <w:ilvl w:val="0"/>
          <w:numId w:val="18"/>
        </w:numPr>
        <w:spacing w:before="120"/>
        <w:rPr>
          <w:rFonts w:asciiTheme="minorHAnsi" w:eastAsia="Calibri" w:hAnsiTheme="minorHAnsi" w:cstheme="minorHAnsi"/>
          <w:sz w:val="24"/>
          <w:szCs w:val="24"/>
        </w:rPr>
      </w:pPr>
      <w:r w:rsidRPr="007D232D">
        <w:rPr>
          <w:rFonts w:asciiTheme="minorHAnsi" w:eastAsia="Calibri" w:hAnsiTheme="minorHAnsi" w:cstheme="minorHAnsi"/>
          <w:sz w:val="24"/>
          <w:szCs w:val="24"/>
        </w:rPr>
        <w:t>receives a voluntary report or a mandatory report about a child or young person; or</w:t>
      </w:r>
    </w:p>
    <w:p w14:paraId="54FB3054" w14:textId="0626253C" w:rsidR="00801ACE" w:rsidRPr="00801ACE" w:rsidRDefault="00051B2E" w:rsidP="00CD1D78">
      <w:pPr>
        <w:pStyle w:val="ListParagraph"/>
        <w:numPr>
          <w:ilvl w:val="0"/>
          <w:numId w:val="18"/>
        </w:numPr>
        <w:spacing w:before="120"/>
        <w:rPr>
          <w:rFonts w:asciiTheme="minorHAnsi" w:eastAsia="Calibri" w:hAnsiTheme="minorHAnsi" w:cstheme="minorHAnsi"/>
          <w:sz w:val="24"/>
          <w:szCs w:val="24"/>
        </w:rPr>
      </w:pPr>
      <w:r w:rsidRPr="007D232D">
        <w:rPr>
          <w:rFonts w:asciiTheme="minorHAnsi" w:eastAsia="Calibri" w:hAnsiTheme="minorHAnsi" w:cstheme="minorHAnsi"/>
          <w:sz w:val="24"/>
          <w:szCs w:val="24"/>
        </w:rPr>
        <w:t>otherwise believes or suspects that a child or young person may be at risk of significant harm.</w:t>
      </w:r>
    </w:p>
    <w:p w14:paraId="522A3ABE" w14:textId="4A1BE4AA" w:rsidR="007929E8" w:rsidRPr="000145D0" w:rsidRDefault="007929E8"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Section 360(2) requires the director-general to carry out the assessment the director-general considers necessary to decide whether the child or young person is at risk of significant harm.</w:t>
      </w:r>
    </w:p>
    <w:p w14:paraId="391C75DF" w14:textId="5B5FA121" w:rsidR="007929E8" w:rsidRPr="000145D0" w:rsidRDefault="007929E8"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Section 360(3) enables the director</w:t>
      </w:r>
      <w:r w:rsidR="00DB0438">
        <w:rPr>
          <w:rFonts w:asciiTheme="minorHAnsi" w:hAnsiTheme="minorHAnsi" w:cstheme="minorHAnsi"/>
          <w:sz w:val="24"/>
          <w:szCs w:val="24"/>
        </w:rPr>
        <w:t>-</w:t>
      </w:r>
      <w:r w:rsidRPr="000145D0">
        <w:rPr>
          <w:rFonts w:asciiTheme="minorHAnsi" w:hAnsiTheme="minorHAnsi" w:cstheme="minorHAnsi"/>
          <w:sz w:val="24"/>
          <w:szCs w:val="24"/>
        </w:rPr>
        <w:t>general, carrying out the assessment, to provide, or assist in providing, services to strengthen and support the safety, welfare and wellbeing of the child or young person and their family.</w:t>
      </w:r>
    </w:p>
    <w:p w14:paraId="0A174C01" w14:textId="46D11329" w:rsidR="00372E5F" w:rsidRPr="000145D0" w:rsidRDefault="007929E8" w:rsidP="00372E5F">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Section 360(4) requires the director-general </w:t>
      </w:r>
      <w:r w:rsidR="00372E5F" w:rsidRPr="000145D0">
        <w:rPr>
          <w:rFonts w:asciiTheme="minorHAnsi" w:hAnsiTheme="minorHAnsi" w:cstheme="minorHAnsi"/>
          <w:sz w:val="24"/>
          <w:szCs w:val="24"/>
        </w:rPr>
        <w:t xml:space="preserve">as soon as practicable, </w:t>
      </w:r>
      <w:r w:rsidR="00051B2E">
        <w:rPr>
          <w:rFonts w:asciiTheme="minorHAnsi" w:hAnsiTheme="minorHAnsi" w:cstheme="minorHAnsi"/>
          <w:sz w:val="24"/>
          <w:szCs w:val="24"/>
        </w:rPr>
        <w:t xml:space="preserve">to </w:t>
      </w:r>
      <w:r w:rsidR="00372E5F" w:rsidRPr="000145D0">
        <w:rPr>
          <w:rFonts w:asciiTheme="minorHAnsi" w:hAnsiTheme="minorHAnsi" w:cstheme="minorHAnsi"/>
          <w:sz w:val="24"/>
          <w:szCs w:val="24"/>
        </w:rPr>
        <w:t>attempt to identify whether the child is an Aboriginal or Torres Strait Islander child or young person.</w:t>
      </w:r>
    </w:p>
    <w:p w14:paraId="7DE9CC92" w14:textId="73F13E24" w:rsidR="007929E8" w:rsidRPr="000145D0" w:rsidRDefault="007929E8"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Section 360(5) enables the director-general to refer a matter to the chief police officer if the director-general suspects that it relates to a criminal offence.</w:t>
      </w:r>
    </w:p>
    <w:p w14:paraId="4C4A23FD" w14:textId="1B2CEDF6" w:rsidR="009268B5" w:rsidRPr="000145D0" w:rsidRDefault="009268B5"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37 – Division 11.1.3 heading</w:t>
      </w:r>
    </w:p>
    <w:p w14:paraId="7920074F" w14:textId="1E33DA7B" w:rsidR="009268B5" w:rsidRPr="000145D0" w:rsidRDefault="009268B5" w:rsidP="000165E8">
      <w:pPr>
        <w:spacing w:before="100" w:beforeAutospacing="1" w:after="100" w:afterAutospacing="1"/>
        <w:rPr>
          <w:rFonts w:asciiTheme="minorHAnsi" w:hAnsiTheme="minorHAnsi" w:cstheme="minorHAnsi"/>
          <w:bCs/>
          <w:sz w:val="24"/>
          <w:szCs w:val="24"/>
        </w:rPr>
      </w:pPr>
      <w:r w:rsidRPr="000145D0">
        <w:rPr>
          <w:rFonts w:asciiTheme="minorHAnsi" w:hAnsiTheme="minorHAnsi" w:cstheme="minorHAnsi"/>
          <w:bCs/>
          <w:sz w:val="24"/>
          <w:szCs w:val="24"/>
        </w:rPr>
        <w:t xml:space="preserve">This clause revises the heading to </w:t>
      </w:r>
      <w:r w:rsidR="00D122B3">
        <w:rPr>
          <w:rFonts w:asciiTheme="minorHAnsi" w:hAnsiTheme="minorHAnsi" w:cstheme="minorHAnsi"/>
          <w:bCs/>
          <w:sz w:val="24"/>
          <w:szCs w:val="24"/>
        </w:rPr>
        <w:t>“</w:t>
      </w:r>
      <w:r w:rsidR="00300D84" w:rsidRPr="000145D0">
        <w:rPr>
          <w:rFonts w:asciiTheme="minorHAnsi" w:hAnsiTheme="minorHAnsi" w:cstheme="minorHAnsi"/>
          <w:bCs/>
          <w:sz w:val="24"/>
          <w:szCs w:val="24"/>
        </w:rPr>
        <w:t>p</w:t>
      </w:r>
      <w:r w:rsidRPr="000145D0">
        <w:rPr>
          <w:rFonts w:asciiTheme="minorHAnsi" w:hAnsiTheme="minorHAnsi" w:cstheme="minorHAnsi"/>
          <w:bCs/>
          <w:sz w:val="24"/>
          <w:szCs w:val="24"/>
        </w:rPr>
        <w:t>renatal reporting of anticipated risk of significant harm</w:t>
      </w:r>
      <w:r w:rsidR="00D122B3">
        <w:rPr>
          <w:rFonts w:asciiTheme="minorHAnsi" w:hAnsiTheme="minorHAnsi" w:cstheme="minorHAnsi"/>
          <w:bCs/>
          <w:sz w:val="24"/>
          <w:szCs w:val="24"/>
        </w:rPr>
        <w:t>”</w:t>
      </w:r>
      <w:r w:rsidRPr="000145D0">
        <w:rPr>
          <w:rFonts w:asciiTheme="minorHAnsi" w:hAnsiTheme="minorHAnsi" w:cstheme="minorHAnsi"/>
          <w:bCs/>
          <w:sz w:val="24"/>
          <w:szCs w:val="24"/>
        </w:rPr>
        <w:t>.</w:t>
      </w:r>
      <w:r w:rsidR="00A25BAE" w:rsidRPr="000145D0">
        <w:rPr>
          <w:rFonts w:asciiTheme="minorHAnsi" w:eastAsia="Calibri" w:hAnsiTheme="minorHAnsi" w:cstheme="minorHAnsi"/>
          <w:sz w:val="24"/>
          <w:szCs w:val="24"/>
          <w:lang w:eastAsia="en-AU"/>
        </w:rPr>
        <w:t xml:space="preserve"> This is consistent with the introduction of significant harm to the </w:t>
      </w:r>
      <w:r w:rsidR="00A946C0">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w:t>
      </w:r>
    </w:p>
    <w:p w14:paraId="07BABEBC" w14:textId="3C0E2E16" w:rsidR="009268B5" w:rsidRPr="000145D0" w:rsidRDefault="009268B5"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lastRenderedPageBreak/>
        <w:t>Clause 39 – Section 362 heading</w:t>
      </w:r>
    </w:p>
    <w:p w14:paraId="401831FF" w14:textId="15DFF14F" w:rsidR="00A53D1E" w:rsidRPr="00051B2E" w:rsidRDefault="009268B5"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bCs/>
          <w:sz w:val="24"/>
          <w:szCs w:val="24"/>
        </w:rPr>
        <w:t xml:space="preserve">This clause revises the heading to </w:t>
      </w:r>
      <w:r w:rsidR="00D122B3">
        <w:rPr>
          <w:rFonts w:asciiTheme="minorHAnsi" w:hAnsiTheme="minorHAnsi" w:cstheme="minorHAnsi"/>
          <w:bCs/>
          <w:sz w:val="24"/>
          <w:szCs w:val="24"/>
        </w:rPr>
        <w:t>“</w:t>
      </w:r>
      <w:r w:rsidR="00300D84" w:rsidRPr="000145D0">
        <w:rPr>
          <w:rFonts w:asciiTheme="minorHAnsi" w:hAnsiTheme="minorHAnsi" w:cstheme="minorHAnsi"/>
          <w:bCs/>
          <w:sz w:val="24"/>
          <w:szCs w:val="24"/>
        </w:rPr>
        <w:t>p</w:t>
      </w:r>
      <w:r w:rsidRPr="000145D0">
        <w:rPr>
          <w:rFonts w:asciiTheme="minorHAnsi" w:hAnsiTheme="minorHAnsi" w:cstheme="minorHAnsi"/>
          <w:bCs/>
          <w:sz w:val="24"/>
          <w:szCs w:val="24"/>
        </w:rPr>
        <w:t xml:space="preserve">renatal reporting </w:t>
      </w:r>
      <w:r w:rsidR="00F26B11" w:rsidRPr="000145D0">
        <w:rPr>
          <w:rFonts w:asciiTheme="minorHAnsi" w:hAnsiTheme="minorHAnsi" w:cstheme="minorHAnsi"/>
          <w:bCs/>
          <w:sz w:val="24"/>
          <w:szCs w:val="24"/>
        </w:rPr>
        <w:t>- anticipated</w:t>
      </w:r>
      <w:r w:rsidRPr="000145D0">
        <w:rPr>
          <w:rFonts w:asciiTheme="minorHAnsi" w:hAnsiTheme="minorHAnsi" w:cstheme="minorHAnsi"/>
          <w:bCs/>
          <w:sz w:val="24"/>
          <w:szCs w:val="24"/>
        </w:rPr>
        <w:t xml:space="preserve"> risk of significant harm</w:t>
      </w:r>
      <w:r w:rsidR="00D122B3">
        <w:rPr>
          <w:rFonts w:asciiTheme="minorHAnsi" w:hAnsiTheme="minorHAnsi" w:cstheme="minorHAnsi"/>
          <w:bCs/>
          <w:sz w:val="24"/>
          <w:szCs w:val="24"/>
        </w:rPr>
        <w:t>”</w:t>
      </w:r>
      <w:r w:rsidR="00A946C0">
        <w:rPr>
          <w:rFonts w:asciiTheme="minorHAnsi" w:hAnsiTheme="minorHAnsi" w:cstheme="minorHAnsi"/>
          <w:bCs/>
          <w:sz w:val="24"/>
          <w:szCs w:val="24"/>
        </w:rPr>
        <w:t>.</w:t>
      </w:r>
      <w:r w:rsidR="00A25BAE" w:rsidRPr="000145D0">
        <w:rPr>
          <w:rFonts w:asciiTheme="minorHAnsi" w:eastAsia="Calibri" w:hAnsiTheme="minorHAnsi" w:cstheme="minorHAnsi"/>
          <w:sz w:val="24"/>
          <w:szCs w:val="24"/>
          <w:lang w:eastAsia="en-AU"/>
        </w:rPr>
        <w:t xml:space="preserve"> This is consistent with the introduction of significant harm to the </w:t>
      </w:r>
      <w:r w:rsidR="00A946C0">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w:t>
      </w:r>
    </w:p>
    <w:p w14:paraId="264A8597" w14:textId="5C5929D0" w:rsidR="00A946C0" w:rsidRDefault="009268B5" w:rsidP="00A946C0">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39 – Section 362(1)</w:t>
      </w:r>
    </w:p>
    <w:p w14:paraId="791A5CD8" w14:textId="456F9A2C" w:rsidR="00051B2E" w:rsidRPr="00A946C0" w:rsidRDefault="009268B5" w:rsidP="00A946C0">
      <w:pPr>
        <w:spacing w:before="100" w:beforeAutospacing="1" w:after="100" w:afterAutospacing="1"/>
        <w:rPr>
          <w:rFonts w:asciiTheme="minorHAnsi" w:hAnsiTheme="minorHAnsi" w:cstheme="minorHAnsi"/>
          <w:bCs/>
          <w:sz w:val="24"/>
          <w:szCs w:val="24"/>
        </w:rPr>
      </w:pPr>
      <w:r w:rsidRPr="00A946C0">
        <w:rPr>
          <w:rFonts w:asciiTheme="minorHAnsi" w:hAnsiTheme="minorHAnsi" w:cstheme="minorHAnsi"/>
          <w:bCs/>
          <w:sz w:val="24"/>
          <w:szCs w:val="24"/>
        </w:rPr>
        <w:t xml:space="preserve">This clause omits </w:t>
      </w:r>
      <w:r w:rsidR="00D122B3">
        <w:rPr>
          <w:rFonts w:asciiTheme="minorHAnsi" w:hAnsiTheme="minorHAnsi" w:cstheme="minorHAnsi"/>
          <w:bCs/>
          <w:sz w:val="24"/>
          <w:szCs w:val="24"/>
        </w:rPr>
        <w:t>“</w:t>
      </w:r>
      <w:r w:rsidRPr="00A946C0">
        <w:rPr>
          <w:rFonts w:asciiTheme="minorHAnsi" w:hAnsiTheme="minorHAnsi" w:cstheme="minorHAnsi"/>
          <w:bCs/>
          <w:sz w:val="24"/>
          <w:szCs w:val="24"/>
        </w:rPr>
        <w:t>in need of care and protection</w:t>
      </w:r>
      <w:r w:rsidR="00D122B3">
        <w:rPr>
          <w:rFonts w:asciiTheme="minorHAnsi" w:hAnsiTheme="minorHAnsi" w:cstheme="minorHAnsi"/>
          <w:bCs/>
          <w:sz w:val="24"/>
          <w:szCs w:val="24"/>
        </w:rPr>
        <w:t>”</w:t>
      </w:r>
      <w:r w:rsidRPr="00A946C0">
        <w:rPr>
          <w:rFonts w:asciiTheme="minorHAnsi" w:hAnsiTheme="minorHAnsi" w:cstheme="minorHAnsi"/>
          <w:bCs/>
          <w:sz w:val="24"/>
          <w:szCs w:val="24"/>
        </w:rPr>
        <w:t xml:space="preserve"> substitutes with </w:t>
      </w:r>
      <w:r w:rsidR="00D122B3">
        <w:rPr>
          <w:rFonts w:asciiTheme="minorHAnsi" w:hAnsiTheme="minorHAnsi" w:cstheme="minorHAnsi"/>
          <w:bCs/>
          <w:sz w:val="24"/>
          <w:szCs w:val="24"/>
        </w:rPr>
        <w:t>“</w:t>
      </w:r>
      <w:r w:rsidRPr="00A946C0">
        <w:rPr>
          <w:rFonts w:asciiTheme="minorHAnsi" w:hAnsiTheme="minorHAnsi" w:cstheme="minorHAnsi"/>
          <w:bCs/>
          <w:sz w:val="24"/>
          <w:szCs w:val="24"/>
        </w:rPr>
        <w:t>at risk of significant harm after the child is born</w:t>
      </w:r>
      <w:r w:rsidR="00D122B3">
        <w:rPr>
          <w:rFonts w:asciiTheme="minorHAnsi" w:hAnsiTheme="minorHAnsi" w:cstheme="minorHAnsi"/>
          <w:bCs/>
          <w:sz w:val="24"/>
          <w:szCs w:val="24"/>
        </w:rPr>
        <w:t>”</w:t>
      </w:r>
      <w:r w:rsidRPr="00A946C0">
        <w:rPr>
          <w:rFonts w:asciiTheme="minorHAnsi" w:hAnsiTheme="minorHAnsi" w:cstheme="minorHAnsi"/>
          <w:bCs/>
          <w:sz w:val="24"/>
          <w:szCs w:val="24"/>
        </w:rPr>
        <w:t>.</w:t>
      </w:r>
      <w:r w:rsidR="00A25BAE" w:rsidRPr="00A946C0">
        <w:rPr>
          <w:rFonts w:asciiTheme="minorHAnsi" w:hAnsiTheme="minorHAnsi" w:cstheme="minorHAnsi"/>
          <w:bCs/>
          <w:sz w:val="24"/>
          <w:szCs w:val="24"/>
        </w:rPr>
        <w:t xml:space="preserve"> This is consistent with the introduction of significant harm to the </w:t>
      </w:r>
      <w:r w:rsidR="00A946C0">
        <w:rPr>
          <w:rFonts w:asciiTheme="minorHAnsi" w:hAnsiTheme="minorHAnsi" w:cstheme="minorHAnsi"/>
          <w:bCs/>
          <w:sz w:val="24"/>
          <w:szCs w:val="24"/>
        </w:rPr>
        <w:t>CYPA</w:t>
      </w:r>
      <w:r w:rsidR="0054598C">
        <w:rPr>
          <w:rFonts w:asciiTheme="minorHAnsi" w:hAnsiTheme="minorHAnsi" w:cstheme="minorHAnsi"/>
          <w:bCs/>
          <w:sz w:val="24"/>
          <w:szCs w:val="24"/>
        </w:rPr>
        <w:t>.</w:t>
      </w:r>
    </w:p>
    <w:p w14:paraId="316F6DD2" w14:textId="549BEE0C" w:rsidR="009268B5" w:rsidRPr="000145D0" w:rsidRDefault="009268B5" w:rsidP="000165E8">
      <w:pPr>
        <w:spacing w:before="100" w:beforeAutospacing="1" w:after="100" w:afterAutospacing="1"/>
        <w:rPr>
          <w:rFonts w:asciiTheme="minorHAnsi" w:hAnsiTheme="minorHAnsi" w:cstheme="minorHAnsi"/>
          <w:b/>
          <w:bCs/>
          <w:sz w:val="24"/>
          <w:szCs w:val="24"/>
        </w:rPr>
      </w:pPr>
      <w:r w:rsidRPr="000145D0">
        <w:rPr>
          <w:rFonts w:asciiTheme="minorHAnsi" w:eastAsia="Calibri" w:hAnsiTheme="minorHAnsi" w:cstheme="minorHAnsi"/>
          <w:b/>
          <w:sz w:val="24"/>
          <w:szCs w:val="24"/>
        </w:rPr>
        <w:t xml:space="preserve">Clause 40 – </w:t>
      </w:r>
      <w:r w:rsidRPr="000145D0">
        <w:rPr>
          <w:rFonts w:asciiTheme="minorHAnsi" w:hAnsiTheme="minorHAnsi" w:cstheme="minorHAnsi"/>
          <w:b/>
          <w:bCs/>
          <w:sz w:val="24"/>
          <w:szCs w:val="24"/>
        </w:rPr>
        <w:t>How prenatal reports may be used in evidence Section 364(2)(b)</w:t>
      </w:r>
    </w:p>
    <w:p w14:paraId="5810AF6A" w14:textId="7BAE94EC" w:rsidR="00951894" w:rsidRPr="000145D0" w:rsidRDefault="00951894" w:rsidP="00951894">
      <w:pPr>
        <w:keepNext/>
        <w:spacing w:before="100" w:beforeAutospacing="1" w:after="100" w:afterAutospacing="1"/>
        <w:outlineLvl w:val="3"/>
        <w:rPr>
          <w:rFonts w:asciiTheme="minorHAnsi" w:hAnsiTheme="minorHAnsi" w:cstheme="minorHAnsi"/>
          <w:sz w:val="24"/>
          <w:szCs w:val="24"/>
        </w:rPr>
      </w:pPr>
      <w:r w:rsidRPr="00951894">
        <w:rPr>
          <w:rFonts w:asciiTheme="minorHAnsi" w:hAnsiTheme="minorHAnsi" w:cstheme="minorHAnsi"/>
          <w:sz w:val="24"/>
          <w:szCs w:val="24"/>
        </w:rPr>
        <w:t xml:space="preserve">This clause </w:t>
      </w:r>
      <w:r>
        <w:rPr>
          <w:rFonts w:asciiTheme="minorHAnsi" w:hAnsiTheme="minorHAnsi" w:cstheme="minorHAnsi"/>
          <w:sz w:val="24"/>
          <w:szCs w:val="24"/>
        </w:rPr>
        <w:t>clarifies t</w:t>
      </w:r>
      <w:r w:rsidRPr="00951894">
        <w:rPr>
          <w:rFonts w:asciiTheme="minorHAnsi" w:hAnsiTheme="minorHAnsi" w:cstheme="minorHAnsi"/>
          <w:sz w:val="24"/>
          <w:szCs w:val="24"/>
        </w:rPr>
        <w:t>he director-general may carry out a care and protection appraisal of a child or young person if, after considering a voluntary report or a mandatory report about the child or young person, the director-general believes the child or young person may be at</w:t>
      </w:r>
      <w:r w:rsidR="007D232D">
        <w:rPr>
          <w:rFonts w:asciiTheme="minorHAnsi" w:hAnsiTheme="minorHAnsi" w:cstheme="minorHAnsi"/>
          <w:sz w:val="24"/>
          <w:szCs w:val="24"/>
        </w:rPr>
        <w:t xml:space="preserve"> </w:t>
      </w:r>
      <w:r w:rsidRPr="00951894">
        <w:rPr>
          <w:rFonts w:asciiTheme="minorHAnsi" w:hAnsiTheme="minorHAnsi" w:cstheme="minorHAnsi"/>
          <w:sz w:val="24"/>
          <w:szCs w:val="24"/>
        </w:rPr>
        <w:t>risk of significant harm. This is consistent with the introduction of significant harm to the CYPA.</w:t>
      </w:r>
    </w:p>
    <w:p w14:paraId="7DF1DEC2" w14:textId="1748CBE0" w:rsidR="00C77D67" w:rsidRPr="000145D0" w:rsidRDefault="00F26B11" w:rsidP="000165E8">
      <w:pPr>
        <w:keepNext/>
        <w:spacing w:before="100" w:beforeAutospacing="1" w:after="100" w:afterAutospacing="1"/>
        <w:outlineLvl w:val="3"/>
        <w:rPr>
          <w:rFonts w:asciiTheme="minorHAnsi" w:hAnsiTheme="minorHAnsi" w:cstheme="minorHAnsi"/>
          <w:b/>
          <w:bCs/>
          <w:sz w:val="24"/>
          <w:szCs w:val="24"/>
        </w:rPr>
      </w:pPr>
      <w:r w:rsidRPr="000145D0">
        <w:rPr>
          <w:rFonts w:asciiTheme="minorHAnsi" w:eastAsia="Calibri" w:hAnsiTheme="minorHAnsi" w:cstheme="minorHAnsi"/>
          <w:b/>
          <w:sz w:val="24"/>
          <w:szCs w:val="24"/>
        </w:rPr>
        <w:t>Clause 41 –</w:t>
      </w:r>
      <w:r w:rsidRPr="000145D0">
        <w:rPr>
          <w:rFonts w:asciiTheme="minorHAnsi" w:hAnsiTheme="minorHAnsi" w:cstheme="minorHAnsi"/>
          <w:b/>
          <w:bCs/>
          <w:sz w:val="24"/>
          <w:szCs w:val="24"/>
        </w:rPr>
        <w:t xml:space="preserve"> Care and protection appraisal—power to carry out Section 368(1) and note</w:t>
      </w:r>
    </w:p>
    <w:p w14:paraId="10A899CB" w14:textId="7AD05DCA" w:rsidR="00951894" w:rsidRDefault="00951894" w:rsidP="000165E8">
      <w:pPr>
        <w:keepNext/>
        <w:spacing w:before="100" w:beforeAutospacing="1" w:after="100" w:afterAutospacing="1"/>
        <w:outlineLvl w:val="3"/>
        <w:rPr>
          <w:rFonts w:asciiTheme="minorHAnsi" w:hAnsiTheme="minorHAnsi" w:cstheme="minorHAnsi"/>
          <w:sz w:val="24"/>
          <w:szCs w:val="24"/>
        </w:rPr>
      </w:pPr>
      <w:r w:rsidRPr="00951894">
        <w:rPr>
          <w:rFonts w:asciiTheme="minorHAnsi" w:hAnsiTheme="minorHAnsi" w:cstheme="minorHAnsi"/>
          <w:sz w:val="24"/>
          <w:szCs w:val="24"/>
        </w:rPr>
        <w:t xml:space="preserve">This clause omits the reference to </w:t>
      </w:r>
      <w:r w:rsidR="00D122B3">
        <w:rPr>
          <w:rFonts w:asciiTheme="minorHAnsi" w:hAnsiTheme="minorHAnsi" w:cstheme="minorHAnsi"/>
          <w:sz w:val="24"/>
          <w:szCs w:val="24"/>
        </w:rPr>
        <w:t>“</w:t>
      </w:r>
      <w:r>
        <w:rPr>
          <w:rFonts w:asciiTheme="minorHAnsi" w:hAnsiTheme="minorHAnsi" w:cstheme="minorHAnsi"/>
          <w:sz w:val="24"/>
          <w:szCs w:val="24"/>
        </w:rPr>
        <w:t>in need of care and protection</w:t>
      </w:r>
      <w:r w:rsidR="00D122B3">
        <w:rPr>
          <w:rFonts w:asciiTheme="minorHAnsi" w:hAnsiTheme="minorHAnsi" w:cstheme="minorHAnsi"/>
          <w:sz w:val="24"/>
          <w:szCs w:val="24"/>
        </w:rPr>
        <w:t>”</w:t>
      </w:r>
      <w:r w:rsidRPr="00951894">
        <w:rPr>
          <w:rFonts w:asciiTheme="minorHAnsi" w:hAnsiTheme="minorHAnsi" w:cstheme="minorHAnsi"/>
          <w:sz w:val="24"/>
          <w:szCs w:val="24"/>
        </w:rPr>
        <w:t xml:space="preserve"> substitutes risk of </w:t>
      </w:r>
      <w:r w:rsidR="00D122B3">
        <w:rPr>
          <w:rFonts w:asciiTheme="minorHAnsi" w:hAnsiTheme="minorHAnsi" w:cstheme="minorHAnsi"/>
          <w:sz w:val="24"/>
          <w:szCs w:val="24"/>
        </w:rPr>
        <w:t>“</w:t>
      </w:r>
      <w:r>
        <w:rPr>
          <w:rFonts w:asciiTheme="minorHAnsi" w:hAnsiTheme="minorHAnsi" w:cstheme="minorHAnsi"/>
          <w:sz w:val="24"/>
          <w:szCs w:val="24"/>
        </w:rPr>
        <w:t xml:space="preserve">risk of </w:t>
      </w:r>
      <w:r w:rsidRPr="00951894">
        <w:rPr>
          <w:rFonts w:asciiTheme="minorHAnsi" w:hAnsiTheme="minorHAnsi" w:cstheme="minorHAnsi"/>
          <w:sz w:val="24"/>
          <w:szCs w:val="24"/>
        </w:rPr>
        <w:t>significant harm</w:t>
      </w:r>
      <w:r w:rsidR="00D122B3">
        <w:rPr>
          <w:rFonts w:asciiTheme="minorHAnsi" w:hAnsiTheme="minorHAnsi" w:cstheme="minorHAnsi"/>
          <w:sz w:val="24"/>
          <w:szCs w:val="24"/>
        </w:rPr>
        <w:t>”</w:t>
      </w:r>
      <w:r w:rsidRPr="00951894">
        <w:rPr>
          <w:rFonts w:asciiTheme="minorHAnsi" w:hAnsiTheme="minorHAnsi" w:cstheme="minorHAnsi"/>
          <w:sz w:val="24"/>
          <w:szCs w:val="24"/>
        </w:rPr>
        <w:t>. This is consistent with the introduction of significant harm to the CYPA.</w:t>
      </w:r>
    </w:p>
    <w:p w14:paraId="34FC116B" w14:textId="1692969C" w:rsidR="00F26B11" w:rsidRPr="000145D0" w:rsidRDefault="00F26B11" w:rsidP="000165E8">
      <w:pPr>
        <w:keepNext/>
        <w:spacing w:before="100" w:beforeAutospacing="1" w:after="100" w:afterAutospacing="1"/>
        <w:outlineLvl w:val="3"/>
        <w:rPr>
          <w:rFonts w:asciiTheme="minorHAnsi" w:eastAsia="Calibri" w:hAnsiTheme="minorHAnsi" w:cstheme="minorHAnsi"/>
          <w:bCs/>
          <w:sz w:val="24"/>
          <w:szCs w:val="24"/>
        </w:rPr>
      </w:pPr>
      <w:r w:rsidRPr="000145D0">
        <w:rPr>
          <w:rFonts w:asciiTheme="minorHAnsi" w:eastAsia="Calibri" w:hAnsiTheme="minorHAnsi" w:cstheme="minorHAnsi"/>
          <w:b/>
          <w:sz w:val="24"/>
          <w:szCs w:val="24"/>
        </w:rPr>
        <w:t>Clause 42 –</w:t>
      </w:r>
      <w:r w:rsidRPr="000145D0">
        <w:rPr>
          <w:rFonts w:asciiTheme="minorHAnsi" w:hAnsiTheme="minorHAnsi" w:cstheme="minorHAnsi"/>
          <w:b/>
          <w:bCs/>
          <w:sz w:val="24"/>
          <w:szCs w:val="24"/>
        </w:rPr>
        <w:t xml:space="preserve"> Care and protection appraisal—obtaining agreement not in best interests of child or young person etc Section 370(1), example 1</w:t>
      </w:r>
    </w:p>
    <w:p w14:paraId="40FCEA25" w14:textId="14F37884" w:rsidR="00F26B11" w:rsidRPr="000145D0" w:rsidRDefault="00F26B11" w:rsidP="000165E8">
      <w:pPr>
        <w:keepNext/>
        <w:spacing w:before="100" w:beforeAutospacing="1" w:after="100" w:afterAutospacing="1"/>
        <w:outlineLvl w:val="3"/>
        <w:rPr>
          <w:rFonts w:asciiTheme="minorHAnsi" w:hAnsiTheme="minorHAnsi" w:cstheme="minorHAnsi"/>
          <w:sz w:val="24"/>
          <w:szCs w:val="24"/>
        </w:rPr>
      </w:pPr>
      <w:r w:rsidRPr="000145D0">
        <w:rPr>
          <w:rFonts w:asciiTheme="minorHAnsi" w:hAnsiTheme="minorHAnsi" w:cstheme="minorHAnsi"/>
          <w:sz w:val="24"/>
          <w:szCs w:val="24"/>
        </w:rPr>
        <w:t>This clause clarifies the parent or other person with daily care responsibility is the subject of an allegation of causing significant harm to the child or young person</w:t>
      </w:r>
      <w:r w:rsidR="00A25BAE" w:rsidRPr="000145D0">
        <w:rPr>
          <w:rFonts w:asciiTheme="minorHAnsi" w:hAnsiTheme="minorHAnsi" w:cstheme="minorHAnsi"/>
          <w:sz w:val="24"/>
          <w:szCs w:val="24"/>
        </w:rPr>
        <w:t xml:space="preserve">. </w:t>
      </w:r>
      <w:r w:rsidR="00A25BAE" w:rsidRPr="000145D0">
        <w:rPr>
          <w:rFonts w:asciiTheme="minorHAnsi" w:eastAsia="Calibri" w:hAnsiTheme="minorHAnsi" w:cstheme="minorHAnsi"/>
          <w:sz w:val="24"/>
          <w:szCs w:val="24"/>
          <w:lang w:eastAsia="en-AU"/>
        </w:rPr>
        <w:t xml:space="preserve">This is consistent with the introduction of significant harm to the </w:t>
      </w:r>
      <w:r w:rsidR="00A946C0">
        <w:rPr>
          <w:rFonts w:asciiTheme="minorHAnsi" w:eastAsia="Calibri" w:hAnsiTheme="minorHAnsi" w:cstheme="minorHAnsi"/>
          <w:sz w:val="24"/>
          <w:szCs w:val="24"/>
          <w:lang w:eastAsia="en-AU"/>
        </w:rPr>
        <w:t>CYPA</w:t>
      </w:r>
    </w:p>
    <w:p w14:paraId="4B14476D" w14:textId="3EDA3F9C" w:rsidR="00F26B11" w:rsidRPr="000145D0" w:rsidRDefault="00F26B11" w:rsidP="000165E8">
      <w:pPr>
        <w:keepNext/>
        <w:spacing w:before="100" w:beforeAutospacing="1" w:after="100" w:afterAutospacing="1"/>
        <w:outlineLvl w:val="3"/>
        <w:rPr>
          <w:rFonts w:asciiTheme="minorHAnsi" w:hAnsiTheme="minorHAnsi" w:cstheme="minorHAnsi"/>
          <w:b/>
          <w:bCs/>
          <w:sz w:val="24"/>
          <w:szCs w:val="24"/>
        </w:rPr>
      </w:pPr>
      <w:r w:rsidRPr="000145D0">
        <w:rPr>
          <w:rFonts w:asciiTheme="minorHAnsi" w:eastAsia="Calibri" w:hAnsiTheme="minorHAnsi" w:cstheme="minorHAnsi"/>
          <w:b/>
          <w:sz w:val="24"/>
          <w:szCs w:val="24"/>
        </w:rPr>
        <w:t xml:space="preserve">Clause 43 – </w:t>
      </w:r>
      <w:r w:rsidRPr="000145D0">
        <w:rPr>
          <w:rFonts w:asciiTheme="minorHAnsi" w:hAnsiTheme="minorHAnsi" w:cstheme="minorHAnsi"/>
          <w:b/>
          <w:bCs/>
          <w:sz w:val="24"/>
          <w:szCs w:val="24"/>
        </w:rPr>
        <w:t>Care and protection appraisal—visual examination and interview Section 371(5)(a)</w:t>
      </w:r>
    </w:p>
    <w:p w14:paraId="2C7A03C0" w14:textId="5B631AFF" w:rsidR="00F26B11" w:rsidRPr="000145D0" w:rsidRDefault="00F26B11" w:rsidP="000165E8">
      <w:pPr>
        <w:keepNext/>
        <w:spacing w:before="100" w:beforeAutospacing="1" w:after="100" w:afterAutospacing="1"/>
        <w:outlineLvl w:val="3"/>
        <w:rPr>
          <w:rFonts w:asciiTheme="minorHAnsi" w:hAnsiTheme="minorHAnsi" w:cstheme="minorHAnsi"/>
          <w:sz w:val="24"/>
          <w:szCs w:val="24"/>
        </w:rPr>
      </w:pPr>
      <w:r w:rsidRPr="000145D0">
        <w:rPr>
          <w:rFonts w:asciiTheme="minorHAnsi" w:hAnsiTheme="minorHAnsi" w:cstheme="minorHAnsi"/>
          <w:sz w:val="24"/>
          <w:szCs w:val="24"/>
        </w:rPr>
        <w:t>This clause in accordance with section 360, omits the term child concern report and replaces with</w:t>
      </w:r>
      <w:r w:rsidR="007C6A1E">
        <w:rPr>
          <w:rFonts w:asciiTheme="minorHAnsi" w:hAnsiTheme="minorHAnsi" w:cstheme="minorHAnsi"/>
          <w:sz w:val="24"/>
          <w:szCs w:val="24"/>
        </w:rPr>
        <w:t xml:space="preserve"> the</w:t>
      </w:r>
      <w:r w:rsidRPr="000145D0">
        <w:rPr>
          <w:rFonts w:asciiTheme="minorHAnsi" w:hAnsiTheme="minorHAnsi" w:cstheme="minorHAnsi"/>
          <w:sz w:val="24"/>
          <w:szCs w:val="24"/>
        </w:rPr>
        <w:t xml:space="preserve"> risk of significant harm. </w:t>
      </w:r>
      <w:r w:rsidR="00A25BAE" w:rsidRPr="000145D0">
        <w:rPr>
          <w:rFonts w:asciiTheme="minorHAnsi" w:eastAsia="Calibri" w:hAnsiTheme="minorHAnsi" w:cstheme="minorHAnsi"/>
          <w:sz w:val="24"/>
          <w:szCs w:val="24"/>
          <w:lang w:eastAsia="en-AU"/>
        </w:rPr>
        <w:t xml:space="preserve">This is consistent with the introduction of significant harm to the Act. </w:t>
      </w:r>
    </w:p>
    <w:p w14:paraId="749DD53B" w14:textId="1B949C79" w:rsidR="007929E8" w:rsidRPr="000145D0" w:rsidRDefault="00F26B11" w:rsidP="000165E8">
      <w:pPr>
        <w:keepNext/>
        <w:spacing w:before="100" w:beforeAutospacing="1" w:after="100" w:afterAutospacing="1"/>
        <w:outlineLvl w:val="3"/>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44 – </w:t>
      </w:r>
      <w:r w:rsidR="007929E8" w:rsidRPr="000145D0">
        <w:rPr>
          <w:rFonts w:asciiTheme="minorHAnsi" w:eastAsia="Calibri" w:hAnsiTheme="minorHAnsi" w:cstheme="minorHAnsi"/>
          <w:b/>
          <w:sz w:val="24"/>
          <w:szCs w:val="24"/>
        </w:rPr>
        <w:t>Public advocate to be told about action following appraisals Section 507(1)(a) and</w:t>
      </w:r>
      <w:r w:rsidR="00A946C0">
        <w:rPr>
          <w:rFonts w:asciiTheme="minorHAnsi" w:eastAsia="Calibri" w:hAnsiTheme="minorHAnsi" w:cstheme="minorHAnsi"/>
          <w:b/>
          <w:sz w:val="24"/>
          <w:szCs w:val="24"/>
        </w:rPr>
        <w:t xml:space="preserve"> </w:t>
      </w:r>
      <w:r w:rsidR="007929E8" w:rsidRPr="000145D0">
        <w:rPr>
          <w:rFonts w:asciiTheme="minorHAnsi" w:eastAsia="Calibri" w:hAnsiTheme="minorHAnsi" w:cstheme="minorHAnsi"/>
          <w:b/>
          <w:sz w:val="24"/>
          <w:szCs w:val="24"/>
        </w:rPr>
        <w:t>(b)</w:t>
      </w:r>
    </w:p>
    <w:p w14:paraId="3B0C0F03" w14:textId="4A28D588" w:rsidR="00A25BAE" w:rsidRPr="000145D0" w:rsidRDefault="007929E8" w:rsidP="000165E8">
      <w:pPr>
        <w:pStyle w:val="Default"/>
        <w:spacing w:before="100" w:beforeAutospacing="1" w:after="100" w:afterAutospacing="1"/>
        <w:rPr>
          <w:rFonts w:asciiTheme="minorHAnsi" w:hAnsiTheme="minorHAnsi" w:cstheme="minorHAnsi"/>
        </w:rPr>
      </w:pPr>
      <w:r w:rsidRPr="000145D0">
        <w:rPr>
          <w:rFonts w:asciiTheme="minorHAnsi" w:hAnsiTheme="minorHAnsi" w:cstheme="minorHAnsi"/>
        </w:rPr>
        <w:t>This clause substitutes current s</w:t>
      </w:r>
      <w:r w:rsidR="00C62B89" w:rsidRPr="000145D0">
        <w:rPr>
          <w:rFonts w:asciiTheme="minorHAnsi" w:hAnsiTheme="minorHAnsi" w:cstheme="minorHAnsi"/>
        </w:rPr>
        <w:t>ection</w:t>
      </w:r>
      <w:r w:rsidRPr="000145D0">
        <w:rPr>
          <w:rFonts w:asciiTheme="minorHAnsi" w:hAnsiTheme="minorHAnsi" w:cstheme="minorHAnsi"/>
        </w:rPr>
        <w:t xml:space="preserve"> 507(1)(a) and (b) with a provision for the director-general to tell the public advocate about action following appraisals wher</w:t>
      </w:r>
      <w:r w:rsidR="00A25BAE" w:rsidRPr="000145D0">
        <w:rPr>
          <w:rFonts w:asciiTheme="minorHAnsi" w:hAnsiTheme="minorHAnsi" w:cstheme="minorHAnsi"/>
        </w:rPr>
        <w:t>e:</w:t>
      </w:r>
    </w:p>
    <w:p w14:paraId="395C12F0" w14:textId="0A8B46EA" w:rsidR="00A25BAE" w:rsidRPr="00801ACE" w:rsidRDefault="007929E8" w:rsidP="00CD1D78">
      <w:pPr>
        <w:pStyle w:val="ListParagraph"/>
        <w:numPr>
          <w:ilvl w:val="0"/>
          <w:numId w:val="19"/>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lastRenderedPageBreak/>
        <w:t xml:space="preserve">the director-general receives a voluntary report or a mandatory report about a child or young person; and </w:t>
      </w:r>
    </w:p>
    <w:p w14:paraId="76244832" w14:textId="130262A0" w:rsidR="007D6928" w:rsidRPr="00801ACE" w:rsidRDefault="007929E8" w:rsidP="00CD1D78">
      <w:pPr>
        <w:pStyle w:val="ListParagraph"/>
        <w:numPr>
          <w:ilvl w:val="0"/>
          <w:numId w:val="19"/>
        </w:numPr>
        <w:spacing w:before="120"/>
        <w:rPr>
          <w:rFonts w:asciiTheme="minorHAnsi" w:eastAsia="Calibri" w:hAnsiTheme="minorHAnsi" w:cstheme="minorHAnsi"/>
          <w:sz w:val="24"/>
          <w:szCs w:val="24"/>
        </w:rPr>
      </w:pPr>
      <w:r w:rsidRPr="00801ACE">
        <w:rPr>
          <w:rFonts w:asciiTheme="minorHAnsi" w:eastAsia="Calibri" w:hAnsiTheme="minorHAnsi" w:cstheme="minorHAnsi"/>
          <w:sz w:val="24"/>
          <w:szCs w:val="24"/>
        </w:rPr>
        <w:t xml:space="preserve">because of the report, the director-general believes the child or young person is at risk of significant harm. </w:t>
      </w:r>
    </w:p>
    <w:p w14:paraId="4067D156" w14:textId="6F1E8AFB" w:rsidR="007929E8" w:rsidRPr="000145D0" w:rsidRDefault="00F26B11" w:rsidP="000165E8">
      <w:pPr>
        <w:pStyle w:val="Default"/>
        <w:spacing w:before="100" w:beforeAutospacing="1" w:after="100" w:afterAutospacing="1"/>
        <w:rPr>
          <w:rFonts w:asciiTheme="minorHAnsi" w:eastAsia="Calibri" w:hAnsiTheme="minorHAnsi" w:cstheme="minorHAnsi"/>
          <w:b/>
        </w:rPr>
      </w:pPr>
      <w:r w:rsidRPr="000145D0">
        <w:rPr>
          <w:rFonts w:asciiTheme="minorHAnsi" w:eastAsia="Calibri" w:hAnsiTheme="minorHAnsi" w:cstheme="minorHAnsi"/>
          <w:b/>
        </w:rPr>
        <w:t>Clause 45 – Sections 644(b) and 651(1)(b)</w:t>
      </w:r>
    </w:p>
    <w:p w14:paraId="1C70A1C0" w14:textId="63B1E079" w:rsidR="007D232D" w:rsidRPr="007D232D" w:rsidRDefault="00F26B11" w:rsidP="000165E8">
      <w:pPr>
        <w:spacing w:before="100" w:beforeAutospacing="1" w:after="100" w:afterAutospacing="1"/>
        <w:rPr>
          <w:rFonts w:asciiTheme="minorHAnsi" w:hAnsiTheme="minorHAnsi" w:cstheme="minorHAnsi"/>
          <w:bCs/>
          <w:sz w:val="24"/>
          <w:szCs w:val="24"/>
        </w:rPr>
      </w:pPr>
      <w:r w:rsidRPr="000145D0">
        <w:rPr>
          <w:rFonts w:asciiTheme="minorHAnsi" w:eastAsia="Calibri" w:hAnsiTheme="minorHAnsi" w:cstheme="minorHAnsi"/>
          <w:bCs/>
          <w:sz w:val="24"/>
          <w:szCs w:val="24"/>
        </w:rPr>
        <w:t xml:space="preserve">This clause revises wording from </w:t>
      </w:r>
      <w:r w:rsidR="00D122B3">
        <w:rPr>
          <w:rFonts w:asciiTheme="minorHAnsi" w:eastAsia="Calibri" w:hAnsiTheme="minorHAnsi" w:cstheme="minorHAnsi"/>
          <w:bCs/>
          <w:sz w:val="24"/>
          <w:szCs w:val="24"/>
        </w:rPr>
        <w:t>“</w:t>
      </w:r>
      <w:r w:rsidRPr="000145D0">
        <w:rPr>
          <w:rFonts w:asciiTheme="minorHAnsi" w:hAnsiTheme="minorHAnsi" w:cstheme="minorHAnsi"/>
          <w:bCs/>
          <w:sz w:val="24"/>
          <w:szCs w:val="24"/>
        </w:rPr>
        <w:t>section 10 (Aboriginal and Torres Strait Islander children and young people principle)</w:t>
      </w:r>
      <w:r w:rsidR="00D122B3">
        <w:rPr>
          <w:rFonts w:asciiTheme="minorHAnsi" w:hAnsiTheme="minorHAnsi" w:cstheme="minorHAnsi"/>
          <w:bCs/>
          <w:sz w:val="24"/>
          <w:szCs w:val="24"/>
        </w:rPr>
        <w:t>”</w:t>
      </w:r>
      <w:r w:rsidR="00A946C0">
        <w:rPr>
          <w:rFonts w:asciiTheme="minorHAnsi" w:hAnsiTheme="minorHAnsi" w:cstheme="minorHAnsi"/>
          <w:bCs/>
          <w:sz w:val="24"/>
          <w:szCs w:val="24"/>
        </w:rPr>
        <w:t xml:space="preserve"> </w:t>
      </w:r>
      <w:r w:rsidRPr="000145D0">
        <w:rPr>
          <w:rFonts w:asciiTheme="minorHAnsi" w:hAnsiTheme="minorHAnsi" w:cstheme="minorHAnsi"/>
          <w:bCs/>
          <w:sz w:val="24"/>
          <w:szCs w:val="24"/>
        </w:rPr>
        <w:t xml:space="preserve">to </w:t>
      </w:r>
      <w:r w:rsidR="00D122B3">
        <w:rPr>
          <w:rFonts w:asciiTheme="minorHAnsi" w:hAnsiTheme="minorHAnsi" w:cstheme="minorHAnsi"/>
          <w:bCs/>
          <w:sz w:val="24"/>
          <w:szCs w:val="24"/>
        </w:rPr>
        <w:t>“</w:t>
      </w:r>
      <w:r w:rsidRPr="000145D0">
        <w:rPr>
          <w:rFonts w:asciiTheme="minorHAnsi" w:hAnsiTheme="minorHAnsi" w:cstheme="minorHAnsi"/>
          <w:bCs/>
          <w:sz w:val="24"/>
          <w:szCs w:val="24"/>
        </w:rPr>
        <w:t>section 10 (Aboriginal and Torres Strait Islander children and young people—placement principles)</w:t>
      </w:r>
      <w:r w:rsidR="00D122B3">
        <w:rPr>
          <w:rFonts w:asciiTheme="minorHAnsi" w:hAnsiTheme="minorHAnsi" w:cstheme="minorHAnsi"/>
          <w:bCs/>
          <w:sz w:val="24"/>
          <w:szCs w:val="24"/>
        </w:rPr>
        <w:t>”</w:t>
      </w:r>
      <w:r w:rsidRPr="000145D0">
        <w:rPr>
          <w:rFonts w:asciiTheme="minorHAnsi" w:hAnsiTheme="minorHAnsi" w:cstheme="minorHAnsi"/>
          <w:bCs/>
          <w:sz w:val="24"/>
          <w:szCs w:val="24"/>
        </w:rPr>
        <w:t>.</w:t>
      </w:r>
    </w:p>
    <w:p w14:paraId="5C276D3B" w14:textId="2087FFE4" w:rsidR="007929E8" w:rsidRPr="000145D0" w:rsidRDefault="007929E8"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F1417E" w:rsidRPr="000145D0">
        <w:rPr>
          <w:rFonts w:asciiTheme="minorHAnsi" w:eastAsia="Calibri" w:hAnsiTheme="minorHAnsi" w:cstheme="minorHAnsi"/>
          <w:b/>
          <w:sz w:val="24"/>
          <w:szCs w:val="24"/>
        </w:rPr>
        <w:t>4</w:t>
      </w:r>
      <w:r w:rsidR="00964042" w:rsidRPr="000145D0">
        <w:rPr>
          <w:rFonts w:asciiTheme="minorHAnsi" w:eastAsia="Calibri" w:hAnsiTheme="minorHAnsi" w:cstheme="minorHAnsi"/>
          <w:b/>
          <w:sz w:val="24"/>
          <w:szCs w:val="24"/>
        </w:rPr>
        <w:t>6</w:t>
      </w:r>
      <w:r w:rsidRPr="000145D0">
        <w:rPr>
          <w:rFonts w:asciiTheme="minorHAnsi" w:eastAsia="Calibri" w:hAnsiTheme="minorHAnsi" w:cstheme="minorHAnsi"/>
          <w:b/>
          <w:sz w:val="24"/>
          <w:szCs w:val="24"/>
        </w:rPr>
        <w:t xml:space="preserve"> – Functions of committee Section 727B(1)</w:t>
      </w:r>
    </w:p>
    <w:p w14:paraId="3E040683" w14:textId="1FF28B52" w:rsidR="001177EF" w:rsidRDefault="007929E8"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 xml:space="preserve">This clause </w:t>
      </w:r>
      <w:r w:rsidR="00DD2317">
        <w:rPr>
          <w:rFonts w:asciiTheme="minorHAnsi" w:hAnsiTheme="minorHAnsi" w:cstheme="minorHAnsi"/>
          <w:sz w:val="24"/>
          <w:szCs w:val="24"/>
        </w:rPr>
        <w:t xml:space="preserve">revises </w:t>
      </w:r>
      <w:r w:rsidRPr="000145D0">
        <w:rPr>
          <w:rFonts w:asciiTheme="minorHAnsi" w:hAnsiTheme="minorHAnsi" w:cstheme="minorHAnsi"/>
          <w:sz w:val="24"/>
          <w:szCs w:val="24"/>
        </w:rPr>
        <w:t xml:space="preserve">the functions of the </w:t>
      </w:r>
      <w:r w:rsidR="00A946C0" w:rsidRPr="000145D0">
        <w:rPr>
          <w:rFonts w:asciiTheme="minorHAnsi" w:eastAsia="Calibri" w:hAnsiTheme="minorHAnsi" w:cstheme="minorHAnsi"/>
          <w:sz w:val="24"/>
          <w:szCs w:val="24"/>
          <w:lang w:eastAsia="en-AU"/>
        </w:rPr>
        <w:t>Children and Young People Death Review Committee</w:t>
      </w:r>
      <w:r w:rsidR="00DD2317">
        <w:rPr>
          <w:rFonts w:asciiTheme="minorHAnsi" w:eastAsia="Calibri" w:hAnsiTheme="minorHAnsi" w:cstheme="minorHAnsi"/>
          <w:sz w:val="24"/>
          <w:szCs w:val="24"/>
          <w:lang w:eastAsia="en-AU"/>
        </w:rPr>
        <w:t xml:space="preserve"> as:</w:t>
      </w:r>
    </w:p>
    <w:p w14:paraId="1A6E09B1" w14:textId="42BD47BB" w:rsidR="00DD2317" w:rsidRPr="00DD2317" w:rsidRDefault="00DD2317" w:rsidP="00CD1D78">
      <w:pPr>
        <w:pStyle w:val="ListParagraph"/>
        <w:numPr>
          <w:ilvl w:val="0"/>
          <w:numId w:val="20"/>
        </w:numPr>
        <w:spacing w:before="120"/>
        <w:rPr>
          <w:rFonts w:asciiTheme="minorHAnsi" w:eastAsia="Calibri" w:hAnsiTheme="minorHAnsi" w:cstheme="minorHAnsi"/>
          <w:sz w:val="24"/>
          <w:szCs w:val="24"/>
        </w:rPr>
      </w:pPr>
      <w:r w:rsidRPr="00DD2317">
        <w:rPr>
          <w:rFonts w:asciiTheme="minorHAnsi" w:eastAsia="Calibri" w:hAnsiTheme="minorHAnsi" w:cstheme="minorHAnsi"/>
          <w:sz w:val="24"/>
          <w:szCs w:val="24"/>
        </w:rPr>
        <w:t>to keep a register of deaths of children and young people under part 19A.3;</w:t>
      </w:r>
    </w:p>
    <w:p w14:paraId="669B9089" w14:textId="35F9A67C" w:rsidR="00DD2317" w:rsidRPr="00DD2317" w:rsidRDefault="00DD2317" w:rsidP="00CD1D78">
      <w:pPr>
        <w:pStyle w:val="ListParagraph"/>
        <w:numPr>
          <w:ilvl w:val="0"/>
          <w:numId w:val="20"/>
        </w:numPr>
        <w:spacing w:before="120"/>
        <w:ind w:left="1276" w:hanging="357"/>
        <w:rPr>
          <w:rFonts w:asciiTheme="minorHAnsi" w:eastAsia="Calibri" w:hAnsiTheme="minorHAnsi" w:cstheme="minorHAnsi"/>
          <w:sz w:val="24"/>
          <w:szCs w:val="24"/>
        </w:rPr>
      </w:pPr>
      <w:r w:rsidRPr="00DD2317">
        <w:rPr>
          <w:rFonts w:asciiTheme="minorHAnsi" w:eastAsia="Calibri" w:hAnsiTheme="minorHAnsi" w:cstheme="minorHAnsi"/>
          <w:sz w:val="24"/>
          <w:szCs w:val="24"/>
        </w:rPr>
        <w:t>to report to the Minister in relation to deaths of children and young people under part 19A.4;</w:t>
      </w:r>
    </w:p>
    <w:p w14:paraId="75D05C91" w14:textId="30F640D7" w:rsidR="00DD2317" w:rsidRPr="00DD2317" w:rsidRDefault="00DD2317" w:rsidP="00CD1D78">
      <w:pPr>
        <w:pStyle w:val="ListParagraph"/>
        <w:numPr>
          <w:ilvl w:val="0"/>
          <w:numId w:val="20"/>
        </w:numPr>
        <w:spacing w:before="120"/>
        <w:ind w:left="1276" w:hanging="357"/>
        <w:rPr>
          <w:rFonts w:asciiTheme="minorHAnsi" w:eastAsia="Calibri" w:hAnsiTheme="minorHAnsi" w:cstheme="minorHAnsi"/>
          <w:sz w:val="24"/>
          <w:szCs w:val="24"/>
        </w:rPr>
      </w:pPr>
      <w:r w:rsidRPr="00DD2317">
        <w:rPr>
          <w:rFonts w:asciiTheme="minorHAnsi" w:eastAsia="Calibri" w:hAnsiTheme="minorHAnsi" w:cstheme="minorHAnsi"/>
          <w:sz w:val="24"/>
          <w:szCs w:val="24"/>
        </w:rPr>
        <w:t>to identify patterns and trends in relation to deaths or serious injuries of children, young people and young adults.</w:t>
      </w:r>
    </w:p>
    <w:p w14:paraId="5BC7C7B1" w14:textId="29CF580D" w:rsidR="00DD2317" w:rsidRPr="00DD2317" w:rsidRDefault="00DD2317" w:rsidP="00CD1D78">
      <w:pPr>
        <w:pStyle w:val="ListParagraph"/>
        <w:numPr>
          <w:ilvl w:val="0"/>
          <w:numId w:val="20"/>
        </w:numPr>
        <w:spacing w:before="120"/>
        <w:ind w:left="1276" w:hanging="357"/>
        <w:rPr>
          <w:rFonts w:asciiTheme="minorHAnsi" w:eastAsia="Calibri" w:hAnsiTheme="minorHAnsi" w:cstheme="minorHAnsi"/>
          <w:sz w:val="24"/>
          <w:szCs w:val="24"/>
        </w:rPr>
      </w:pPr>
      <w:r w:rsidRPr="00DD2317">
        <w:rPr>
          <w:rFonts w:asciiTheme="minorHAnsi" w:eastAsia="Calibri" w:hAnsiTheme="minorHAnsi" w:cstheme="minorHAnsi"/>
          <w:sz w:val="24"/>
          <w:szCs w:val="24"/>
        </w:rPr>
        <w:t>to identify areas requiring further research, by the committee or another entity, that arise from the identified patterns and trends.</w:t>
      </w:r>
    </w:p>
    <w:p w14:paraId="749E5384" w14:textId="3A13E161" w:rsidR="00DD2317" w:rsidRPr="00DD2317" w:rsidRDefault="00DD2317" w:rsidP="00CD1D78">
      <w:pPr>
        <w:pStyle w:val="ListParagraph"/>
        <w:numPr>
          <w:ilvl w:val="0"/>
          <w:numId w:val="20"/>
        </w:numPr>
        <w:spacing w:before="120"/>
        <w:ind w:left="1276" w:hanging="357"/>
        <w:rPr>
          <w:rFonts w:asciiTheme="minorHAnsi" w:eastAsia="Calibri" w:hAnsiTheme="minorHAnsi" w:cstheme="minorHAnsi"/>
          <w:sz w:val="24"/>
          <w:szCs w:val="24"/>
        </w:rPr>
      </w:pPr>
      <w:r w:rsidRPr="00DD2317">
        <w:rPr>
          <w:rFonts w:asciiTheme="minorHAnsi" w:eastAsia="Calibri" w:hAnsiTheme="minorHAnsi" w:cstheme="minorHAnsi"/>
          <w:sz w:val="24"/>
          <w:szCs w:val="24"/>
        </w:rPr>
        <w:t>to undertake research that aims to help prevent or reduce the likelihood of deaths or serious injuries of children, young people and young adults.</w:t>
      </w:r>
    </w:p>
    <w:p w14:paraId="0B340B35" w14:textId="26D31F29" w:rsidR="00DD2317" w:rsidRPr="00DD2317" w:rsidRDefault="00DD2317" w:rsidP="00CD1D78">
      <w:pPr>
        <w:pStyle w:val="ListParagraph"/>
        <w:numPr>
          <w:ilvl w:val="0"/>
          <w:numId w:val="20"/>
        </w:numPr>
        <w:spacing w:before="120"/>
        <w:ind w:left="1276" w:hanging="357"/>
        <w:rPr>
          <w:rFonts w:asciiTheme="minorHAnsi" w:eastAsia="Calibri" w:hAnsiTheme="minorHAnsi" w:cstheme="minorHAnsi"/>
          <w:sz w:val="24"/>
          <w:szCs w:val="24"/>
        </w:rPr>
      </w:pPr>
      <w:r w:rsidRPr="00DD2317">
        <w:rPr>
          <w:rFonts w:asciiTheme="minorHAnsi" w:eastAsia="Calibri" w:hAnsiTheme="minorHAnsi" w:cstheme="minorHAnsi"/>
          <w:sz w:val="24"/>
          <w:szCs w:val="24"/>
        </w:rPr>
        <w:t>to make recommendations about legislation, policies, practices and services for implementation by the Territory and non-government bodies to help prevent or reduce the likelihood of deaths or serious injuries of children, young people and young adults.</w:t>
      </w:r>
    </w:p>
    <w:p w14:paraId="18F4C6CD" w14:textId="5DF52EB8" w:rsidR="00DD2317" w:rsidRPr="00DD2317" w:rsidRDefault="00DD2317" w:rsidP="00CD1D78">
      <w:pPr>
        <w:pStyle w:val="ListParagraph"/>
        <w:numPr>
          <w:ilvl w:val="0"/>
          <w:numId w:val="20"/>
        </w:numPr>
        <w:spacing w:before="120"/>
        <w:ind w:left="1276" w:hanging="357"/>
        <w:rPr>
          <w:rFonts w:asciiTheme="minorHAnsi" w:eastAsia="Calibri" w:hAnsiTheme="minorHAnsi" w:cstheme="minorHAnsi"/>
          <w:sz w:val="24"/>
          <w:szCs w:val="24"/>
        </w:rPr>
      </w:pPr>
      <w:r w:rsidRPr="00DD2317">
        <w:rPr>
          <w:rFonts w:asciiTheme="minorHAnsi" w:eastAsia="Calibri" w:hAnsiTheme="minorHAnsi" w:cstheme="minorHAnsi"/>
          <w:sz w:val="24"/>
          <w:szCs w:val="24"/>
        </w:rPr>
        <w:t>to monitor the implementation of the committee</w:t>
      </w:r>
      <w:r w:rsidR="00D122B3">
        <w:rPr>
          <w:rFonts w:asciiTheme="minorHAnsi" w:eastAsia="Calibri" w:hAnsiTheme="minorHAnsi" w:cstheme="minorHAnsi"/>
          <w:sz w:val="24"/>
          <w:szCs w:val="24"/>
        </w:rPr>
        <w:t>’</w:t>
      </w:r>
      <w:r w:rsidRPr="00DD2317">
        <w:rPr>
          <w:rFonts w:asciiTheme="minorHAnsi" w:eastAsia="Calibri" w:hAnsiTheme="minorHAnsi" w:cstheme="minorHAnsi"/>
          <w:sz w:val="24"/>
          <w:szCs w:val="24"/>
        </w:rPr>
        <w:t>s recommendations.</w:t>
      </w:r>
    </w:p>
    <w:p w14:paraId="4C288749" w14:textId="237D4017" w:rsidR="00DD2317" w:rsidRPr="00DD2317" w:rsidRDefault="00DD2317" w:rsidP="00CD1D78">
      <w:pPr>
        <w:pStyle w:val="ListParagraph"/>
        <w:numPr>
          <w:ilvl w:val="0"/>
          <w:numId w:val="20"/>
        </w:numPr>
        <w:spacing w:before="120"/>
        <w:ind w:left="1276" w:hanging="357"/>
        <w:rPr>
          <w:rFonts w:asciiTheme="minorHAnsi" w:eastAsia="Calibri" w:hAnsiTheme="minorHAnsi" w:cstheme="minorHAnsi"/>
          <w:sz w:val="24"/>
          <w:szCs w:val="24"/>
        </w:rPr>
      </w:pPr>
      <w:r w:rsidRPr="00DD2317">
        <w:rPr>
          <w:rFonts w:asciiTheme="minorHAnsi" w:eastAsia="Calibri" w:hAnsiTheme="minorHAnsi" w:cstheme="minorHAnsi"/>
          <w:sz w:val="24"/>
          <w:szCs w:val="24"/>
        </w:rPr>
        <w:t>any other function given to the committee under this chapter.</w:t>
      </w:r>
    </w:p>
    <w:p w14:paraId="7789D5DC" w14:textId="2F438E2C" w:rsidR="001177EF" w:rsidRPr="000145D0" w:rsidRDefault="001177EF"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F1417E" w:rsidRPr="000145D0">
        <w:rPr>
          <w:rFonts w:asciiTheme="minorHAnsi" w:eastAsia="Calibri" w:hAnsiTheme="minorHAnsi" w:cstheme="minorHAnsi"/>
          <w:b/>
          <w:sz w:val="24"/>
          <w:szCs w:val="24"/>
        </w:rPr>
        <w:t>4</w:t>
      </w:r>
      <w:r w:rsidR="00964042" w:rsidRPr="000145D0">
        <w:rPr>
          <w:rFonts w:asciiTheme="minorHAnsi" w:eastAsia="Calibri" w:hAnsiTheme="minorHAnsi" w:cstheme="minorHAnsi"/>
          <w:b/>
          <w:sz w:val="24"/>
          <w:szCs w:val="24"/>
        </w:rPr>
        <w:t>7</w:t>
      </w:r>
      <w:r w:rsidRPr="000145D0">
        <w:rPr>
          <w:rFonts w:asciiTheme="minorHAnsi" w:eastAsia="Calibri" w:hAnsiTheme="minorHAnsi" w:cstheme="minorHAnsi"/>
          <w:b/>
          <w:sz w:val="24"/>
          <w:szCs w:val="24"/>
        </w:rPr>
        <w:t xml:space="preserve"> – New section 727B(3)</w:t>
      </w:r>
    </w:p>
    <w:p w14:paraId="7359B7FD" w14:textId="2F77BF4C" w:rsidR="00951894" w:rsidRDefault="00DD2317" w:rsidP="000165E8">
      <w:pPr>
        <w:spacing w:before="100" w:beforeAutospacing="1" w:after="100" w:afterAutospacing="1"/>
        <w:rPr>
          <w:rFonts w:asciiTheme="minorHAnsi" w:eastAsia="Calibri" w:hAnsiTheme="minorHAnsi" w:cstheme="minorHAnsi"/>
          <w:sz w:val="24"/>
          <w:szCs w:val="24"/>
          <w:lang w:eastAsia="en-AU"/>
        </w:rPr>
      </w:pPr>
      <w:r w:rsidRPr="00DD2317">
        <w:rPr>
          <w:rFonts w:asciiTheme="minorHAnsi" w:eastAsia="Calibri" w:hAnsiTheme="minorHAnsi" w:cstheme="minorHAnsi"/>
          <w:sz w:val="24"/>
          <w:szCs w:val="24"/>
          <w:lang w:eastAsia="en-AU"/>
        </w:rPr>
        <w:t xml:space="preserve">This clause inserts a new provision </w:t>
      </w:r>
      <w:r>
        <w:rPr>
          <w:rFonts w:asciiTheme="minorHAnsi" w:eastAsia="Calibri" w:hAnsiTheme="minorHAnsi" w:cstheme="minorHAnsi"/>
          <w:sz w:val="24"/>
          <w:szCs w:val="24"/>
          <w:lang w:eastAsia="en-AU"/>
        </w:rPr>
        <w:t xml:space="preserve">that </w:t>
      </w:r>
      <w:r w:rsidR="00951894">
        <w:rPr>
          <w:rFonts w:asciiTheme="minorHAnsi" w:eastAsia="Calibri" w:hAnsiTheme="minorHAnsi" w:cstheme="minorHAnsi"/>
          <w:sz w:val="24"/>
          <w:szCs w:val="24"/>
          <w:lang w:eastAsia="en-AU"/>
        </w:rPr>
        <w:t xml:space="preserve">clarifies that a </w:t>
      </w:r>
      <w:r w:rsidR="001177EF" w:rsidRPr="000145D0">
        <w:rPr>
          <w:rFonts w:asciiTheme="minorHAnsi" w:eastAsia="Calibri" w:hAnsiTheme="minorHAnsi" w:cstheme="minorHAnsi"/>
          <w:sz w:val="24"/>
          <w:szCs w:val="24"/>
          <w:lang w:eastAsia="en-AU"/>
        </w:rPr>
        <w:t>young adult</w:t>
      </w:r>
      <w:r w:rsidR="00E41030">
        <w:rPr>
          <w:rFonts w:asciiTheme="minorHAnsi" w:eastAsia="Calibri" w:hAnsiTheme="minorHAnsi" w:cstheme="minorHAnsi"/>
          <w:sz w:val="24"/>
          <w:szCs w:val="24"/>
          <w:lang w:eastAsia="en-AU"/>
        </w:rPr>
        <w:t xml:space="preserve"> </w:t>
      </w:r>
      <w:r w:rsidR="00951894">
        <w:rPr>
          <w:rFonts w:asciiTheme="minorHAnsi" w:eastAsia="Calibri" w:hAnsiTheme="minorHAnsi" w:cstheme="minorHAnsi"/>
          <w:sz w:val="24"/>
          <w:szCs w:val="24"/>
          <w:lang w:eastAsia="en-AU"/>
        </w:rPr>
        <w:t xml:space="preserve">refers to </w:t>
      </w:r>
      <w:r w:rsidR="00951894" w:rsidRPr="00951894">
        <w:rPr>
          <w:rFonts w:asciiTheme="minorHAnsi" w:eastAsia="Calibri" w:hAnsiTheme="minorHAnsi" w:cstheme="minorHAnsi"/>
          <w:sz w:val="24"/>
          <w:szCs w:val="24"/>
          <w:lang w:eastAsia="en-AU"/>
        </w:rPr>
        <w:t>an adult who is younger than 25 years old.</w:t>
      </w:r>
    </w:p>
    <w:p w14:paraId="1D0DC9C7" w14:textId="4DB1FB03" w:rsidR="001177EF" w:rsidRPr="000145D0" w:rsidRDefault="001177EF"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F1417E" w:rsidRPr="000145D0">
        <w:rPr>
          <w:rFonts w:asciiTheme="minorHAnsi" w:eastAsia="Calibri" w:hAnsiTheme="minorHAnsi" w:cstheme="minorHAnsi"/>
          <w:b/>
          <w:sz w:val="24"/>
          <w:szCs w:val="24"/>
        </w:rPr>
        <w:t>4</w:t>
      </w:r>
      <w:r w:rsidR="00964042" w:rsidRPr="000145D0">
        <w:rPr>
          <w:rFonts w:asciiTheme="minorHAnsi" w:eastAsia="Calibri" w:hAnsiTheme="minorHAnsi" w:cstheme="minorHAnsi"/>
          <w:b/>
          <w:sz w:val="24"/>
          <w:szCs w:val="24"/>
        </w:rPr>
        <w:t>8</w:t>
      </w:r>
      <w:r w:rsidRPr="000145D0">
        <w:rPr>
          <w:rFonts w:asciiTheme="minorHAnsi" w:eastAsia="Calibri" w:hAnsiTheme="minorHAnsi" w:cstheme="minorHAnsi"/>
          <w:b/>
          <w:sz w:val="24"/>
          <w:szCs w:val="24"/>
        </w:rPr>
        <w:t xml:space="preserve"> – Appointment of committee members New Section 727D(2)(a)(xiii) </w:t>
      </w:r>
    </w:p>
    <w:p w14:paraId="7BF3DF7B" w14:textId="57D6023E" w:rsidR="001177EF" w:rsidRPr="000145D0" w:rsidRDefault="001177EF" w:rsidP="000165E8">
      <w:pPr>
        <w:spacing w:before="100" w:beforeAutospacing="1" w:after="100" w:afterAutospacing="1"/>
        <w:rPr>
          <w:rFonts w:asciiTheme="minorHAnsi" w:hAnsiTheme="minorHAnsi" w:cstheme="minorHAnsi"/>
          <w:sz w:val="24"/>
          <w:szCs w:val="24"/>
        </w:rPr>
      </w:pPr>
      <w:r w:rsidRPr="000145D0">
        <w:rPr>
          <w:rFonts w:asciiTheme="minorHAnsi" w:eastAsia="Calibri" w:hAnsiTheme="minorHAnsi" w:cstheme="minorHAnsi"/>
          <w:sz w:val="24"/>
          <w:szCs w:val="24"/>
          <w:lang w:eastAsia="en-AU"/>
        </w:rPr>
        <w:t xml:space="preserve">This clause </w:t>
      </w:r>
      <w:r w:rsidR="00E41030" w:rsidRPr="000145D0">
        <w:rPr>
          <w:rFonts w:asciiTheme="minorHAnsi" w:eastAsia="Calibri" w:hAnsiTheme="minorHAnsi" w:cstheme="minorHAnsi"/>
          <w:sz w:val="24"/>
          <w:szCs w:val="24"/>
          <w:lang w:eastAsia="en-AU"/>
        </w:rPr>
        <w:t>specifie</w:t>
      </w:r>
      <w:r w:rsidR="00E41030">
        <w:rPr>
          <w:rFonts w:asciiTheme="minorHAnsi" w:eastAsia="Calibri" w:hAnsiTheme="minorHAnsi" w:cstheme="minorHAnsi"/>
          <w:sz w:val="24"/>
          <w:szCs w:val="24"/>
          <w:lang w:eastAsia="en-AU"/>
        </w:rPr>
        <w:t>s</w:t>
      </w:r>
      <w:r w:rsidRPr="000145D0">
        <w:rPr>
          <w:rFonts w:asciiTheme="minorHAnsi" w:eastAsia="Calibri" w:hAnsiTheme="minorHAnsi" w:cstheme="minorHAnsi"/>
          <w:sz w:val="24"/>
          <w:szCs w:val="24"/>
          <w:lang w:eastAsia="en-AU"/>
        </w:rPr>
        <w:t xml:space="preserve"> that a person may be appointed to the Children and Young People Death Review Committee if they have qualifications, experience or expertise in coronial law and practice. </w:t>
      </w:r>
    </w:p>
    <w:p w14:paraId="03BDDA13" w14:textId="4875F7C8" w:rsidR="001177EF" w:rsidRPr="000145D0" w:rsidRDefault="001177EF"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lastRenderedPageBreak/>
        <w:t xml:space="preserve">Clause </w:t>
      </w:r>
      <w:r w:rsidR="00964042" w:rsidRPr="000145D0">
        <w:rPr>
          <w:rFonts w:asciiTheme="minorHAnsi" w:eastAsia="Calibri" w:hAnsiTheme="minorHAnsi" w:cstheme="minorHAnsi"/>
          <w:b/>
          <w:sz w:val="24"/>
          <w:szCs w:val="24"/>
        </w:rPr>
        <w:t>49</w:t>
      </w:r>
      <w:r w:rsidR="00F1417E" w:rsidRPr="000145D0">
        <w:rPr>
          <w:rFonts w:asciiTheme="minorHAnsi" w:eastAsia="Calibri" w:hAnsiTheme="minorHAnsi" w:cstheme="minorHAnsi"/>
          <w:b/>
          <w:sz w:val="24"/>
          <w:szCs w:val="24"/>
        </w:rPr>
        <w:t xml:space="preserve"> </w:t>
      </w:r>
      <w:r w:rsidRPr="000145D0">
        <w:rPr>
          <w:rFonts w:asciiTheme="minorHAnsi" w:eastAsia="Calibri" w:hAnsiTheme="minorHAnsi" w:cstheme="minorHAnsi"/>
          <w:b/>
          <w:sz w:val="24"/>
          <w:szCs w:val="24"/>
        </w:rPr>
        <w:t xml:space="preserve">– New section 727D(D)(d) </w:t>
      </w:r>
    </w:p>
    <w:p w14:paraId="12C5CE71" w14:textId="3DEC51F3" w:rsidR="001177EF" w:rsidRPr="000145D0" w:rsidRDefault="001177EF" w:rsidP="00A25BAE">
      <w:pPr>
        <w:spacing w:before="100" w:beforeAutospacing="1" w:after="100" w:afterAutospacing="1"/>
        <w:rPr>
          <w:rFonts w:asciiTheme="minorHAnsi" w:hAnsiTheme="minorHAnsi" w:cstheme="minorHAnsi"/>
          <w:sz w:val="24"/>
          <w:szCs w:val="24"/>
        </w:rPr>
      </w:pPr>
      <w:r w:rsidRPr="000145D0">
        <w:rPr>
          <w:rFonts w:asciiTheme="minorHAnsi" w:eastAsia="Calibri" w:hAnsiTheme="minorHAnsi" w:cstheme="minorHAnsi"/>
          <w:sz w:val="24"/>
          <w:szCs w:val="24"/>
          <w:lang w:eastAsia="en-AU"/>
        </w:rPr>
        <w:t xml:space="preserve">This clause inserts a new provision, allowing the Minister to appoint a person to the Children and Young People Death Review Committee if they are a public servant working in the administrative unit responsible for the </w:t>
      </w:r>
      <w:r w:rsidRPr="000145D0">
        <w:rPr>
          <w:rFonts w:asciiTheme="minorHAnsi" w:eastAsia="Calibri" w:hAnsiTheme="minorHAnsi" w:cstheme="minorHAnsi"/>
          <w:i/>
          <w:iCs/>
          <w:sz w:val="24"/>
          <w:szCs w:val="24"/>
          <w:lang w:eastAsia="en-AU"/>
        </w:rPr>
        <w:t xml:space="preserve">Education Act 2004. </w:t>
      </w:r>
    </w:p>
    <w:p w14:paraId="3EDE7F97" w14:textId="42B5BAB1" w:rsidR="001177EF" w:rsidRPr="000145D0" w:rsidRDefault="001177EF"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F1417E" w:rsidRPr="000145D0">
        <w:rPr>
          <w:rFonts w:asciiTheme="minorHAnsi" w:eastAsia="Calibri" w:hAnsiTheme="minorHAnsi" w:cstheme="minorHAnsi"/>
          <w:b/>
          <w:sz w:val="24"/>
          <w:szCs w:val="24"/>
        </w:rPr>
        <w:t>5</w:t>
      </w:r>
      <w:r w:rsidR="00964042" w:rsidRPr="000145D0">
        <w:rPr>
          <w:rFonts w:asciiTheme="minorHAnsi" w:eastAsia="Calibri" w:hAnsiTheme="minorHAnsi" w:cstheme="minorHAnsi"/>
          <w:b/>
          <w:sz w:val="24"/>
          <w:szCs w:val="24"/>
        </w:rPr>
        <w:t>0</w:t>
      </w:r>
      <w:r w:rsidRPr="000145D0">
        <w:rPr>
          <w:rFonts w:asciiTheme="minorHAnsi" w:eastAsia="Calibri" w:hAnsiTheme="minorHAnsi" w:cstheme="minorHAnsi"/>
          <w:b/>
          <w:sz w:val="24"/>
          <w:szCs w:val="24"/>
        </w:rPr>
        <w:t xml:space="preserve"> – Appointment of advisers Section 727G</w:t>
      </w:r>
    </w:p>
    <w:p w14:paraId="5AB56A2E" w14:textId="48F9F4E7" w:rsidR="001177EF" w:rsidRPr="000145D0" w:rsidRDefault="001177EF"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sz w:val="24"/>
          <w:szCs w:val="24"/>
          <w:lang w:eastAsia="en-AU"/>
        </w:rPr>
        <w:t xml:space="preserve">This clause is omitted. </w:t>
      </w:r>
    </w:p>
    <w:p w14:paraId="6D23EB5D" w14:textId="1EE3CBC6" w:rsidR="001177EF" w:rsidRPr="000145D0" w:rsidRDefault="001177EF"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F1417E" w:rsidRPr="000145D0">
        <w:rPr>
          <w:rFonts w:asciiTheme="minorHAnsi" w:eastAsia="Calibri" w:hAnsiTheme="minorHAnsi" w:cstheme="minorHAnsi"/>
          <w:b/>
          <w:sz w:val="24"/>
          <w:szCs w:val="24"/>
        </w:rPr>
        <w:t>5</w:t>
      </w:r>
      <w:r w:rsidR="00964042" w:rsidRPr="000145D0">
        <w:rPr>
          <w:rFonts w:asciiTheme="minorHAnsi" w:eastAsia="Calibri" w:hAnsiTheme="minorHAnsi" w:cstheme="minorHAnsi"/>
          <w:b/>
          <w:sz w:val="24"/>
          <w:szCs w:val="24"/>
        </w:rPr>
        <w:t>1</w:t>
      </w:r>
      <w:r w:rsidRPr="000145D0">
        <w:rPr>
          <w:rFonts w:asciiTheme="minorHAnsi" w:eastAsia="Calibri" w:hAnsiTheme="minorHAnsi" w:cstheme="minorHAnsi"/>
          <w:b/>
          <w:sz w:val="24"/>
          <w:szCs w:val="24"/>
        </w:rPr>
        <w:t xml:space="preserve"> – New Section 727IA </w:t>
      </w:r>
    </w:p>
    <w:p w14:paraId="66640722" w14:textId="26728A3B" w:rsidR="00A25BAE" w:rsidRPr="000145D0" w:rsidRDefault="001177EF" w:rsidP="00A25BAE">
      <w:pPr>
        <w:spacing w:before="100" w:beforeAutospacing="1" w:after="100" w:afterAutospacing="1"/>
        <w:rPr>
          <w:rFonts w:asciiTheme="minorHAnsi" w:eastAsia="Calibri" w:hAnsiTheme="minorHAnsi" w:cstheme="minorHAnsi"/>
          <w:sz w:val="24"/>
          <w:szCs w:val="24"/>
          <w:lang w:eastAsia="en-AU"/>
        </w:rPr>
      </w:pPr>
      <w:r w:rsidRPr="000145D0">
        <w:rPr>
          <w:rFonts w:asciiTheme="minorHAnsi" w:eastAsia="Calibri" w:hAnsiTheme="minorHAnsi" w:cstheme="minorHAnsi"/>
          <w:sz w:val="24"/>
          <w:szCs w:val="24"/>
          <w:lang w:eastAsia="en-AU"/>
        </w:rPr>
        <w:t xml:space="preserve">This clause inserts in part 19A.1 a new section 727IA on appointment of advisers. It allows for the chair of the Children and Young People Death Review Committee to appoint a person as an adviser to assist the committee in the exercise of its functions. The appointment may be subject to conditions stated in the appointment. </w:t>
      </w:r>
    </w:p>
    <w:p w14:paraId="132DBBF9" w14:textId="041D816D" w:rsidR="00A25BAE" w:rsidRPr="000145D0" w:rsidRDefault="00A25BAE" w:rsidP="00A25BAE">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5</w:t>
      </w:r>
      <w:r w:rsidR="00964042" w:rsidRPr="000145D0">
        <w:rPr>
          <w:rFonts w:asciiTheme="minorHAnsi" w:eastAsia="Calibri" w:hAnsiTheme="minorHAnsi" w:cstheme="minorHAnsi"/>
          <w:b/>
          <w:sz w:val="24"/>
          <w:szCs w:val="24"/>
        </w:rPr>
        <w:t>2</w:t>
      </w:r>
      <w:r w:rsidRPr="000145D0">
        <w:rPr>
          <w:rFonts w:asciiTheme="minorHAnsi" w:eastAsia="Calibri" w:hAnsiTheme="minorHAnsi" w:cstheme="minorHAnsi"/>
          <w:b/>
          <w:sz w:val="24"/>
          <w:szCs w:val="24"/>
        </w:rPr>
        <w:t xml:space="preserve"> – Section 727N(2)(d)</w:t>
      </w:r>
    </w:p>
    <w:p w14:paraId="5B4D3327" w14:textId="7DECAFC1" w:rsidR="009664ED" w:rsidRPr="007D6928" w:rsidRDefault="007929E8" w:rsidP="007D6928">
      <w:pPr>
        <w:spacing w:before="100" w:beforeAutospacing="1" w:after="100" w:afterAutospacing="1"/>
        <w:rPr>
          <w:rFonts w:asciiTheme="minorHAnsi" w:eastAsia="Calibri" w:hAnsiTheme="minorHAnsi" w:cstheme="minorHAnsi"/>
          <w:sz w:val="24"/>
          <w:szCs w:val="24"/>
        </w:rPr>
      </w:pPr>
      <w:r w:rsidRPr="000145D0">
        <w:rPr>
          <w:rFonts w:asciiTheme="minorHAnsi" w:eastAsia="Calibri" w:hAnsiTheme="minorHAnsi" w:cstheme="minorHAnsi"/>
          <w:sz w:val="24"/>
          <w:szCs w:val="24"/>
        </w:rPr>
        <w:t xml:space="preserve">This clause omits </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child protection report</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 xml:space="preserve"> and substitutes </w:t>
      </w:r>
      <w:r w:rsidR="00DD2317">
        <w:rPr>
          <w:rFonts w:asciiTheme="minorHAnsi" w:eastAsia="Calibri" w:hAnsiTheme="minorHAnsi" w:cstheme="minorHAnsi"/>
          <w:sz w:val="24"/>
          <w:szCs w:val="24"/>
        </w:rPr>
        <w:t xml:space="preserve">with a </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voluntary report or a mandatory report</w:t>
      </w:r>
      <w:r w:rsidR="00D122B3">
        <w:rPr>
          <w:rFonts w:asciiTheme="minorHAnsi" w:eastAsia="Calibri" w:hAnsiTheme="minorHAnsi" w:cstheme="minorHAnsi"/>
          <w:sz w:val="24"/>
          <w:szCs w:val="24"/>
        </w:rPr>
        <w:t>”</w:t>
      </w:r>
      <w:r w:rsidRPr="000145D0">
        <w:rPr>
          <w:rFonts w:asciiTheme="minorHAnsi" w:eastAsia="Calibri" w:hAnsiTheme="minorHAnsi" w:cstheme="minorHAnsi"/>
          <w:sz w:val="24"/>
          <w:szCs w:val="24"/>
        </w:rPr>
        <w:t>.</w:t>
      </w:r>
    </w:p>
    <w:p w14:paraId="72ACB81D" w14:textId="44489F62" w:rsidR="00A25BAE" w:rsidRPr="000145D0" w:rsidRDefault="00A25BAE" w:rsidP="00A25BAE">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Clause 5</w:t>
      </w:r>
      <w:r w:rsidR="00964042" w:rsidRPr="000145D0">
        <w:rPr>
          <w:rFonts w:asciiTheme="minorHAnsi" w:eastAsia="Calibri" w:hAnsiTheme="minorHAnsi" w:cstheme="minorHAnsi"/>
          <w:b/>
          <w:sz w:val="24"/>
          <w:szCs w:val="24"/>
        </w:rPr>
        <w:t>3</w:t>
      </w:r>
      <w:r w:rsidRPr="000145D0">
        <w:rPr>
          <w:rFonts w:asciiTheme="minorHAnsi" w:eastAsia="Calibri" w:hAnsiTheme="minorHAnsi" w:cstheme="minorHAnsi"/>
          <w:b/>
          <w:sz w:val="24"/>
          <w:szCs w:val="24"/>
        </w:rPr>
        <w:t xml:space="preserve"> – Section 727N(4)</w:t>
      </w:r>
    </w:p>
    <w:p w14:paraId="6C89B72A" w14:textId="40C7E9A1" w:rsidR="00A25BAE" w:rsidRPr="000145D0" w:rsidRDefault="007929E8" w:rsidP="00964042">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omits </w:t>
      </w:r>
      <w:r w:rsidR="00C62B89" w:rsidRPr="000145D0">
        <w:rPr>
          <w:rFonts w:asciiTheme="minorHAnsi" w:hAnsiTheme="minorHAnsi" w:cstheme="minorHAnsi"/>
          <w:sz w:val="24"/>
          <w:szCs w:val="24"/>
        </w:rPr>
        <w:t>s</w:t>
      </w:r>
      <w:r w:rsidRPr="000145D0">
        <w:rPr>
          <w:rFonts w:asciiTheme="minorHAnsi" w:hAnsiTheme="minorHAnsi" w:cstheme="minorHAnsi"/>
          <w:sz w:val="24"/>
          <w:szCs w:val="24"/>
        </w:rPr>
        <w:t>ection 727N(4) that the child and young person death review committee must not include any information on the register about the cause or circumstances of death of a child or young person until any coronial inquest or review by the Territory has ended.</w:t>
      </w:r>
    </w:p>
    <w:p w14:paraId="222E2D7A" w14:textId="31175835" w:rsidR="007929E8" w:rsidRPr="000145D0" w:rsidRDefault="007929E8" w:rsidP="000165E8">
      <w:pPr>
        <w:spacing w:before="100" w:beforeAutospacing="1" w:after="100" w:afterAutospacing="1"/>
        <w:rPr>
          <w:rFonts w:asciiTheme="minorHAnsi" w:hAnsiTheme="minorHAnsi" w:cstheme="minorHAnsi"/>
          <w:b/>
          <w:sz w:val="24"/>
          <w:szCs w:val="24"/>
        </w:rPr>
      </w:pPr>
      <w:r w:rsidRPr="000145D0">
        <w:rPr>
          <w:rFonts w:asciiTheme="minorHAnsi" w:eastAsia="Calibri" w:hAnsiTheme="minorHAnsi" w:cstheme="minorHAnsi"/>
          <w:b/>
          <w:sz w:val="24"/>
          <w:szCs w:val="24"/>
        </w:rPr>
        <w:t xml:space="preserve">Clause </w:t>
      </w:r>
      <w:r w:rsidR="00F1417E" w:rsidRPr="000145D0">
        <w:rPr>
          <w:rFonts w:asciiTheme="minorHAnsi" w:eastAsia="Calibri" w:hAnsiTheme="minorHAnsi" w:cstheme="minorHAnsi"/>
          <w:b/>
          <w:sz w:val="24"/>
          <w:szCs w:val="24"/>
        </w:rPr>
        <w:t>5</w:t>
      </w:r>
      <w:r w:rsidR="00964042" w:rsidRPr="000145D0">
        <w:rPr>
          <w:rFonts w:asciiTheme="minorHAnsi" w:eastAsia="Calibri" w:hAnsiTheme="minorHAnsi" w:cstheme="minorHAnsi"/>
          <w:b/>
          <w:sz w:val="24"/>
          <w:szCs w:val="24"/>
        </w:rPr>
        <w:t>4</w:t>
      </w:r>
      <w:r w:rsidRPr="000145D0">
        <w:rPr>
          <w:rFonts w:asciiTheme="minorHAnsi" w:eastAsia="Calibri" w:hAnsiTheme="minorHAnsi" w:cstheme="minorHAnsi"/>
          <w:b/>
          <w:sz w:val="24"/>
          <w:szCs w:val="24"/>
        </w:rPr>
        <w:t xml:space="preserve"> – Section 727O(4)</w:t>
      </w:r>
    </w:p>
    <w:p w14:paraId="609357F1" w14:textId="34205361" w:rsidR="007929E8" w:rsidRPr="000145D0" w:rsidRDefault="007929E8" w:rsidP="000165E8">
      <w:pPr>
        <w:pStyle w:val="NormalWeb"/>
        <w:rPr>
          <w:rFonts w:asciiTheme="minorHAnsi" w:hAnsiTheme="minorHAnsi" w:cstheme="minorHAnsi"/>
        </w:rPr>
      </w:pPr>
      <w:r w:rsidRPr="000145D0">
        <w:rPr>
          <w:rFonts w:asciiTheme="minorHAnsi" w:hAnsiTheme="minorHAnsi" w:cstheme="minorHAnsi"/>
        </w:rPr>
        <w:t xml:space="preserve">This clause omits the requirement that information mentioned </w:t>
      </w:r>
      <w:r w:rsidR="00C62B89" w:rsidRPr="000145D0">
        <w:rPr>
          <w:rFonts w:asciiTheme="minorHAnsi" w:hAnsiTheme="minorHAnsi" w:cstheme="minorHAnsi"/>
        </w:rPr>
        <w:t>s</w:t>
      </w:r>
      <w:r w:rsidRPr="000145D0">
        <w:rPr>
          <w:rFonts w:asciiTheme="minorHAnsi" w:hAnsiTheme="minorHAnsi" w:cstheme="minorHAnsi"/>
        </w:rPr>
        <w:t>ection 727N(4) must be given to the child and young person death review committee as soon as practicable after the end of the inquest or review.</w:t>
      </w:r>
    </w:p>
    <w:p w14:paraId="0FA1A25A" w14:textId="505AA219" w:rsidR="007929E8" w:rsidRPr="000145D0" w:rsidRDefault="007929E8" w:rsidP="000165E8">
      <w:pPr>
        <w:spacing w:before="100" w:beforeAutospacing="1" w:after="100" w:afterAutospacing="1"/>
        <w:rPr>
          <w:rFonts w:asciiTheme="minorHAnsi" w:hAnsiTheme="minorHAnsi" w:cstheme="minorHAnsi"/>
          <w:b/>
          <w:sz w:val="24"/>
          <w:szCs w:val="24"/>
        </w:rPr>
      </w:pPr>
      <w:r w:rsidRPr="000145D0">
        <w:rPr>
          <w:rFonts w:asciiTheme="minorHAnsi" w:eastAsia="Calibri" w:hAnsiTheme="minorHAnsi" w:cstheme="minorHAnsi"/>
          <w:b/>
          <w:sz w:val="24"/>
          <w:szCs w:val="24"/>
        </w:rPr>
        <w:t xml:space="preserve">Clause </w:t>
      </w:r>
      <w:r w:rsidR="00F1417E" w:rsidRPr="000145D0">
        <w:rPr>
          <w:rFonts w:asciiTheme="minorHAnsi" w:eastAsia="Calibri" w:hAnsiTheme="minorHAnsi" w:cstheme="minorHAnsi"/>
          <w:b/>
          <w:sz w:val="24"/>
          <w:szCs w:val="24"/>
        </w:rPr>
        <w:t>5</w:t>
      </w:r>
      <w:r w:rsidR="00964042" w:rsidRPr="000145D0">
        <w:rPr>
          <w:rFonts w:asciiTheme="minorHAnsi" w:eastAsia="Calibri" w:hAnsiTheme="minorHAnsi" w:cstheme="minorHAnsi"/>
          <w:b/>
          <w:sz w:val="24"/>
          <w:szCs w:val="24"/>
        </w:rPr>
        <w:t>5</w:t>
      </w:r>
      <w:r w:rsidRPr="000145D0">
        <w:rPr>
          <w:rFonts w:asciiTheme="minorHAnsi" w:eastAsia="Calibri" w:hAnsiTheme="minorHAnsi" w:cstheme="minorHAnsi"/>
          <w:b/>
          <w:sz w:val="24"/>
          <w:szCs w:val="24"/>
        </w:rPr>
        <w:t xml:space="preserve"> – Section 727R(1)(c)</w:t>
      </w:r>
    </w:p>
    <w:p w14:paraId="46DE1C74" w14:textId="46539B2B" w:rsidR="007929E8" w:rsidRPr="000145D0" w:rsidRDefault="007929E8" w:rsidP="000165E8">
      <w:pPr>
        <w:pStyle w:val="NormalWeb"/>
        <w:rPr>
          <w:rFonts w:asciiTheme="minorHAnsi" w:hAnsiTheme="minorHAnsi" w:cstheme="minorHAnsi"/>
        </w:rPr>
      </w:pPr>
      <w:r w:rsidRPr="000145D0">
        <w:rPr>
          <w:rFonts w:asciiTheme="minorHAnsi" w:hAnsiTheme="minorHAnsi" w:cstheme="minorHAnsi"/>
        </w:rPr>
        <w:t xml:space="preserve">This clause omits that the child and young people death review register is only accessed by staff mentioned </w:t>
      </w:r>
      <w:r w:rsidR="002B3977">
        <w:rPr>
          <w:rFonts w:asciiTheme="minorHAnsi" w:hAnsiTheme="minorHAnsi" w:cstheme="minorHAnsi"/>
        </w:rPr>
        <w:t>in</w:t>
      </w:r>
      <w:r w:rsidRPr="000145D0">
        <w:rPr>
          <w:rFonts w:asciiTheme="minorHAnsi" w:hAnsiTheme="minorHAnsi" w:cstheme="minorHAnsi"/>
        </w:rPr>
        <w:t xml:space="preserve"> section 727I and substitutes this with </w:t>
      </w:r>
      <w:r w:rsidR="00D122B3">
        <w:rPr>
          <w:rFonts w:asciiTheme="minorHAnsi" w:hAnsiTheme="minorHAnsi" w:cstheme="minorHAnsi"/>
        </w:rPr>
        <w:t>“</w:t>
      </w:r>
      <w:r w:rsidRPr="000145D0">
        <w:rPr>
          <w:rFonts w:asciiTheme="minorHAnsi" w:hAnsiTheme="minorHAnsi" w:cstheme="minorHAnsi"/>
        </w:rPr>
        <w:t>committee members</w:t>
      </w:r>
      <w:r w:rsidR="00D122B3">
        <w:rPr>
          <w:rFonts w:asciiTheme="minorHAnsi" w:hAnsiTheme="minorHAnsi" w:cstheme="minorHAnsi"/>
        </w:rPr>
        <w:t>”</w:t>
      </w:r>
      <w:r w:rsidRPr="000145D0">
        <w:rPr>
          <w:rFonts w:asciiTheme="minorHAnsi" w:hAnsiTheme="minorHAnsi" w:cstheme="minorHAnsi"/>
        </w:rPr>
        <w:t>.</w:t>
      </w:r>
    </w:p>
    <w:p w14:paraId="51F66C1A" w14:textId="270D3F49" w:rsidR="007929E8" w:rsidRPr="000145D0" w:rsidRDefault="007929E8" w:rsidP="000165E8">
      <w:pPr>
        <w:spacing w:before="100" w:beforeAutospacing="1" w:after="100" w:afterAutospacing="1"/>
        <w:rPr>
          <w:rFonts w:asciiTheme="minorHAnsi" w:eastAsia="Calibri" w:hAnsiTheme="minorHAnsi" w:cstheme="minorHAnsi"/>
          <w:b/>
          <w:sz w:val="24"/>
          <w:szCs w:val="24"/>
        </w:rPr>
      </w:pPr>
      <w:r w:rsidRPr="000145D0">
        <w:rPr>
          <w:rFonts w:asciiTheme="minorHAnsi" w:eastAsia="Calibri" w:hAnsiTheme="minorHAnsi" w:cstheme="minorHAnsi"/>
          <w:b/>
          <w:sz w:val="24"/>
          <w:szCs w:val="24"/>
        </w:rPr>
        <w:t xml:space="preserve">Clause </w:t>
      </w:r>
      <w:r w:rsidR="00F1417E" w:rsidRPr="000145D0">
        <w:rPr>
          <w:rFonts w:asciiTheme="minorHAnsi" w:eastAsia="Calibri" w:hAnsiTheme="minorHAnsi" w:cstheme="minorHAnsi"/>
          <w:b/>
          <w:sz w:val="24"/>
          <w:szCs w:val="24"/>
        </w:rPr>
        <w:t>5</w:t>
      </w:r>
      <w:r w:rsidR="00964042" w:rsidRPr="000145D0">
        <w:rPr>
          <w:rFonts w:asciiTheme="minorHAnsi" w:eastAsia="Calibri" w:hAnsiTheme="minorHAnsi" w:cstheme="minorHAnsi"/>
          <w:b/>
          <w:sz w:val="24"/>
          <w:szCs w:val="24"/>
        </w:rPr>
        <w:t>6</w:t>
      </w:r>
      <w:r w:rsidRPr="000145D0">
        <w:rPr>
          <w:rFonts w:asciiTheme="minorHAnsi" w:eastAsia="Calibri" w:hAnsiTheme="minorHAnsi" w:cstheme="minorHAnsi"/>
          <w:b/>
          <w:sz w:val="24"/>
          <w:szCs w:val="24"/>
        </w:rPr>
        <w:t xml:space="preserve"> – Part 19A.4 heading</w:t>
      </w:r>
    </w:p>
    <w:p w14:paraId="759DF2BD" w14:textId="4FD4EBBF" w:rsidR="007929E8" w:rsidRPr="000145D0" w:rsidRDefault="007929E8" w:rsidP="000165E8">
      <w:pPr>
        <w:pStyle w:val="NormalWeb"/>
        <w:rPr>
          <w:rFonts w:asciiTheme="minorHAnsi" w:hAnsiTheme="minorHAnsi" w:cstheme="minorHAnsi"/>
        </w:rPr>
      </w:pPr>
      <w:r w:rsidRPr="000145D0">
        <w:rPr>
          <w:rFonts w:asciiTheme="minorHAnsi" w:hAnsiTheme="minorHAnsi" w:cstheme="minorHAnsi"/>
        </w:rPr>
        <w:t xml:space="preserve">This clause </w:t>
      </w:r>
      <w:r w:rsidR="00CF2175">
        <w:rPr>
          <w:rFonts w:asciiTheme="minorHAnsi" w:hAnsiTheme="minorHAnsi" w:cstheme="minorHAnsi"/>
        </w:rPr>
        <w:t xml:space="preserve">replaces </w:t>
      </w:r>
      <w:r w:rsidR="00D122B3">
        <w:rPr>
          <w:rFonts w:asciiTheme="minorHAnsi" w:hAnsiTheme="minorHAnsi" w:cstheme="minorHAnsi"/>
        </w:rPr>
        <w:t>“</w:t>
      </w:r>
      <w:r w:rsidR="00CF2175">
        <w:rPr>
          <w:rFonts w:asciiTheme="minorHAnsi" w:hAnsiTheme="minorHAnsi" w:cstheme="minorHAnsi"/>
        </w:rPr>
        <w:t>Annual reports about deaths of children and young people</w:t>
      </w:r>
      <w:r w:rsidR="00D122B3">
        <w:rPr>
          <w:rFonts w:asciiTheme="minorHAnsi" w:hAnsiTheme="minorHAnsi" w:cstheme="minorHAnsi"/>
        </w:rPr>
        <w:t>”</w:t>
      </w:r>
      <w:r w:rsidR="00CF2175">
        <w:rPr>
          <w:rFonts w:asciiTheme="minorHAnsi" w:hAnsiTheme="minorHAnsi" w:cstheme="minorHAnsi"/>
        </w:rPr>
        <w:t xml:space="preserve"> to </w:t>
      </w:r>
      <w:r w:rsidR="00D122B3">
        <w:rPr>
          <w:rFonts w:asciiTheme="minorHAnsi" w:hAnsiTheme="minorHAnsi" w:cstheme="minorHAnsi"/>
        </w:rPr>
        <w:t>“</w:t>
      </w:r>
      <w:r w:rsidRPr="000145D0">
        <w:rPr>
          <w:rFonts w:asciiTheme="minorHAnsi" w:hAnsiTheme="minorHAnsi" w:cstheme="minorHAnsi"/>
        </w:rPr>
        <w:t>Reporting by committee</w:t>
      </w:r>
      <w:r w:rsidR="00D122B3">
        <w:rPr>
          <w:rFonts w:asciiTheme="minorHAnsi" w:hAnsiTheme="minorHAnsi" w:cstheme="minorHAnsi"/>
        </w:rPr>
        <w:t>”</w:t>
      </w:r>
      <w:r w:rsidRPr="000145D0">
        <w:rPr>
          <w:rFonts w:asciiTheme="minorHAnsi" w:hAnsiTheme="minorHAnsi" w:cstheme="minorHAnsi"/>
        </w:rPr>
        <w:t>.</w:t>
      </w:r>
    </w:p>
    <w:p w14:paraId="5AB2BBC0" w14:textId="691DDCB3"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5</w:t>
      </w:r>
      <w:r w:rsidR="00964042" w:rsidRPr="000145D0">
        <w:rPr>
          <w:rFonts w:asciiTheme="minorHAnsi" w:hAnsiTheme="minorHAnsi" w:cstheme="minorHAnsi"/>
          <w:b/>
          <w:bCs/>
          <w:sz w:val="24"/>
          <w:szCs w:val="24"/>
        </w:rPr>
        <w:t>7</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727S heading</w:t>
      </w:r>
    </w:p>
    <w:p w14:paraId="15D990C4" w14:textId="05E9EB98" w:rsidR="003477E7" w:rsidRPr="000145D0"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lastRenderedPageBreak/>
        <w:t>This clause substitutes the s</w:t>
      </w:r>
      <w:r w:rsidR="00C62B89" w:rsidRPr="000145D0">
        <w:rPr>
          <w:rFonts w:asciiTheme="minorHAnsi" w:hAnsiTheme="minorHAnsi" w:cstheme="minorHAnsi"/>
          <w:sz w:val="24"/>
          <w:szCs w:val="24"/>
        </w:rPr>
        <w:t xml:space="preserve">ection </w:t>
      </w:r>
      <w:r w:rsidRPr="000145D0">
        <w:rPr>
          <w:rFonts w:asciiTheme="minorHAnsi" w:hAnsiTheme="minorHAnsi" w:cstheme="minorHAnsi"/>
          <w:sz w:val="24"/>
          <w:szCs w:val="24"/>
        </w:rPr>
        <w:t xml:space="preserve">727S heading to </w:t>
      </w:r>
      <w:r w:rsidR="00D122B3">
        <w:rPr>
          <w:rFonts w:asciiTheme="minorHAnsi" w:hAnsiTheme="minorHAnsi" w:cstheme="minorHAnsi"/>
          <w:sz w:val="24"/>
          <w:szCs w:val="24"/>
        </w:rPr>
        <w:t>“</w:t>
      </w:r>
      <w:r w:rsidRPr="000145D0">
        <w:rPr>
          <w:rFonts w:asciiTheme="minorHAnsi" w:hAnsiTheme="minorHAnsi" w:cstheme="minorHAnsi"/>
          <w:sz w:val="24"/>
          <w:szCs w:val="24"/>
        </w:rPr>
        <w:t>Biennial reporting</w:t>
      </w:r>
      <w:r w:rsidR="00D122B3">
        <w:rPr>
          <w:rFonts w:asciiTheme="minorHAnsi" w:hAnsiTheme="minorHAnsi" w:cstheme="minorHAnsi"/>
          <w:sz w:val="24"/>
          <w:szCs w:val="24"/>
        </w:rPr>
        <w:t>”</w:t>
      </w:r>
      <w:r w:rsidRPr="000145D0">
        <w:rPr>
          <w:rFonts w:asciiTheme="minorHAnsi" w:hAnsiTheme="minorHAnsi" w:cstheme="minorHAnsi"/>
          <w:sz w:val="24"/>
          <w:szCs w:val="24"/>
        </w:rPr>
        <w:t>.</w:t>
      </w:r>
    </w:p>
    <w:p w14:paraId="569364C7" w14:textId="181F1EBB"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5</w:t>
      </w:r>
      <w:r w:rsidR="00964042" w:rsidRPr="000145D0">
        <w:rPr>
          <w:rFonts w:asciiTheme="minorHAnsi" w:hAnsiTheme="minorHAnsi" w:cstheme="minorHAnsi"/>
          <w:b/>
          <w:bCs/>
          <w:sz w:val="24"/>
          <w:szCs w:val="24"/>
        </w:rPr>
        <w:t>8</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727S(1)</w:t>
      </w:r>
    </w:p>
    <w:p w14:paraId="6F8DFB42" w14:textId="6814BB6B" w:rsidR="003477E7" w:rsidRPr="000145D0"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This clause substitutes s</w:t>
      </w:r>
      <w:r w:rsidR="00C62B89" w:rsidRPr="000145D0">
        <w:rPr>
          <w:rFonts w:asciiTheme="minorHAnsi" w:hAnsiTheme="minorHAnsi" w:cstheme="minorHAnsi"/>
          <w:sz w:val="24"/>
          <w:szCs w:val="24"/>
        </w:rPr>
        <w:t xml:space="preserve">ection </w:t>
      </w:r>
      <w:r w:rsidRPr="000145D0">
        <w:rPr>
          <w:rFonts w:asciiTheme="minorHAnsi" w:hAnsiTheme="minorHAnsi" w:cstheme="minorHAnsi"/>
          <w:sz w:val="24"/>
          <w:szCs w:val="24"/>
        </w:rPr>
        <w:t xml:space="preserve">727S(1) to require a report to the Minister to be prepared each period of </w:t>
      </w:r>
      <w:r w:rsidR="00CF2175">
        <w:rPr>
          <w:rFonts w:asciiTheme="minorHAnsi" w:hAnsiTheme="minorHAnsi" w:cstheme="minorHAnsi"/>
          <w:sz w:val="24"/>
          <w:szCs w:val="24"/>
        </w:rPr>
        <w:t>two</w:t>
      </w:r>
      <w:r w:rsidRPr="000145D0">
        <w:rPr>
          <w:rFonts w:asciiTheme="minorHAnsi" w:hAnsiTheme="minorHAnsi" w:cstheme="minorHAnsi"/>
          <w:sz w:val="24"/>
          <w:szCs w:val="24"/>
        </w:rPr>
        <w:t xml:space="preserve"> calendar years. </w:t>
      </w:r>
    </w:p>
    <w:p w14:paraId="34ED126E" w14:textId="7F79CD51"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964042" w:rsidRPr="000145D0">
        <w:rPr>
          <w:rFonts w:asciiTheme="minorHAnsi" w:hAnsiTheme="minorHAnsi" w:cstheme="minorHAnsi"/>
          <w:b/>
          <w:bCs/>
          <w:sz w:val="24"/>
          <w:szCs w:val="24"/>
        </w:rPr>
        <w:t>59</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727S(1)</w:t>
      </w:r>
    </w:p>
    <w:p w14:paraId="16B7B0D8" w14:textId="7641772A" w:rsidR="00DD2317" w:rsidRPr="007D232D"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This clause substitutes s</w:t>
      </w:r>
      <w:r w:rsidR="00C62B89" w:rsidRPr="000145D0">
        <w:rPr>
          <w:rFonts w:asciiTheme="minorHAnsi" w:hAnsiTheme="minorHAnsi" w:cstheme="minorHAnsi"/>
          <w:sz w:val="24"/>
          <w:szCs w:val="24"/>
        </w:rPr>
        <w:t xml:space="preserve">ection </w:t>
      </w:r>
      <w:r w:rsidRPr="000145D0">
        <w:rPr>
          <w:rFonts w:asciiTheme="minorHAnsi" w:hAnsiTheme="minorHAnsi" w:cstheme="minorHAnsi"/>
          <w:sz w:val="24"/>
          <w:szCs w:val="24"/>
        </w:rPr>
        <w:t>727S(1) to reference the biennial reporting period</w:t>
      </w:r>
      <w:r w:rsidR="00C62B89" w:rsidRPr="000145D0">
        <w:rPr>
          <w:rFonts w:asciiTheme="minorHAnsi" w:hAnsiTheme="minorHAnsi" w:cstheme="minorHAnsi"/>
          <w:sz w:val="24"/>
          <w:szCs w:val="24"/>
        </w:rPr>
        <w:t>.</w:t>
      </w:r>
      <w:r w:rsidRPr="000145D0">
        <w:rPr>
          <w:rFonts w:asciiTheme="minorHAnsi" w:hAnsiTheme="minorHAnsi" w:cstheme="minorHAnsi"/>
          <w:sz w:val="24"/>
          <w:szCs w:val="24"/>
        </w:rPr>
        <w:t xml:space="preserve"> </w:t>
      </w:r>
    </w:p>
    <w:p w14:paraId="51B64EF4" w14:textId="487DA1DF"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6</w:t>
      </w:r>
      <w:r w:rsidR="00964042" w:rsidRPr="000145D0">
        <w:rPr>
          <w:rFonts w:asciiTheme="minorHAnsi" w:hAnsiTheme="minorHAnsi" w:cstheme="minorHAnsi"/>
          <w:b/>
          <w:bCs/>
          <w:sz w:val="24"/>
          <w:szCs w:val="24"/>
        </w:rPr>
        <w:t>0</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727 S(1)(b)</w:t>
      </w:r>
    </w:p>
    <w:p w14:paraId="726DF48F" w14:textId="02AE2DF8" w:rsidR="009664ED" w:rsidRPr="00DD2317" w:rsidRDefault="003477E7" w:rsidP="00DD2317">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w:t>
      </w:r>
      <w:r w:rsidR="00CF2175">
        <w:rPr>
          <w:rFonts w:asciiTheme="minorHAnsi" w:hAnsiTheme="minorHAnsi" w:cstheme="minorHAnsi"/>
          <w:sz w:val="24"/>
          <w:szCs w:val="24"/>
        </w:rPr>
        <w:t xml:space="preserve">omits </w:t>
      </w:r>
      <w:r w:rsidR="00D122B3">
        <w:rPr>
          <w:rFonts w:asciiTheme="minorHAnsi" w:hAnsiTheme="minorHAnsi" w:cstheme="minorHAnsi"/>
          <w:sz w:val="24"/>
          <w:szCs w:val="24"/>
        </w:rPr>
        <w:t>“</w:t>
      </w:r>
      <w:r w:rsidR="00CF2175">
        <w:rPr>
          <w:rFonts w:asciiTheme="minorHAnsi" w:hAnsiTheme="minorHAnsi" w:cstheme="minorHAnsi"/>
          <w:sz w:val="24"/>
          <w:szCs w:val="24"/>
        </w:rPr>
        <w:t>child protection report</w:t>
      </w:r>
      <w:r w:rsidR="00D122B3">
        <w:rPr>
          <w:rFonts w:asciiTheme="minorHAnsi" w:hAnsiTheme="minorHAnsi" w:cstheme="minorHAnsi"/>
          <w:sz w:val="24"/>
          <w:szCs w:val="24"/>
        </w:rPr>
        <w:t>”</w:t>
      </w:r>
      <w:r w:rsidR="00CF2175">
        <w:rPr>
          <w:rFonts w:asciiTheme="minorHAnsi" w:hAnsiTheme="minorHAnsi" w:cstheme="minorHAnsi"/>
          <w:sz w:val="24"/>
          <w:szCs w:val="24"/>
        </w:rPr>
        <w:t xml:space="preserve"> and </w:t>
      </w:r>
      <w:r w:rsidRPr="000145D0">
        <w:rPr>
          <w:rFonts w:asciiTheme="minorHAnsi" w:hAnsiTheme="minorHAnsi" w:cstheme="minorHAnsi"/>
          <w:sz w:val="24"/>
          <w:szCs w:val="24"/>
        </w:rPr>
        <w:t xml:space="preserve">substitutes </w:t>
      </w:r>
      <w:r w:rsidR="00DD2317">
        <w:rPr>
          <w:rFonts w:asciiTheme="minorHAnsi" w:hAnsiTheme="minorHAnsi" w:cstheme="minorHAnsi"/>
          <w:sz w:val="24"/>
          <w:szCs w:val="24"/>
        </w:rPr>
        <w:t xml:space="preserve">with </w:t>
      </w:r>
      <w:r w:rsidR="00D122B3">
        <w:rPr>
          <w:rFonts w:asciiTheme="minorHAnsi" w:hAnsiTheme="minorHAnsi" w:cstheme="minorHAnsi"/>
          <w:sz w:val="24"/>
          <w:szCs w:val="24"/>
        </w:rPr>
        <w:t>“</w:t>
      </w:r>
      <w:r w:rsidR="00CF2175" w:rsidRPr="00CF2175">
        <w:rPr>
          <w:rFonts w:asciiTheme="minorHAnsi" w:hAnsiTheme="minorHAnsi" w:cstheme="minorHAnsi"/>
          <w:sz w:val="24"/>
          <w:szCs w:val="24"/>
        </w:rPr>
        <w:t>voluntary report or a mandatory report</w:t>
      </w:r>
      <w:r w:rsidR="00D122B3">
        <w:rPr>
          <w:rFonts w:asciiTheme="minorHAnsi" w:hAnsiTheme="minorHAnsi" w:cstheme="minorHAnsi"/>
          <w:sz w:val="24"/>
          <w:szCs w:val="24"/>
        </w:rPr>
        <w:t>”</w:t>
      </w:r>
      <w:r w:rsidR="00CF2175">
        <w:rPr>
          <w:rFonts w:asciiTheme="minorHAnsi" w:hAnsiTheme="minorHAnsi" w:cstheme="minorHAnsi"/>
          <w:sz w:val="24"/>
          <w:szCs w:val="24"/>
        </w:rPr>
        <w:t xml:space="preserve">. </w:t>
      </w:r>
    </w:p>
    <w:p w14:paraId="465C5FC4" w14:textId="4FBD4E3F"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6</w:t>
      </w:r>
      <w:r w:rsidR="00964042" w:rsidRPr="000145D0">
        <w:rPr>
          <w:rFonts w:asciiTheme="minorHAnsi" w:hAnsiTheme="minorHAnsi" w:cstheme="minorHAnsi"/>
          <w:b/>
          <w:bCs/>
          <w:sz w:val="24"/>
          <w:szCs w:val="24"/>
        </w:rPr>
        <w:t>1</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727S(1)(c)(ii)</w:t>
      </w:r>
    </w:p>
    <w:p w14:paraId="5BA26F8A" w14:textId="05AEB493" w:rsidR="00DD2317" w:rsidRPr="00DD2317" w:rsidRDefault="00DD2317" w:rsidP="00DD2317">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w:t>
      </w:r>
      <w:r>
        <w:rPr>
          <w:rFonts w:asciiTheme="minorHAnsi" w:hAnsiTheme="minorHAnsi" w:cstheme="minorHAnsi"/>
          <w:sz w:val="24"/>
          <w:szCs w:val="24"/>
        </w:rPr>
        <w:t xml:space="preserve">omits </w:t>
      </w:r>
      <w:r w:rsidR="00D122B3">
        <w:rPr>
          <w:rFonts w:asciiTheme="minorHAnsi" w:hAnsiTheme="minorHAnsi" w:cstheme="minorHAnsi"/>
          <w:sz w:val="24"/>
          <w:szCs w:val="24"/>
        </w:rPr>
        <w:t>“</w:t>
      </w:r>
      <w:r>
        <w:rPr>
          <w:rFonts w:asciiTheme="minorHAnsi" w:hAnsiTheme="minorHAnsi" w:cstheme="minorHAnsi"/>
          <w:sz w:val="24"/>
          <w:szCs w:val="24"/>
        </w:rPr>
        <w:t>child protection report</w:t>
      </w:r>
      <w:r w:rsidR="00D122B3">
        <w:rPr>
          <w:rFonts w:asciiTheme="minorHAnsi" w:hAnsiTheme="minorHAnsi" w:cstheme="minorHAnsi"/>
          <w:sz w:val="24"/>
          <w:szCs w:val="24"/>
        </w:rPr>
        <w:t>”</w:t>
      </w:r>
      <w:r>
        <w:rPr>
          <w:rFonts w:asciiTheme="minorHAnsi" w:hAnsiTheme="minorHAnsi" w:cstheme="minorHAnsi"/>
          <w:sz w:val="24"/>
          <w:szCs w:val="24"/>
        </w:rPr>
        <w:t xml:space="preserve"> and </w:t>
      </w:r>
      <w:r w:rsidRPr="000145D0">
        <w:rPr>
          <w:rFonts w:asciiTheme="minorHAnsi" w:hAnsiTheme="minorHAnsi" w:cstheme="minorHAnsi"/>
          <w:sz w:val="24"/>
          <w:szCs w:val="24"/>
        </w:rPr>
        <w:t xml:space="preserve">substitutes </w:t>
      </w:r>
      <w:r>
        <w:rPr>
          <w:rFonts w:asciiTheme="minorHAnsi" w:hAnsiTheme="minorHAnsi" w:cstheme="minorHAnsi"/>
          <w:sz w:val="24"/>
          <w:szCs w:val="24"/>
        </w:rPr>
        <w:t xml:space="preserve">with </w:t>
      </w:r>
      <w:r w:rsidR="00D122B3">
        <w:rPr>
          <w:rFonts w:asciiTheme="minorHAnsi" w:hAnsiTheme="minorHAnsi" w:cstheme="minorHAnsi"/>
          <w:sz w:val="24"/>
          <w:szCs w:val="24"/>
        </w:rPr>
        <w:t>“</w:t>
      </w:r>
      <w:r w:rsidRPr="00CF2175">
        <w:rPr>
          <w:rFonts w:asciiTheme="minorHAnsi" w:hAnsiTheme="minorHAnsi" w:cstheme="minorHAnsi"/>
          <w:sz w:val="24"/>
          <w:szCs w:val="24"/>
        </w:rPr>
        <w:t>voluntary report or a mandatory report</w:t>
      </w:r>
      <w:r w:rsidR="00D122B3">
        <w:rPr>
          <w:rFonts w:asciiTheme="minorHAnsi" w:hAnsiTheme="minorHAnsi" w:cstheme="minorHAnsi"/>
          <w:sz w:val="24"/>
          <w:szCs w:val="24"/>
        </w:rPr>
        <w:t>”</w:t>
      </w:r>
      <w:r>
        <w:rPr>
          <w:rFonts w:asciiTheme="minorHAnsi" w:hAnsiTheme="minorHAnsi" w:cstheme="minorHAnsi"/>
          <w:sz w:val="24"/>
          <w:szCs w:val="24"/>
        </w:rPr>
        <w:t xml:space="preserve">. </w:t>
      </w:r>
    </w:p>
    <w:p w14:paraId="0F0C091A" w14:textId="66B81469"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6</w:t>
      </w:r>
      <w:r w:rsidR="00964042" w:rsidRPr="000145D0">
        <w:rPr>
          <w:rFonts w:asciiTheme="minorHAnsi" w:hAnsiTheme="minorHAnsi" w:cstheme="minorHAnsi"/>
          <w:b/>
          <w:bCs/>
          <w:sz w:val="24"/>
          <w:szCs w:val="24"/>
        </w:rPr>
        <w:t>2</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727S(4)</w:t>
      </w:r>
    </w:p>
    <w:p w14:paraId="5BC5F11A" w14:textId="040F8793" w:rsidR="003477E7" w:rsidRPr="000145D0"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This clause omits subsection (4) to align with biennial reporting</w:t>
      </w:r>
      <w:r w:rsidR="00C90438" w:rsidRPr="000145D0">
        <w:rPr>
          <w:rFonts w:asciiTheme="minorHAnsi" w:hAnsiTheme="minorHAnsi" w:cstheme="minorHAnsi"/>
          <w:sz w:val="24"/>
          <w:szCs w:val="24"/>
        </w:rPr>
        <w:t xml:space="preserve">. </w:t>
      </w:r>
    </w:p>
    <w:p w14:paraId="53BF574C" w14:textId="319309F2"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6</w:t>
      </w:r>
      <w:r w:rsidR="00964042" w:rsidRPr="000145D0">
        <w:rPr>
          <w:rFonts w:asciiTheme="minorHAnsi" w:hAnsiTheme="minorHAnsi" w:cstheme="minorHAnsi"/>
          <w:b/>
          <w:bCs/>
          <w:sz w:val="24"/>
          <w:szCs w:val="24"/>
        </w:rPr>
        <w:t>3</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727T(1A)</w:t>
      </w:r>
    </w:p>
    <w:p w14:paraId="6E84EB2E" w14:textId="5FCE2973" w:rsidR="003477E7" w:rsidRPr="000145D0"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inserts a new section (1A) that requires the </w:t>
      </w:r>
      <w:r w:rsidR="00A946C0" w:rsidRPr="000145D0">
        <w:rPr>
          <w:rFonts w:asciiTheme="minorHAnsi" w:eastAsia="Calibri" w:hAnsiTheme="minorHAnsi" w:cstheme="minorHAnsi"/>
          <w:sz w:val="24"/>
          <w:szCs w:val="24"/>
          <w:lang w:eastAsia="en-AU"/>
        </w:rPr>
        <w:t xml:space="preserve">Children and Young People Death Review Committee </w:t>
      </w:r>
      <w:r w:rsidRPr="000145D0">
        <w:rPr>
          <w:rFonts w:asciiTheme="minorHAnsi" w:hAnsiTheme="minorHAnsi" w:cstheme="minorHAnsi"/>
          <w:sz w:val="24"/>
          <w:szCs w:val="24"/>
        </w:rPr>
        <w:t xml:space="preserve">to give reports to the Minister </w:t>
      </w:r>
      <w:r w:rsidR="00C62B89" w:rsidRPr="000145D0">
        <w:rPr>
          <w:rFonts w:asciiTheme="minorHAnsi" w:hAnsiTheme="minorHAnsi" w:cstheme="minorHAnsi"/>
          <w:sz w:val="24"/>
          <w:szCs w:val="24"/>
        </w:rPr>
        <w:t>and</w:t>
      </w:r>
      <w:r w:rsidRPr="000145D0">
        <w:rPr>
          <w:rFonts w:asciiTheme="minorHAnsi" w:hAnsiTheme="minorHAnsi" w:cstheme="minorHAnsi"/>
          <w:sz w:val="24"/>
          <w:szCs w:val="24"/>
        </w:rPr>
        <w:t xml:space="preserve"> to any other Ministers that may be responsible for matters within the report. </w:t>
      </w:r>
    </w:p>
    <w:p w14:paraId="7C3F251D" w14:textId="7519124B"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6</w:t>
      </w:r>
      <w:r w:rsidR="00964042" w:rsidRPr="000145D0">
        <w:rPr>
          <w:rFonts w:asciiTheme="minorHAnsi" w:hAnsiTheme="minorHAnsi" w:cstheme="minorHAnsi"/>
          <w:b/>
          <w:bCs/>
          <w:sz w:val="24"/>
          <w:szCs w:val="24"/>
        </w:rPr>
        <w:t>4</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727T(4)</w:t>
      </w:r>
    </w:p>
    <w:p w14:paraId="1D7FCED6" w14:textId="55F3F5FC" w:rsidR="003477E7" w:rsidRPr="000145D0"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substitutes subsection (4) to require any Minister who receives the report to provide information to the CYP death review committee about any action taken within </w:t>
      </w:r>
      <w:r w:rsidR="00CF2175">
        <w:rPr>
          <w:rFonts w:asciiTheme="minorHAnsi" w:hAnsiTheme="minorHAnsi" w:cstheme="minorHAnsi"/>
          <w:sz w:val="24"/>
          <w:szCs w:val="24"/>
        </w:rPr>
        <w:t>three</w:t>
      </w:r>
      <w:r w:rsidRPr="000145D0">
        <w:rPr>
          <w:rFonts w:asciiTheme="minorHAnsi" w:hAnsiTheme="minorHAnsi" w:cstheme="minorHAnsi"/>
          <w:sz w:val="24"/>
          <w:szCs w:val="24"/>
        </w:rPr>
        <w:t xml:space="preserve"> months.</w:t>
      </w:r>
    </w:p>
    <w:p w14:paraId="4B2EA09D" w14:textId="6D0497BF"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6</w:t>
      </w:r>
      <w:r w:rsidR="00964042" w:rsidRPr="000145D0">
        <w:rPr>
          <w:rFonts w:asciiTheme="minorHAnsi" w:hAnsiTheme="minorHAnsi" w:cstheme="minorHAnsi"/>
          <w:b/>
          <w:bCs/>
          <w:sz w:val="24"/>
          <w:szCs w:val="24"/>
        </w:rPr>
        <w:t>5</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806(1)(b)(iii)</w:t>
      </w:r>
    </w:p>
    <w:p w14:paraId="1428BBAB" w14:textId="423C5F1A" w:rsidR="00DD2317" w:rsidRPr="002B3977" w:rsidRDefault="00DD2317" w:rsidP="00DD2317">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This clause substitute</w:t>
      </w:r>
      <w:r>
        <w:rPr>
          <w:rFonts w:asciiTheme="minorHAnsi" w:hAnsiTheme="minorHAnsi" w:cstheme="minorHAnsi"/>
          <w:sz w:val="24"/>
          <w:szCs w:val="24"/>
        </w:rPr>
        <w:t>s</w:t>
      </w:r>
      <w:r w:rsidRPr="000145D0">
        <w:rPr>
          <w:rFonts w:asciiTheme="minorHAnsi" w:hAnsiTheme="minorHAnsi" w:cstheme="minorHAnsi"/>
          <w:sz w:val="24"/>
          <w:szCs w:val="24"/>
        </w:rPr>
        <w:t xml:space="preserve">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voluntary report or mandatory report</w:t>
      </w:r>
      <w:r>
        <w:rPr>
          <w:rFonts w:asciiTheme="minorHAnsi" w:eastAsia="Calibri" w:hAnsiTheme="minorHAnsi" w:cstheme="minorHAnsi"/>
          <w:sz w:val="24"/>
          <w:szCs w:val="24"/>
          <w:lang w:eastAsia="en-AU"/>
        </w:rPr>
        <w:t>.</w:t>
      </w:r>
      <w:r w:rsidR="00D122B3">
        <w:rPr>
          <w:rFonts w:asciiTheme="minorHAnsi" w:eastAsia="Calibri" w:hAnsiTheme="minorHAnsi" w:cstheme="minorHAnsi"/>
          <w:sz w:val="24"/>
          <w:szCs w:val="24"/>
          <w:lang w:eastAsia="en-AU"/>
        </w:rPr>
        <w:t>”</w:t>
      </w:r>
    </w:p>
    <w:p w14:paraId="36B2ED20" w14:textId="493743F4" w:rsidR="00F1417E" w:rsidRPr="000145D0" w:rsidRDefault="00F1417E"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Clause 6</w:t>
      </w:r>
      <w:r w:rsidR="00964042" w:rsidRPr="000145D0">
        <w:rPr>
          <w:rFonts w:asciiTheme="minorHAnsi" w:hAnsiTheme="minorHAnsi" w:cstheme="minorHAnsi"/>
          <w:b/>
          <w:bCs/>
          <w:sz w:val="24"/>
          <w:szCs w:val="24"/>
        </w:rPr>
        <w:t>6</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Section 806(2)(a)</w:t>
      </w:r>
    </w:p>
    <w:p w14:paraId="0F3952F2" w14:textId="18BD6F78" w:rsidR="00F1417E" w:rsidRPr="002B3977" w:rsidRDefault="00F1417E"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This clause substitute</w:t>
      </w:r>
      <w:r w:rsidR="002B3977">
        <w:rPr>
          <w:rFonts w:asciiTheme="minorHAnsi" w:hAnsiTheme="minorHAnsi" w:cstheme="minorHAnsi"/>
          <w:sz w:val="24"/>
          <w:szCs w:val="24"/>
        </w:rPr>
        <w:t>s</w:t>
      </w:r>
      <w:r w:rsidRPr="000145D0">
        <w:rPr>
          <w:rFonts w:asciiTheme="minorHAnsi" w:hAnsiTheme="minorHAnsi" w:cstheme="minorHAnsi"/>
          <w:sz w:val="24"/>
          <w:szCs w:val="24"/>
        </w:rPr>
        <w:t xml:space="preserve"> </w:t>
      </w:r>
      <w:r w:rsidR="00D122B3">
        <w:rPr>
          <w:rFonts w:asciiTheme="minorHAnsi" w:eastAsia="Calibri" w:hAnsiTheme="minorHAnsi" w:cstheme="minorHAnsi"/>
          <w:sz w:val="24"/>
          <w:szCs w:val="24"/>
          <w:lang w:eastAsia="en-AU"/>
        </w:rPr>
        <w:t>“</w:t>
      </w:r>
      <w:r w:rsidR="002B3977" w:rsidRPr="000145D0">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002B3977" w:rsidRPr="000145D0">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002B3977" w:rsidRPr="000145D0">
        <w:rPr>
          <w:rFonts w:asciiTheme="minorHAnsi" w:eastAsia="Calibri" w:hAnsiTheme="minorHAnsi" w:cstheme="minorHAnsi"/>
          <w:sz w:val="24"/>
          <w:szCs w:val="24"/>
          <w:lang w:eastAsia="en-AU"/>
        </w:rPr>
        <w:t>voluntary report or mandatory report</w:t>
      </w:r>
      <w:r w:rsidR="00DD2317">
        <w:rPr>
          <w:rFonts w:asciiTheme="minorHAnsi" w:eastAsia="Calibri" w:hAnsiTheme="minorHAnsi" w:cstheme="minorHAnsi"/>
          <w:sz w:val="24"/>
          <w:szCs w:val="24"/>
          <w:lang w:eastAsia="en-AU"/>
        </w:rPr>
        <w:t>.</w:t>
      </w:r>
      <w:r w:rsidR="00D122B3">
        <w:rPr>
          <w:rFonts w:asciiTheme="minorHAnsi" w:eastAsia="Calibri" w:hAnsiTheme="minorHAnsi" w:cstheme="minorHAnsi"/>
          <w:sz w:val="24"/>
          <w:szCs w:val="24"/>
          <w:lang w:eastAsia="en-AU"/>
        </w:rPr>
        <w:t>”</w:t>
      </w:r>
    </w:p>
    <w:p w14:paraId="3C520778" w14:textId="748D129D" w:rsidR="00F1417E" w:rsidRPr="00CF2175" w:rsidRDefault="00F1417E" w:rsidP="000165E8">
      <w:pPr>
        <w:spacing w:before="100" w:beforeAutospacing="1" w:after="100" w:afterAutospacing="1"/>
        <w:rPr>
          <w:rFonts w:asciiTheme="minorHAnsi" w:hAnsiTheme="minorHAnsi" w:cstheme="minorHAnsi"/>
          <w:b/>
          <w:bCs/>
          <w:sz w:val="24"/>
          <w:szCs w:val="24"/>
        </w:rPr>
      </w:pPr>
      <w:r w:rsidRPr="00CF2175">
        <w:rPr>
          <w:rFonts w:asciiTheme="minorHAnsi" w:hAnsiTheme="minorHAnsi" w:cstheme="minorHAnsi"/>
          <w:b/>
          <w:bCs/>
          <w:sz w:val="24"/>
          <w:szCs w:val="24"/>
        </w:rPr>
        <w:lastRenderedPageBreak/>
        <w:t>Clause 6</w:t>
      </w:r>
      <w:r w:rsidR="00964042" w:rsidRPr="00CF2175">
        <w:rPr>
          <w:rFonts w:asciiTheme="minorHAnsi" w:hAnsiTheme="minorHAnsi" w:cstheme="minorHAnsi"/>
          <w:b/>
          <w:bCs/>
          <w:sz w:val="24"/>
          <w:szCs w:val="24"/>
        </w:rPr>
        <w:t>7</w:t>
      </w:r>
      <w:r w:rsidRPr="00CF2175">
        <w:rPr>
          <w:rFonts w:asciiTheme="minorHAnsi" w:hAnsiTheme="minorHAnsi" w:cstheme="minorHAnsi"/>
          <w:b/>
          <w:bCs/>
          <w:sz w:val="24"/>
          <w:szCs w:val="24"/>
        </w:rPr>
        <w:t xml:space="preserve"> </w:t>
      </w:r>
      <w:r w:rsidRPr="00CF2175">
        <w:rPr>
          <w:rFonts w:asciiTheme="minorHAnsi" w:eastAsia="Calibri" w:hAnsiTheme="minorHAnsi" w:cstheme="minorHAnsi"/>
          <w:b/>
          <w:sz w:val="24"/>
          <w:szCs w:val="24"/>
        </w:rPr>
        <w:t xml:space="preserve">– </w:t>
      </w:r>
      <w:r w:rsidRPr="00CF2175">
        <w:rPr>
          <w:rFonts w:asciiTheme="minorHAnsi" w:hAnsiTheme="minorHAnsi" w:cstheme="minorHAnsi"/>
          <w:b/>
          <w:bCs/>
          <w:sz w:val="24"/>
          <w:szCs w:val="24"/>
        </w:rPr>
        <w:t>What is sensitive information? Section 845(2), definition of care and protection report information, paragraphs (a) and (b)</w:t>
      </w:r>
    </w:p>
    <w:p w14:paraId="333C3B83" w14:textId="3F29DBDC" w:rsidR="007D6928" w:rsidRPr="007D6928" w:rsidRDefault="00DD2317" w:rsidP="007D6928">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This clause substitute</w:t>
      </w:r>
      <w:r>
        <w:rPr>
          <w:rFonts w:asciiTheme="minorHAnsi" w:hAnsiTheme="minorHAnsi" w:cstheme="minorHAnsi"/>
          <w:sz w:val="24"/>
          <w:szCs w:val="24"/>
        </w:rPr>
        <w:t>s</w:t>
      </w:r>
      <w:r w:rsidRPr="000145D0">
        <w:rPr>
          <w:rFonts w:asciiTheme="minorHAnsi" w:hAnsiTheme="minorHAnsi" w:cstheme="minorHAnsi"/>
          <w:sz w:val="24"/>
          <w:szCs w:val="24"/>
        </w:rPr>
        <w:t xml:space="preserve">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voluntary report or mandatory report</w:t>
      </w:r>
      <w:r>
        <w:rPr>
          <w:rFonts w:asciiTheme="minorHAnsi" w:eastAsia="Calibri" w:hAnsiTheme="minorHAnsi" w:cstheme="minorHAnsi"/>
          <w:sz w:val="24"/>
          <w:szCs w:val="24"/>
          <w:lang w:eastAsia="en-AU"/>
        </w:rPr>
        <w:t>.</w:t>
      </w:r>
      <w:r w:rsidR="00D122B3">
        <w:rPr>
          <w:rFonts w:asciiTheme="minorHAnsi" w:eastAsia="Calibri" w:hAnsiTheme="minorHAnsi" w:cstheme="minorHAnsi"/>
          <w:sz w:val="24"/>
          <w:szCs w:val="24"/>
          <w:lang w:eastAsia="en-AU"/>
        </w:rPr>
        <w:t>”</w:t>
      </w:r>
    </w:p>
    <w:p w14:paraId="7F32FD35" w14:textId="730CEF6E" w:rsidR="00F1417E" w:rsidRPr="00A53D1E" w:rsidRDefault="00F1417E" w:rsidP="000165E8">
      <w:pPr>
        <w:spacing w:before="100" w:beforeAutospacing="1" w:after="100" w:afterAutospacing="1"/>
        <w:rPr>
          <w:rFonts w:asciiTheme="minorHAnsi" w:hAnsiTheme="minorHAnsi" w:cstheme="minorHAnsi"/>
          <w:b/>
          <w:bCs/>
          <w:sz w:val="24"/>
          <w:szCs w:val="24"/>
        </w:rPr>
      </w:pPr>
      <w:r w:rsidRPr="00A53D1E">
        <w:rPr>
          <w:rFonts w:asciiTheme="minorHAnsi" w:hAnsiTheme="minorHAnsi" w:cstheme="minorHAnsi"/>
          <w:b/>
          <w:bCs/>
          <w:sz w:val="24"/>
          <w:szCs w:val="24"/>
        </w:rPr>
        <w:t>Clause 6</w:t>
      </w:r>
      <w:r w:rsidR="00964042" w:rsidRPr="00A53D1E">
        <w:rPr>
          <w:rFonts w:asciiTheme="minorHAnsi" w:hAnsiTheme="minorHAnsi" w:cstheme="minorHAnsi"/>
          <w:b/>
          <w:bCs/>
          <w:sz w:val="24"/>
          <w:szCs w:val="24"/>
        </w:rPr>
        <w:t>8</w:t>
      </w:r>
      <w:r w:rsidRPr="00A53D1E">
        <w:rPr>
          <w:rFonts w:asciiTheme="minorHAnsi" w:hAnsiTheme="minorHAnsi" w:cstheme="minorHAnsi"/>
          <w:b/>
          <w:bCs/>
          <w:sz w:val="24"/>
          <w:szCs w:val="24"/>
        </w:rPr>
        <w:t xml:space="preserve"> </w:t>
      </w:r>
      <w:r w:rsidRPr="00A53D1E">
        <w:rPr>
          <w:rFonts w:asciiTheme="minorHAnsi" w:eastAsia="Calibri" w:hAnsiTheme="minorHAnsi" w:cstheme="minorHAnsi"/>
          <w:b/>
          <w:bCs/>
          <w:sz w:val="24"/>
          <w:szCs w:val="24"/>
        </w:rPr>
        <w:t>–</w:t>
      </w:r>
      <w:r w:rsidR="000165E8" w:rsidRPr="00A53D1E">
        <w:rPr>
          <w:rFonts w:asciiTheme="minorHAnsi" w:hAnsiTheme="minorHAnsi" w:cstheme="minorHAnsi"/>
          <w:b/>
          <w:bCs/>
          <w:sz w:val="24"/>
          <w:szCs w:val="24"/>
        </w:rPr>
        <w:t xml:space="preserve"> </w:t>
      </w:r>
      <w:r w:rsidR="009273C7" w:rsidRPr="00A53D1E">
        <w:rPr>
          <w:rFonts w:asciiTheme="minorHAnsi" w:hAnsiTheme="minorHAnsi" w:cstheme="minorHAnsi"/>
          <w:b/>
          <w:bCs/>
          <w:sz w:val="24"/>
          <w:szCs w:val="24"/>
        </w:rPr>
        <w:t xml:space="preserve">Section 845(2), definition of care and protection report information, paragraphs (a) </w:t>
      </w:r>
    </w:p>
    <w:p w14:paraId="3174C769" w14:textId="3514CED4" w:rsidR="000165E8" w:rsidRPr="000145D0" w:rsidRDefault="000165E8"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omits section 354 (Voluntary reporting of abuse and neglect), section 356 (Offence—mandatory reporting of abuse) or section 362 (Prenatal reporting—anticipated abuse and neglect) and </w:t>
      </w:r>
      <w:r w:rsidRPr="002B3977">
        <w:rPr>
          <w:rFonts w:asciiTheme="minorHAnsi" w:hAnsiTheme="minorHAnsi" w:cstheme="minorHAnsi"/>
          <w:sz w:val="24"/>
          <w:szCs w:val="24"/>
        </w:rPr>
        <w:t>substitutes with</w:t>
      </w:r>
      <w:r w:rsidRPr="000145D0">
        <w:rPr>
          <w:rFonts w:asciiTheme="minorHAnsi" w:hAnsiTheme="minorHAnsi" w:cstheme="minorHAnsi"/>
          <w:i/>
          <w:iCs/>
          <w:sz w:val="24"/>
          <w:szCs w:val="24"/>
        </w:rPr>
        <w:t xml:space="preserve"> </w:t>
      </w:r>
      <w:r w:rsidRPr="000145D0">
        <w:rPr>
          <w:rFonts w:asciiTheme="minorHAnsi" w:hAnsiTheme="minorHAnsi" w:cstheme="minorHAnsi"/>
          <w:sz w:val="24"/>
          <w:szCs w:val="24"/>
        </w:rPr>
        <w:t>section 354 (Voluntary reporting of risk of significant harm), section 356 (Offence—mandatory reporting of significant harm) or section 362 (Prenatal reporting—anticipated risk of significant harm</w:t>
      </w:r>
    </w:p>
    <w:p w14:paraId="6228C879" w14:textId="035F42F7" w:rsidR="00F1417E" w:rsidRPr="000145D0" w:rsidRDefault="00F1417E"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964042" w:rsidRPr="000145D0">
        <w:rPr>
          <w:rFonts w:asciiTheme="minorHAnsi" w:hAnsiTheme="minorHAnsi" w:cstheme="minorHAnsi"/>
          <w:b/>
          <w:bCs/>
          <w:sz w:val="24"/>
          <w:szCs w:val="24"/>
        </w:rPr>
        <w:t>69</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009273C7" w:rsidRPr="000145D0">
        <w:rPr>
          <w:rFonts w:asciiTheme="minorHAnsi" w:hAnsiTheme="minorHAnsi" w:cstheme="minorHAnsi"/>
          <w:b/>
          <w:bCs/>
          <w:sz w:val="24"/>
          <w:szCs w:val="24"/>
        </w:rPr>
        <w:t>Certain identifying information not to be given Section 857(a)(i)</w:t>
      </w:r>
    </w:p>
    <w:p w14:paraId="45D7BBAB" w14:textId="20C4B12D" w:rsidR="00DD2317" w:rsidRPr="002B3977" w:rsidRDefault="00DD2317" w:rsidP="00DD2317">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This clause substitute</w:t>
      </w:r>
      <w:r>
        <w:rPr>
          <w:rFonts w:asciiTheme="minorHAnsi" w:hAnsiTheme="minorHAnsi" w:cstheme="minorHAnsi"/>
          <w:sz w:val="24"/>
          <w:szCs w:val="24"/>
        </w:rPr>
        <w:t>s</w:t>
      </w:r>
      <w:r w:rsidRPr="000145D0">
        <w:rPr>
          <w:rFonts w:asciiTheme="minorHAnsi" w:hAnsiTheme="minorHAnsi" w:cstheme="minorHAnsi"/>
          <w:sz w:val="24"/>
          <w:szCs w:val="24"/>
        </w:rPr>
        <w:t xml:space="preserve">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voluntary report or mandatory report</w:t>
      </w:r>
      <w:r>
        <w:rPr>
          <w:rFonts w:asciiTheme="minorHAnsi" w:eastAsia="Calibri" w:hAnsiTheme="minorHAnsi" w:cstheme="minorHAnsi"/>
          <w:sz w:val="24"/>
          <w:szCs w:val="24"/>
          <w:lang w:eastAsia="en-AU"/>
        </w:rPr>
        <w:t>.</w:t>
      </w:r>
      <w:r w:rsidR="00D122B3">
        <w:rPr>
          <w:rFonts w:asciiTheme="minorHAnsi" w:eastAsia="Calibri" w:hAnsiTheme="minorHAnsi" w:cstheme="minorHAnsi"/>
          <w:sz w:val="24"/>
          <w:szCs w:val="24"/>
          <w:lang w:eastAsia="en-AU"/>
        </w:rPr>
        <w:t>”</w:t>
      </w:r>
    </w:p>
    <w:p w14:paraId="519FAB4A" w14:textId="63101A3A" w:rsidR="00F1417E" w:rsidRPr="00CF2175" w:rsidRDefault="00F1417E" w:rsidP="000165E8">
      <w:pPr>
        <w:spacing w:before="100" w:beforeAutospacing="1" w:after="100" w:afterAutospacing="1"/>
        <w:rPr>
          <w:rFonts w:asciiTheme="minorHAnsi" w:hAnsiTheme="minorHAnsi" w:cstheme="minorHAnsi"/>
          <w:b/>
          <w:bCs/>
          <w:sz w:val="24"/>
          <w:szCs w:val="24"/>
        </w:rPr>
      </w:pPr>
      <w:r w:rsidRPr="00CF2175">
        <w:rPr>
          <w:rFonts w:asciiTheme="minorHAnsi" w:hAnsiTheme="minorHAnsi" w:cstheme="minorHAnsi"/>
          <w:b/>
          <w:bCs/>
          <w:sz w:val="24"/>
          <w:szCs w:val="24"/>
        </w:rPr>
        <w:t xml:space="preserve">Clause </w:t>
      </w:r>
      <w:r w:rsidR="00964042" w:rsidRPr="00CF2175">
        <w:rPr>
          <w:rFonts w:asciiTheme="minorHAnsi" w:hAnsiTheme="minorHAnsi" w:cstheme="minorHAnsi"/>
          <w:b/>
          <w:bCs/>
          <w:sz w:val="24"/>
          <w:szCs w:val="24"/>
        </w:rPr>
        <w:t>70</w:t>
      </w:r>
      <w:r w:rsidRPr="00CF2175">
        <w:rPr>
          <w:rFonts w:asciiTheme="minorHAnsi" w:hAnsiTheme="minorHAnsi" w:cstheme="minorHAnsi"/>
          <w:b/>
          <w:bCs/>
          <w:sz w:val="24"/>
          <w:szCs w:val="24"/>
        </w:rPr>
        <w:t xml:space="preserve"> </w:t>
      </w:r>
      <w:r w:rsidRPr="00CF2175">
        <w:rPr>
          <w:rFonts w:asciiTheme="minorHAnsi" w:eastAsia="Calibri" w:hAnsiTheme="minorHAnsi" w:cstheme="minorHAnsi"/>
          <w:b/>
          <w:sz w:val="24"/>
          <w:szCs w:val="24"/>
        </w:rPr>
        <w:t xml:space="preserve">– </w:t>
      </w:r>
      <w:r w:rsidR="009273C7" w:rsidRPr="00CF2175">
        <w:rPr>
          <w:rFonts w:asciiTheme="minorHAnsi" w:hAnsiTheme="minorHAnsi" w:cstheme="minorHAnsi"/>
          <w:b/>
          <w:bCs/>
          <w:sz w:val="24"/>
          <w:szCs w:val="24"/>
        </w:rPr>
        <w:t>What is safety and wellbeing information? Section 858(1), definition of safety and wellbeing information, example 1</w:t>
      </w:r>
    </w:p>
    <w:p w14:paraId="04C01827" w14:textId="151FF6A7" w:rsidR="009273C7" w:rsidRPr="000145D0" w:rsidRDefault="009273C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sz w:val="24"/>
          <w:szCs w:val="24"/>
        </w:rPr>
        <w:t xml:space="preserve">This clause omits the term </w:t>
      </w:r>
      <w:r w:rsidR="00D122B3">
        <w:rPr>
          <w:rFonts w:asciiTheme="minorHAnsi" w:hAnsiTheme="minorHAnsi" w:cstheme="minorHAnsi"/>
          <w:sz w:val="24"/>
          <w:szCs w:val="24"/>
        </w:rPr>
        <w:t>“</w:t>
      </w:r>
      <w:r w:rsidR="000165E8" w:rsidRPr="000145D0">
        <w:rPr>
          <w:rFonts w:asciiTheme="minorHAnsi" w:hAnsiTheme="minorHAnsi" w:cstheme="minorHAnsi"/>
          <w:sz w:val="24"/>
          <w:szCs w:val="24"/>
        </w:rPr>
        <w:t>at risk of abuse and neglect</w:t>
      </w:r>
      <w:r w:rsidR="00D122B3">
        <w:rPr>
          <w:rFonts w:asciiTheme="minorHAnsi" w:hAnsiTheme="minorHAnsi" w:cstheme="minorHAnsi"/>
          <w:sz w:val="24"/>
          <w:szCs w:val="24"/>
        </w:rPr>
        <w:t>”</w:t>
      </w:r>
      <w:r w:rsidR="000165E8" w:rsidRPr="000145D0">
        <w:rPr>
          <w:rFonts w:asciiTheme="minorHAnsi" w:hAnsiTheme="minorHAnsi" w:cstheme="minorHAnsi"/>
          <w:sz w:val="24"/>
          <w:szCs w:val="24"/>
        </w:rPr>
        <w:t xml:space="preserve"> </w:t>
      </w:r>
      <w:r w:rsidRPr="000145D0">
        <w:rPr>
          <w:rFonts w:asciiTheme="minorHAnsi" w:hAnsiTheme="minorHAnsi" w:cstheme="minorHAnsi"/>
          <w:sz w:val="24"/>
          <w:szCs w:val="24"/>
        </w:rPr>
        <w:t xml:space="preserve">and substitutes with </w:t>
      </w:r>
      <w:r w:rsidR="00D122B3">
        <w:rPr>
          <w:rFonts w:asciiTheme="minorHAnsi" w:hAnsiTheme="minorHAnsi" w:cstheme="minorHAnsi"/>
          <w:sz w:val="24"/>
          <w:szCs w:val="24"/>
        </w:rPr>
        <w:t>“</w:t>
      </w:r>
      <w:r w:rsidRPr="000145D0">
        <w:rPr>
          <w:rFonts w:asciiTheme="minorHAnsi" w:hAnsiTheme="minorHAnsi" w:cstheme="minorHAnsi"/>
          <w:sz w:val="24"/>
          <w:szCs w:val="24"/>
        </w:rPr>
        <w:t>at risk of significant harm</w:t>
      </w:r>
      <w:r w:rsidR="00D122B3">
        <w:rPr>
          <w:rFonts w:asciiTheme="minorHAnsi" w:hAnsiTheme="minorHAnsi" w:cstheme="minorHAnsi"/>
          <w:sz w:val="24"/>
          <w:szCs w:val="24"/>
        </w:rPr>
        <w:t>”</w:t>
      </w:r>
      <w:r w:rsidRPr="000145D0">
        <w:rPr>
          <w:rFonts w:asciiTheme="minorHAnsi" w:hAnsiTheme="minorHAnsi" w:cstheme="minorHAnsi"/>
          <w:sz w:val="24"/>
          <w:szCs w:val="24"/>
        </w:rPr>
        <w:t xml:space="preserve">. </w:t>
      </w:r>
      <w:r w:rsidR="00A25BAE" w:rsidRPr="000145D0">
        <w:rPr>
          <w:rFonts w:asciiTheme="minorHAnsi" w:eastAsia="Calibri" w:hAnsiTheme="minorHAnsi" w:cstheme="minorHAnsi"/>
          <w:sz w:val="24"/>
          <w:szCs w:val="24"/>
          <w:lang w:eastAsia="en-AU"/>
        </w:rPr>
        <w:t xml:space="preserve">This is consistent with the introduction of significant harm to the </w:t>
      </w:r>
      <w:r w:rsidR="002B3977">
        <w:rPr>
          <w:rFonts w:asciiTheme="minorHAnsi" w:eastAsia="Calibri" w:hAnsiTheme="minorHAnsi" w:cstheme="minorHAnsi"/>
          <w:sz w:val="24"/>
          <w:szCs w:val="24"/>
          <w:lang w:eastAsia="en-AU"/>
        </w:rPr>
        <w:t>CYPA</w:t>
      </w:r>
      <w:r w:rsidR="00A25BAE" w:rsidRPr="000145D0">
        <w:rPr>
          <w:rFonts w:asciiTheme="minorHAnsi" w:eastAsia="Calibri" w:hAnsiTheme="minorHAnsi" w:cstheme="minorHAnsi"/>
          <w:sz w:val="24"/>
          <w:szCs w:val="24"/>
          <w:lang w:eastAsia="en-AU"/>
        </w:rPr>
        <w:t xml:space="preserve">. </w:t>
      </w:r>
    </w:p>
    <w:p w14:paraId="6EDB92FF" w14:textId="7BCB1362" w:rsidR="00F1417E" w:rsidRDefault="00F1417E"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Clause 7</w:t>
      </w:r>
      <w:r w:rsidR="00964042" w:rsidRPr="000145D0">
        <w:rPr>
          <w:rFonts w:asciiTheme="minorHAnsi" w:hAnsiTheme="minorHAnsi" w:cstheme="minorHAnsi"/>
          <w:b/>
          <w:bCs/>
          <w:sz w:val="24"/>
          <w:szCs w:val="24"/>
        </w:rPr>
        <w:t>1</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009273C7" w:rsidRPr="000145D0">
        <w:rPr>
          <w:rFonts w:asciiTheme="minorHAnsi" w:hAnsiTheme="minorHAnsi" w:cstheme="minorHAnsi"/>
          <w:b/>
          <w:bCs/>
          <w:sz w:val="24"/>
          <w:szCs w:val="24"/>
        </w:rPr>
        <w:t>Investigative entity may divulge protected information etc Section 867(2)(d)(i)(A)</w:t>
      </w:r>
    </w:p>
    <w:p w14:paraId="27192034" w14:textId="3774D85E" w:rsidR="00DD2317" w:rsidRPr="00DD2317" w:rsidRDefault="00DD2317"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This clause substitute</w:t>
      </w:r>
      <w:r>
        <w:rPr>
          <w:rFonts w:asciiTheme="minorHAnsi" w:hAnsiTheme="minorHAnsi" w:cstheme="minorHAnsi"/>
          <w:sz w:val="24"/>
          <w:szCs w:val="24"/>
        </w:rPr>
        <w:t>s</w:t>
      </w:r>
      <w:r w:rsidRPr="000145D0">
        <w:rPr>
          <w:rFonts w:asciiTheme="minorHAnsi" w:hAnsiTheme="minorHAnsi" w:cstheme="minorHAnsi"/>
          <w:sz w:val="24"/>
          <w:szCs w:val="24"/>
        </w:rPr>
        <w:t xml:space="preserve">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voluntary report or mandatory report</w:t>
      </w:r>
      <w:r>
        <w:rPr>
          <w:rFonts w:asciiTheme="minorHAnsi" w:eastAsia="Calibri" w:hAnsiTheme="minorHAnsi" w:cstheme="minorHAnsi"/>
          <w:sz w:val="24"/>
          <w:szCs w:val="24"/>
          <w:lang w:eastAsia="en-AU"/>
        </w:rPr>
        <w:t>.</w:t>
      </w:r>
      <w:r w:rsidR="00D122B3">
        <w:rPr>
          <w:rFonts w:asciiTheme="minorHAnsi" w:eastAsia="Calibri" w:hAnsiTheme="minorHAnsi" w:cstheme="minorHAnsi"/>
          <w:sz w:val="24"/>
          <w:szCs w:val="24"/>
          <w:lang w:eastAsia="en-AU"/>
        </w:rPr>
        <w:t>”</w:t>
      </w:r>
    </w:p>
    <w:p w14:paraId="2EA79A6A" w14:textId="5E019A2E" w:rsidR="00F1417E" w:rsidRPr="000145D0" w:rsidRDefault="00F1417E"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Clause 7</w:t>
      </w:r>
      <w:r w:rsidR="00964042" w:rsidRPr="000145D0">
        <w:rPr>
          <w:rFonts w:asciiTheme="minorHAnsi" w:hAnsiTheme="minorHAnsi" w:cstheme="minorHAnsi"/>
          <w:b/>
          <w:bCs/>
          <w:sz w:val="24"/>
          <w:szCs w:val="24"/>
        </w:rPr>
        <w:t>2</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bCs/>
          <w:sz w:val="24"/>
          <w:szCs w:val="24"/>
        </w:rPr>
        <w:t xml:space="preserve">– </w:t>
      </w:r>
      <w:r w:rsidR="009273C7" w:rsidRPr="000145D0">
        <w:rPr>
          <w:rFonts w:asciiTheme="minorHAnsi" w:hAnsiTheme="minorHAnsi" w:cstheme="minorHAnsi"/>
          <w:b/>
          <w:bCs/>
          <w:sz w:val="24"/>
          <w:szCs w:val="24"/>
        </w:rPr>
        <w:t>Section 868 heading</w:t>
      </w:r>
    </w:p>
    <w:p w14:paraId="34688ED0" w14:textId="311AA349" w:rsidR="00DD2317" w:rsidRDefault="00DD2317"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This clause substitute</w:t>
      </w:r>
      <w:r>
        <w:rPr>
          <w:rFonts w:asciiTheme="minorHAnsi" w:hAnsiTheme="minorHAnsi" w:cstheme="minorHAnsi"/>
          <w:sz w:val="24"/>
          <w:szCs w:val="24"/>
        </w:rPr>
        <w:t>s</w:t>
      </w:r>
      <w:r w:rsidRPr="000145D0">
        <w:rPr>
          <w:rFonts w:asciiTheme="minorHAnsi" w:hAnsiTheme="minorHAnsi" w:cstheme="minorHAnsi"/>
          <w:sz w:val="24"/>
          <w:szCs w:val="24"/>
        </w:rPr>
        <w:t xml:space="preserve">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voluntary report or mandatory report</w:t>
      </w:r>
      <w:r>
        <w:rPr>
          <w:rFonts w:asciiTheme="minorHAnsi" w:eastAsia="Calibri" w:hAnsiTheme="minorHAnsi" w:cstheme="minorHAnsi"/>
          <w:sz w:val="24"/>
          <w:szCs w:val="24"/>
          <w:lang w:eastAsia="en-AU"/>
        </w:rPr>
        <w:t>.</w:t>
      </w:r>
      <w:r w:rsidR="00D122B3">
        <w:rPr>
          <w:rFonts w:asciiTheme="minorHAnsi" w:eastAsia="Calibri" w:hAnsiTheme="minorHAnsi" w:cstheme="minorHAnsi"/>
          <w:sz w:val="24"/>
          <w:szCs w:val="24"/>
          <w:lang w:eastAsia="en-AU"/>
        </w:rPr>
        <w:t>”</w:t>
      </w:r>
    </w:p>
    <w:p w14:paraId="78A32D34" w14:textId="43F8A1EB" w:rsidR="00F1417E" w:rsidRPr="000145D0" w:rsidRDefault="00F1417E"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Clause 7</w:t>
      </w:r>
      <w:r w:rsidR="00964042" w:rsidRPr="000145D0">
        <w:rPr>
          <w:rFonts w:asciiTheme="minorHAnsi" w:hAnsiTheme="minorHAnsi" w:cstheme="minorHAnsi"/>
          <w:b/>
          <w:bCs/>
          <w:sz w:val="24"/>
          <w:szCs w:val="24"/>
        </w:rPr>
        <w:t>3</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009273C7" w:rsidRPr="000145D0">
        <w:rPr>
          <w:rFonts w:asciiTheme="minorHAnsi" w:hAnsiTheme="minorHAnsi" w:cstheme="minorHAnsi"/>
          <w:b/>
          <w:bCs/>
          <w:sz w:val="24"/>
          <w:szCs w:val="24"/>
        </w:rPr>
        <w:t>Section 868(1)</w:t>
      </w:r>
    </w:p>
    <w:p w14:paraId="21AEDDBD" w14:textId="2435BFCC" w:rsidR="00DD2317" w:rsidRDefault="00DD2317"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This clause substitute</w:t>
      </w:r>
      <w:r>
        <w:rPr>
          <w:rFonts w:asciiTheme="minorHAnsi" w:hAnsiTheme="minorHAnsi" w:cstheme="minorHAnsi"/>
          <w:sz w:val="24"/>
          <w:szCs w:val="24"/>
        </w:rPr>
        <w:t>s</w:t>
      </w:r>
      <w:r w:rsidRPr="000145D0">
        <w:rPr>
          <w:rFonts w:asciiTheme="minorHAnsi" w:hAnsiTheme="minorHAnsi" w:cstheme="minorHAnsi"/>
          <w:sz w:val="24"/>
          <w:szCs w:val="24"/>
        </w:rPr>
        <w:t xml:space="preserve">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voluntary report or mandatory report</w:t>
      </w:r>
      <w:r>
        <w:rPr>
          <w:rFonts w:asciiTheme="minorHAnsi" w:eastAsia="Calibri" w:hAnsiTheme="minorHAnsi" w:cstheme="minorHAnsi"/>
          <w:sz w:val="24"/>
          <w:szCs w:val="24"/>
          <w:lang w:eastAsia="en-AU"/>
        </w:rPr>
        <w:t>.</w:t>
      </w:r>
      <w:r w:rsidR="00D122B3">
        <w:rPr>
          <w:rFonts w:asciiTheme="minorHAnsi" w:eastAsia="Calibri" w:hAnsiTheme="minorHAnsi" w:cstheme="minorHAnsi"/>
          <w:sz w:val="24"/>
          <w:szCs w:val="24"/>
          <w:lang w:eastAsia="en-AU"/>
        </w:rPr>
        <w:t>”</w:t>
      </w:r>
    </w:p>
    <w:p w14:paraId="270A2BBD" w14:textId="6436B446" w:rsidR="00F1417E" w:rsidRPr="000145D0" w:rsidRDefault="00F1417E"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Clause 7</w:t>
      </w:r>
      <w:r w:rsidR="00964042" w:rsidRPr="000145D0">
        <w:rPr>
          <w:rFonts w:asciiTheme="minorHAnsi" w:hAnsiTheme="minorHAnsi" w:cstheme="minorHAnsi"/>
          <w:b/>
          <w:bCs/>
          <w:sz w:val="24"/>
          <w:szCs w:val="24"/>
        </w:rPr>
        <w:t>4</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bCs/>
          <w:sz w:val="24"/>
          <w:szCs w:val="24"/>
        </w:rPr>
        <w:t xml:space="preserve">– </w:t>
      </w:r>
      <w:r w:rsidR="009273C7" w:rsidRPr="000145D0">
        <w:rPr>
          <w:rFonts w:asciiTheme="minorHAnsi" w:hAnsiTheme="minorHAnsi" w:cstheme="minorHAnsi"/>
          <w:b/>
          <w:bCs/>
          <w:sz w:val="24"/>
          <w:szCs w:val="24"/>
        </w:rPr>
        <w:t>Protection of people giving certain information Section 874(2)(g) and (h)</w:t>
      </w:r>
    </w:p>
    <w:p w14:paraId="5976F2C5" w14:textId="7BD064DB" w:rsidR="00DD2317" w:rsidRDefault="00DD2317" w:rsidP="000165E8">
      <w:pPr>
        <w:spacing w:before="100" w:beforeAutospacing="1" w:after="100" w:afterAutospacing="1"/>
        <w:rPr>
          <w:rFonts w:asciiTheme="minorHAnsi" w:eastAsia="Calibri" w:hAnsiTheme="minorHAnsi" w:cstheme="minorHAnsi"/>
          <w:sz w:val="24"/>
          <w:szCs w:val="24"/>
          <w:lang w:eastAsia="en-AU"/>
        </w:rPr>
      </w:pPr>
      <w:r w:rsidRPr="000145D0">
        <w:rPr>
          <w:rFonts w:asciiTheme="minorHAnsi" w:hAnsiTheme="minorHAnsi" w:cstheme="minorHAnsi"/>
          <w:sz w:val="24"/>
          <w:szCs w:val="24"/>
        </w:rPr>
        <w:t>This clause substitute</w:t>
      </w:r>
      <w:r>
        <w:rPr>
          <w:rFonts w:asciiTheme="minorHAnsi" w:hAnsiTheme="minorHAnsi" w:cstheme="minorHAnsi"/>
          <w:sz w:val="24"/>
          <w:szCs w:val="24"/>
        </w:rPr>
        <w:t>s</w:t>
      </w:r>
      <w:r w:rsidRPr="000145D0">
        <w:rPr>
          <w:rFonts w:asciiTheme="minorHAnsi" w:hAnsiTheme="minorHAnsi" w:cstheme="minorHAnsi"/>
          <w:sz w:val="24"/>
          <w:szCs w:val="24"/>
        </w:rPr>
        <w:t xml:space="preserve">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child concern report</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 xml:space="preserve"> for </w:t>
      </w:r>
      <w:r w:rsidR="00D122B3">
        <w:rPr>
          <w:rFonts w:asciiTheme="minorHAnsi" w:eastAsia="Calibri" w:hAnsiTheme="minorHAnsi" w:cstheme="minorHAnsi"/>
          <w:sz w:val="24"/>
          <w:szCs w:val="24"/>
          <w:lang w:eastAsia="en-AU"/>
        </w:rPr>
        <w:t>“</w:t>
      </w:r>
      <w:r w:rsidRPr="000145D0">
        <w:rPr>
          <w:rFonts w:asciiTheme="minorHAnsi" w:eastAsia="Calibri" w:hAnsiTheme="minorHAnsi" w:cstheme="minorHAnsi"/>
          <w:sz w:val="24"/>
          <w:szCs w:val="24"/>
          <w:lang w:eastAsia="en-AU"/>
        </w:rPr>
        <w:t>voluntary report or mandatory report</w:t>
      </w:r>
      <w:r>
        <w:rPr>
          <w:rFonts w:asciiTheme="minorHAnsi" w:eastAsia="Calibri" w:hAnsiTheme="minorHAnsi" w:cstheme="minorHAnsi"/>
          <w:sz w:val="24"/>
          <w:szCs w:val="24"/>
          <w:lang w:eastAsia="en-AU"/>
        </w:rPr>
        <w:t>.</w:t>
      </w:r>
      <w:r w:rsidR="00D122B3">
        <w:rPr>
          <w:rFonts w:asciiTheme="minorHAnsi" w:eastAsia="Calibri" w:hAnsiTheme="minorHAnsi" w:cstheme="minorHAnsi"/>
          <w:sz w:val="24"/>
          <w:szCs w:val="24"/>
          <w:lang w:eastAsia="en-AU"/>
        </w:rPr>
        <w:t>”</w:t>
      </w:r>
    </w:p>
    <w:p w14:paraId="35C75D46" w14:textId="03E3E939" w:rsidR="00F1417E" w:rsidRPr="000145D0" w:rsidRDefault="00F1417E"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Clause 7</w:t>
      </w:r>
      <w:r w:rsidR="00964042" w:rsidRPr="000145D0">
        <w:rPr>
          <w:rFonts w:asciiTheme="minorHAnsi" w:hAnsiTheme="minorHAnsi" w:cstheme="minorHAnsi"/>
          <w:b/>
          <w:bCs/>
          <w:sz w:val="24"/>
          <w:szCs w:val="24"/>
        </w:rPr>
        <w:t>5</w:t>
      </w:r>
      <w:r w:rsidRPr="000145D0">
        <w:rPr>
          <w:rFonts w:asciiTheme="minorHAnsi" w:hAnsiTheme="minorHAnsi" w:cstheme="minorHAnsi"/>
          <w:b/>
          <w:bCs/>
          <w:sz w:val="24"/>
          <w:szCs w:val="24"/>
        </w:rPr>
        <w:t xml:space="preserve"> – </w:t>
      </w:r>
      <w:r w:rsidR="009273C7" w:rsidRPr="000145D0">
        <w:rPr>
          <w:rFonts w:asciiTheme="minorHAnsi" w:hAnsiTheme="minorHAnsi" w:cstheme="minorHAnsi"/>
          <w:b/>
          <w:bCs/>
          <w:sz w:val="24"/>
          <w:szCs w:val="24"/>
        </w:rPr>
        <w:t>Section 874(2)(j) to (m)</w:t>
      </w:r>
    </w:p>
    <w:p w14:paraId="7BDFC54D" w14:textId="4605B086" w:rsidR="009273C7" w:rsidRPr="000145D0" w:rsidRDefault="009273C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introduces to the concept of </w:t>
      </w:r>
      <w:r w:rsidR="00D122B3">
        <w:rPr>
          <w:rFonts w:asciiTheme="minorHAnsi" w:hAnsiTheme="minorHAnsi" w:cstheme="minorHAnsi"/>
          <w:sz w:val="24"/>
          <w:szCs w:val="24"/>
        </w:rPr>
        <w:t>“</w:t>
      </w:r>
      <w:r w:rsidRPr="000145D0">
        <w:rPr>
          <w:rFonts w:asciiTheme="minorHAnsi" w:hAnsiTheme="minorHAnsi" w:cstheme="minorHAnsi"/>
          <w:sz w:val="24"/>
          <w:szCs w:val="24"/>
        </w:rPr>
        <w:t>significant harm</w:t>
      </w:r>
      <w:r w:rsidR="00D122B3">
        <w:rPr>
          <w:rFonts w:asciiTheme="minorHAnsi" w:hAnsiTheme="minorHAnsi" w:cstheme="minorHAnsi"/>
          <w:sz w:val="24"/>
          <w:szCs w:val="24"/>
        </w:rPr>
        <w:t>”</w:t>
      </w:r>
      <w:r w:rsidRPr="000145D0">
        <w:rPr>
          <w:rFonts w:asciiTheme="minorHAnsi" w:hAnsiTheme="minorHAnsi" w:cstheme="minorHAnsi"/>
          <w:sz w:val="24"/>
          <w:szCs w:val="24"/>
        </w:rPr>
        <w:t xml:space="preserve"> as set out in section 3</w:t>
      </w:r>
      <w:r w:rsidR="0061133F">
        <w:rPr>
          <w:rFonts w:asciiTheme="minorHAnsi" w:hAnsiTheme="minorHAnsi" w:cstheme="minorHAnsi"/>
          <w:sz w:val="24"/>
          <w:szCs w:val="24"/>
        </w:rPr>
        <w:t>44</w:t>
      </w:r>
      <w:r w:rsidRPr="000145D0">
        <w:rPr>
          <w:rFonts w:asciiTheme="minorHAnsi" w:hAnsiTheme="minorHAnsi" w:cstheme="minorHAnsi"/>
          <w:sz w:val="24"/>
          <w:szCs w:val="24"/>
        </w:rPr>
        <w:t xml:space="preserve">. </w:t>
      </w:r>
    </w:p>
    <w:p w14:paraId="309A8BF9" w14:textId="3C625A74"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lastRenderedPageBreak/>
        <w:t xml:space="preserve">Clause </w:t>
      </w:r>
      <w:r w:rsidR="00F1417E" w:rsidRPr="000145D0">
        <w:rPr>
          <w:rFonts w:asciiTheme="minorHAnsi" w:hAnsiTheme="minorHAnsi" w:cstheme="minorHAnsi"/>
          <w:b/>
          <w:bCs/>
          <w:sz w:val="24"/>
          <w:szCs w:val="24"/>
        </w:rPr>
        <w:t>7</w:t>
      </w:r>
      <w:r w:rsidR="00964042" w:rsidRPr="000145D0">
        <w:rPr>
          <w:rFonts w:asciiTheme="minorHAnsi" w:hAnsiTheme="minorHAnsi" w:cstheme="minorHAnsi"/>
          <w:b/>
          <w:bCs/>
          <w:sz w:val="24"/>
          <w:szCs w:val="24"/>
        </w:rPr>
        <w:t>6</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New Chapter 32</w:t>
      </w:r>
    </w:p>
    <w:p w14:paraId="33F8924B" w14:textId="104A86C3" w:rsidR="003477E7" w:rsidRPr="000145D0"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inserts a new </w:t>
      </w:r>
      <w:r w:rsidR="002B3977">
        <w:rPr>
          <w:rFonts w:asciiTheme="minorHAnsi" w:hAnsiTheme="minorHAnsi" w:cstheme="minorHAnsi"/>
          <w:sz w:val="24"/>
          <w:szCs w:val="24"/>
        </w:rPr>
        <w:t>c</w:t>
      </w:r>
      <w:r w:rsidRPr="000145D0">
        <w:rPr>
          <w:rFonts w:asciiTheme="minorHAnsi" w:hAnsiTheme="minorHAnsi" w:cstheme="minorHAnsi"/>
          <w:sz w:val="24"/>
          <w:szCs w:val="24"/>
        </w:rPr>
        <w:t xml:space="preserve">hapter 32 to include section 988 titled </w:t>
      </w:r>
      <w:r w:rsidR="00D122B3">
        <w:rPr>
          <w:rFonts w:asciiTheme="minorHAnsi" w:hAnsiTheme="minorHAnsi" w:cstheme="minorHAnsi"/>
          <w:sz w:val="24"/>
          <w:szCs w:val="24"/>
        </w:rPr>
        <w:t>“</w:t>
      </w:r>
      <w:r w:rsidRPr="000145D0">
        <w:rPr>
          <w:rFonts w:asciiTheme="minorHAnsi" w:hAnsiTheme="minorHAnsi" w:cstheme="minorHAnsi"/>
          <w:sz w:val="24"/>
          <w:szCs w:val="24"/>
        </w:rPr>
        <w:t>CYP death review committee – change from annual to biennial reporting</w:t>
      </w:r>
      <w:r w:rsidR="00D122B3">
        <w:rPr>
          <w:rFonts w:asciiTheme="minorHAnsi" w:hAnsiTheme="minorHAnsi" w:cstheme="minorHAnsi"/>
          <w:sz w:val="24"/>
          <w:szCs w:val="24"/>
        </w:rPr>
        <w:t>”</w:t>
      </w:r>
      <w:r w:rsidR="00C62B89" w:rsidRPr="000145D0">
        <w:rPr>
          <w:rFonts w:asciiTheme="minorHAnsi" w:hAnsiTheme="minorHAnsi" w:cstheme="minorHAnsi"/>
          <w:sz w:val="24"/>
          <w:szCs w:val="24"/>
        </w:rPr>
        <w:t>.</w:t>
      </w:r>
    </w:p>
    <w:p w14:paraId="6D02D54C" w14:textId="48856A96" w:rsidR="0061133F" w:rsidRPr="000145D0"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new section will provide a transitional process to move to biennial reporting with annual reporting continuing for the 2023 calendar year and reporting every 2 calendar years from the 2024 calendar year. </w:t>
      </w:r>
    </w:p>
    <w:p w14:paraId="4651991D" w14:textId="1B951F23" w:rsidR="003477E7" w:rsidRPr="000145D0" w:rsidRDefault="003477E7"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 xml:space="preserve">Clause </w:t>
      </w:r>
      <w:r w:rsidR="00F1417E" w:rsidRPr="000145D0">
        <w:rPr>
          <w:rFonts w:asciiTheme="minorHAnsi" w:hAnsiTheme="minorHAnsi" w:cstheme="minorHAnsi"/>
          <w:b/>
          <w:bCs/>
          <w:sz w:val="24"/>
          <w:szCs w:val="24"/>
        </w:rPr>
        <w:t>7</w:t>
      </w:r>
      <w:r w:rsidR="00964042" w:rsidRPr="000145D0">
        <w:rPr>
          <w:rFonts w:asciiTheme="minorHAnsi" w:hAnsiTheme="minorHAnsi" w:cstheme="minorHAnsi"/>
          <w:b/>
          <w:bCs/>
          <w:sz w:val="24"/>
          <w:szCs w:val="24"/>
        </w:rPr>
        <w:t>7</w:t>
      </w:r>
      <w:r w:rsidRPr="000145D0">
        <w:rPr>
          <w:rFonts w:asciiTheme="minorHAnsi" w:hAnsiTheme="minorHAnsi" w:cstheme="minorHAnsi"/>
          <w:b/>
          <w:bCs/>
          <w:sz w:val="24"/>
          <w:szCs w:val="24"/>
        </w:rPr>
        <w:t xml:space="preserve"> </w:t>
      </w:r>
      <w:r w:rsidRPr="000145D0">
        <w:rPr>
          <w:rFonts w:asciiTheme="minorHAnsi" w:eastAsia="Calibri" w:hAnsiTheme="minorHAnsi" w:cstheme="minorHAnsi"/>
          <w:b/>
          <w:sz w:val="24"/>
          <w:szCs w:val="24"/>
        </w:rPr>
        <w:t xml:space="preserve">– </w:t>
      </w:r>
      <w:r w:rsidRPr="000145D0">
        <w:rPr>
          <w:rFonts w:asciiTheme="minorHAnsi" w:hAnsiTheme="minorHAnsi" w:cstheme="minorHAnsi"/>
          <w:b/>
          <w:bCs/>
          <w:sz w:val="24"/>
          <w:szCs w:val="24"/>
        </w:rPr>
        <w:t>Dictionary</w:t>
      </w:r>
    </w:p>
    <w:p w14:paraId="436BBBD6" w14:textId="49A64191" w:rsidR="003477E7" w:rsidRPr="000145D0" w:rsidRDefault="003477E7"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omits the definitions for </w:t>
      </w:r>
      <w:r w:rsidR="00D122B3">
        <w:rPr>
          <w:rFonts w:asciiTheme="minorHAnsi" w:hAnsiTheme="minorHAnsi" w:cstheme="minorHAnsi"/>
          <w:sz w:val="24"/>
          <w:szCs w:val="24"/>
        </w:rPr>
        <w:t>“</w:t>
      </w:r>
      <w:r w:rsidRPr="000145D0">
        <w:rPr>
          <w:rFonts w:asciiTheme="minorHAnsi" w:hAnsiTheme="minorHAnsi" w:cstheme="minorHAnsi"/>
          <w:sz w:val="24"/>
          <w:szCs w:val="24"/>
        </w:rPr>
        <w:t>abuse</w:t>
      </w:r>
      <w:r w:rsidR="00D122B3">
        <w:rPr>
          <w:rFonts w:asciiTheme="minorHAnsi" w:hAnsiTheme="minorHAnsi" w:cstheme="minorHAnsi"/>
          <w:sz w:val="24"/>
          <w:szCs w:val="24"/>
        </w:rPr>
        <w:t>”</w:t>
      </w:r>
      <w:r w:rsidRPr="000145D0">
        <w:rPr>
          <w:rFonts w:asciiTheme="minorHAnsi" w:hAnsiTheme="minorHAnsi" w:cstheme="minorHAnsi"/>
          <w:sz w:val="24"/>
          <w:szCs w:val="24"/>
        </w:rPr>
        <w:t xml:space="preserve">, </w:t>
      </w:r>
      <w:r w:rsidR="00D122B3">
        <w:rPr>
          <w:rFonts w:asciiTheme="minorHAnsi" w:hAnsiTheme="minorHAnsi" w:cstheme="minorHAnsi"/>
          <w:sz w:val="24"/>
          <w:szCs w:val="24"/>
        </w:rPr>
        <w:t>“</w:t>
      </w:r>
      <w:r w:rsidRPr="000145D0">
        <w:rPr>
          <w:rFonts w:asciiTheme="minorHAnsi" w:hAnsiTheme="minorHAnsi" w:cstheme="minorHAnsi"/>
          <w:sz w:val="24"/>
          <w:szCs w:val="24"/>
        </w:rPr>
        <w:t>at risk of abuse or neglect</w:t>
      </w:r>
      <w:r w:rsidR="00D122B3">
        <w:rPr>
          <w:rFonts w:asciiTheme="minorHAnsi" w:hAnsiTheme="minorHAnsi" w:cstheme="minorHAnsi"/>
          <w:sz w:val="24"/>
          <w:szCs w:val="24"/>
        </w:rPr>
        <w:t>”</w:t>
      </w:r>
      <w:r w:rsidRPr="000145D0">
        <w:rPr>
          <w:rFonts w:asciiTheme="minorHAnsi" w:hAnsiTheme="minorHAnsi" w:cstheme="minorHAnsi"/>
          <w:sz w:val="24"/>
          <w:szCs w:val="24"/>
        </w:rPr>
        <w:t xml:space="preserve">, </w:t>
      </w:r>
      <w:r w:rsidR="00D122B3">
        <w:rPr>
          <w:rFonts w:asciiTheme="minorHAnsi" w:hAnsiTheme="minorHAnsi" w:cstheme="minorHAnsi"/>
          <w:sz w:val="24"/>
          <w:szCs w:val="24"/>
        </w:rPr>
        <w:t>“</w:t>
      </w:r>
      <w:r w:rsidRPr="000145D0">
        <w:rPr>
          <w:rFonts w:asciiTheme="minorHAnsi" w:hAnsiTheme="minorHAnsi" w:cstheme="minorHAnsi"/>
          <w:sz w:val="24"/>
          <w:szCs w:val="24"/>
        </w:rPr>
        <w:t>child concern report</w:t>
      </w:r>
      <w:r w:rsidR="00D122B3">
        <w:rPr>
          <w:rFonts w:asciiTheme="minorHAnsi" w:hAnsiTheme="minorHAnsi" w:cstheme="minorHAnsi"/>
          <w:sz w:val="24"/>
          <w:szCs w:val="24"/>
        </w:rPr>
        <w:t>”</w:t>
      </w:r>
      <w:r w:rsidRPr="000145D0">
        <w:rPr>
          <w:rFonts w:asciiTheme="minorHAnsi" w:hAnsiTheme="minorHAnsi" w:cstheme="minorHAnsi"/>
          <w:sz w:val="24"/>
          <w:szCs w:val="24"/>
        </w:rPr>
        <w:t xml:space="preserve"> and </w:t>
      </w:r>
      <w:r w:rsidR="00D122B3">
        <w:rPr>
          <w:rFonts w:asciiTheme="minorHAnsi" w:hAnsiTheme="minorHAnsi" w:cstheme="minorHAnsi"/>
          <w:sz w:val="24"/>
          <w:szCs w:val="24"/>
        </w:rPr>
        <w:t>“</w:t>
      </w:r>
      <w:r w:rsidRPr="000145D0">
        <w:rPr>
          <w:rFonts w:asciiTheme="minorHAnsi" w:hAnsiTheme="minorHAnsi" w:cstheme="minorHAnsi"/>
          <w:sz w:val="24"/>
          <w:szCs w:val="24"/>
        </w:rPr>
        <w:t>neglect</w:t>
      </w:r>
      <w:r w:rsidR="00D122B3">
        <w:rPr>
          <w:rFonts w:asciiTheme="minorHAnsi" w:hAnsiTheme="minorHAnsi" w:cstheme="minorHAnsi"/>
          <w:sz w:val="24"/>
          <w:szCs w:val="24"/>
        </w:rPr>
        <w:t>”</w:t>
      </w:r>
      <w:r w:rsidRPr="000145D0">
        <w:rPr>
          <w:rFonts w:asciiTheme="minorHAnsi" w:hAnsiTheme="minorHAnsi" w:cstheme="minorHAnsi"/>
          <w:sz w:val="24"/>
          <w:szCs w:val="24"/>
        </w:rPr>
        <w:t xml:space="preserve">. </w:t>
      </w:r>
    </w:p>
    <w:p w14:paraId="483172B9" w14:textId="7D5A9500" w:rsidR="00F1417E" w:rsidRPr="000145D0" w:rsidRDefault="00F1417E" w:rsidP="000165E8">
      <w:pPr>
        <w:spacing w:before="100" w:beforeAutospacing="1" w:after="100" w:afterAutospacing="1"/>
        <w:rPr>
          <w:rFonts w:asciiTheme="minorHAnsi" w:hAnsiTheme="minorHAnsi" w:cstheme="minorHAnsi"/>
          <w:b/>
          <w:bCs/>
          <w:sz w:val="24"/>
          <w:szCs w:val="24"/>
        </w:rPr>
      </w:pPr>
      <w:r w:rsidRPr="000145D0">
        <w:rPr>
          <w:rFonts w:asciiTheme="minorHAnsi" w:hAnsiTheme="minorHAnsi" w:cstheme="minorHAnsi"/>
          <w:b/>
          <w:bCs/>
          <w:sz w:val="24"/>
          <w:szCs w:val="24"/>
        </w:rPr>
        <w:t>Clause 7</w:t>
      </w:r>
      <w:r w:rsidR="00964042" w:rsidRPr="000145D0">
        <w:rPr>
          <w:rFonts w:asciiTheme="minorHAnsi" w:hAnsiTheme="minorHAnsi" w:cstheme="minorHAnsi"/>
          <w:b/>
          <w:bCs/>
          <w:sz w:val="24"/>
          <w:szCs w:val="24"/>
        </w:rPr>
        <w:t>8</w:t>
      </w:r>
      <w:r w:rsidRPr="000145D0">
        <w:rPr>
          <w:rFonts w:asciiTheme="minorHAnsi" w:hAnsiTheme="minorHAnsi" w:cstheme="minorHAnsi"/>
          <w:b/>
          <w:bCs/>
          <w:sz w:val="24"/>
          <w:szCs w:val="24"/>
        </w:rPr>
        <w:t xml:space="preserve"> </w:t>
      </w:r>
      <w:r w:rsidRPr="00A53D1E">
        <w:rPr>
          <w:rFonts w:asciiTheme="minorHAnsi" w:eastAsia="Calibri" w:hAnsiTheme="minorHAnsi" w:cstheme="minorHAnsi"/>
          <w:b/>
          <w:sz w:val="24"/>
          <w:szCs w:val="24"/>
        </w:rPr>
        <w:t xml:space="preserve">– </w:t>
      </w:r>
      <w:r w:rsidRPr="00A53D1E">
        <w:rPr>
          <w:rFonts w:asciiTheme="minorHAnsi" w:hAnsiTheme="minorHAnsi" w:cstheme="minorHAnsi"/>
          <w:b/>
          <w:bCs/>
          <w:sz w:val="24"/>
          <w:szCs w:val="24"/>
        </w:rPr>
        <w:t>Dictionary, definition of significant harm</w:t>
      </w:r>
    </w:p>
    <w:p w14:paraId="7E149AF6" w14:textId="7B567A0C" w:rsidR="001177EF" w:rsidRPr="000145D0" w:rsidRDefault="00F1417E" w:rsidP="000165E8">
      <w:pPr>
        <w:spacing w:before="100" w:beforeAutospacing="1" w:after="100" w:afterAutospacing="1"/>
        <w:rPr>
          <w:rFonts w:asciiTheme="minorHAnsi" w:hAnsiTheme="minorHAnsi" w:cstheme="minorHAnsi"/>
          <w:sz w:val="24"/>
          <w:szCs w:val="24"/>
        </w:rPr>
      </w:pPr>
      <w:r w:rsidRPr="000145D0">
        <w:rPr>
          <w:rFonts w:asciiTheme="minorHAnsi" w:hAnsiTheme="minorHAnsi" w:cstheme="minorHAnsi"/>
          <w:sz w:val="24"/>
          <w:szCs w:val="24"/>
        </w:rPr>
        <w:t xml:space="preserve">This clause omits section 341 and substitutes with section 344. </w:t>
      </w:r>
      <w:bookmarkEnd w:id="0"/>
    </w:p>
    <w:sectPr w:rsidR="001177EF" w:rsidRPr="000145D0" w:rsidSect="00F41A2F">
      <w:headerReference w:type="even" r:id="rId14"/>
      <w:headerReference w:type="default" r:id="rId15"/>
      <w:footerReference w:type="default" r:id="rId16"/>
      <w:headerReference w:type="firs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2A43" w14:textId="77777777" w:rsidR="00C359FF" w:rsidRDefault="00C359FF" w:rsidP="00352E6F">
      <w:pPr>
        <w:spacing w:after="0" w:line="240" w:lineRule="auto"/>
      </w:pPr>
      <w:r>
        <w:separator/>
      </w:r>
    </w:p>
  </w:endnote>
  <w:endnote w:type="continuationSeparator" w:id="0">
    <w:p w14:paraId="076406F9" w14:textId="77777777" w:rsidR="00C359FF" w:rsidRDefault="00C359FF" w:rsidP="00352E6F">
      <w:pPr>
        <w:spacing w:after="0" w:line="240" w:lineRule="auto"/>
      </w:pPr>
      <w:r>
        <w:continuationSeparator/>
      </w:r>
    </w:p>
  </w:endnote>
  <w:endnote w:type="continuationNotice" w:id="1">
    <w:p w14:paraId="098DA672" w14:textId="77777777" w:rsidR="00C359FF" w:rsidRDefault="00C35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623" w14:textId="77777777" w:rsidR="00BA7188" w:rsidRDefault="00BA7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212" w14:textId="3467B4A8" w:rsidR="00352E6F" w:rsidRPr="00BA7188" w:rsidRDefault="00BA7188" w:rsidP="00BA7188">
    <w:pPr>
      <w:pStyle w:val="Footer"/>
      <w:jc w:val="center"/>
      <w:rPr>
        <w:rFonts w:ascii="Arial" w:hAnsi="Arial" w:cs="Arial"/>
        <w:sz w:val="14"/>
      </w:rPr>
    </w:pPr>
    <w:r w:rsidRPr="00BA718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9CD6" w14:textId="77777777" w:rsidR="00BA7188" w:rsidRDefault="00BA71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F587" w14:textId="19F9EF50" w:rsidR="00E05F6E" w:rsidRPr="00BA7188" w:rsidRDefault="00BA7188" w:rsidP="00BA7188">
    <w:pPr>
      <w:pStyle w:val="Footer"/>
      <w:spacing w:before="60" w:line="240" w:lineRule="auto"/>
      <w:jc w:val="center"/>
      <w:rPr>
        <w:rFonts w:ascii="Arial" w:hAnsi="Arial" w:cs="Arial"/>
        <w:sz w:val="14"/>
      </w:rPr>
    </w:pPr>
    <w:r w:rsidRPr="00BA7188">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C660" w14:textId="098A4EB3" w:rsidR="00E05F6E" w:rsidRPr="00BA7188" w:rsidRDefault="00BA7188" w:rsidP="00BA7188">
    <w:pPr>
      <w:pStyle w:val="Footer"/>
      <w:jc w:val="center"/>
      <w:rPr>
        <w:rFonts w:ascii="Arial" w:hAnsi="Arial" w:cs="Arial"/>
        <w:sz w:val="14"/>
      </w:rPr>
    </w:pPr>
    <w:r w:rsidRPr="00BA718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A4F1" w14:textId="77777777" w:rsidR="00C359FF" w:rsidRDefault="00C359FF" w:rsidP="00352E6F">
      <w:pPr>
        <w:spacing w:after="0" w:line="240" w:lineRule="auto"/>
      </w:pPr>
      <w:r>
        <w:separator/>
      </w:r>
    </w:p>
  </w:footnote>
  <w:footnote w:type="continuationSeparator" w:id="0">
    <w:p w14:paraId="656B9AC3" w14:textId="77777777" w:rsidR="00C359FF" w:rsidRDefault="00C359FF" w:rsidP="00352E6F">
      <w:pPr>
        <w:spacing w:after="0" w:line="240" w:lineRule="auto"/>
      </w:pPr>
      <w:r>
        <w:continuationSeparator/>
      </w:r>
    </w:p>
  </w:footnote>
  <w:footnote w:type="continuationNotice" w:id="1">
    <w:p w14:paraId="35204125" w14:textId="77777777" w:rsidR="00C359FF" w:rsidRDefault="00C359FF">
      <w:pPr>
        <w:spacing w:after="0" w:line="240" w:lineRule="auto"/>
      </w:pPr>
    </w:p>
  </w:footnote>
  <w:footnote w:id="2">
    <w:p w14:paraId="474C6939" w14:textId="6BB6BEAD" w:rsidR="008D250D" w:rsidRPr="00756CED" w:rsidRDefault="008D250D" w:rsidP="003314B2">
      <w:pPr>
        <w:pStyle w:val="FootnoteText"/>
        <w:rPr>
          <w:rFonts w:asciiTheme="minorHAnsi" w:hAnsiTheme="minorHAnsi" w:cstheme="minorHAnsi"/>
          <w:sz w:val="16"/>
          <w:szCs w:val="16"/>
        </w:rPr>
      </w:pPr>
      <w:r w:rsidRPr="00756CED">
        <w:rPr>
          <w:rStyle w:val="FootnoteReference"/>
          <w:rFonts w:asciiTheme="minorHAnsi" w:hAnsiTheme="minorHAnsi" w:cstheme="minorHAnsi"/>
          <w:sz w:val="16"/>
          <w:szCs w:val="16"/>
        </w:rPr>
        <w:footnoteRef/>
      </w:r>
      <w:r w:rsidRPr="00756CED">
        <w:rPr>
          <w:rFonts w:asciiTheme="minorHAnsi" w:hAnsiTheme="minorHAnsi" w:cstheme="minorHAnsi"/>
          <w:sz w:val="16"/>
          <w:szCs w:val="16"/>
        </w:rPr>
        <w:t xml:space="preserve"> The terms </w:t>
      </w:r>
      <w:r w:rsidR="00D122B3">
        <w:rPr>
          <w:rFonts w:asciiTheme="minorHAnsi" w:hAnsiTheme="minorHAnsi" w:cstheme="minorHAnsi"/>
          <w:sz w:val="16"/>
          <w:szCs w:val="16"/>
        </w:rPr>
        <w:t>‘</w:t>
      </w:r>
      <w:r w:rsidRPr="00756CED">
        <w:rPr>
          <w:rFonts w:asciiTheme="minorHAnsi" w:hAnsiTheme="minorHAnsi" w:cstheme="minorHAnsi"/>
          <w:sz w:val="16"/>
          <w:szCs w:val="16"/>
        </w:rPr>
        <w:t>child</w:t>
      </w:r>
      <w:r w:rsidR="00D122B3">
        <w:rPr>
          <w:rFonts w:asciiTheme="minorHAnsi" w:hAnsiTheme="minorHAnsi" w:cstheme="minorHAnsi"/>
          <w:sz w:val="16"/>
          <w:szCs w:val="16"/>
        </w:rPr>
        <w:t>’</w:t>
      </w:r>
      <w:r w:rsidRPr="00756CED">
        <w:rPr>
          <w:rFonts w:asciiTheme="minorHAnsi" w:hAnsiTheme="minorHAnsi" w:cstheme="minorHAnsi"/>
          <w:sz w:val="16"/>
          <w:szCs w:val="16"/>
        </w:rPr>
        <w:t xml:space="preserve">, </w:t>
      </w:r>
      <w:r w:rsidR="00D122B3">
        <w:rPr>
          <w:rFonts w:asciiTheme="minorHAnsi" w:hAnsiTheme="minorHAnsi" w:cstheme="minorHAnsi"/>
          <w:sz w:val="16"/>
          <w:szCs w:val="16"/>
        </w:rPr>
        <w:t>‘</w:t>
      </w:r>
      <w:r w:rsidRPr="00756CED">
        <w:rPr>
          <w:rFonts w:asciiTheme="minorHAnsi" w:hAnsiTheme="minorHAnsi" w:cstheme="minorHAnsi"/>
          <w:sz w:val="16"/>
          <w:szCs w:val="16"/>
        </w:rPr>
        <w:t>children</w:t>
      </w:r>
      <w:r w:rsidR="00D122B3">
        <w:rPr>
          <w:rFonts w:asciiTheme="minorHAnsi" w:hAnsiTheme="minorHAnsi" w:cstheme="minorHAnsi"/>
          <w:sz w:val="16"/>
          <w:szCs w:val="16"/>
        </w:rPr>
        <w:t>’</w:t>
      </w:r>
      <w:r w:rsidRPr="00756CED">
        <w:rPr>
          <w:rFonts w:asciiTheme="minorHAnsi" w:hAnsiTheme="minorHAnsi" w:cstheme="minorHAnsi"/>
          <w:sz w:val="16"/>
          <w:szCs w:val="16"/>
        </w:rPr>
        <w:t xml:space="preserve">, </w:t>
      </w:r>
      <w:r w:rsidR="00D122B3">
        <w:rPr>
          <w:rFonts w:asciiTheme="minorHAnsi" w:hAnsiTheme="minorHAnsi" w:cstheme="minorHAnsi"/>
          <w:sz w:val="16"/>
          <w:szCs w:val="16"/>
        </w:rPr>
        <w:t>‘</w:t>
      </w:r>
      <w:r w:rsidRPr="00756CED">
        <w:rPr>
          <w:rFonts w:asciiTheme="minorHAnsi" w:hAnsiTheme="minorHAnsi" w:cstheme="minorHAnsi"/>
          <w:sz w:val="16"/>
          <w:szCs w:val="16"/>
        </w:rPr>
        <w:t>young person</w:t>
      </w:r>
      <w:r w:rsidR="00D122B3">
        <w:rPr>
          <w:rFonts w:asciiTheme="minorHAnsi" w:hAnsiTheme="minorHAnsi" w:cstheme="minorHAnsi"/>
          <w:sz w:val="16"/>
          <w:szCs w:val="16"/>
        </w:rPr>
        <w:t>’</w:t>
      </w:r>
      <w:r w:rsidRPr="00756CED">
        <w:rPr>
          <w:rFonts w:asciiTheme="minorHAnsi" w:hAnsiTheme="minorHAnsi" w:cstheme="minorHAnsi"/>
          <w:sz w:val="16"/>
          <w:szCs w:val="16"/>
        </w:rPr>
        <w:t xml:space="preserve"> and </w:t>
      </w:r>
      <w:r w:rsidR="00D122B3">
        <w:rPr>
          <w:rFonts w:asciiTheme="minorHAnsi" w:hAnsiTheme="minorHAnsi" w:cstheme="minorHAnsi"/>
          <w:sz w:val="16"/>
          <w:szCs w:val="16"/>
        </w:rPr>
        <w:t>‘</w:t>
      </w:r>
      <w:r w:rsidRPr="00756CED">
        <w:rPr>
          <w:rFonts w:asciiTheme="minorHAnsi" w:hAnsiTheme="minorHAnsi" w:cstheme="minorHAnsi"/>
          <w:sz w:val="16"/>
          <w:szCs w:val="16"/>
        </w:rPr>
        <w:t>young person</w:t>
      </w:r>
      <w:r w:rsidR="00D122B3">
        <w:rPr>
          <w:rFonts w:asciiTheme="minorHAnsi" w:hAnsiTheme="minorHAnsi" w:cstheme="minorHAnsi"/>
          <w:sz w:val="16"/>
          <w:szCs w:val="16"/>
        </w:rPr>
        <w:t>’</w:t>
      </w:r>
      <w:r w:rsidRPr="00756CED">
        <w:rPr>
          <w:rFonts w:asciiTheme="minorHAnsi" w:hAnsiTheme="minorHAnsi" w:cstheme="minorHAnsi"/>
          <w:sz w:val="16"/>
          <w:szCs w:val="16"/>
        </w:rPr>
        <w:t xml:space="preserve"> are used interchangeably</w:t>
      </w:r>
      <w:r w:rsidR="00242168" w:rsidRPr="00756CED">
        <w:rPr>
          <w:rFonts w:asciiTheme="minorHAnsi" w:hAnsiTheme="minorHAnsi" w:cstheme="minorHAnsi"/>
          <w:sz w:val="16"/>
          <w:szCs w:val="16"/>
        </w:rPr>
        <w:t>,</w:t>
      </w:r>
      <w:r w:rsidRPr="00756CED">
        <w:rPr>
          <w:rFonts w:asciiTheme="minorHAnsi" w:hAnsiTheme="minorHAnsi" w:cstheme="minorHAnsi"/>
          <w:sz w:val="16"/>
          <w:szCs w:val="16"/>
        </w:rPr>
        <w:t xml:space="preserve"> and all refer to people under the age of 18 years.</w:t>
      </w:r>
    </w:p>
  </w:footnote>
  <w:footnote w:id="3">
    <w:p w14:paraId="4C9EFDAD" w14:textId="708AD0AE" w:rsidR="00063699" w:rsidRPr="00242168" w:rsidRDefault="00063699" w:rsidP="003314B2">
      <w:pPr>
        <w:pStyle w:val="FootnoteText"/>
        <w:rPr>
          <w:sz w:val="16"/>
          <w:szCs w:val="16"/>
          <w:lang w:val="en-AU"/>
        </w:rPr>
      </w:pPr>
      <w:r w:rsidRPr="00756CED">
        <w:rPr>
          <w:rStyle w:val="FootnoteReference"/>
          <w:rFonts w:asciiTheme="minorHAnsi" w:hAnsiTheme="minorHAnsi" w:cstheme="minorHAnsi"/>
          <w:sz w:val="16"/>
          <w:szCs w:val="16"/>
        </w:rPr>
        <w:footnoteRef/>
      </w:r>
      <w:r w:rsidRPr="00756CED">
        <w:rPr>
          <w:rStyle w:val="FootnoteReference"/>
          <w:rFonts w:asciiTheme="minorHAnsi" w:hAnsiTheme="minorHAnsi" w:cstheme="minorHAnsi"/>
          <w:sz w:val="16"/>
          <w:szCs w:val="16"/>
        </w:rPr>
        <w:t xml:space="preserve"> </w:t>
      </w:r>
      <w:r w:rsidRPr="00756CED">
        <w:rPr>
          <w:rFonts w:asciiTheme="minorHAnsi" w:hAnsiTheme="minorHAnsi" w:cstheme="minorHAnsi"/>
          <w:sz w:val="16"/>
          <w:szCs w:val="16"/>
        </w:rPr>
        <w:t xml:space="preserve">Council of Australian Governments. (2009). </w:t>
      </w:r>
      <w:r w:rsidRPr="00DC272E">
        <w:rPr>
          <w:rFonts w:asciiTheme="minorHAnsi" w:hAnsiTheme="minorHAnsi" w:cstheme="minorHAnsi"/>
          <w:i/>
          <w:iCs/>
          <w:sz w:val="16"/>
          <w:szCs w:val="16"/>
        </w:rPr>
        <w:t>Protecting children is everyone</w:t>
      </w:r>
      <w:r w:rsidR="00D122B3">
        <w:rPr>
          <w:rFonts w:asciiTheme="minorHAnsi" w:hAnsiTheme="minorHAnsi" w:cstheme="minorHAnsi"/>
          <w:i/>
          <w:iCs/>
          <w:sz w:val="16"/>
          <w:szCs w:val="16"/>
        </w:rPr>
        <w:t>’</w:t>
      </w:r>
      <w:r w:rsidRPr="00DC272E">
        <w:rPr>
          <w:rFonts w:asciiTheme="minorHAnsi" w:hAnsiTheme="minorHAnsi" w:cstheme="minorHAnsi"/>
          <w:i/>
          <w:iCs/>
          <w:sz w:val="16"/>
          <w:szCs w:val="16"/>
        </w:rPr>
        <w:t>s business: National Framework for Protecting Australia</w:t>
      </w:r>
      <w:r w:rsidR="00D122B3">
        <w:rPr>
          <w:rFonts w:asciiTheme="minorHAnsi" w:hAnsiTheme="minorHAnsi" w:cstheme="minorHAnsi"/>
          <w:i/>
          <w:iCs/>
          <w:sz w:val="16"/>
          <w:szCs w:val="16"/>
        </w:rPr>
        <w:t>’</w:t>
      </w:r>
      <w:r w:rsidRPr="00DC272E">
        <w:rPr>
          <w:rFonts w:asciiTheme="minorHAnsi" w:hAnsiTheme="minorHAnsi" w:cstheme="minorHAnsi"/>
          <w:i/>
          <w:iCs/>
          <w:sz w:val="16"/>
          <w:szCs w:val="16"/>
        </w:rPr>
        <w:t>s Children 2009-2020</w:t>
      </w:r>
      <w:r w:rsidRPr="00756CED">
        <w:rPr>
          <w:rFonts w:asciiTheme="minorHAnsi" w:hAnsiTheme="minorHAnsi" w:cstheme="minorHAnsi"/>
          <w:sz w:val="16"/>
          <w:szCs w:val="16"/>
        </w:rPr>
        <w:t>: an initiative of the Council of Australian Governments. [Canberra, A.C.T.: Dept. of Families, Housing, Community Services and Indigenous Affairs]</w:t>
      </w:r>
      <w:r w:rsidR="00DC272E">
        <w:rPr>
          <w:rFonts w:asciiTheme="minorHAnsi" w:hAnsiTheme="minorHAnsi" w:cstheme="minorHAnsi"/>
          <w:sz w:val="16"/>
          <w:szCs w:val="16"/>
        </w:rPr>
        <w:t>.</w:t>
      </w:r>
    </w:p>
  </w:footnote>
  <w:footnote w:id="4">
    <w:p w14:paraId="560CB2E2" w14:textId="20A38DC3" w:rsidR="0063408A" w:rsidRPr="003314B2" w:rsidRDefault="0063408A">
      <w:pPr>
        <w:pStyle w:val="FootnoteText"/>
        <w:rPr>
          <w:rFonts w:asciiTheme="minorHAnsi" w:hAnsiTheme="minorHAnsi" w:cstheme="minorHAnsi"/>
          <w:sz w:val="16"/>
          <w:szCs w:val="16"/>
          <w:lang w:val="en-AU"/>
        </w:rPr>
      </w:pPr>
      <w:r w:rsidRPr="003314B2">
        <w:rPr>
          <w:rStyle w:val="FootnoteReference"/>
          <w:rFonts w:asciiTheme="minorHAnsi" w:hAnsiTheme="minorHAnsi" w:cstheme="minorHAnsi"/>
          <w:sz w:val="16"/>
          <w:szCs w:val="16"/>
        </w:rPr>
        <w:footnoteRef/>
      </w:r>
      <w:r w:rsidRPr="003314B2">
        <w:rPr>
          <w:rFonts w:asciiTheme="minorHAnsi" w:hAnsiTheme="minorHAnsi" w:cstheme="minorHAnsi"/>
          <w:sz w:val="16"/>
          <w:szCs w:val="16"/>
        </w:rPr>
        <w:t xml:space="preserve"> Greene, C. A., Haisley, L., Wallace, C., &amp; Ford, J. D. (2020). </w:t>
      </w:r>
      <w:r w:rsidRPr="00DC272E">
        <w:rPr>
          <w:rFonts w:asciiTheme="minorHAnsi" w:hAnsiTheme="minorHAnsi" w:cstheme="minorHAnsi"/>
          <w:i/>
          <w:iCs/>
          <w:sz w:val="16"/>
          <w:szCs w:val="16"/>
        </w:rPr>
        <w:t>Intergenerational effects of childhood maltreatment: A systematic review of the parenting practices of adult survivors of childhood abuse, neglect, and violence</w:t>
      </w:r>
      <w:r w:rsidRPr="003314B2">
        <w:rPr>
          <w:rFonts w:asciiTheme="minorHAnsi" w:hAnsiTheme="minorHAnsi" w:cstheme="minorHAnsi"/>
          <w:sz w:val="16"/>
          <w:szCs w:val="16"/>
        </w:rPr>
        <w:t>. Clinical psychology review, 80, 101891</w:t>
      </w:r>
      <w:r w:rsidR="00DC272E">
        <w:rPr>
          <w:rFonts w:asciiTheme="minorHAnsi" w:hAnsiTheme="minorHAnsi" w:cstheme="minorHAnsi"/>
          <w:sz w:val="16"/>
          <w:szCs w:val="16"/>
        </w:rPr>
        <w:t>.</w:t>
      </w:r>
    </w:p>
  </w:footnote>
  <w:footnote w:id="5">
    <w:p w14:paraId="10EF4F84" w14:textId="0B03E857" w:rsidR="0085322A" w:rsidRPr="005F0F77" w:rsidRDefault="0085322A" w:rsidP="003314B2">
      <w:pPr>
        <w:pStyle w:val="FootnoteText"/>
        <w:rPr>
          <w:rFonts w:asciiTheme="minorHAnsi" w:hAnsiTheme="minorHAnsi" w:cstheme="minorHAnsi"/>
          <w:sz w:val="16"/>
          <w:szCs w:val="16"/>
          <w:lang w:val="en-AU"/>
        </w:rPr>
      </w:pPr>
      <w:r w:rsidRPr="005F0F77">
        <w:rPr>
          <w:rStyle w:val="FootnoteReference"/>
          <w:rFonts w:asciiTheme="minorHAnsi" w:hAnsiTheme="minorHAnsi" w:cstheme="minorHAnsi"/>
          <w:sz w:val="16"/>
          <w:szCs w:val="16"/>
        </w:rPr>
        <w:footnoteRef/>
      </w:r>
      <w:r w:rsidRPr="005F0F77">
        <w:rPr>
          <w:rFonts w:asciiTheme="minorHAnsi" w:hAnsiTheme="minorHAnsi" w:cstheme="minorHAnsi"/>
          <w:sz w:val="16"/>
          <w:szCs w:val="16"/>
        </w:rPr>
        <w:t xml:space="preserve"> </w:t>
      </w:r>
      <w:r w:rsidR="0012427E" w:rsidRPr="0012427E">
        <w:rPr>
          <w:rFonts w:asciiTheme="minorHAnsi" w:hAnsiTheme="minorHAnsi" w:cstheme="minorHAnsi"/>
          <w:color w:val="000000"/>
          <w:sz w:val="16"/>
          <w:szCs w:val="16"/>
        </w:rPr>
        <w:t xml:space="preserve">Our Booris, Our Way Steering Committee (A.C.T.) (2019). </w:t>
      </w:r>
      <w:r w:rsidR="0012427E" w:rsidRPr="0012427E">
        <w:rPr>
          <w:rFonts w:asciiTheme="minorHAnsi" w:hAnsiTheme="minorHAnsi" w:cstheme="minorHAnsi"/>
          <w:i/>
          <w:iCs/>
          <w:color w:val="000000"/>
          <w:sz w:val="16"/>
          <w:szCs w:val="16"/>
        </w:rPr>
        <w:t>Our Booris our way final report</w:t>
      </w:r>
      <w:r w:rsidR="0012427E" w:rsidRPr="0012427E">
        <w:rPr>
          <w:rFonts w:asciiTheme="minorHAnsi" w:hAnsiTheme="minorHAnsi" w:cstheme="minorHAnsi"/>
          <w:color w:val="000000"/>
          <w:sz w:val="16"/>
          <w:szCs w:val="16"/>
        </w:rPr>
        <w:t>. ACT Government, Canberra City, Australian Capital Territory</w:t>
      </w:r>
      <w:r w:rsidRPr="005F0F77">
        <w:rPr>
          <w:rFonts w:asciiTheme="minorHAnsi" w:hAnsiTheme="minorHAnsi" w:cstheme="minorHAnsi"/>
          <w:color w:val="000000"/>
          <w:sz w:val="16"/>
          <w:szCs w:val="16"/>
        </w:rPr>
        <w:t xml:space="preserve"> Recommendation 3 at p 75.</w:t>
      </w:r>
    </w:p>
  </w:footnote>
  <w:footnote w:id="6">
    <w:p w14:paraId="47CA41D6" w14:textId="4DCD89E8" w:rsidR="0085322A" w:rsidRPr="005F0F77" w:rsidRDefault="0085322A" w:rsidP="003314B2">
      <w:pPr>
        <w:pStyle w:val="FootnoteText"/>
        <w:rPr>
          <w:rFonts w:asciiTheme="minorHAnsi" w:hAnsiTheme="minorHAnsi" w:cstheme="minorHAnsi"/>
          <w:sz w:val="16"/>
          <w:szCs w:val="16"/>
          <w:lang w:val="en-AU"/>
        </w:rPr>
      </w:pPr>
      <w:r w:rsidRPr="005F0F77">
        <w:rPr>
          <w:rStyle w:val="FootnoteReference"/>
          <w:rFonts w:asciiTheme="minorHAnsi" w:hAnsiTheme="minorHAnsi" w:cstheme="minorHAnsi"/>
          <w:sz w:val="16"/>
          <w:szCs w:val="16"/>
        </w:rPr>
        <w:footnoteRef/>
      </w:r>
      <w:r w:rsidRPr="005F0F77">
        <w:rPr>
          <w:rFonts w:asciiTheme="minorHAnsi" w:hAnsiTheme="minorHAnsi" w:cstheme="minorHAnsi"/>
          <w:sz w:val="16"/>
          <w:szCs w:val="16"/>
        </w:rPr>
        <w:t xml:space="preserve"> </w:t>
      </w:r>
      <w:r w:rsidRPr="005F0F77">
        <w:rPr>
          <w:rFonts w:asciiTheme="minorHAnsi" w:hAnsiTheme="minorHAnsi" w:cstheme="minorHAnsi"/>
          <w:sz w:val="16"/>
          <w:szCs w:val="16"/>
          <w:lang w:val="en-AU"/>
        </w:rPr>
        <w:t xml:space="preserve">Department of Social Services. </w:t>
      </w:r>
      <w:r w:rsidRPr="0012427E">
        <w:rPr>
          <w:rFonts w:asciiTheme="minorHAnsi" w:hAnsiTheme="minorHAnsi" w:cstheme="minorHAnsi"/>
          <w:i/>
          <w:iCs/>
          <w:sz w:val="16"/>
          <w:szCs w:val="16"/>
          <w:lang w:val="en-AU"/>
        </w:rPr>
        <w:t>Safe and Supported: The National Framework for Protecting Australia</w:t>
      </w:r>
      <w:r w:rsidR="00D122B3">
        <w:rPr>
          <w:rFonts w:asciiTheme="minorHAnsi" w:hAnsiTheme="minorHAnsi" w:cstheme="minorHAnsi"/>
          <w:i/>
          <w:iCs/>
          <w:sz w:val="16"/>
          <w:szCs w:val="16"/>
          <w:lang w:val="en-AU"/>
        </w:rPr>
        <w:t>’</w:t>
      </w:r>
      <w:r w:rsidRPr="0012427E">
        <w:rPr>
          <w:rFonts w:asciiTheme="minorHAnsi" w:hAnsiTheme="minorHAnsi" w:cstheme="minorHAnsi"/>
          <w:i/>
          <w:iCs/>
          <w:sz w:val="16"/>
          <w:szCs w:val="16"/>
          <w:lang w:val="en-AU"/>
        </w:rPr>
        <w:t>s Children 2021-2031</w:t>
      </w:r>
      <w:r w:rsidRPr="005F0F77">
        <w:rPr>
          <w:rFonts w:asciiTheme="minorHAnsi" w:hAnsiTheme="minorHAnsi" w:cstheme="minorHAnsi"/>
          <w:sz w:val="16"/>
          <w:szCs w:val="16"/>
          <w:lang w:val="en-AU"/>
        </w:rPr>
        <w:t>, December 2021, Focus Area 2 at p 28.</w:t>
      </w:r>
    </w:p>
  </w:footnote>
  <w:footnote w:id="7">
    <w:p w14:paraId="354C8223" w14:textId="0DF9EFDC" w:rsidR="0085322A" w:rsidRPr="005F0F77" w:rsidRDefault="0085322A" w:rsidP="003314B2">
      <w:pPr>
        <w:pStyle w:val="FootnoteText"/>
        <w:rPr>
          <w:rFonts w:asciiTheme="minorHAnsi" w:hAnsiTheme="minorHAnsi" w:cstheme="minorHAnsi"/>
          <w:sz w:val="16"/>
          <w:szCs w:val="16"/>
          <w:lang w:val="en-AU"/>
        </w:rPr>
      </w:pPr>
      <w:r w:rsidRPr="005F0F77">
        <w:rPr>
          <w:rStyle w:val="FootnoteReference"/>
          <w:rFonts w:asciiTheme="minorHAnsi" w:hAnsiTheme="minorHAnsi" w:cstheme="minorHAnsi"/>
          <w:sz w:val="16"/>
          <w:szCs w:val="16"/>
        </w:rPr>
        <w:footnoteRef/>
      </w:r>
      <w:r w:rsidRPr="005F0F77">
        <w:rPr>
          <w:rFonts w:asciiTheme="minorHAnsi" w:hAnsiTheme="minorHAnsi" w:cstheme="minorHAnsi"/>
          <w:sz w:val="16"/>
          <w:szCs w:val="16"/>
        </w:rPr>
        <w:t xml:space="preserve"> </w:t>
      </w:r>
      <w:r w:rsidRPr="005F0F77">
        <w:rPr>
          <w:rFonts w:asciiTheme="minorHAnsi" w:hAnsiTheme="minorHAnsi" w:cstheme="minorHAnsi"/>
          <w:sz w:val="16"/>
          <w:szCs w:val="16"/>
          <w:lang w:val="en-AU"/>
        </w:rPr>
        <w:t xml:space="preserve">National Agreement on </w:t>
      </w:r>
      <w:r w:rsidRPr="0012427E">
        <w:rPr>
          <w:rFonts w:asciiTheme="minorHAnsi" w:hAnsiTheme="minorHAnsi" w:cstheme="minorHAnsi"/>
          <w:i/>
          <w:iCs/>
          <w:sz w:val="16"/>
          <w:szCs w:val="16"/>
          <w:lang w:val="en-AU"/>
        </w:rPr>
        <w:t>Closing the Gap</w:t>
      </w:r>
      <w:r w:rsidRPr="005F0F77">
        <w:rPr>
          <w:rFonts w:asciiTheme="minorHAnsi" w:hAnsiTheme="minorHAnsi" w:cstheme="minorHAnsi"/>
          <w:sz w:val="16"/>
          <w:szCs w:val="16"/>
          <w:lang w:val="en-AU"/>
        </w:rPr>
        <w:t>, July 2020, Outcome 12 at p 30.</w:t>
      </w:r>
    </w:p>
  </w:footnote>
  <w:footnote w:id="8">
    <w:p w14:paraId="532958EC" w14:textId="469A5269" w:rsidR="0085322A" w:rsidRPr="005F0F77" w:rsidRDefault="0085322A" w:rsidP="003314B2">
      <w:pPr>
        <w:pStyle w:val="FootnoteText"/>
        <w:rPr>
          <w:rFonts w:asciiTheme="minorHAnsi" w:hAnsiTheme="minorHAnsi" w:cstheme="minorHAnsi"/>
          <w:sz w:val="16"/>
          <w:szCs w:val="16"/>
          <w:lang w:val="en-AU"/>
        </w:rPr>
      </w:pPr>
      <w:r w:rsidRPr="005F0F77">
        <w:rPr>
          <w:rStyle w:val="FootnoteReference"/>
          <w:rFonts w:asciiTheme="minorHAnsi" w:hAnsiTheme="minorHAnsi" w:cstheme="minorHAnsi"/>
          <w:sz w:val="16"/>
          <w:szCs w:val="16"/>
        </w:rPr>
        <w:footnoteRef/>
      </w:r>
      <w:r w:rsidRPr="005F0F77">
        <w:rPr>
          <w:rFonts w:asciiTheme="minorHAnsi" w:hAnsiTheme="minorHAnsi" w:cstheme="minorHAnsi"/>
          <w:sz w:val="16"/>
          <w:szCs w:val="16"/>
        </w:rPr>
        <w:t xml:space="preserve"> </w:t>
      </w:r>
      <w:r w:rsidRPr="005F0F77">
        <w:rPr>
          <w:rFonts w:asciiTheme="minorHAnsi" w:hAnsiTheme="minorHAnsi" w:cstheme="minorHAnsi"/>
          <w:sz w:val="16"/>
          <w:szCs w:val="16"/>
          <w:lang w:val="en-AU"/>
        </w:rPr>
        <w:t xml:space="preserve">Australian Labour Party (ACT Branch) and ACT Greens, </w:t>
      </w:r>
      <w:r w:rsidRPr="0012427E">
        <w:rPr>
          <w:rFonts w:asciiTheme="minorHAnsi" w:hAnsiTheme="minorHAnsi" w:cstheme="minorHAnsi"/>
          <w:i/>
          <w:iCs/>
          <w:sz w:val="16"/>
          <w:szCs w:val="16"/>
          <w:lang w:val="en-AU"/>
        </w:rPr>
        <w:t>Parliamentary and Governing Agreement: 10th Legislative Assembly for the Australian Capital Territory</w:t>
      </w:r>
      <w:r w:rsidRPr="005F0F77">
        <w:rPr>
          <w:rFonts w:asciiTheme="minorHAnsi" w:hAnsiTheme="minorHAnsi" w:cstheme="minorHAnsi"/>
          <w:sz w:val="16"/>
          <w:szCs w:val="16"/>
          <w:lang w:val="en-AU"/>
        </w:rPr>
        <w:t>, November 2020, at paragraph 19.3.</w:t>
      </w:r>
    </w:p>
    <w:p w14:paraId="295850B3" w14:textId="7AF5BD52" w:rsidR="007D0370" w:rsidRPr="005F0F77" w:rsidRDefault="007D0370" w:rsidP="003314B2">
      <w:pPr>
        <w:pStyle w:val="FootnoteText"/>
        <w:rPr>
          <w:rFonts w:asciiTheme="minorHAnsi" w:hAnsiTheme="minorHAnsi" w:cstheme="minorHAnsi"/>
          <w:sz w:val="16"/>
          <w:szCs w:val="16"/>
          <w:shd w:val="clear" w:color="auto" w:fill="FFFFFF"/>
        </w:rPr>
      </w:pPr>
      <w:r w:rsidRPr="005F0F77">
        <w:rPr>
          <w:rStyle w:val="FootnoteReference"/>
          <w:rFonts w:asciiTheme="minorHAnsi" w:hAnsiTheme="minorHAnsi" w:cstheme="minorHAnsi"/>
          <w:sz w:val="16"/>
          <w:szCs w:val="16"/>
        </w:rPr>
        <w:t>6</w:t>
      </w:r>
      <w:r w:rsidRPr="005F0F77">
        <w:rPr>
          <w:rFonts w:asciiTheme="minorHAnsi" w:hAnsiTheme="minorHAnsi" w:cstheme="minorHAnsi"/>
          <w:sz w:val="16"/>
          <w:szCs w:val="16"/>
          <w:shd w:val="clear" w:color="auto" w:fill="FFFFFF"/>
        </w:rPr>
        <w:t xml:space="preserve"> Arney, F., Iannos, M., Chong, A., McDougall, S., &amp; Parkinson, S. (2015). </w:t>
      </w:r>
      <w:r w:rsidRPr="0012427E">
        <w:rPr>
          <w:rStyle w:val="Emphasis"/>
          <w:rFonts w:asciiTheme="minorHAnsi" w:eastAsiaTheme="majorEastAsia" w:hAnsiTheme="minorHAnsi" w:cstheme="minorHAnsi"/>
          <w:sz w:val="16"/>
          <w:szCs w:val="16"/>
          <w:bdr w:val="none" w:sz="0" w:space="0" w:color="auto" w:frame="1"/>
          <w:shd w:val="clear" w:color="auto" w:fill="FFFFFF"/>
        </w:rPr>
        <w:t>Enhancing the implementation of the Aboriginal and Torres Strait Islander Child Placement Principle: Policy and practice considerations</w:t>
      </w:r>
      <w:r w:rsidRPr="005F0F77">
        <w:rPr>
          <w:rFonts w:asciiTheme="minorHAnsi" w:hAnsiTheme="minorHAnsi" w:cstheme="minorHAnsi"/>
          <w:sz w:val="16"/>
          <w:szCs w:val="16"/>
          <w:shd w:val="clear" w:color="auto" w:fill="FFFFFF"/>
        </w:rPr>
        <w:t> (CFCA Paper No. 34). Melbourne: Child Family Community Australia information exchange.</w:t>
      </w:r>
    </w:p>
    <w:p w14:paraId="406CFC5C" w14:textId="0A5C9E2E" w:rsidR="004F520A" w:rsidRPr="005F0F77" w:rsidRDefault="004F520A" w:rsidP="003314B2">
      <w:pPr>
        <w:pStyle w:val="FootnoteText"/>
        <w:rPr>
          <w:lang w:val="en-AU"/>
        </w:rPr>
      </w:pPr>
      <w:r w:rsidRPr="005F0F77">
        <w:rPr>
          <w:rStyle w:val="FootnoteReference"/>
          <w:rFonts w:asciiTheme="minorHAnsi" w:hAnsiTheme="minorHAnsi" w:cstheme="minorHAnsi"/>
          <w:sz w:val="16"/>
          <w:szCs w:val="16"/>
        </w:rPr>
        <w:t>7</w:t>
      </w:r>
      <w:r w:rsidRPr="005F0F77">
        <w:rPr>
          <w:rFonts w:asciiTheme="minorHAnsi" w:hAnsiTheme="minorHAnsi" w:cstheme="minorHAnsi"/>
          <w:sz w:val="16"/>
          <w:szCs w:val="16"/>
        </w:rPr>
        <w:t xml:space="preserve"> SNAICC (2019). </w:t>
      </w:r>
      <w:r w:rsidRPr="0012427E">
        <w:rPr>
          <w:rFonts w:asciiTheme="minorHAnsi" w:hAnsiTheme="minorHAnsi" w:cstheme="minorHAnsi"/>
          <w:i/>
          <w:iCs/>
          <w:sz w:val="16"/>
          <w:szCs w:val="16"/>
        </w:rPr>
        <w:t>The Aboriginal and Torres Strait Islander Child Placement Principle: A guide to support implementation</w:t>
      </w:r>
      <w:r w:rsidRPr="005F0F77">
        <w:rPr>
          <w:rFonts w:asciiTheme="minorHAnsi" w:hAnsiTheme="minorHAnsi" w:cstheme="minorHAnsi"/>
          <w:sz w:val="16"/>
          <w:szCs w:val="16"/>
        </w:rPr>
        <w:t xml:space="preserve">. SNAICC. </w:t>
      </w:r>
    </w:p>
  </w:footnote>
  <w:footnote w:id="9">
    <w:p w14:paraId="250B638D" w14:textId="3BEB78C6" w:rsidR="00F45038" w:rsidRPr="00F45038" w:rsidRDefault="00F45038">
      <w:pPr>
        <w:pStyle w:val="FootnoteText"/>
        <w:rPr>
          <w:lang w:val="en-AU"/>
        </w:rPr>
      </w:pPr>
    </w:p>
  </w:footnote>
  <w:footnote w:id="10">
    <w:p w14:paraId="52614184" w14:textId="1E95FC1E" w:rsidR="00DB192C" w:rsidRPr="00DB192C" w:rsidRDefault="00DB192C" w:rsidP="00DB192C">
      <w:pPr>
        <w:pStyle w:val="NormalWeb"/>
        <w:spacing w:before="0" w:beforeAutospacing="0" w:after="0" w:afterAutospacing="0"/>
        <w:rPr>
          <w:rFonts w:asciiTheme="minorHAnsi" w:hAnsiTheme="minorHAnsi" w:cstheme="minorHAnsi"/>
          <w:sz w:val="16"/>
          <w:szCs w:val="16"/>
        </w:rPr>
      </w:pPr>
    </w:p>
  </w:footnote>
  <w:footnote w:id="11">
    <w:p w14:paraId="6175D6CA" w14:textId="7430BA6F" w:rsidR="00D16B8E" w:rsidRPr="0031222A" w:rsidRDefault="00D16B8E" w:rsidP="003314B2">
      <w:pPr>
        <w:pStyle w:val="FootnoteText"/>
        <w:rPr>
          <w:rFonts w:asciiTheme="minorHAnsi" w:hAnsiTheme="minorHAnsi" w:cstheme="minorHAnsi"/>
          <w:sz w:val="16"/>
          <w:szCs w:val="16"/>
          <w:lang w:val="en-AU"/>
        </w:rPr>
      </w:pPr>
      <w:r w:rsidRPr="00D16B8E">
        <w:rPr>
          <w:rStyle w:val="FootnoteReference"/>
          <w:rFonts w:asciiTheme="minorHAnsi" w:hAnsiTheme="minorHAnsi" w:cstheme="minorHAnsi"/>
          <w:sz w:val="16"/>
          <w:szCs w:val="16"/>
        </w:rPr>
        <w:footnoteRef/>
      </w:r>
      <w:r w:rsidRPr="00D16B8E">
        <w:rPr>
          <w:rFonts w:asciiTheme="minorHAnsi" w:hAnsiTheme="minorHAnsi" w:cstheme="minorHAnsi"/>
          <w:sz w:val="16"/>
          <w:szCs w:val="16"/>
        </w:rPr>
        <w:t xml:space="preserve"> </w:t>
      </w:r>
      <w:r w:rsidR="0012427E" w:rsidRPr="0012427E">
        <w:rPr>
          <w:rFonts w:asciiTheme="minorHAnsi" w:hAnsiTheme="minorHAnsi" w:cstheme="minorHAnsi"/>
          <w:sz w:val="16"/>
          <w:szCs w:val="16"/>
        </w:rPr>
        <w:t xml:space="preserve">Price-Robertson, Rhys &amp; Rush, Penelope, 1974- &amp; Wall, Liz &amp; Higgins, Daryl J &amp; Child Family Community Australia et al. (2013). </w:t>
      </w:r>
      <w:r w:rsidR="0012427E" w:rsidRPr="0012427E">
        <w:rPr>
          <w:rFonts w:asciiTheme="minorHAnsi" w:hAnsiTheme="minorHAnsi" w:cstheme="minorHAnsi"/>
          <w:i/>
          <w:iCs/>
          <w:sz w:val="16"/>
          <w:szCs w:val="16"/>
        </w:rPr>
        <w:t>Rarely an isolated incident: acknowledging the interrelatedness of child maltreatment, victimisation and trauma.</w:t>
      </w:r>
      <w:r w:rsidR="0012427E" w:rsidRPr="0012427E">
        <w:rPr>
          <w:rFonts w:asciiTheme="minorHAnsi" w:hAnsiTheme="minorHAnsi" w:cstheme="minorHAnsi"/>
          <w:sz w:val="16"/>
          <w:szCs w:val="16"/>
        </w:rPr>
        <w:t xml:space="preserve"> Australian Institute of Family Studies, Melbourne, Vic</w:t>
      </w:r>
    </w:p>
  </w:footnote>
  <w:footnote w:id="12">
    <w:p w14:paraId="32A7F9E0" w14:textId="56620FF1" w:rsidR="0031222A" w:rsidRPr="0031222A" w:rsidRDefault="0031222A">
      <w:pPr>
        <w:pStyle w:val="FootnoteText"/>
        <w:rPr>
          <w:lang w:val="en-AU"/>
        </w:rPr>
      </w:pPr>
      <w:r w:rsidRPr="0031222A">
        <w:rPr>
          <w:rStyle w:val="FootnoteReference"/>
          <w:rFonts w:asciiTheme="minorHAnsi" w:hAnsiTheme="minorHAnsi" w:cstheme="minorHAnsi"/>
          <w:sz w:val="16"/>
          <w:szCs w:val="16"/>
        </w:rPr>
        <w:footnoteRef/>
      </w:r>
      <w:r w:rsidRPr="0031222A">
        <w:rPr>
          <w:rFonts w:asciiTheme="minorHAnsi" w:hAnsiTheme="minorHAnsi" w:cstheme="minorHAnsi"/>
          <w:sz w:val="16"/>
          <w:szCs w:val="16"/>
        </w:rPr>
        <w:t xml:space="preserve"> Haslam D, Mathews B, Pacella R, Scott JG, Finkelhor D, Higgins DJ, Meinck F, Erskine HE, Thomas HJ, Lawrence D, Malacova E. (2023). </w:t>
      </w:r>
      <w:r w:rsidRPr="0012427E">
        <w:rPr>
          <w:rFonts w:asciiTheme="minorHAnsi" w:hAnsiTheme="minorHAnsi" w:cstheme="minorHAnsi"/>
          <w:i/>
          <w:iCs/>
          <w:sz w:val="16"/>
          <w:szCs w:val="16"/>
        </w:rPr>
        <w:t>The prevalence and impact of child maltreatment in Australia: Findings from the Australian Child Maltreatment Study: Brief Report.</w:t>
      </w:r>
      <w:r w:rsidRPr="0031222A">
        <w:rPr>
          <w:rFonts w:asciiTheme="minorHAnsi" w:hAnsiTheme="minorHAnsi" w:cstheme="minorHAnsi"/>
          <w:sz w:val="16"/>
          <w:szCs w:val="16"/>
        </w:rPr>
        <w:t xml:space="preserve"> Australian Child Maltreatment Study, Queensland University of Technology.</w:t>
      </w:r>
    </w:p>
  </w:footnote>
  <w:footnote w:id="13">
    <w:p w14:paraId="4E9F31A9" w14:textId="58323321" w:rsidR="00933F56" w:rsidRPr="007C2B40" w:rsidRDefault="00933F56">
      <w:pPr>
        <w:pStyle w:val="FootnoteText"/>
        <w:rPr>
          <w:rFonts w:asciiTheme="minorHAnsi" w:hAnsiTheme="minorHAnsi" w:cstheme="minorHAnsi"/>
          <w:color w:val="000000" w:themeColor="text1"/>
          <w:sz w:val="16"/>
          <w:szCs w:val="16"/>
        </w:rPr>
      </w:pPr>
      <w:r w:rsidRPr="0015165C">
        <w:rPr>
          <w:rStyle w:val="FootnoteReference"/>
          <w:sz w:val="16"/>
          <w:szCs w:val="16"/>
        </w:rPr>
        <w:footnoteRef/>
      </w:r>
      <w:r w:rsidRPr="0015165C">
        <w:rPr>
          <w:sz w:val="16"/>
          <w:szCs w:val="16"/>
        </w:rPr>
        <w:t xml:space="preserve"> </w:t>
      </w:r>
      <w:r w:rsidRPr="007C2B40">
        <w:rPr>
          <w:rFonts w:asciiTheme="minorHAnsi" w:hAnsiTheme="minorHAnsi" w:cstheme="minorHAnsi"/>
          <w:color w:val="000000" w:themeColor="text1"/>
          <w:sz w:val="16"/>
          <w:szCs w:val="16"/>
        </w:rPr>
        <w:t>Refer to points 50-57 of this document (p. 11-13)</w:t>
      </w:r>
    </w:p>
  </w:footnote>
  <w:footnote w:id="14">
    <w:p w14:paraId="7120C686" w14:textId="77777777" w:rsidR="00C148E9" w:rsidRPr="007C2B40" w:rsidRDefault="00C148E9" w:rsidP="003314B2">
      <w:pPr>
        <w:pStyle w:val="FootnoteText"/>
        <w:rPr>
          <w:rFonts w:asciiTheme="minorHAnsi" w:hAnsiTheme="minorHAnsi" w:cstheme="minorHAnsi"/>
          <w:sz w:val="16"/>
          <w:szCs w:val="16"/>
          <w:lang w:val="en-AU"/>
        </w:rPr>
      </w:pPr>
      <w:r w:rsidRPr="007C2B40">
        <w:rPr>
          <w:rStyle w:val="FootnoteReference"/>
          <w:rFonts w:asciiTheme="minorHAnsi" w:hAnsiTheme="minorHAnsi" w:cstheme="minorHAnsi"/>
          <w:sz w:val="16"/>
          <w:szCs w:val="16"/>
          <w:lang w:val="en-AU" w:eastAsia="en-AU"/>
        </w:rPr>
        <w:footnoteRef/>
      </w:r>
      <w:r w:rsidRPr="007C2B40">
        <w:rPr>
          <w:rStyle w:val="FootnoteReference"/>
          <w:rFonts w:asciiTheme="minorHAnsi" w:hAnsiTheme="minorHAnsi" w:cstheme="minorHAnsi"/>
          <w:sz w:val="16"/>
          <w:szCs w:val="16"/>
          <w:lang w:val="en-AU" w:eastAsia="en-AU"/>
        </w:rPr>
        <w:t xml:space="preserve"> </w:t>
      </w:r>
      <w:r w:rsidRPr="007C2B40">
        <w:rPr>
          <w:rFonts w:asciiTheme="minorHAnsi" w:hAnsiTheme="minorHAnsi" w:cstheme="minorHAnsi"/>
          <w:color w:val="000000" w:themeColor="text1"/>
          <w:sz w:val="16"/>
          <w:szCs w:val="16"/>
        </w:rPr>
        <w:t xml:space="preserve">AIHW (Australian Institute of Health and Welfare) (2022) </w:t>
      </w:r>
      <w:r w:rsidRPr="005A196B">
        <w:rPr>
          <w:rFonts w:asciiTheme="minorHAnsi" w:hAnsiTheme="minorHAnsi" w:cstheme="minorHAnsi"/>
          <w:i/>
          <w:iCs/>
          <w:color w:val="000000" w:themeColor="text1"/>
          <w:sz w:val="16"/>
          <w:szCs w:val="16"/>
        </w:rPr>
        <w:t>Child protection Australia 2020–21</w:t>
      </w:r>
      <w:r w:rsidRPr="007C2B40">
        <w:rPr>
          <w:rFonts w:asciiTheme="minorHAnsi" w:hAnsiTheme="minorHAnsi" w:cstheme="minorHAnsi"/>
          <w:color w:val="000000" w:themeColor="text1"/>
          <w:sz w:val="16"/>
          <w:szCs w:val="16"/>
        </w:rPr>
        <w:t xml:space="preserve"> Appendixes A to C. Child Welfare Series 87, AIHW, Australian Government.</w:t>
      </w:r>
    </w:p>
  </w:footnote>
  <w:footnote w:id="15">
    <w:p w14:paraId="7E0D73BC" w14:textId="77777777" w:rsidR="005D14BC" w:rsidRPr="00D560B4" w:rsidRDefault="005D14BC" w:rsidP="003314B2">
      <w:pPr>
        <w:pStyle w:val="FootnoteText"/>
        <w:rPr>
          <w:rFonts w:asciiTheme="minorHAnsi" w:hAnsiTheme="minorHAnsi" w:cstheme="minorHAnsi"/>
          <w:lang w:val="en-AU"/>
        </w:rPr>
      </w:pPr>
      <w:r w:rsidRPr="007C2B40">
        <w:rPr>
          <w:rStyle w:val="FootnoteReference"/>
          <w:rFonts w:asciiTheme="minorHAnsi" w:hAnsiTheme="minorHAnsi" w:cstheme="minorHAnsi"/>
          <w:sz w:val="16"/>
          <w:szCs w:val="16"/>
        </w:rPr>
        <w:footnoteRef/>
      </w:r>
      <w:r w:rsidRPr="007C2B40">
        <w:rPr>
          <w:rFonts w:asciiTheme="minorHAnsi" w:hAnsiTheme="minorHAnsi" w:cstheme="minorHAnsi"/>
          <w:sz w:val="16"/>
          <w:szCs w:val="16"/>
        </w:rPr>
        <w:t xml:space="preserve"> </w:t>
      </w:r>
      <w:r w:rsidRPr="007C2B40">
        <w:rPr>
          <w:rFonts w:asciiTheme="minorHAnsi" w:hAnsiTheme="minorHAnsi" w:cstheme="minorHAnsi"/>
          <w:i/>
          <w:iCs/>
          <w:sz w:val="16"/>
          <w:szCs w:val="16"/>
        </w:rPr>
        <w:t>Crimes Act 1900</w:t>
      </w:r>
      <w:r w:rsidRPr="007C2B40">
        <w:rPr>
          <w:rFonts w:asciiTheme="minorHAnsi" w:hAnsiTheme="minorHAnsi" w:cstheme="minorHAnsi"/>
          <w:sz w:val="16"/>
          <w:szCs w:val="16"/>
        </w:rPr>
        <w:t xml:space="preserve"> s 66</w:t>
      </w:r>
      <w:r w:rsidRPr="00715BD0">
        <w:rPr>
          <w:rFonts w:asciiTheme="minorHAnsi" w:hAnsiTheme="minorHAnsi" w:cstheme="minorHAnsi"/>
          <w:sz w:val="16"/>
          <w:szCs w:val="16"/>
        </w:rPr>
        <w:t>.</w:t>
      </w:r>
    </w:p>
  </w:footnote>
  <w:footnote w:id="16">
    <w:p w14:paraId="56C05D32" w14:textId="674D0D88" w:rsidR="00F84DE4" w:rsidRPr="00F84DE4" w:rsidRDefault="00F84DE4">
      <w:pPr>
        <w:pStyle w:val="FootnoteText"/>
        <w:rPr>
          <w:lang w:val="en-AU"/>
        </w:rPr>
      </w:pPr>
      <w:r>
        <w:rPr>
          <w:rStyle w:val="FootnoteReference"/>
        </w:rPr>
        <w:footnoteRef/>
      </w:r>
      <w:r>
        <w:t xml:space="preserve"> </w:t>
      </w:r>
      <w:r w:rsidRPr="0054329E">
        <w:rPr>
          <w:rFonts w:cs="Calibri"/>
          <w:sz w:val="16"/>
          <w:szCs w:val="16"/>
        </w:rPr>
        <w:t xml:space="preserve">The current CYPA defines significant harm as </w:t>
      </w:r>
      <w:r w:rsidR="00D122B3">
        <w:rPr>
          <w:rFonts w:cs="Calibri"/>
          <w:sz w:val="16"/>
          <w:szCs w:val="16"/>
        </w:rPr>
        <w:t>“</w:t>
      </w:r>
      <w:r w:rsidRPr="0054329E">
        <w:rPr>
          <w:rFonts w:cs="Calibri"/>
          <w:sz w:val="16"/>
          <w:szCs w:val="16"/>
        </w:rPr>
        <w:t>a single instance of significant harm or multiple instances of harm that together make up significant harm</w:t>
      </w:r>
      <w:r w:rsidR="00D122B3">
        <w:rPr>
          <w:rFonts w:cs="Calibri"/>
          <w:sz w:val="16"/>
          <w:szCs w:val="16"/>
        </w:rPr>
        <w:t>”</w:t>
      </w:r>
      <w:r w:rsidRPr="0054329E">
        <w:rPr>
          <w:rFonts w:cs="Calibri"/>
          <w:sz w:val="16"/>
          <w:szCs w:val="16"/>
        </w:rPr>
        <w:t xml:space="preserve"> (s 341).</w:t>
      </w:r>
    </w:p>
  </w:footnote>
  <w:footnote w:id="17">
    <w:p w14:paraId="67A36431" w14:textId="4FA16866" w:rsidR="0054329E" w:rsidRPr="0054329E" w:rsidRDefault="0054329E">
      <w:pPr>
        <w:pStyle w:val="FootnoteText"/>
        <w:rPr>
          <w:lang w:val="en-AU"/>
        </w:rPr>
      </w:pPr>
      <w:r>
        <w:rPr>
          <w:rStyle w:val="FootnoteReference"/>
        </w:rPr>
        <w:footnoteRef/>
      </w:r>
      <w:r>
        <w:t xml:space="preserve"> </w:t>
      </w:r>
      <w:r w:rsidR="00F84DE4">
        <w:rPr>
          <w:rFonts w:cs="Calibri"/>
          <w:sz w:val="16"/>
          <w:szCs w:val="16"/>
        </w:rPr>
        <w:t>Ibid.</w:t>
      </w:r>
    </w:p>
  </w:footnote>
  <w:footnote w:id="18">
    <w:p w14:paraId="5FC43EAB" w14:textId="7C145D78" w:rsidR="00F7587C" w:rsidRPr="00F7587C" w:rsidRDefault="00F7587C">
      <w:pPr>
        <w:pStyle w:val="FootnoteText"/>
        <w:rPr>
          <w:lang w:val="en-AU"/>
        </w:rPr>
      </w:pPr>
      <w:r>
        <w:rPr>
          <w:rStyle w:val="FootnoteReference"/>
        </w:rPr>
        <w:footnoteRef/>
      </w:r>
      <w:r>
        <w:t xml:space="preserve"> </w:t>
      </w:r>
      <w:r w:rsidRPr="0054329E">
        <w:rPr>
          <w:rFonts w:cs="Calibri"/>
          <w:sz w:val="16"/>
          <w:szCs w:val="16"/>
        </w:rPr>
        <w:t xml:space="preserve">Heward-Belle, S., Healey, L., Isobe, J., Roumeliotis, A., Link, E., Mandel, D., Tsantfski, M., Young, A. &amp; Humphreys, C. (2020). </w:t>
      </w:r>
      <w:r w:rsidRPr="00F7587C">
        <w:rPr>
          <w:rFonts w:cs="Calibri"/>
          <w:i/>
          <w:iCs/>
          <w:sz w:val="16"/>
          <w:szCs w:val="16"/>
        </w:rPr>
        <w:t>Working at the intersections of domestic and family violence, parental substance misuse and/or mental health issues.</w:t>
      </w:r>
      <w:r w:rsidRPr="0054329E">
        <w:rPr>
          <w:rFonts w:cs="Calibri"/>
          <w:sz w:val="16"/>
          <w:szCs w:val="16"/>
        </w:rPr>
        <w:t xml:space="preserve"> Practice Guide from the STACY Project: Safe &amp; Together Addressing Complexity. Melbourne, University of Melbourne and Sydney.</w:t>
      </w:r>
    </w:p>
  </w:footnote>
  <w:footnote w:id="19">
    <w:p w14:paraId="1034F02C" w14:textId="18E9FAED" w:rsidR="00880129" w:rsidRPr="00880129" w:rsidRDefault="00880129" w:rsidP="003314B2">
      <w:pPr>
        <w:pStyle w:val="FootnoteText"/>
        <w:rPr>
          <w:lang w:val="en-AU"/>
        </w:rPr>
      </w:pPr>
      <w:r w:rsidRPr="00880129">
        <w:rPr>
          <w:rStyle w:val="FootnoteReference"/>
          <w:rFonts w:cs="Calibri"/>
          <w:sz w:val="16"/>
          <w:szCs w:val="16"/>
        </w:rPr>
        <w:footnoteRef/>
      </w:r>
      <w:r w:rsidRPr="00880129">
        <w:rPr>
          <w:rFonts w:cs="Calibri"/>
          <w:sz w:val="16"/>
          <w:szCs w:val="16"/>
        </w:rPr>
        <w:t xml:space="preserve"> </w:t>
      </w:r>
      <w:r w:rsidR="00F7587C">
        <w:rPr>
          <w:rFonts w:cs="Calibri"/>
          <w:sz w:val="16"/>
          <w:szCs w:val="16"/>
        </w:rPr>
        <w:t>Ibid.</w:t>
      </w:r>
    </w:p>
  </w:footnote>
  <w:footnote w:id="20">
    <w:p w14:paraId="30B34FAE" w14:textId="616C77A4" w:rsidR="001B1E1B" w:rsidRPr="001B1E1B" w:rsidRDefault="001B1E1B">
      <w:pPr>
        <w:pStyle w:val="FootnoteText"/>
        <w:rPr>
          <w:lang w:val="en-AU"/>
        </w:rPr>
      </w:pPr>
      <w:r>
        <w:rPr>
          <w:rStyle w:val="FootnoteReference"/>
        </w:rPr>
        <w:footnoteRef/>
      </w:r>
      <w:r>
        <w:t xml:space="preserve"> </w:t>
      </w:r>
      <w:r w:rsidRPr="00D93663">
        <w:rPr>
          <w:rFonts w:asciiTheme="minorHAnsi" w:hAnsiTheme="minorHAnsi" w:cstheme="minorHAnsi"/>
          <w:i/>
          <w:iCs/>
          <w:sz w:val="16"/>
          <w:szCs w:val="16"/>
        </w:rPr>
        <w:t>Evidence Act 2011</w:t>
      </w:r>
      <w:r w:rsidRPr="00D93663">
        <w:rPr>
          <w:rFonts w:asciiTheme="minorHAnsi" w:hAnsiTheme="minorHAnsi" w:cstheme="minorHAnsi"/>
          <w:sz w:val="16"/>
          <w:szCs w:val="16"/>
        </w:rPr>
        <w:t xml:space="preserve"> (ACT) s 140</w:t>
      </w:r>
    </w:p>
  </w:footnote>
  <w:footnote w:id="21">
    <w:p w14:paraId="45AA28E7" w14:textId="1AA37594" w:rsidR="001B1E1B" w:rsidRPr="001B1E1B" w:rsidRDefault="001B1E1B">
      <w:pPr>
        <w:pStyle w:val="FootnoteText"/>
        <w:rPr>
          <w:lang w:val="en-AU"/>
        </w:rPr>
      </w:pPr>
      <w:r>
        <w:rPr>
          <w:rStyle w:val="FootnoteReference"/>
        </w:rPr>
        <w:footnoteRef/>
      </w:r>
      <w:r>
        <w:t xml:space="preserve"> </w:t>
      </w:r>
      <w:r w:rsidRPr="00D93663">
        <w:rPr>
          <w:rFonts w:asciiTheme="minorHAnsi" w:hAnsiTheme="minorHAnsi" w:cstheme="minorHAnsi"/>
          <w:i/>
          <w:iCs/>
          <w:sz w:val="16"/>
          <w:szCs w:val="16"/>
        </w:rPr>
        <w:t>Criminal Code Act 1995</w:t>
      </w:r>
      <w:r w:rsidRPr="00D93663">
        <w:rPr>
          <w:rFonts w:asciiTheme="minorHAnsi" w:hAnsiTheme="minorHAnsi" w:cstheme="minorHAnsi"/>
          <w:sz w:val="16"/>
          <w:szCs w:val="16"/>
        </w:rPr>
        <w:t xml:space="preserve"> (Cth) s 13.1(3)</w:t>
      </w:r>
    </w:p>
  </w:footnote>
  <w:footnote w:id="22">
    <w:p w14:paraId="3D396095" w14:textId="70F5C8E6" w:rsidR="00575286" w:rsidRPr="004C7229" w:rsidRDefault="00575286" w:rsidP="003314B2">
      <w:pPr>
        <w:pStyle w:val="FootnoteText"/>
        <w:rPr>
          <w:rFonts w:asciiTheme="minorHAnsi" w:hAnsiTheme="minorHAnsi" w:cstheme="minorHAnsi"/>
          <w:sz w:val="16"/>
          <w:szCs w:val="16"/>
        </w:rPr>
      </w:pPr>
      <w:r w:rsidRPr="00575286">
        <w:rPr>
          <w:rStyle w:val="FootnoteReference"/>
          <w:rFonts w:asciiTheme="minorHAnsi" w:hAnsiTheme="minorHAnsi" w:cstheme="minorHAnsi"/>
          <w:sz w:val="16"/>
          <w:szCs w:val="16"/>
        </w:rPr>
        <w:footnoteRef/>
      </w:r>
      <w:r w:rsidRPr="00575286">
        <w:rPr>
          <w:rFonts w:asciiTheme="minorHAnsi" w:hAnsiTheme="minorHAnsi" w:cstheme="minorHAnsi"/>
          <w:sz w:val="16"/>
          <w:szCs w:val="16"/>
        </w:rPr>
        <w:t xml:space="preserve"> </w:t>
      </w:r>
      <w:r w:rsidR="00DC272E" w:rsidRPr="00DC272E">
        <w:rPr>
          <w:rFonts w:asciiTheme="minorHAnsi" w:hAnsiTheme="minorHAnsi" w:cstheme="minorHAnsi"/>
          <w:sz w:val="16"/>
          <w:szCs w:val="16"/>
        </w:rPr>
        <w:t xml:space="preserve">United Nations (General Assembly), </w:t>
      </w:r>
      <w:r w:rsidR="00DC272E" w:rsidRPr="00DC272E">
        <w:rPr>
          <w:rFonts w:asciiTheme="minorHAnsi" w:hAnsiTheme="minorHAnsi" w:cstheme="minorHAnsi"/>
          <w:i/>
          <w:iCs/>
          <w:sz w:val="16"/>
          <w:szCs w:val="16"/>
        </w:rPr>
        <w:t>Convention on the Rights of the Child</w:t>
      </w:r>
      <w:r w:rsidR="00DC272E" w:rsidRPr="00DC272E">
        <w:rPr>
          <w:rFonts w:asciiTheme="minorHAnsi" w:hAnsiTheme="minorHAnsi" w:cstheme="minorHAnsi"/>
          <w:sz w:val="16"/>
          <w:szCs w:val="16"/>
        </w:rPr>
        <w:t>, (opened for signature 20 November 1989, entered into force 2 September 1990) 1577 UNTS 3.</w:t>
      </w:r>
    </w:p>
  </w:footnote>
  <w:footnote w:id="23">
    <w:p w14:paraId="64586547" w14:textId="20291665" w:rsidR="004C7229" w:rsidRPr="004C7229" w:rsidRDefault="004C7229" w:rsidP="003314B2">
      <w:pPr>
        <w:pStyle w:val="FootnoteText"/>
        <w:rPr>
          <w:lang w:val="en-AU"/>
        </w:rPr>
      </w:pPr>
      <w:r w:rsidRPr="003314B2">
        <w:rPr>
          <w:rStyle w:val="FootnoteReference"/>
          <w:rFonts w:asciiTheme="minorHAnsi" w:hAnsiTheme="minorHAnsi" w:cstheme="minorHAnsi"/>
          <w:sz w:val="16"/>
        </w:rPr>
        <w:footnoteRef/>
      </w:r>
      <w:r w:rsidRPr="003314B2">
        <w:rPr>
          <w:rStyle w:val="FootnoteReference"/>
          <w:rFonts w:asciiTheme="minorHAnsi" w:hAnsiTheme="minorHAnsi" w:cstheme="minorHAnsi"/>
          <w:sz w:val="16"/>
        </w:rPr>
        <w:t xml:space="preserve"> </w:t>
      </w:r>
      <w:r w:rsidRPr="004C7229">
        <w:rPr>
          <w:rFonts w:asciiTheme="minorHAnsi" w:hAnsiTheme="minorHAnsi" w:cstheme="minorHAnsi"/>
          <w:sz w:val="16"/>
          <w:szCs w:val="16"/>
        </w:rPr>
        <w:t xml:space="preserve">Victoria. Department of Human Services. (2007). </w:t>
      </w:r>
      <w:r w:rsidRPr="00DC272E">
        <w:rPr>
          <w:rFonts w:asciiTheme="minorHAnsi" w:hAnsiTheme="minorHAnsi" w:cstheme="minorHAnsi"/>
          <w:i/>
          <w:iCs/>
          <w:sz w:val="16"/>
          <w:szCs w:val="16"/>
        </w:rPr>
        <w:t>The best interests framework for vulnerable children and youth</w:t>
      </w:r>
      <w:r w:rsidRPr="004C7229">
        <w:rPr>
          <w:rFonts w:asciiTheme="minorHAnsi" w:hAnsiTheme="minorHAnsi" w:cstheme="minorHAnsi"/>
          <w:sz w:val="16"/>
          <w:szCs w:val="16"/>
        </w:rPr>
        <w:t>. Melbourne, Vic.: Dept of Human Services</w:t>
      </w:r>
      <w:r>
        <w:rPr>
          <w:rFonts w:asciiTheme="minorHAnsi" w:hAnsiTheme="minorHAnsi" w:cstheme="minorHAnsi"/>
          <w:sz w:val="16"/>
          <w:szCs w:val="16"/>
        </w:rPr>
        <w:t>.</w:t>
      </w:r>
    </w:p>
  </w:footnote>
  <w:footnote w:id="24">
    <w:p w14:paraId="58DA2518" w14:textId="092BDD6E" w:rsidR="004C7229" w:rsidRPr="004C7229" w:rsidRDefault="004C7229" w:rsidP="003314B2">
      <w:pPr>
        <w:pStyle w:val="FootnoteText"/>
        <w:rPr>
          <w:lang w:val="en-AU"/>
        </w:rPr>
      </w:pPr>
      <w:r w:rsidRPr="003314B2">
        <w:rPr>
          <w:rStyle w:val="FootnoteReference"/>
          <w:sz w:val="16"/>
          <w:szCs w:val="16"/>
        </w:rPr>
        <w:footnoteRef/>
      </w:r>
      <w:r w:rsidRPr="003314B2">
        <w:rPr>
          <w:sz w:val="16"/>
          <w:szCs w:val="16"/>
        </w:rPr>
        <w:t xml:space="preserve"> </w:t>
      </w:r>
      <w:r w:rsidRPr="004C7229">
        <w:rPr>
          <w:rFonts w:asciiTheme="minorHAnsi" w:hAnsiTheme="minorHAnsi" w:cstheme="minorHAnsi"/>
          <w:sz w:val="16"/>
          <w:szCs w:val="16"/>
        </w:rPr>
        <w:t xml:space="preserve">Australian Capital Territory. Community Services Directorate (2021). </w:t>
      </w:r>
      <w:r w:rsidRPr="005A196B">
        <w:rPr>
          <w:rFonts w:asciiTheme="minorHAnsi" w:hAnsiTheme="minorHAnsi" w:cstheme="minorHAnsi"/>
          <w:i/>
          <w:iCs/>
          <w:sz w:val="16"/>
          <w:szCs w:val="16"/>
        </w:rPr>
        <w:t>Next Steps for our Kids 2022-2030: ACT Strategy to Strengthen Families and Keep Children and Young People Safe.</w:t>
      </w:r>
      <w:r w:rsidRPr="004C7229">
        <w:rPr>
          <w:rFonts w:asciiTheme="minorHAnsi" w:hAnsiTheme="minorHAnsi" w:cstheme="minorHAnsi"/>
          <w:sz w:val="16"/>
          <w:szCs w:val="16"/>
        </w:rPr>
        <w:t xml:space="preserve"> ACT Government, [Canberra]</w:t>
      </w:r>
      <w:r w:rsidR="00677F36">
        <w:rPr>
          <w:rFonts w:asciiTheme="minorHAnsi" w:hAnsiTheme="minorHAnsi" w:cstheme="minorHAnsi"/>
          <w:sz w:val="16"/>
          <w:szCs w:val="16"/>
        </w:rPr>
        <w:t>.</w:t>
      </w:r>
    </w:p>
  </w:footnote>
  <w:footnote w:id="25">
    <w:p w14:paraId="31E4A06E" w14:textId="1D983E4D" w:rsidR="007C2B40" w:rsidRPr="007C2B40" w:rsidRDefault="007C2B40">
      <w:pPr>
        <w:pStyle w:val="FootnoteText"/>
        <w:rPr>
          <w:lang w:val="en-AU"/>
        </w:rPr>
      </w:pPr>
      <w:r>
        <w:rPr>
          <w:rStyle w:val="FootnoteReference"/>
        </w:rPr>
        <w:footnoteRef/>
      </w:r>
      <w:r>
        <w:t xml:space="preserve"> </w:t>
      </w:r>
      <w:r w:rsidRPr="007C2B40">
        <w:rPr>
          <w:sz w:val="16"/>
          <w:szCs w:val="16"/>
          <w:lang w:val="en-AU"/>
        </w:rPr>
        <w:t>Refer to points 7</w:t>
      </w:r>
      <w:r w:rsidR="00D93663">
        <w:rPr>
          <w:sz w:val="16"/>
          <w:szCs w:val="16"/>
          <w:lang w:val="en-AU"/>
        </w:rPr>
        <w:t>6</w:t>
      </w:r>
      <w:r w:rsidRPr="007C2B40">
        <w:rPr>
          <w:sz w:val="16"/>
          <w:szCs w:val="16"/>
          <w:lang w:val="en-AU"/>
        </w:rPr>
        <w:t>-8</w:t>
      </w:r>
      <w:r w:rsidR="00073655">
        <w:rPr>
          <w:sz w:val="16"/>
          <w:szCs w:val="16"/>
          <w:lang w:val="en-AU"/>
        </w:rPr>
        <w:t>4</w:t>
      </w:r>
      <w:r w:rsidRPr="007C2B40">
        <w:rPr>
          <w:sz w:val="16"/>
          <w:szCs w:val="16"/>
          <w:lang w:val="en-AU"/>
        </w:rPr>
        <w:t xml:space="preserve"> of this document (p.16-17)</w:t>
      </w:r>
    </w:p>
  </w:footnote>
  <w:footnote w:id="26">
    <w:p w14:paraId="2E8EE486" w14:textId="1E37977F" w:rsidR="00EF69E0" w:rsidRPr="00677F36" w:rsidRDefault="00EF69E0" w:rsidP="003314B2">
      <w:pPr>
        <w:pStyle w:val="NormalWeb"/>
        <w:spacing w:before="0" w:beforeAutospacing="0" w:after="60" w:afterAutospacing="0"/>
        <w:rPr>
          <w:rFonts w:asciiTheme="minorHAnsi" w:hAnsiTheme="minorHAnsi" w:cstheme="minorHAnsi"/>
          <w:sz w:val="16"/>
          <w:szCs w:val="16"/>
        </w:rPr>
      </w:pPr>
      <w:r w:rsidRPr="00EF69E0">
        <w:rPr>
          <w:rStyle w:val="FootnoteReference"/>
          <w:rFonts w:asciiTheme="minorHAnsi" w:hAnsiTheme="minorHAnsi" w:cstheme="minorHAnsi"/>
          <w:sz w:val="16"/>
          <w:szCs w:val="16"/>
        </w:rPr>
        <w:footnoteRef/>
      </w:r>
      <w:r>
        <w:t xml:space="preserve"> </w:t>
      </w:r>
      <w:r w:rsidRPr="00DB192C">
        <w:rPr>
          <w:rFonts w:asciiTheme="minorHAnsi" w:hAnsiTheme="minorHAnsi" w:cstheme="minorHAnsi"/>
          <w:sz w:val="16"/>
          <w:szCs w:val="16"/>
        </w:rPr>
        <w:t>S</w:t>
      </w:r>
      <w:r>
        <w:rPr>
          <w:rFonts w:asciiTheme="minorHAnsi" w:hAnsiTheme="minorHAnsi" w:cstheme="minorHAnsi"/>
          <w:sz w:val="16"/>
          <w:szCs w:val="16"/>
        </w:rPr>
        <w:t>NAICC (2019)</w:t>
      </w:r>
      <w:r w:rsidRPr="00DB192C">
        <w:rPr>
          <w:rFonts w:asciiTheme="minorHAnsi" w:hAnsiTheme="minorHAnsi" w:cstheme="minorHAnsi"/>
          <w:sz w:val="16"/>
          <w:szCs w:val="16"/>
        </w:rPr>
        <w:t xml:space="preserve">. </w:t>
      </w:r>
      <w:r w:rsidRPr="005A196B">
        <w:rPr>
          <w:rFonts w:asciiTheme="minorHAnsi" w:hAnsiTheme="minorHAnsi" w:cstheme="minorHAnsi"/>
          <w:i/>
          <w:iCs/>
          <w:sz w:val="16"/>
          <w:szCs w:val="16"/>
        </w:rPr>
        <w:t>The Aboriginal and Torres Strait Islander Child Placement Principle: A guide to support implementation.</w:t>
      </w:r>
      <w:r w:rsidRPr="00677F36">
        <w:rPr>
          <w:rFonts w:asciiTheme="minorHAnsi" w:hAnsiTheme="minorHAnsi" w:cstheme="minorHAnsi"/>
          <w:sz w:val="16"/>
          <w:szCs w:val="16"/>
        </w:rPr>
        <w:t xml:space="preserve"> SNAICC</w:t>
      </w:r>
      <w:r w:rsidR="00381CC7" w:rsidRPr="00677F36">
        <w:rPr>
          <w:rFonts w:asciiTheme="minorHAnsi" w:hAnsiTheme="minorHAnsi" w:cstheme="minorHAnsi"/>
          <w:sz w:val="16"/>
          <w:szCs w:val="16"/>
        </w:rPr>
        <w:t>.</w:t>
      </w:r>
    </w:p>
  </w:footnote>
  <w:footnote w:id="27">
    <w:p w14:paraId="3782EC31" w14:textId="48738118" w:rsidR="00450873" w:rsidRPr="00677F36" w:rsidRDefault="00450873" w:rsidP="003314B2">
      <w:pPr>
        <w:pStyle w:val="FootnoteText"/>
        <w:rPr>
          <w:rFonts w:asciiTheme="minorHAnsi" w:hAnsiTheme="minorHAnsi" w:cstheme="minorHAnsi"/>
          <w:sz w:val="16"/>
          <w:szCs w:val="16"/>
        </w:rPr>
      </w:pPr>
      <w:r w:rsidRPr="00677F36">
        <w:rPr>
          <w:rStyle w:val="FootnoteReference"/>
          <w:rFonts w:asciiTheme="minorHAnsi" w:hAnsiTheme="minorHAnsi" w:cstheme="minorHAnsi"/>
          <w:sz w:val="16"/>
          <w:szCs w:val="16"/>
        </w:rPr>
        <w:footnoteRef/>
      </w:r>
      <w:r w:rsidRPr="00677F36">
        <w:rPr>
          <w:rFonts w:asciiTheme="minorHAnsi" w:hAnsiTheme="minorHAnsi" w:cstheme="minorHAnsi"/>
          <w:sz w:val="16"/>
          <w:szCs w:val="16"/>
        </w:rPr>
        <w:t xml:space="preserve"> ACT Children and Young People Death Review Committee (2020)</w:t>
      </w:r>
      <w:r w:rsidR="005A196B">
        <w:rPr>
          <w:rFonts w:asciiTheme="minorHAnsi" w:hAnsiTheme="minorHAnsi" w:cstheme="minorHAnsi"/>
          <w:sz w:val="16"/>
          <w:szCs w:val="16"/>
        </w:rPr>
        <w:t>.</w:t>
      </w:r>
      <w:r w:rsidRPr="00677F36">
        <w:rPr>
          <w:rFonts w:asciiTheme="minorHAnsi" w:hAnsiTheme="minorHAnsi" w:cstheme="minorHAnsi"/>
          <w:sz w:val="16"/>
          <w:szCs w:val="16"/>
        </w:rPr>
        <w:t xml:space="preserve"> </w:t>
      </w:r>
      <w:r w:rsidRPr="005A196B">
        <w:rPr>
          <w:rFonts w:asciiTheme="minorHAnsi" w:hAnsiTheme="minorHAnsi" w:cstheme="minorHAnsi"/>
          <w:i/>
          <w:iCs/>
          <w:sz w:val="16"/>
          <w:szCs w:val="16"/>
        </w:rPr>
        <w:t>Review of ACT children and young people who have died as a result of intentional self-harm: 2017-2019.</w:t>
      </w:r>
      <w:r w:rsidRPr="00677F36">
        <w:rPr>
          <w:rFonts w:asciiTheme="minorHAnsi" w:hAnsiTheme="minorHAnsi" w:cstheme="minorHAnsi"/>
          <w:sz w:val="16"/>
          <w:szCs w:val="16"/>
        </w:rPr>
        <w:t xml:space="preserve"> Canberra: ACT Children and Young People Death Review Committee</w:t>
      </w:r>
      <w:r w:rsidR="00381CC7" w:rsidRPr="00677F36">
        <w:rPr>
          <w:rFonts w:asciiTheme="minorHAnsi" w:hAnsiTheme="minorHAnsi" w:cstheme="minorHAnsi"/>
          <w:sz w:val="16"/>
          <w:szCs w:val="16"/>
        </w:rPr>
        <w:t>.</w:t>
      </w:r>
    </w:p>
  </w:footnote>
  <w:footnote w:id="28">
    <w:p w14:paraId="1BF5F842" w14:textId="0D1ACC35" w:rsidR="006E3F32" w:rsidRPr="00677F36" w:rsidRDefault="006E3F32" w:rsidP="003314B2">
      <w:pPr>
        <w:pStyle w:val="FootnoteText"/>
        <w:rPr>
          <w:rFonts w:asciiTheme="minorHAnsi" w:hAnsiTheme="minorHAnsi" w:cstheme="minorHAnsi"/>
          <w:sz w:val="16"/>
          <w:szCs w:val="16"/>
          <w:lang w:val="en-AU"/>
        </w:rPr>
      </w:pPr>
      <w:r w:rsidRPr="00677F36">
        <w:rPr>
          <w:rStyle w:val="FootnoteReference"/>
          <w:rFonts w:asciiTheme="minorHAnsi" w:hAnsiTheme="minorHAnsi" w:cstheme="minorHAnsi"/>
          <w:sz w:val="16"/>
          <w:szCs w:val="16"/>
        </w:rPr>
        <w:footnoteRef/>
      </w:r>
      <w:r w:rsidRPr="00677F36">
        <w:rPr>
          <w:rFonts w:asciiTheme="minorHAnsi" w:hAnsiTheme="minorHAnsi" w:cstheme="minorHAnsi"/>
          <w:sz w:val="16"/>
          <w:szCs w:val="16"/>
        </w:rPr>
        <w:t xml:space="preserve"> </w:t>
      </w:r>
      <w:r w:rsidRPr="004B631D">
        <w:rPr>
          <w:rFonts w:asciiTheme="minorHAnsi" w:hAnsiTheme="minorHAnsi" w:cstheme="minorHAnsi"/>
          <w:i/>
          <w:iCs/>
          <w:sz w:val="16"/>
          <w:szCs w:val="16"/>
          <w:lang w:val="en-AU"/>
        </w:rPr>
        <w:t>Review of Children and Young People in the ACT</w:t>
      </w:r>
      <w:r w:rsidRPr="00677F36">
        <w:rPr>
          <w:rFonts w:asciiTheme="minorHAnsi" w:hAnsiTheme="minorHAnsi" w:cstheme="minorHAnsi"/>
          <w:sz w:val="16"/>
          <w:szCs w:val="16"/>
          <w:lang w:val="en-AU"/>
        </w:rPr>
        <w:t xml:space="preserve"> (2020) Office of Mental health and Wellbeing. </w:t>
      </w:r>
      <w:r w:rsidRPr="00677F36">
        <w:rPr>
          <w:rFonts w:asciiTheme="minorHAnsi" w:hAnsiTheme="minorHAnsi" w:cstheme="minorHAnsi"/>
          <w:sz w:val="16"/>
          <w:szCs w:val="16"/>
        </w:rPr>
        <w:t>Australian Capital Territory, Canberra</w:t>
      </w:r>
      <w:r w:rsidR="00381CC7" w:rsidRPr="00677F36">
        <w:rPr>
          <w:rFonts w:asciiTheme="minorHAnsi" w:hAnsiTheme="minorHAnsi" w:cstheme="minorHAnsi"/>
          <w:sz w:val="16"/>
          <w:szCs w:val="16"/>
        </w:rPr>
        <w:t>.</w:t>
      </w:r>
    </w:p>
    <w:p w14:paraId="6D120C92" w14:textId="561A91C7" w:rsidR="006E3F32" w:rsidRPr="006E3F32" w:rsidRDefault="006E3F32" w:rsidP="006E3F32">
      <w:pPr>
        <w:pStyle w:val="FootnoteText"/>
        <w:rPr>
          <w:lang w:val="en-AU"/>
        </w:rPr>
      </w:pPr>
    </w:p>
  </w:footnote>
  <w:footnote w:id="29">
    <w:p w14:paraId="1F40FDB2" w14:textId="15F2C19B" w:rsidR="001A2069" w:rsidRPr="002C4541" w:rsidRDefault="001A2069" w:rsidP="003314B2">
      <w:pPr>
        <w:pStyle w:val="FootnoteText"/>
        <w:rPr>
          <w:lang w:val="en-AU"/>
        </w:rPr>
      </w:pPr>
      <w:r w:rsidRPr="00566200">
        <w:rPr>
          <w:rStyle w:val="FootnoteReference"/>
          <w:sz w:val="16"/>
          <w:szCs w:val="16"/>
        </w:rPr>
        <w:footnoteRef/>
      </w:r>
      <w:r>
        <w:t xml:space="preserve"> </w:t>
      </w:r>
      <w:r w:rsidR="00DC272E">
        <w:rPr>
          <w:sz w:val="16"/>
          <w:szCs w:val="16"/>
        </w:rPr>
        <w:t xml:space="preserve">United Nations (General Assembly), </w:t>
      </w:r>
      <w:r w:rsidR="00DC272E" w:rsidRPr="00DE0AFA">
        <w:rPr>
          <w:rFonts w:asciiTheme="minorHAnsi" w:hAnsiTheme="minorHAnsi" w:cstheme="minorHAnsi"/>
          <w:i/>
          <w:iCs/>
          <w:sz w:val="16"/>
          <w:szCs w:val="16"/>
        </w:rPr>
        <w:t>Convention on the Rights of the Child</w:t>
      </w:r>
      <w:r w:rsidR="00DC272E" w:rsidRPr="00506258">
        <w:rPr>
          <w:rFonts w:asciiTheme="minorHAnsi" w:hAnsiTheme="minorHAnsi" w:cstheme="minorHAnsi"/>
          <w:sz w:val="16"/>
          <w:szCs w:val="16"/>
        </w:rPr>
        <w:t>,</w:t>
      </w:r>
      <w:r w:rsidR="00DC272E">
        <w:rPr>
          <w:rFonts w:asciiTheme="minorHAnsi" w:hAnsiTheme="minorHAnsi" w:cstheme="minorHAnsi"/>
          <w:sz w:val="16"/>
          <w:szCs w:val="16"/>
        </w:rPr>
        <w:t xml:space="preserve"> (</w:t>
      </w:r>
      <w:r w:rsidR="00DC272E" w:rsidRPr="00506258">
        <w:rPr>
          <w:rFonts w:asciiTheme="minorHAnsi" w:hAnsiTheme="minorHAnsi" w:cstheme="minorHAnsi"/>
          <w:sz w:val="16"/>
          <w:szCs w:val="16"/>
        </w:rPr>
        <w:t>opened for signature 20 November 1989</w:t>
      </w:r>
      <w:r w:rsidR="00DC272E">
        <w:rPr>
          <w:rFonts w:asciiTheme="minorHAnsi" w:hAnsiTheme="minorHAnsi" w:cstheme="minorHAnsi"/>
          <w:sz w:val="16"/>
          <w:szCs w:val="16"/>
        </w:rPr>
        <w:t xml:space="preserve">, entered into force 2 September 1990) </w:t>
      </w:r>
      <w:r w:rsidR="00DC272E" w:rsidRPr="00506258">
        <w:rPr>
          <w:rFonts w:asciiTheme="minorHAnsi" w:hAnsiTheme="minorHAnsi" w:cstheme="minorHAnsi"/>
          <w:sz w:val="16"/>
          <w:szCs w:val="16"/>
        </w:rPr>
        <w:t>1577 UNTS 3</w:t>
      </w:r>
      <w:r w:rsidR="00DC272E">
        <w:rPr>
          <w:rFonts w:asciiTheme="minorHAnsi" w:hAnsiTheme="minorHAnsi" w:cstheme="minorHAnsi"/>
          <w:sz w:val="16"/>
          <w:szCs w:val="16"/>
        </w:rPr>
        <w:t>.</w:t>
      </w:r>
    </w:p>
  </w:footnote>
  <w:footnote w:id="30">
    <w:p w14:paraId="4B69ED9D" w14:textId="30BE316C" w:rsidR="00006A86" w:rsidRPr="00006A86" w:rsidRDefault="00006A86" w:rsidP="003314B2">
      <w:pPr>
        <w:pStyle w:val="FootnoteText"/>
        <w:rPr>
          <w:rFonts w:asciiTheme="minorHAnsi" w:hAnsiTheme="minorHAnsi" w:cstheme="minorHAnsi"/>
          <w:sz w:val="16"/>
          <w:szCs w:val="16"/>
          <w:lang w:val="en-AU"/>
        </w:rPr>
      </w:pPr>
      <w:r w:rsidRPr="00006A86">
        <w:rPr>
          <w:rStyle w:val="FootnoteReference"/>
          <w:rFonts w:asciiTheme="minorHAnsi" w:hAnsiTheme="minorHAnsi" w:cstheme="minorHAnsi"/>
          <w:sz w:val="16"/>
          <w:szCs w:val="16"/>
        </w:rPr>
        <w:footnoteRef/>
      </w:r>
      <w:r w:rsidRPr="00006A86">
        <w:rPr>
          <w:rFonts w:asciiTheme="minorHAnsi" w:hAnsiTheme="minorHAnsi" w:cstheme="minorHAnsi"/>
          <w:sz w:val="16"/>
          <w:szCs w:val="16"/>
        </w:rPr>
        <w:t xml:space="preserve"> </w:t>
      </w:r>
      <w:bookmarkStart w:id="18" w:name="_Hlk147217641"/>
      <w:r w:rsidRPr="00006A86">
        <w:rPr>
          <w:rFonts w:asciiTheme="minorHAnsi" w:hAnsiTheme="minorHAnsi" w:cstheme="minorHAnsi"/>
          <w:sz w:val="16"/>
          <w:szCs w:val="16"/>
        </w:rPr>
        <w:t>United Nations (General Assembly)</w:t>
      </w:r>
      <w:r w:rsidR="00DE0AFA" w:rsidRPr="00DE0AFA">
        <w:rPr>
          <w:rFonts w:asciiTheme="minorHAnsi" w:hAnsiTheme="minorHAnsi" w:cstheme="minorHAnsi"/>
          <w:sz w:val="16"/>
          <w:szCs w:val="16"/>
        </w:rPr>
        <w:t xml:space="preserve">, </w:t>
      </w:r>
      <w:r w:rsidR="00DE0AFA" w:rsidRPr="00DE0AFA">
        <w:rPr>
          <w:rFonts w:asciiTheme="minorHAnsi" w:hAnsiTheme="minorHAnsi" w:cstheme="minorHAnsi"/>
          <w:i/>
          <w:iCs/>
          <w:sz w:val="16"/>
          <w:szCs w:val="16"/>
        </w:rPr>
        <w:t>International Covenant on Civil and Political Rights</w:t>
      </w:r>
      <w:r w:rsidR="00DC272E">
        <w:rPr>
          <w:rFonts w:asciiTheme="minorHAnsi" w:hAnsiTheme="minorHAnsi" w:cstheme="minorHAnsi"/>
          <w:sz w:val="16"/>
          <w:szCs w:val="16"/>
        </w:rPr>
        <w:t xml:space="preserve"> </w:t>
      </w:r>
      <w:r w:rsidR="00DC272E" w:rsidRPr="00DC272E">
        <w:rPr>
          <w:rFonts w:asciiTheme="minorHAnsi" w:hAnsiTheme="minorHAnsi" w:cstheme="minorHAnsi"/>
          <w:sz w:val="16"/>
          <w:szCs w:val="16"/>
        </w:rPr>
        <w:t>(adopted 19 December 1966, entered into force 23 March 1976) 999 UNTS 171</w:t>
      </w:r>
      <w:bookmarkEnd w:id="18"/>
      <w:r w:rsidR="00DC272E">
        <w:rPr>
          <w:rFonts w:asciiTheme="minorHAnsi" w:hAnsiTheme="minorHAnsi" w:cstheme="minorHAnsi"/>
          <w:sz w:val="16"/>
          <w:szCs w:val="16"/>
        </w:rPr>
        <w:t>.</w:t>
      </w:r>
    </w:p>
  </w:footnote>
  <w:footnote w:id="31">
    <w:p w14:paraId="26085ED5" w14:textId="3DBF6513" w:rsidR="00D200CA" w:rsidRPr="00D200CA" w:rsidRDefault="00D200CA" w:rsidP="003314B2">
      <w:pPr>
        <w:pStyle w:val="FootnoteText"/>
        <w:rPr>
          <w:rFonts w:asciiTheme="minorHAnsi" w:hAnsiTheme="minorHAnsi" w:cstheme="minorHAnsi"/>
          <w:sz w:val="16"/>
          <w:szCs w:val="16"/>
          <w:lang w:val="en-AU"/>
        </w:rPr>
      </w:pPr>
      <w:r w:rsidRPr="00D200CA">
        <w:rPr>
          <w:rStyle w:val="FootnoteReference"/>
          <w:rFonts w:asciiTheme="minorHAnsi" w:hAnsiTheme="minorHAnsi" w:cstheme="minorHAnsi"/>
          <w:sz w:val="16"/>
          <w:szCs w:val="16"/>
        </w:rPr>
        <w:footnoteRef/>
      </w:r>
      <w:r w:rsidRPr="00D200CA">
        <w:rPr>
          <w:rFonts w:asciiTheme="minorHAnsi" w:hAnsiTheme="minorHAnsi" w:cstheme="minorHAnsi"/>
          <w:sz w:val="16"/>
          <w:szCs w:val="16"/>
        </w:rPr>
        <w:t xml:space="preserve"> Australia. Human Rights and Equal Opportunity Commission. (1999). </w:t>
      </w:r>
      <w:r w:rsidRPr="00DE0AFA">
        <w:rPr>
          <w:rFonts w:asciiTheme="minorHAnsi" w:hAnsiTheme="minorHAnsi" w:cstheme="minorHAnsi"/>
          <w:i/>
          <w:iCs/>
          <w:sz w:val="16"/>
          <w:szCs w:val="16"/>
        </w:rPr>
        <w:t>Human rights brief</w:t>
      </w:r>
      <w:r w:rsidR="003054C6" w:rsidRPr="00DE0AFA">
        <w:rPr>
          <w:rFonts w:asciiTheme="minorHAnsi" w:hAnsiTheme="minorHAnsi" w:cstheme="minorHAnsi"/>
          <w:i/>
          <w:iCs/>
          <w:sz w:val="16"/>
          <w:szCs w:val="16"/>
        </w:rPr>
        <w:t xml:space="preserve"> 1</w:t>
      </w:r>
      <w:r w:rsidRPr="00D200CA">
        <w:rPr>
          <w:rFonts w:asciiTheme="minorHAnsi" w:hAnsiTheme="minorHAnsi" w:cstheme="minorHAnsi"/>
          <w:sz w:val="16"/>
          <w:szCs w:val="16"/>
        </w:rPr>
        <w:t>: an occasional publication of the Human Rights and Equal Opportunity Commission. http://nla.gov.au/nla.arc-12882</w:t>
      </w:r>
      <w:r w:rsidR="003314B2">
        <w:rPr>
          <w:rFonts w:asciiTheme="minorHAnsi" w:hAnsiTheme="minorHAnsi" w:cstheme="minorHAnsi"/>
          <w:sz w:val="16"/>
          <w:szCs w:val="16"/>
        </w:rPr>
        <w:t>.</w:t>
      </w:r>
    </w:p>
  </w:footnote>
  <w:footnote w:id="32">
    <w:p w14:paraId="25FFFB94" w14:textId="61C07970" w:rsidR="00506258" w:rsidRPr="00506258" w:rsidRDefault="00506258">
      <w:pPr>
        <w:pStyle w:val="FootnoteText"/>
        <w:rPr>
          <w:sz w:val="16"/>
          <w:szCs w:val="16"/>
          <w:lang w:val="en-AU"/>
        </w:rPr>
      </w:pPr>
      <w:r w:rsidRPr="00506258">
        <w:rPr>
          <w:rStyle w:val="FootnoteReference"/>
          <w:sz w:val="16"/>
          <w:szCs w:val="16"/>
        </w:rPr>
        <w:footnoteRef/>
      </w:r>
      <w:r w:rsidRPr="00506258">
        <w:rPr>
          <w:sz w:val="16"/>
          <w:szCs w:val="16"/>
        </w:rPr>
        <w:t xml:space="preserve"> </w:t>
      </w:r>
      <w:bookmarkStart w:id="19" w:name="_Hlk147217722"/>
      <w:r w:rsidR="00DE0AFA">
        <w:rPr>
          <w:sz w:val="16"/>
          <w:szCs w:val="16"/>
        </w:rPr>
        <w:t xml:space="preserve">United Nations (General Assembly), </w:t>
      </w:r>
      <w:r w:rsidRPr="00DE0AFA">
        <w:rPr>
          <w:rFonts w:asciiTheme="minorHAnsi" w:hAnsiTheme="minorHAnsi" w:cstheme="minorHAnsi"/>
          <w:i/>
          <w:iCs/>
          <w:sz w:val="16"/>
          <w:szCs w:val="16"/>
        </w:rPr>
        <w:t>Convention on the Rights of the Child</w:t>
      </w:r>
      <w:r w:rsidRPr="00506258">
        <w:rPr>
          <w:rFonts w:asciiTheme="minorHAnsi" w:hAnsiTheme="minorHAnsi" w:cstheme="minorHAnsi"/>
          <w:sz w:val="16"/>
          <w:szCs w:val="16"/>
        </w:rPr>
        <w:t>,</w:t>
      </w:r>
      <w:r w:rsidR="00DC272E">
        <w:rPr>
          <w:rFonts w:asciiTheme="minorHAnsi" w:hAnsiTheme="minorHAnsi" w:cstheme="minorHAnsi"/>
          <w:sz w:val="16"/>
          <w:szCs w:val="16"/>
        </w:rPr>
        <w:t xml:space="preserve"> (</w:t>
      </w:r>
      <w:r w:rsidRPr="00506258">
        <w:rPr>
          <w:rFonts w:asciiTheme="minorHAnsi" w:hAnsiTheme="minorHAnsi" w:cstheme="minorHAnsi"/>
          <w:sz w:val="16"/>
          <w:szCs w:val="16"/>
        </w:rPr>
        <w:t>opened for signature 20 November 1989</w:t>
      </w:r>
      <w:r w:rsidR="00DC272E">
        <w:rPr>
          <w:rFonts w:asciiTheme="minorHAnsi" w:hAnsiTheme="minorHAnsi" w:cstheme="minorHAnsi"/>
          <w:sz w:val="16"/>
          <w:szCs w:val="16"/>
        </w:rPr>
        <w:t xml:space="preserve">, entered into force 2 September 1990) </w:t>
      </w:r>
      <w:r w:rsidRPr="00506258">
        <w:rPr>
          <w:rFonts w:asciiTheme="minorHAnsi" w:hAnsiTheme="minorHAnsi" w:cstheme="minorHAnsi"/>
          <w:sz w:val="16"/>
          <w:szCs w:val="16"/>
        </w:rPr>
        <w:t>1577 UNTS 3</w:t>
      </w:r>
      <w:r w:rsidR="00DC272E">
        <w:rPr>
          <w:rFonts w:asciiTheme="minorHAnsi" w:hAnsiTheme="minorHAnsi" w:cstheme="minorHAnsi"/>
          <w:sz w:val="16"/>
          <w:szCs w:val="16"/>
        </w:rPr>
        <w:t xml:space="preserve">. </w:t>
      </w:r>
      <w:bookmarkEnd w:id="19"/>
    </w:p>
  </w:footnote>
  <w:footnote w:id="33">
    <w:p w14:paraId="1A300912" w14:textId="5C450134" w:rsidR="00102CDB" w:rsidRPr="00102CDB" w:rsidRDefault="00102CDB">
      <w:pPr>
        <w:pStyle w:val="FootnoteText"/>
        <w:rPr>
          <w:lang w:val="en-AU"/>
        </w:rPr>
      </w:pPr>
      <w:r w:rsidRPr="0015165C">
        <w:rPr>
          <w:rStyle w:val="FootnoteReference"/>
          <w:sz w:val="16"/>
          <w:szCs w:val="16"/>
        </w:rPr>
        <w:footnoteRef/>
      </w:r>
      <w:r w:rsidRPr="0015165C">
        <w:rPr>
          <w:rStyle w:val="FootnoteReference"/>
          <w:sz w:val="16"/>
        </w:rPr>
        <w:t xml:space="preserve"> </w:t>
      </w:r>
      <w:r w:rsidRPr="006F5386">
        <w:rPr>
          <w:rFonts w:asciiTheme="minorHAnsi" w:hAnsiTheme="minorHAnsi" w:cstheme="minorHAnsi"/>
          <w:i/>
          <w:iCs/>
          <w:sz w:val="16"/>
          <w:szCs w:val="16"/>
        </w:rPr>
        <w:t>Children and Young People Act 2008</w:t>
      </w:r>
      <w:r w:rsidRPr="00102CDB">
        <w:rPr>
          <w:rFonts w:asciiTheme="minorHAnsi" w:hAnsiTheme="minorHAnsi" w:cstheme="minorHAnsi"/>
          <w:sz w:val="16"/>
          <w:szCs w:val="16"/>
        </w:rPr>
        <w:t xml:space="preserve"> (</w:t>
      </w:r>
      <w:r w:rsidR="00422BE9">
        <w:rPr>
          <w:rFonts w:asciiTheme="minorHAnsi" w:hAnsiTheme="minorHAnsi" w:cstheme="minorHAnsi"/>
          <w:sz w:val="16"/>
          <w:szCs w:val="16"/>
        </w:rPr>
        <w:t>s</w:t>
      </w:r>
      <w:r w:rsidRPr="00102CDB">
        <w:rPr>
          <w:rFonts w:asciiTheme="minorHAnsi" w:hAnsiTheme="minorHAnsi" w:cstheme="minorHAnsi"/>
          <w:sz w:val="16"/>
          <w:szCs w:val="16"/>
        </w:rPr>
        <w:t xml:space="preserve"> 370).</w:t>
      </w:r>
    </w:p>
  </w:footnote>
  <w:footnote w:id="34">
    <w:p w14:paraId="37DEF8EE" w14:textId="77777777" w:rsidR="009B2B1C" w:rsidRPr="000968CE" w:rsidRDefault="009B2B1C" w:rsidP="003314B2">
      <w:pPr>
        <w:pStyle w:val="FootnoteText"/>
        <w:rPr>
          <w:rFonts w:asciiTheme="minorHAnsi" w:hAnsiTheme="minorHAnsi" w:cstheme="minorHAnsi"/>
          <w:sz w:val="16"/>
          <w:szCs w:val="16"/>
        </w:rPr>
      </w:pPr>
      <w:r w:rsidRPr="000968CE">
        <w:rPr>
          <w:rStyle w:val="FootnoteReference"/>
          <w:rFonts w:asciiTheme="minorHAnsi" w:hAnsiTheme="minorHAnsi" w:cstheme="minorHAnsi"/>
          <w:sz w:val="16"/>
          <w:szCs w:val="16"/>
        </w:rPr>
        <w:footnoteRef/>
      </w:r>
      <w:r w:rsidRPr="000968CE">
        <w:rPr>
          <w:rFonts w:asciiTheme="minorHAnsi" w:hAnsiTheme="minorHAnsi" w:cstheme="minorHAnsi"/>
          <w:sz w:val="16"/>
          <w:szCs w:val="16"/>
        </w:rPr>
        <w:t xml:space="preserve"> United Nations Human Rights Committee, </w:t>
      </w:r>
      <w:r w:rsidRPr="00DE0AFA">
        <w:rPr>
          <w:rFonts w:asciiTheme="minorHAnsi" w:hAnsiTheme="minorHAnsi" w:cstheme="minorHAnsi"/>
          <w:i/>
          <w:iCs/>
          <w:sz w:val="16"/>
          <w:szCs w:val="16"/>
        </w:rPr>
        <w:t>General Comment No. 36 Article 6: Right to life</w:t>
      </w:r>
      <w:r w:rsidRPr="000968CE">
        <w:rPr>
          <w:rFonts w:asciiTheme="minorHAnsi" w:hAnsiTheme="minorHAnsi" w:cstheme="minorHAnsi"/>
          <w:sz w:val="16"/>
          <w:szCs w:val="16"/>
        </w:rPr>
        <w:t>, 124th sess, UN Doc CCPR/C/GC/36 (3 September 2019) [3], [7].</w:t>
      </w:r>
    </w:p>
  </w:footnote>
  <w:footnote w:id="35">
    <w:p w14:paraId="000ECA42" w14:textId="12A7BF58" w:rsidR="00912F91" w:rsidRPr="00912F91" w:rsidRDefault="00912F91" w:rsidP="003314B2">
      <w:pPr>
        <w:pStyle w:val="FootnoteText"/>
        <w:rPr>
          <w:rFonts w:asciiTheme="minorHAnsi" w:hAnsiTheme="minorHAnsi" w:cstheme="minorHAnsi"/>
          <w:lang w:val="en-AU"/>
        </w:rPr>
      </w:pPr>
      <w:r w:rsidRPr="001C539B">
        <w:rPr>
          <w:rStyle w:val="FootnoteReference"/>
          <w:rFonts w:asciiTheme="minorHAnsi" w:hAnsiTheme="minorHAnsi" w:cstheme="minorHAnsi"/>
          <w:sz w:val="16"/>
          <w:szCs w:val="16"/>
        </w:rPr>
        <w:footnoteRef/>
      </w:r>
      <w:r w:rsidRPr="001C539B">
        <w:rPr>
          <w:rFonts w:asciiTheme="minorHAnsi" w:hAnsiTheme="minorHAnsi" w:cstheme="minorHAnsi"/>
          <w:sz w:val="16"/>
          <w:szCs w:val="16"/>
        </w:rPr>
        <w:t xml:space="preserve"> UN Committee on the Rights of the Child. (2013, May 29). </w:t>
      </w:r>
      <w:r w:rsidRPr="00DE0AFA">
        <w:rPr>
          <w:rFonts w:asciiTheme="minorHAnsi" w:hAnsiTheme="minorHAnsi" w:cstheme="minorHAnsi"/>
          <w:i/>
          <w:iCs/>
          <w:sz w:val="16"/>
          <w:szCs w:val="16"/>
        </w:rPr>
        <w:t>General comment no. 14</w:t>
      </w:r>
      <w:r w:rsidRPr="001C539B">
        <w:rPr>
          <w:rFonts w:asciiTheme="minorHAnsi" w:hAnsiTheme="minorHAnsi" w:cstheme="minorHAnsi"/>
          <w:sz w:val="16"/>
          <w:szCs w:val="16"/>
        </w:rPr>
        <w:t xml:space="preserve"> (2013) </w:t>
      </w:r>
      <w:r w:rsidRPr="00DE0AFA">
        <w:rPr>
          <w:rFonts w:asciiTheme="minorHAnsi" w:hAnsiTheme="minorHAnsi" w:cstheme="minorHAnsi"/>
          <w:i/>
          <w:iCs/>
          <w:sz w:val="16"/>
          <w:szCs w:val="16"/>
        </w:rPr>
        <w:t xml:space="preserve">On the right of the child to have his or her best interests taken as a primary consideration </w:t>
      </w:r>
      <w:r w:rsidRPr="001C539B">
        <w:rPr>
          <w:rFonts w:asciiTheme="minorHAnsi" w:hAnsiTheme="minorHAnsi" w:cstheme="minorHAnsi"/>
          <w:sz w:val="16"/>
          <w:szCs w:val="16"/>
        </w:rPr>
        <w:t>(art. 3, para. 1), CRC/C/GC/14 at [39].</w:t>
      </w:r>
    </w:p>
  </w:footnote>
  <w:footnote w:id="36">
    <w:p w14:paraId="0D76B767" w14:textId="4ABBB7AF" w:rsidR="00235442" w:rsidRPr="002C5219" w:rsidRDefault="00235442" w:rsidP="003314B2">
      <w:pPr>
        <w:pStyle w:val="FootnoteText"/>
        <w:rPr>
          <w:rFonts w:asciiTheme="minorHAnsi" w:hAnsiTheme="minorHAnsi" w:cstheme="minorHAnsi"/>
          <w:sz w:val="16"/>
          <w:szCs w:val="16"/>
        </w:rPr>
      </w:pPr>
      <w:r w:rsidRPr="002C5219">
        <w:rPr>
          <w:rStyle w:val="FootnoteReference"/>
          <w:rFonts w:asciiTheme="minorHAnsi" w:hAnsiTheme="minorHAnsi" w:cstheme="minorHAnsi"/>
          <w:sz w:val="16"/>
          <w:szCs w:val="16"/>
        </w:rPr>
        <w:footnoteRef/>
      </w:r>
      <w:r w:rsidRPr="002C5219">
        <w:rPr>
          <w:rFonts w:asciiTheme="minorHAnsi" w:hAnsiTheme="minorHAnsi" w:cstheme="minorHAnsi"/>
          <w:sz w:val="16"/>
          <w:szCs w:val="16"/>
        </w:rPr>
        <w:t xml:space="preserve"> </w:t>
      </w:r>
      <w:r w:rsidR="00D8106F" w:rsidRPr="00D8106F">
        <w:rPr>
          <w:rFonts w:asciiTheme="minorHAnsi" w:hAnsiTheme="minorHAnsi" w:cstheme="minorHAnsi"/>
          <w:sz w:val="16"/>
          <w:szCs w:val="16"/>
        </w:rPr>
        <w:t>Ibid.</w:t>
      </w:r>
    </w:p>
  </w:footnote>
  <w:footnote w:id="37">
    <w:p w14:paraId="40534C44" w14:textId="602BA653" w:rsidR="00393D9E" w:rsidRPr="00D97847" w:rsidRDefault="00393D9E" w:rsidP="00393D9E">
      <w:pPr>
        <w:pStyle w:val="FootnoteText"/>
        <w:rPr>
          <w:rFonts w:asciiTheme="minorHAnsi" w:hAnsiTheme="minorHAnsi" w:cstheme="minorHAnsi"/>
          <w:lang w:val="en-AU"/>
        </w:rPr>
      </w:pPr>
      <w:r w:rsidRPr="00D97847">
        <w:rPr>
          <w:rStyle w:val="FootnoteReference"/>
          <w:rFonts w:asciiTheme="minorHAnsi" w:hAnsiTheme="minorHAnsi" w:cstheme="minorHAnsi"/>
          <w:sz w:val="16"/>
          <w:szCs w:val="16"/>
        </w:rPr>
        <w:footnoteRef/>
      </w:r>
      <w:r w:rsidRPr="00D97847">
        <w:rPr>
          <w:rFonts w:asciiTheme="minorHAnsi" w:hAnsiTheme="minorHAnsi" w:cstheme="minorHAnsi"/>
          <w:sz w:val="16"/>
          <w:szCs w:val="16"/>
        </w:rPr>
        <w:t xml:space="preserve"> </w:t>
      </w:r>
      <w:r w:rsidR="00DC272E" w:rsidRPr="00DC272E">
        <w:rPr>
          <w:rFonts w:asciiTheme="minorHAnsi" w:hAnsiTheme="minorHAnsi" w:cstheme="minorHAnsi"/>
          <w:sz w:val="16"/>
          <w:szCs w:val="16"/>
        </w:rPr>
        <w:t xml:space="preserve">United Nations (General Assembly), </w:t>
      </w:r>
      <w:r w:rsidR="00DC272E" w:rsidRPr="00DC272E">
        <w:rPr>
          <w:rFonts w:asciiTheme="minorHAnsi" w:hAnsiTheme="minorHAnsi" w:cstheme="minorHAnsi"/>
          <w:i/>
          <w:iCs/>
          <w:sz w:val="16"/>
          <w:szCs w:val="16"/>
        </w:rPr>
        <w:t>International Covenant on Civil and Political Rights</w:t>
      </w:r>
      <w:r w:rsidR="00DC272E" w:rsidRPr="00DC272E">
        <w:rPr>
          <w:rFonts w:asciiTheme="minorHAnsi" w:hAnsiTheme="minorHAnsi" w:cstheme="minorHAnsi"/>
          <w:sz w:val="16"/>
          <w:szCs w:val="16"/>
        </w:rPr>
        <w:t xml:space="preserve"> (adopted 19 December 1966, entered into force 23 March 1976) 999 UNTS 171</w:t>
      </w:r>
    </w:p>
  </w:footnote>
  <w:footnote w:id="38">
    <w:p w14:paraId="13442FF2" w14:textId="44984A13" w:rsidR="00F950BD" w:rsidRPr="00F950BD" w:rsidRDefault="00F950BD">
      <w:pPr>
        <w:pStyle w:val="FootnoteText"/>
        <w:rPr>
          <w:lang w:val="en-AU"/>
        </w:rPr>
      </w:pPr>
      <w:r w:rsidRPr="0015165C">
        <w:rPr>
          <w:rStyle w:val="FootnoteReference"/>
          <w:rFonts w:asciiTheme="minorHAnsi" w:hAnsiTheme="minorHAnsi" w:cstheme="minorHAnsi"/>
          <w:sz w:val="16"/>
          <w:szCs w:val="16"/>
        </w:rPr>
        <w:footnoteRef/>
      </w:r>
      <w:r w:rsidRPr="0015165C">
        <w:rPr>
          <w:rStyle w:val="FootnoteReference"/>
          <w:rFonts w:asciiTheme="minorHAnsi" w:hAnsiTheme="minorHAnsi" w:cstheme="minorHAnsi"/>
          <w:sz w:val="16"/>
          <w:szCs w:val="16"/>
        </w:rPr>
        <w:t xml:space="preserve"> </w:t>
      </w:r>
      <w:r w:rsidRPr="00F950BD">
        <w:rPr>
          <w:i/>
          <w:iCs/>
          <w:sz w:val="16"/>
          <w:szCs w:val="16"/>
          <w:lang w:val="en-AU"/>
        </w:rPr>
        <w:t xml:space="preserve">Children and Young People </w:t>
      </w:r>
      <w:r w:rsidR="006F5386">
        <w:rPr>
          <w:i/>
          <w:iCs/>
          <w:sz w:val="16"/>
          <w:szCs w:val="16"/>
          <w:lang w:val="en-AU"/>
        </w:rPr>
        <w:t xml:space="preserve">Act </w:t>
      </w:r>
      <w:r w:rsidRPr="00F950BD">
        <w:rPr>
          <w:i/>
          <w:iCs/>
          <w:sz w:val="16"/>
          <w:szCs w:val="16"/>
          <w:lang w:val="en-AU"/>
        </w:rPr>
        <w:t>2008</w:t>
      </w:r>
      <w:r w:rsidRPr="00F950BD">
        <w:rPr>
          <w:sz w:val="16"/>
          <w:szCs w:val="16"/>
          <w:lang w:val="en-AU"/>
        </w:rPr>
        <w:t xml:space="preserve"> (s 370)</w:t>
      </w:r>
    </w:p>
  </w:footnote>
  <w:footnote w:id="39">
    <w:p w14:paraId="48F4725F" w14:textId="77777777" w:rsidR="00550880" w:rsidRPr="007220B5" w:rsidRDefault="00550880" w:rsidP="00550880">
      <w:pPr>
        <w:pStyle w:val="FootnoteText"/>
        <w:rPr>
          <w:rFonts w:asciiTheme="minorHAnsi" w:hAnsiTheme="minorHAnsi" w:cstheme="minorHAnsi"/>
          <w:sz w:val="16"/>
          <w:szCs w:val="16"/>
        </w:rPr>
      </w:pPr>
      <w:r w:rsidRPr="007220B5">
        <w:rPr>
          <w:rStyle w:val="FootnoteReference"/>
          <w:rFonts w:asciiTheme="minorHAnsi" w:hAnsiTheme="minorHAnsi" w:cstheme="minorHAnsi"/>
          <w:sz w:val="16"/>
          <w:szCs w:val="16"/>
        </w:rPr>
        <w:footnoteRef/>
      </w:r>
      <w:r w:rsidRPr="007220B5">
        <w:rPr>
          <w:rFonts w:asciiTheme="minorHAnsi" w:hAnsiTheme="minorHAnsi" w:cstheme="minorHAnsi"/>
          <w:sz w:val="16"/>
          <w:szCs w:val="16"/>
        </w:rPr>
        <w:t xml:space="preserve"> A v United Kingdom (1998) 27 EHRR 611 at [22]; M and M v Croatia [2015] ECHR 759 at [136]; DMD v Romania [2017] ECHR 815 at [44].</w:t>
      </w:r>
    </w:p>
  </w:footnote>
  <w:footnote w:id="40">
    <w:p w14:paraId="4C60A28F" w14:textId="77777777" w:rsidR="00452280" w:rsidRPr="007220B5" w:rsidRDefault="00452280" w:rsidP="00452280">
      <w:pPr>
        <w:pStyle w:val="FootnoteText"/>
        <w:rPr>
          <w:rFonts w:asciiTheme="minorHAnsi" w:hAnsiTheme="minorHAnsi" w:cstheme="minorHAnsi"/>
          <w:sz w:val="16"/>
          <w:szCs w:val="16"/>
        </w:rPr>
      </w:pPr>
      <w:r w:rsidRPr="007220B5">
        <w:rPr>
          <w:rStyle w:val="FootnoteReference"/>
          <w:rFonts w:asciiTheme="minorHAnsi" w:hAnsiTheme="minorHAnsi" w:cstheme="minorHAnsi"/>
          <w:sz w:val="16"/>
          <w:szCs w:val="16"/>
        </w:rPr>
        <w:footnoteRef/>
      </w:r>
      <w:r w:rsidRPr="007220B5">
        <w:rPr>
          <w:rFonts w:asciiTheme="minorHAnsi" w:hAnsiTheme="minorHAnsi" w:cstheme="minorHAnsi"/>
          <w:sz w:val="16"/>
          <w:szCs w:val="16"/>
        </w:rPr>
        <w:t xml:space="preserve"> Z v United Kingdom (2001) 34 EHRR 97 at [73]; E v United Kingdom (2002) 36 EHRR 519 at [88]</w:t>
      </w:r>
      <w:r>
        <w:rPr>
          <w:rFonts w:asciiTheme="minorHAnsi" w:hAnsiTheme="minorHAnsi" w:cstheme="minorHAnsi"/>
          <w:sz w:val="16"/>
          <w:szCs w:val="16"/>
        </w:rPr>
        <w:t>.</w:t>
      </w:r>
    </w:p>
  </w:footnote>
  <w:footnote w:id="41">
    <w:p w14:paraId="4D2EFD5F" w14:textId="1EBB0280" w:rsidR="001647B8" w:rsidRPr="001647B8" w:rsidRDefault="008562C8" w:rsidP="003314B2">
      <w:pPr>
        <w:pStyle w:val="FootnoteText"/>
        <w:rPr>
          <w:rFonts w:asciiTheme="minorHAnsi" w:hAnsiTheme="minorHAnsi" w:cstheme="minorHAnsi"/>
          <w:sz w:val="16"/>
          <w:szCs w:val="16"/>
        </w:rPr>
      </w:pPr>
      <w:r w:rsidRPr="003314B2">
        <w:rPr>
          <w:rStyle w:val="FootnoteReference"/>
          <w:rFonts w:asciiTheme="minorHAnsi" w:hAnsiTheme="minorHAnsi" w:cstheme="minorHAnsi"/>
          <w:sz w:val="16"/>
        </w:rPr>
        <w:footnoteRef/>
      </w:r>
      <w:r w:rsidRPr="003314B2">
        <w:rPr>
          <w:rStyle w:val="FootnoteReference"/>
          <w:rFonts w:asciiTheme="minorHAnsi" w:hAnsiTheme="minorHAnsi" w:cstheme="minorHAnsi"/>
          <w:sz w:val="16"/>
        </w:rPr>
        <w:t xml:space="preserve"> </w:t>
      </w:r>
      <w:r w:rsidRPr="008562C8">
        <w:rPr>
          <w:rFonts w:asciiTheme="minorHAnsi" w:hAnsiTheme="minorHAnsi" w:cstheme="minorHAnsi"/>
          <w:sz w:val="16"/>
          <w:szCs w:val="16"/>
        </w:rPr>
        <w:t xml:space="preserve">United Nations Human Rights </w:t>
      </w:r>
      <w:r w:rsidRPr="00C333F8">
        <w:rPr>
          <w:rFonts w:asciiTheme="minorHAnsi" w:hAnsiTheme="minorHAnsi" w:cstheme="minorHAnsi"/>
          <w:i/>
          <w:iCs/>
          <w:sz w:val="16"/>
          <w:szCs w:val="16"/>
        </w:rPr>
        <w:t>Committee, General Comment No. 22 Article 18: The right to freedom of thought, conscience,</w:t>
      </w:r>
      <w:r w:rsidRPr="008562C8">
        <w:rPr>
          <w:rFonts w:asciiTheme="minorHAnsi" w:hAnsiTheme="minorHAnsi" w:cstheme="minorHAnsi"/>
          <w:sz w:val="16"/>
          <w:szCs w:val="16"/>
        </w:rPr>
        <w:t xml:space="preserve"> CCPR/C/21/Rev.1/Add.4 </w:t>
      </w:r>
      <w:r>
        <w:rPr>
          <w:rFonts w:asciiTheme="minorHAnsi" w:hAnsiTheme="minorHAnsi" w:cstheme="minorHAnsi"/>
          <w:sz w:val="16"/>
          <w:szCs w:val="16"/>
        </w:rPr>
        <w:t>[3]</w:t>
      </w:r>
      <w:r w:rsidRPr="008562C8">
        <w:rPr>
          <w:rFonts w:asciiTheme="minorHAnsi" w:hAnsiTheme="minorHAnsi" w:cstheme="minorHAnsi"/>
          <w:sz w:val="16"/>
          <w:szCs w:val="16"/>
        </w:rPr>
        <w:t>[4].</w:t>
      </w:r>
    </w:p>
  </w:footnote>
  <w:footnote w:id="42">
    <w:p w14:paraId="3D2D3E8D" w14:textId="2B3D65C6" w:rsidR="003054C6" w:rsidRPr="003054C6" w:rsidRDefault="003054C6" w:rsidP="003314B2">
      <w:pPr>
        <w:pStyle w:val="FootnoteText"/>
        <w:rPr>
          <w:rFonts w:asciiTheme="minorHAnsi" w:hAnsiTheme="minorHAnsi" w:cstheme="minorHAnsi"/>
          <w:sz w:val="16"/>
          <w:szCs w:val="16"/>
          <w:lang w:val="en-AU"/>
        </w:rPr>
      </w:pPr>
      <w:r w:rsidRPr="003054C6">
        <w:rPr>
          <w:rStyle w:val="FootnoteReference"/>
          <w:rFonts w:asciiTheme="minorHAnsi" w:hAnsiTheme="minorHAnsi" w:cstheme="minorHAnsi"/>
          <w:sz w:val="16"/>
          <w:szCs w:val="16"/>
        </w:rPr>
        <w:footnoteRef/>
      </w:r>
      <w:r w:rsidRPr="003054C6">
        <w:rPr>
          <w:rFonts w:asciiTheme="minorHAnsi" w:hAnsiTheme="minorHAnsi" w:cstheme="minorHAnsi"/>
          <w:sz w:val="16"/>
          <w:szCs w:val="16"/>
        </w:rPr>
        <w:t xml:space="preserve">Australia. Human Rights and Equal Opportunity Commission. (1999). </w:t>
      </w:r>
      <w:r w:rsidRPr="00C333F8">
        <w:rPr>
          <w:rFonts w:asciiTheme="minorHAnsi" w:hAnsiTheme="minorHAnsi" w:cstheme="minorHAnsi"/>
          <w:i/>
          <w:iCs/>
          <w:sz w:val="16"/>
          <w:szCs w:val="16"/>
        </w:rPr>
        <w:t>Human rights brief 4:</w:t>
      </w:r>
      <w:r w:rsidRPr="003054C6">
        <w:rPr>
          <w:rFonts w:asciiTheme="minorHAnsi" w:hAnsiTheme="minorHAnsi" w:cstheme="minorHAnsi"/>
          <w:sz w:val="16"/>
          <w:szCs w:val="16"/>
        </w:rPr>
        <w:t xml:space="preserve"> an occasional publication of the Human Rights and Equal Opportunity Commission. </w:t>
      </w:r>
    </w:p>
  </w:footnote>
  <w:footnote w:id="43">
    <w:p w14:paraId="06AB4AA1" w14:textId="77777777" w:rsidR="00C03AAC" w:rsidRPr="001647B8" w:rsidRDefault="00C03AAC" w:rsidP="00C03AAC">
      <w:pPr>
        <w:pStyle w:val="FootnoteText"/>
        <w:rPr>
          <w:lang w:val="en-AU"/>
        </w:rPr>
      </w:pPr>
      <w:r w:rsidRPr="003314B2">
        <w:rPr>
          <w:rStyle w:val="FootnoteReference"/>
          <w:rFonts w:asciiTheme="minorHAnsi" w:hAnsiTheme="minorHAnsi" w:cstheme="minorHAnsi"/>
          <w:sz w:val="16"/>
        </w:rPr>
        <w:footnoteRef/>
      </w:r>
      <w:r w:rsidRPr="003314B2">
        <w:rPr>
          <w:rStyle w:val="FootnoteReference"/>
          <w:rFonts w:asciiTheme="minorHAnsi" w:hAnsiTheme="minorHAnsi" w:cstheme="minorHAnsi"/>
          <w:sz w:val="16"/>
        </w:rPr>
        <w:t xml:space="preserve"> </w:t>
      </w:r>
      <w:r w:rsidRPr="001647B8">
        <w:rPr>
          <w:rFonts w:asciiTheme="minorHAnsi" w:hAnsiTheme="minorHAnsi" w:cstheme="minorHAnsi"/>
          <w:sz w:val="16"/>
          <w:szCs w:val="16"/>
        </w:rPr>
        <w:t>Ibid [7]</w:t>
      </w:r>
      <w:r>
        <w:rPr>
          <w:rFonts w:asciiTheme="minorHAnsi" w:hAnsiTheme="minorHAnsi" w:cstheme="minorHAnsi"/>
          <w:sz w:val="16"/>
          <w:szCs w:val="16"/>
        </w:rPr>
        <w:t>.</w:t>
      </w:r>
    </w:p>
  </w:footnote>
  <w:footnote w:id="44">
    <w:p w14:paraId="2435E942" w14:textId="05DCA0BE" w:rsidR="00CF39AC" w:rsidRPr="003314B2" w:rsidRDefault="00CF39AC" w:rsidP="003314B2">
      <w:pPr>
        <w:pStyle w:val="FootnoteText"/>
        <w:rPr>
          <w:rFonts w:cs="Calibri"/>
          <w:sz w:val="16"/>
          <w:szCs w:val="16"/>
          <w:lang w:val="en-AU"/>
        </w:rPr>
      </w:pPr>
      <w:r w:rsidRPr="003314B2">
        <w:rPr>
          <w:rStyle w:val="FootnoteReference"/>
          <w:rFonts w:asciiTheme="minorHAnsi" w:hAnsiTheme="minorHAnsi" w:cstheme="minorHAnsi"/>
          <w:sz w:val="16"/>
          <w:szCs w:val="16"/>
        </w:rPr>
        <w:footnoteRef/>
      </w:r>
      <w:r w:rsidRPr="003314B2">
        <w:rPr>
          <w:rFonts w:asciiTheme="minorHAnsi" w:hAnsiTheme="minorHAnsi" w:cstheme="minorHAnsi"/>
          <w:sz w:val="16"/>
          <w:szCs w:val="16"/>
        </w:rPr>
        <w:t xml:space="preserve"> Australia. </w:t>
      </w:r>
      <w:r w:rsidRPr="00C333F8">
        <w:rPr>
          <w:rFonts w:asciiTheme="minorHAnsi" w:hAnsiTheme="minorHAnsi" w:cstheme="minorHAnsi"/>
          <w:i/>
          <w:iCs/>
          <w:sz w:val="16"/>
          <w:szCs w:val="16"/>
        </w:rPr>
        <w:t>Royal Commission into Institutional Response into Child Sexual Abuse &amp; Royal Commission into Institutional Response</w:t>
      </w:r>
      <w:r w:rsidRPr="00C333F8">
        <w:rPr>
          <w:rFonts w:cs="Calibri"/>
          <w:i/>
          <w:iCs/>
          <w:sz w:val="16"/>
          <w:szCs w:val="16"/>
        </w:rPr>
        <w:t xml:space="preserve"> into Child Sexual Abuse</w:t>
      </w:r>
      <w:r w:rsidRPr="003314B2">
        <w:rPr>
          <w:rFonts w:cs="Calibri"/>
          <w:sz w:val="16"/>
          <w:szCs w:val="16"/>
        </w:rPr>
        <w:t>. (2012). Royal Commission into Institutional Response into Child Sexual Abuse. http://nla.gov.au/nla.arc-137540</w:t>
      </w:r>
      <w:r w:rsidR="00677F36">
        <w:rPr>
          <w:rFonts w:cs="Calibri"/>
          <w:sz w:val="16"/>
          <w:szCs w:val="16"/>
        </w:rPr>
        <w:t>.</w:t>
      </w:r>
    </w:p>
  </w:footnote>
  <w:footnote w:id="45">
    <w:p w14:paraId="60B3ED30" w14:textId="77777777" w:rsidR="00CF39AC" w:rsidRPr="003314B2" w:rsidRDefault="00CF39AC" w:rsidP="003314B2">
      <w:pPr>
        <w:pStyle w:val="FootnoteText"/>
        <w:rPr>
          <w:sz w:val="16"/>
          <w:szCs w:val="16"/>
          <w:lang w:val="en-AU"/>
        </w:rPr>
      </w:pPr>
      <w:r w:rsidRPr="003314B2">
        <w:rPr>
          <w:rStyle w:val="FootnoteReference"/>
          <w:rFonts w:cs="Calibri"/>
          <w:sz w:val="16"/>
          <w:szCs w:val="16"/>
        </w:rPr>
        <w:footnoteRef/>
      </w:r>
      <w:r w:rsidRPr="003314B2">
        <w:rPr>
          <w:rFonts w:cs="Calibri"/>
          <w:sz w:val="16"/>
          <w:szCs w:val="16"/>
        </w:rPr>
        <w:t xml:space="preserve"> </w:t>
      </w:r>
      <w:r w:rsidRPr="00C333F8">
        <w:rPr>
          <w:rFonts w:cs="Calibri"/>
          <w:i/>
          <w:iCs/>
          <w:sz w:val="16"/>
          <w:szCs w:val="16"/>
        </w:rPr>
        <w:t>Government Response to the Listen. Take Action to Prevent, Believe and Heal Report</w:t>
      </w:r>
      <w:r w:rsidRPr="003314B2">
        <w:rPr>
          <w:rFonts w:cs="Calibri"/>
          <w:sz w:val="16"/>
          <w:szCs w:val="16"/>
        </w:rPr>
        <w:t xml:space="preserve"> (2022).</w:t>
      </w:r>
    </w:p>
  </w:footnote>
  <w:footnote w:id="46">
    <w:p w14:paraId="719F3834" w14:textId="195182AF" w:rsidR="00CF39AC" w:rsidRPr="00CF39AC" w:rsidRDefault="00CF39AC" w:rsidP="003314B2">
      <w:pPr>
        <w:pStyle w:val="FootnoteText"/>
        <w:rPr>
          <w:rFonts w:cs="Calibri"/>
          <w:sz w:val="16"/>
          <w:szCs w:val="16"/>
          <w:lang w:val="en-AU"/>
        </w:rPr>
      </w:pPr>
      <w:r w:rsidRPr="00CF39AC">
        <w:rPr>
          <w:rStyle w:val="FootnoteReference"/>
          <w:rFonts w:cs="Calibri"/>
          <w:sz w:val="16"/>
          <w:szCs w:val="16"/>
        </w:rPr>
        <w:footnoteRef/>
      </w:r>
      <w:r w:rsidRPr="00CF39AC">
        <w:rPr>
          <w:rFonts w:cs="Calibri"/>
          <w:sz w:val="16"/>
          <w:szCs w:val="16"/>
        </w:rPr>
        <w:t xml:space="preserve"> The Hon. Justice Julie Dodds-Streeton and Jack O</w:t>
      </w:r>
      <w:r w:rsidR="00D122B3">
        <w:rPr>
          <w:rFonts w:cs="Calibri"/>
          <w:sz w:val="16"/>
          <w:szCs w:val="16"/>
        </w:rPr>
        <w:t>’</w:t>
      </w:r>
      <w:r w:rsidRPr="00CF39AC">
        <w:rPr>
          <w:rFonts w:cs="Calibri"/>
          <w:sz w:val="16"/>
          <w:szCs w:val="16"/>
        </w:rPr>
        <w:t xml:space="preserve">Connor (2019), Analysis Report: </w:t>
      </w:r>
      <w:r w:rsidRPr="00C333F8">
        <w:rPr>
          <w:rFonts w:cs="Calibri"/>
          <w:i/>
          <w:iCs/>
          <w:sz w:val="16"/>
          <w:szCs w:val="16"/>
        </w:rPr>
        <w:t xml:space="preserve">Implementation of Royal Commission </w:t>
      </w:r>
      <w:r w:rsidR="003314B2" w:rsidRPr="00C333F8">
        <w:rPr>
          <w:rFonts w:cs="Calibri"/>
          <w:i/>
          <w:iCs/>
          <w:sz w:val="16"/>
          <w:szCs w:val="16"/>
        </w:rPr>
        <w:t>i</w:t>
      </w:r>
      <w:r w:rsidRPr="00C333F8">
        <w:rPr>
          <w:rFonts w:cs="Calibri"/>
          <w:i/>
          <w:iCs/>
          <w:sz w:val="16"/>
          <w:szCs w:val="16"/>
        </w:rPr>
        <w:t>nto Institutional Responses to Child Sexual Abuse Recommendations Regarding the Reporting of Child Sexual Abuse with Implications for the Confessional Seal</w:t>
      </w:r>
      <w:r w:rsidRPr="00CF39AC">
        <w:rPr>
          <w:rFonts w:cs="Calibri"/>
          <w:sz w:val="16"/>
          <w:szCs w:val="16"/>
        </w:rPr>
        <w:t>, pp. 47.</w:t>
      </w:r>
    </w:p>
  </w:footnote>
  <w:footnote w:id="47">
    <w:p w14:paraId="25773D93" w14:textId="173729A8" w:rsidR="00462B35" w:rsidRPr="004E5053" w:rsidRDefault="00462B35" w:rsidP="003314B2">
      <w:pPr>
        <w:pStyle w:val="FootnoteText"/>
        <w:rPr>
          <w:rFonts w:asciiTheme="minorHAnsi" w:hAnsiTheme="minorHAnsi" w:cstheme="minorHAnsi"/>
          <w:sz w:val="16"/>
          <w:szCs w:val="16"/>
          <w:lang w:val="en-AU"/>
        </w:rPr>
      </w:pPr>
      <w:r w:rsidRPr="004E5053">
        <w:rPr>
          <w:rStyle w:val="FootnoteReference"/>
          <w:rFonts w:asciiTheme="minorHAnsi" w:hAnsiTheme="minorHAnsi" w:cstheme="minorHAnsi"/>
          <w:sz w:val="16"/>
          <w:szCs w:val="16"/>
        </w:rPr>
        <w:footnoteRef/>
      </w:r>
      <w:r w:rsidRPr="004E5053">
        <w:rPr>
          <w:rFonts w:asciiTheme="minorHAnsi" w:hAnsiTheme="minorHAnsi" w:cstheme="minorHAnsi"/>
          <w:sz w:val="16"/>
          <w:szCs w:val="16"/>
        </w:rPr>
        <w:t xml:space="preserve"> </w:t>
      </w:r>
      <w:r w:rsidR="00C333F8" w:rsidRPr="00C333F8">
        <w:rPr>
          <w:rFonts w:asciiTheme="minorHAnsi" w:hAnsiTheme="minorHAnsi" w:cstheme="minorHAnsi"/>
          <w:sz w:val="16"/>
          <w:szCs w:val="16"/>
        </w:rPr>
        <w:t xml:space="preserve">UN Human Rights Committee (HRC), </w:t>
      </w:r>
      <w:r w:rsidR="00C333F8" w:rsidRPr="00C333F8">
        <w:rPr>
          <w:rFonts w:asciiTheme="minorHAnsi" w:hAnsiTheme="minorHAnsi" w:cstheme="minorHAnsi"/>
          <w:i/>
          <w:iCs/>
          <w:sz w:val="16"/>
          <w:szCs w:val="16"/>
        </w:rPr>
        <w:t>CCPR General Comment No. 18: Non-discrimination</w:t>
      </w:r>
      <w:r w:rsidR="00C333F8" w:rsidRPr="00C333F8">
        <w:rPr>
          <w:rFonts w:asciiTheme="minorHAnsi" w:hAnsiTheme="minorHAnsi" w:cstheme="minorHAnsi"/>
          <w:sz w:val="16"/>
          <w:szCs w:val="16"/>
        </w:rPr>
        <w:t>, 10 November 1989</w:t>
      </w:r>
      <w:r w:rsidR="00C333F8">
        <w:rPr>
          <w:rFonts w:asciiTheme="minorHAnsi" w:hAnsiTheme="minorHAnsi" w:cstheme="minorHAnsi"/>
          <w:sz w:val="16"/>
          <w:szCs w:val="16"/>
        </w:rPr>
        <w:t xml:space="preserve">. </w:t>
      </w:r>
      <w:r w:rsidR="00C333F8" w:rsidRPr="004E5053">
        <w:rPr>
          <w:rFonts w:asciiTheme="minorHAnsi" w:hAnsiTheme="minorHAnsi" w:cstheme="minorHAnsi"/>
          <w:sz w:val="16"/>
          <w:szCs w:val="16"/>
        </w:rPr>
        <w:t>HRI/GEN/1/Rev.1 at [7].</w:t>
      </w:r>
    </w:p>
  </w:footnote>
  <w:footnote w:id="48">
    <w:p w14:paraId="6A81EF44" w14:textId="58CBB4BD" w:rsidR="00462B35" w:rsidRPr="004E5053" w:rsidRDefault="00462B35" w:rsidP="003314B2">
      <w:pPr>
        <w:pStyle w:val="FootnoteText"/>
        <w:rPr>
          <w:rFonts w:asciiTheme="minorHAnsi" w:hAnsiTheme="minorHAnsi" w:cstheme="minorHAnsi"/>
          <w:sz w:val="16"/>
          <w:szCs w:val="16"/>
          <w:lang w:val="en-AU"/>
        </w:rPr>
      </w:pPr>
      <w:r w:rsidRPr="004E5053">
        <w:rPr>
          <w:rStyle w:val="FootnoteReference"/>
          <w:rFonts w:asciiTheme="minorHAnsi" w:hAnsiTheme="minorHAnsi" w:cstheme="minorHAnsi"/>
          <w:sz w:val="16"/>
          <w:szCs w:val="16"/>
        </w:rPr>
        <w:footnoteRef/>
      </w:r>
      <w:r w:rsidRPr="004E5053">
        <w:rPr>
          <w:rFonts w:asciiTheme="minorHAnsi" w:hAnsiTheme="minorHAnsi" w:cstheme="minorHAnsi"/>
          <w:sz w:val="16"/>
          <w:szCs w:val="16"/>
        </w:rPr>
        <w:t xml:space="preserve"> Fredin v Sweden (1991) 13 EHRR 784 at [60]; Stubbings v United Kingdom (1996) 23 EHRR 213 at [70]; Willis v United Kingdom (2002) 35 EHRR 21 at [48]</w:t>
      </w:r>
      <w:r w:rsidR="00381CC7" w:rsidRPr="004E5053">
        <w:rPr>
          <w:rFonts w:asciiTheme="minorHAnsi" w:hAnsiTheme="minorHAnsi" w:cstheme="minorHAnsi"/>
          <w:sz w:val="16"/>
          <w:szCs w:val="16"/>
        </w:rPr>
        <w:t>.</w:t>
      </w:r>
    </w:p>
  </w:footnote>
  <w:footnote w:id="49">
    <w:p w14:paraId="1C925305" w14:textId="552304DC" w:rsidR="00462B35" w:rsidRPr="00CA1941" w:rsidRDefault="00462B35" w:rsidP="003314B2">
      <w:pPr>
        <w:pStyle w:val="FootnoteText"/>
        <w:rPr>
          <w:rFonts w:asciiTheme="minorHAnsi" w:hAnsiTheme="minorHAnsi" w:cstheme="minorHAnsi"/>
          <w:sz w:val="16"/>
          <w:szCs w:val="16"/>
          <w:lang w:val="en-AU"/>
        </w:rPr>
      </w:pPr>
      <w:r w:rsidRPr="004E5053">
        <w:rPr>
          <w:rStyle w:val="FootnoteReference"/>
          <w:rFonts w:asciiTheme="minorHAnsi" w:hAnsiTheme="minorHAnsi" w:cstheme="minorHAnsi"/>
          <w:sz w:val="16"/>
          <w:szCs w:val="16"/>
        </w:rPr>
        <w:footnoteRef/>
      </w:r>
      <w:r w:rsidRPr="004E5053">
        <w:rPr>
          <w:rFonts w:asciiTheme="minorHAnsi" w:hAnsiTheme="minorHAnsi" w:cstheme="minorHAnsi"/>
          <w:sz w:val="16"/>
          <w:szCs w:val="16"/>
        </w:rPr>
        <w:t xml:space="preserve"> Griggs v Duke Power Co (1971) 401 US 424 at 429</w:t>
      </w:r>
      <w:r w:rsidR="002D30E1">
        <w:rPr>
          <w:rFonts w:asciiTheme="minorHAnsi" w:hAnsiTheme="minorHAnsi" w:cstheme="minorHAnsi"/>
          <w:sz w:val="16"/>
          <w:szCs w:val="16"/>
        </w:rPr>
        <w:t>.</w:t>
      </w:r>
    </w:p>
  </w:footnote>
  <w:footnote w:id="50">
    <w:p w14:paraId="375F52C5" w14:textId="2A4DDB0D" w:rsidR="00352E6F" w:rsidRPr="004E5053" w:rsidRDefault="00352E6F" w:rsidP="003314B2">
      <w:pPr>
        <w:pStyle w:val="FootnoteText"/>
        <w:rPr>
          <w:rFonts w:ascii="Arial" w:hAnsi="Arial" w:cs="Arial"/>
          <w:sz w:val="16"/>
          <w:szCs w:val="16"/>
          <w:lang w:val="en-AU"/>
        </w:rPr>
      </w:pPr>
      <w:r w:rsidRPr="004E5053">
        <w:rPr>
          <w:rStyle w:val="FootnoteReference"/>
          <w:rFonts w:asciiTheme="minorHAnsi" w:hAnsiTheme="minorHAnsi" w:cstheme="minorHAnsi"/>
          <w:sz w:val="16"/>
          <w:szCs w:val="16"/>
        </w:rPr>
        <w:footnoteRef/>
      </w:r>
      <w:r w:rsidRPr="004E5053">
        <w:rPr>
          <w:rFonts w:asciiTheme="minorHAnsi" w:hAnsiTheme="minorHAnsi" w:cstheme="minorHAnsi"/>
          <w:sz w:val="16"/>
          <w:szCs w:val="16"/>
        </w:rPr>
        <w:t xml:space="preserve"> </w:t>
      </w:r>
      <w:r w:rsidR="00C333F8" w:rsidRPr="00C333F8">
        <w:rPr>
          <w:rFonts w:asciiTheme="minorHAnsi" w:hAnsiTheme="minorHAnsi" w:cstheme="minorHAnsi"/>
          <w:sz w:val="16"/>
          <w:szCs w:val="16"/>
        </w:rPr>
        <w:t xml:space="preserve">UN Human Rights Committee (HRC), </w:t>
      </w:r>
      <w:r w:rsidR="00C333F8" w:rsidRPr="00C333F8">
        <w:rPr>
          <w:rFonts w:asciiTheme="minorHAnsi" w:hAnsiTheme="minorHAnsi" w:cstheme="minorHAnsi"/>
          <w:i/>
          <w:iCs/>
          <w:sz w:val="16"/>
          <w:szCs w:val="16"/>
        </w:rPr>
        <w:t>CCPR General Comment No. 18: Non-discrimination</w:t>
      </w:r>
      <w:r w:rsidR="00C333F8" w:rsidRPr="00C333F8">
        <w:rPr>
          <w:rFonts w:asciiTheme="minorHAnsi" w:hAnsiTheme="minorHAnsi" w:cstheme="minorHAnsi"/>
          <w:sz w:val="16"/>
          <w:szCs w:val="16"/>
        </w:rPr>
        <w:t>, 10 November 1989</w:t>
      </w:r>
      <w:r w:rsidR="00C333F8">
        <w:rPr>
          <w:rFonts w:asciiTheme="minorHAnsi" w:hAnsiTheme="minorHAnsi" w:cstheme="minorHAnsi"/>
          <w:sz w:val="16"/>
          <w:szCs w:val="16"/>
        </w:rPr>
        <w:t xml:space="preserve">. </w:t>
      </w:r>
      <w:r w:rsidRPr="004E5053">
        <w:rPr>
          <w:rFonts w:asciiTheme="minorHAnsi" w:hAnsiTheme="minorHAnsi" w:cstheme="minorHAnsi"/>
          <w:sz w:val="16"/>
          <w:szCs w:val="16"/>
        </w:rPr>
        <w:t>HRI/GEN/1/Rev.1 at [10]</w:t>
      </w:r>
      <w:r w:rsidR="00381CC7" w:rsidRPr="004E5053">
        <w:rPr>
          <w:rFonts w:asciiTheme="minorHAnsi" w:hAnsiTheme="minorHAnsi" w:cstheme="minorHAnsi"/>
          <w:sz w:val="16"/>
          <w:szCs w:val="16"/>
        </w:rPr>
        <w:t>.</w:t>
      </w:r>
    </w:p>
  </w:footnote>
  <w:footnote w:id="51">
    <w:p w14:paraId="43C7CA03" w14:textId="7F0F3D8C" w:rsidR="00462B35" w:rsidRPr="004E5053" w:rsidRDefault="00462B35" w:rsidP="003314B2">
      <w:pPr>
        <w:pStyle w:val="FootnoteText"/>
        <w:rPr>
          <w:rFonts w:asciiTheme="minorHAnsi" w:hAnsiTheme="minorHAnsi" w:cstheme="minorHAnsi"/>
          <w:sz w:val="16"/>
          <w:szCs w:val="16"/>
          <w:lang w:val="en-AU"/>
        </w:rPr>
      </w:pPr>
      <w:r w:rsidRPr="004E5053">
        <w:rPr>
          <w:rStyle w:val="FootnoteReference"/>
          <w:rFonts w:asciiTheme="minorHAnsi" w:hAnsiTheme="minorHAnsi" w:cstheme="minorHAnsi"/>
          <w:sz w:val="16"/>
          <w:szCs w:val="16"/>
        </w:rPr>
        <w:footnoteRef/>
      </w:r>
      <w:r w:rsidRPr="004E5053">
        <w:rPr>
          <w:rFonts w:asciiTheme="minorHAnsi" w:hAnsiTheme="minorHAnsi" w:cstheme="minorHAnsi"/>
          <w:sz w:val="16"/>
          <w:szCs w:val="16"/>
        </w:rPr>
        <w:t xml:space="preserve"> Belgian Linguistic Case (1979-80) 1 EHRR 252 at [10]; Thlimmenos v Greece (2001) 31 EHRR 15 at [44]; Stec v United Kingdom (2006) 43 EHRR 47 at [51]</w:t>
      </w:r>
      <w:r w:rsidR="00381CC7" w:rsidRPr="004E5053">
        <w:rPr>
          <w:rFonts w:asciiTheme="minorHAnsi" w:hAnsiTheme="minorHAnsi" w:cstheme="minorHAnsi"/>
          <w:sz w:val="16"/>
          <w:szCs w:val="16"/>
        </w:rPr>
        <w:t>.</w:t>
      </w:r>
    </w:p>
  </w:footnote>
  <w:footnote w:id="52">
    <w:p w14:paraId="1C112075" w14:textId="06B911A2" w:rsidR="00352E6F" w:rsidRPr="00591C77" w:rsidRDefault="00352E6F" w:rsidP="003314B2">
      <w:pPr>
        <w:pStyle w:val="FootnoteText"/>
        <w:rPr>
          <w:rFonts w:asciiTheme="minorHAnsi" w:hAnsiTheme="minorHAnsi" w:cstheme="minorHAnsi"/>
          <w:sz w:val="18"/>
          <w:szCs w:val="18"/>
        </w:rPr>
      </w:pPr>
      <w:r w:rsidRPr="004E5053">
        <w:rPr>
          <w:rStyle w:val="FootnoteReference"/>
          <w:rFonts w:asciiTheme="minorHAnsi" w:hAnsiTheme="minorHAnsi" w:cstheme="minorHAnsi"/>
          <w:sz w:val="16"/>
          <w:szCs w:val="16"/>
        </w:rPr>
        <w:footnoteRef/>
      </w:r>
      <w:r w:rsidRPr="004E5053">
        <w:rPr>
          <w:rFonts w:asciiTheme="minorHAnsi" w:hAnsiTheme="minorHAnsi" w:cstheme="minorHAnsi"/>
          <w:sz w:val="16"/>
          <w:szCs w:val="16"/>
        </w:rPr>
        <w:t xml:space="preserve"> Gerhardy v Brown </w:t>
      </w:r>
      <w:r w:rsidRPr="004E5053">
        <w:rPr>
          <w:rFonts w:asciiTheme="minorHAnsi" w:hAnsiTheme="minorHAnsi" w:cstheme="minorHAnsi"/>
          <w:sz w:val="16"/>
          <w:szCs w:val="16"/>
          <w:lang w:val="en-AU"/>
        </w:rPr>
        <w:t xml:space="preserve">(1985) </w:t>
      </w:r>
      <w:r w:rsidRPr="004E5053">
        <w:rPr>
          <w:rFonts w:asciiTheme="minorHAnsi" w:hAnsiTheme="minorHAnsi" w:cstheme="minorHAnsi"/>
          <w:sz w:val="16"/>
          <w:szCs w:val="16"/>
        </w:rPr>
        <w:t>159 CLR 70 at 87-88 and 105; Jacomb v Australian Municipal Administrative Clerical and Services Union (2004) 140 FCR 149 at 160-161[34]; Catholic Education Office v Clarke (2004) 138 FCR 121 at 149[130]</w:t>
      </w:r>
      <w:r w:rsidR="00381CC7" w:rsidRPr="004E5053">
        <w:rPr>
          <w:rFonts w:asciiTheme="minorHAnsi" w:hAnsiTheme="minorHAnsi" w:cstheme="minorHAnsi"/>
          <w:sz w:val="16"/>
          <w:szCs w:val="16"/>
        </w:rPr>
        <w:t>.</w:t>
      </w:r>
    </w:p>
  </w:footnote>
  <w:footnote w:id="53">
    <w:p w14:paraId="112B0147" w14:textId="486A968E" w:rsidR="005A3608" w:rsidRPr="005A3608" w:rsidRDefault="005A3608" w:rsidP="003314B2">
      <w:pPr>
        <w:pStyle w:val="FootnoteText"/>
        <w:rPr>
          <w:rFonts w:asciiTheme="minorHAnsi" w:hAnsiTheme="minorHAnsi" w:cstheme="minorHAnsi"/>
          <w:sz w:val="16"/>
          <w:szCs w:val="16"/>
          <w:lang w:val="en-AU"/>
        </w:rPr>
      </w:pPr>
      <w:r w:rsidRPr="005A3608">
        <w:rPr>
          <w:rStyle w:val="FootnoteReference"/>
          <w:rFonts w:asciiTheme="minorHAnsi" w:hAnsiTheme="minorHAnsi" w:cstheme="minorHAnsi"/>
          <w:sz w:val="16"/>
          <w:szCs w:val="16"/>
        </w:rPr>
        <w:footnoteRef/>
      </w:r>
      <w:r w:rsidRPr="005A3608">
        <w:rPr>
          <w:rFonts w:asciiTheme="minorHAnsi" w:hAnsiTheme="minorHAnsi" w:cstheme="minorHAnsi"/>
          <w:sz w:val="16"/>
          <w:szCs w:val="16"/>
        </w:rPr>
        <w:t xml:space="preserve"> United Nations (General Assembly)</w:t>
      </w:r>
      <w:r w:rsidR="003B6C49">
        <w:rPr>
          <w:rFonts w:asciiTheme="minorHAnsi" w:hAnsiTheme="minorHAnsi" w:cstheme="minorHAnsi"/>
          <w:sz w:val="16"/>
          <w:szCs w:val="16"/>
        </w:rPr>
        <w:t xml:space="preserve">. </w:t>
      </w:r>
      <w:r w:rsidR="003B6C49" w:rsidRPr="003B6C49">
        <w:rPr>
          <w:rFonts w:asciiTheme="minorHAnsi" w:hAnsiTheme="minorHAnsi" w:cstheme="minorHAnsi"/>
          <w:i/>
          <w:iCs/>
          <w:sz w:val="16"/>
          <w:szCs w:val="16"/>
        </w:rPr>
        <w:t>International Covenant on Economic, Social and Cultural Rights</w:t>
      </w:r>
      <w:r w:rsidR="003B6C49" w:rsidRPr="003B6C49">
        <w:rPr>
          <w:rFonts w:asciiTheme="minorHAnsi" w:hAnsiTheme="minorHAnsi" w:cstheme="minorHAnsi"/>
          <w:sz w:val="16"/>
          <w:szCs w:val="16"/>
        </w:rPr>
        <w:t>, opened for signature 16 December 1966, 993 UNTS 3 (entered into force 3 January 1976).</w:t>
      </w:r>
    </w:p>
  </w:footnote>
  <w:footnote w:id="54">
    <w:p w14:paraId="3181987C" w14:textId="438B8E18" w:rsidR="005A3608" w:rsidRPr="00A8399D" w:rsidRDefault="005A3608" w:rsidP="003314B2">
      <w:pPr>
        <w:pStyle w:val="FootnoteText"/>
        <w:rPr>
          <w:rFonts w:asciiTheme="minorHAnsi" w:hAnsiTheme="minorHAnsi" w:cstheme="minorHAnsi"/>
          <w:sz w:val="16"/>
          <w:szCs w:val="16"/>
        </w:rPr>
      </w:pPr>
      <w:r w:rsidRPr="005A3608">
        <w:rPr>
          <w:rStyle w:val="FootnoteReference"/>
          <w:rFonts w:asciiTheme="minorHAnsi" w:hAnsiTheme="minorHAnsi" w:cstheme="minorHAnsi"/>
          <w:sz w:val="16"/>
          <w:szCs w:val="16"/>
        </w:rPr>
        <w:footnoteRef/>
      </w:r>
      <w:r w:rsidRPr="005A3608">
        <w:rPr>
          <w:rFonts w:asciiTheme="minorHAnsi" w:hAnsiTheme="minorHAnsi" w:cstheme="minorHAnsi"/>
          <w:sz w:val="16"/>
          <w:szCs w:val="16"/>
        </w:rPr>
        <w:t xml:space="preserve"> United Nations (General Assembly). </w:t>
      </w:r>
      <w:r w:rsidR="003B6C49" w:rsidRPr="003B6C49">
        <w:rPr>
          <w:rFonts w:asciiTheme="minorHAnsi" w:hAnsiTheme="minorHAnsi" w:cstheme="minorHAnsi"/>
          <w:i/>
          <w:iCs/>
          <w:sz w:val="16"/>
          <w:szCs w:val="16"/>
        </w:rPr>
        <w:t>United Nations Declaration on the Rights of Indigenous Peoples</w:t>
      </w:r>
      <w:r w:rsidR="003B6C49" w:rsidRPr="003B6C49">
        <w:rPr>
          <w:rFonts w:asciiTheme="minorHAnsi" w:hAnsiTheme="minorHAnsi" w:cstheme="minorHAnsi"/>
          <w:sz w:val="16"/>
          <w:szCs w:val="16"/>
        </w:rPr>
        <w:t xml:space="preserve">: </w:t>
      </w:r>
      <w:r w:rsidR="003B6C49">
        <w:rPr>
          <w:rFonts w:asciiTheme="minorHAnsi" w:hAnsiTheme="minorHAnsi" w:cstheme="minorHAnsi"/>
          <w:sz w:val="16"/>
          <w:szCs w:val="16"/>
        </w:rPr>
        <w:t>(</w:t>
      </w:r>
      <w:r w:rsidR="00C333F8">
        <w:rPr>
          <w:rFonts w:asciiTheme="minorHAnsi" w:hAnsiTheme="minorHAnsi" w:cstheme="minorHAnsi"/>
          <w:sz w:val="16"/>
          <w:szCs w:val="16"/>
        </w:rPr>
        <w:t>adopted</w:t>
      </w:r>
      <w:r w:rsidR="00C333F8" w:rsidRPr="00C333F8">
        <w:rPr>
          <w:rFonts w:asciiTheme="minorHAnsi" w:hAnsiTheme="minorHAnsi" w:cstheme="minorHAnsi"/>
          <w:sz w:val="16"/>
          <w:szCs w:val="16"/>
        </w:rPr>
        <w:t xml:space="preserve"> 61/295. 13 September 2007</w:t>
      </w:r>
      <w:r w:rsidR="00C333F8">
        <w:rPr>
          <w:rFonts w:asciiTheme="minorHAnsi" w:hAnsiTheme="minorHAnsi" w:cstheme="minorHAnsi"/>
          <w:sz w:val="16"/>
          <w:szCs w:val="16"/>
        </w:rPr>
        <w:t>)</w:t>
      </w:r>
      <w:r w:rsidR="00C333F8" w:rsidRPr="00C333F8">
        <w:rPr>
          <w:rFonts w:asciiTheme="minorHAnsi" w:hAnsiTheme="minorHAnsi" w:cstheme="minorHAnsi"/>
          <w:sz w:val="16"/>
          <w:szCs w:val="16"/>
        </w:rPr>
        <w:t>.</w:t>
      </w:r>
    </w:p>
  </w:footnote>
  <w:footnote w:id="55">
    <w:p w14:paraId="34691827" w14:textId="3B7E5486" w:rsidR="000B2C2E" w:rsidRPr="00D36572" w:rsidRDefault="000B2C2E" w:rsidP="003314B2">
      <w:pPr>
        <w:pStyle w:val="NormalWeb"/>
        <w:spacing w:before="0" w:beforeAutospacing="0" w:after="60" w:afterAutospacing="0"/>
        <w:rPr>
          <w:rFonts w:asciiTheme="minorHAnsi" w:hAnsiTheme="minorHAnsi" w:cstheme="minorHAnsi"/>
          <w:sz w:val="16"/>
          <w:szCs w:val="16"/>
        </w:rPr>
      </w:pPr>
      <w:r w:rsidRPr="00D36572">
        <w:rPr>
          <w:rStyle w:val="FootnoteReference"/>
          <w:rFonts w:asciiTheme="minorHAnsi" w:hAnsiTheme="minorHAnsi" w:cstheme="minorHAnsi"/>
          <w:sz w:val="16"/>
          <w:szCs w:val="16"/>
        </w:rPr>
        <w:footnoteRef/>
      </w:r>
      <w:r w:rsidRPr="00D36572">
        <w:rPr>
          <w:rFonts w:asciiTheme="minorHAnsi" w:hAnsiTheme="minorHAnsi" w:cstheme="minorHAnsi"/>
          <w:sz w:val="16"/>
          <w:szCs w:val="16"/>
        </w:rPr>
        <w:t xml:space="preserve"> SNAICC (2019). </w:t>
      </w:r>
      <w:r w:rsidRPr="00C333F8">
        <w:rPr>
          <w:rFonts w:asciiTheme="minorHAnsi" w:hAnsiTheme="minorHAnsi" w:cstheme="minorHAnsi"/>
          <w:i/>
          <w:iCs/>
          <w:sz w:val="16"/>
          <w:szCs w:val="16"/>
        </w:rPr>
        <w:t>The Aboriginal and Torres Strait Islander Child Placement Principle: A guide to support implementation.</w:t>
      </w:r>
      <w:r w:rsidRPr="00D36572">
        <w:rPr>
          <w:rFonts w:asciiTheme="minorHAnsi" w:hAnsiTheme="minorHAnsi" w:cstheme="minorHAnsi"/>
          <w:sz w:val="16"/>
          <w:szCs w:val="16"/>
        </w:rPr>
        <w:t xml:space="preserve"> SNAICC</w:t>
      </w:r>
      <w:r w:rsidR="002D30E1" w:rsidRPr="00D36572">
        <w:rPr>
          <w:rFonts w:asciiTheme="minorHAnsi" w:hAnsiTheme="minorHAnsi" w:cstheme="minorHAnsi"/>
          <w:sz w:val="16"/>
          <w:szCs w:val="16"/>
        </w:rPr>
        <w:t>.</w:t>
      </w:r>
      <w:r w:rsidRPr="00D36572">
        <w:rPr>
          <w:rFonts w:asciiTheme="minorHAnsi" w:hAnsiTheme="minorHAnsi" w:cstheme="minorHAnsi"/>
          <w:sz w:val="16"/>
          <w:szCs w:val="16"/>
        </w:rPr>
        <w:t xml:space="preserve"> </w:t>
      </w:r>
    </w:p>
  </w:footnote>
  <w:footnote w:id="56">
    <w:p w14:paraId="50ADB9E5" w14:textId="1194587D" w:rsidR="00D36572" w:rsidRPr="00D36572" w:rsidRDefault="00D36572">
      <w:pPr>
        <w:pStyle w:val="FootnoteText"/>
        <w:rPr>
          <w:lang w:val="en-AU"/>
        </w:rPr>
      </w:pPr>
      <w:r w:rsidRPr="00D36572">
        <w:rPr>
          <w:rStyle w:val="FootnoteReference"/>
          <w:rFonts w:asciiTheme="minorHAnsi" w:hAnsiTheme="minorHAnsi" w:cstheme="minorHAnsi"/>
          <w:sz w:val="16"/>
          <w:szCs w:val="16"/>
        </w:rPr>
        <w:footnoteRef/>
      </w:r>
      <w:r w:rsidRPr="00D36572">
        <w:rPr>
          <w:rFonts w:asciiTheme="minorHAnsi" w:hAnsiTheme="minorHAnsi" w:cstheme="minorHAnsi"/>
          <w:sz w:val="16"/>
          <w:szCs w:val="16"/>
        </w:rPr>
        <w:t xml:space="preserve"> </w:t>
      </w:r>
      <w:r w:rsidR="00C333F8" w:rsidRPr="005A3608">
        <w:rPr>
          <w:rFonts w:asciiTheme="minorHAnsi" w:hAnsiTheme="minorHAnsi" w:cstheme="minorHAnsi"/>
          <w:sz w:val="16"/>
          <w:szCs w:val="16"/>
        </w:rPr>
        <w:t xml:space="preserve">United Nations (General Assembly). </w:t>
      </w:r>
      <w:r w:rsidR="00C333F8" w:rsidRPr="003B6C49">
        <w:rPr>
          <w:rFonts w:asciiTheme="minorHAnsi" w:hAnsiTheme="minorHAnsi" w:cstheme="minorHAnsi"/>
          <w:i/>
          <w:iCs/>
          <w:sz w:val="16"/>
          <w:szCs w:val="16"/>
        </w:rPr>
        <w:t>United Nations Declaration on the Rights of Indigenous Peoples</w:t>
      </w:r>
      <w:r w:rsidR="00C333F8" w:rsidRPr="003B6C49">
        <w:rPr>
          <w:rFonts w:asciiTheme="minorHAnsi" w:hAnsiTheme="minorHAnsi" w:cstheme="minorHAnsi"/>
          <w:sz w:val="16"/>
          <w:szCs w:val="16"/>
        </w:rPr>
        <w:t xml:space="preserve">: </w:t>
      </w:r>
      <w:r w:rsidR="00C333F8">
        <w:rPr>
          <w:rFonts w:asciiTheme="minorHAnsi" w:hAnsiTheme="minorHAnsi" w:cstheme="minorHAnsi"/>
          <w:sz w:val="16"/>
          <w:szCs w:val="16"/>
        </w:rPr>
        <w:t>(adopted</w:t>
      </w:r>
      <w:r w:rsidR="00C333F8" w:rsidRPr="00C333F8">
        <w:rPr>
          <w:rFonts w:asciiTheme="minorHAnsi" w:hAnsiTheme="minorHAnsi" w:cstheme="minorHAnsi"/>
          <w:sz w:val="16"/>
          <w:szCs w:val="16"/>
        </w:rPr>
        <w:t xml:space="preserve"> 61/295. 13 September 2007</w:t>
      </w:r>
      <w:r w:rsidR="00C333F8">
        <w:rPr>
          <w:rFonts w:asciiTheme="minorHAnsi" w:hAnsiTheme="minorHAnsi" w:cstheme="minorHAnsi"/>
          <w:sz w:val="16"/>
          <w:szCs w:val="16"/>
        </w:rPr>
        <w:t>)</w:t>
      </w:r>
      <w:r w:rsidR="00C333F8" w:rsidRPr="00C333F8">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9F49" w14:textId="77777777" w:rsidR="00BA7188" w:rsidRDefault="00BA7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3AC0" w14:textId="77777777" w:rsidR="00BA7188" w:rsidRDefault="00BA7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BFCF" w14:textId="6E24A9EA" w:rsidR="001831AE" w:rsidRDefault="00C5658A">
    <w:pPr>
      <w:pStyle w:val="Header"/>
    </w:pPr>
    <w:r>
      <w:rPr>
        <w:noProof/>
      </w:rPr>
      <mc:AlternateContent>
        <mc:Choice Requires="wps">
          <w:drawing>
            <wp:anchor distT="0" distB="0" distL="114300" distR="114300" simplePos="1" relativeHeight="251660288" behindDoc="0" locked="0" layoutInCell="0" allowOverlap="1" wp14:anchorId="0F9767E7" wp14:editId="7CE856CD">
              <wp:simplePos x="0" y="190500"/>
              <wp:positionH relativeFrom="page">
                <wp:posOffset>0</wp:posOffset>
              </wp:positionH>
              <wp:positionV relativeFrom="page">
                <wp:posOffset>190500</wp:posOffset>
              </wp:positionV>
              <wp:extent cx="7560310" cy="273050"/>
              <wp:effectExtent l="0" t="0" r="0" b="12700"/>
              <wp:wrapNone/>
              <wp:docPr id="2" name="MSIPCM5c3e4634ad57a49dc6757ec6" descr="{&quot;HashCode&quot;:-75949576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EE3EC" w14:textId="11B8A0E4" w:rsidR="00C5658A" w:rsidRPr="00C5658A" w:rsidRDefault="00C5658A" w:rsidP="00C5658A">
                          <w:pPr>
                            <w:spacing w:after="0"/>
                            <w:jc w:val="center"/>
                            <w:rPr>
                              <w:rFonts w:cs="Calibri"/>
                              <w:color w:val="FF0000"/>
                              <w:sz w:val="24"/>
                            </w:rPr>
                          </w:pPr>
                          <w:r w:rsidRPr="00C5658A">
                            <w:rPr>
                              <w:rFonts w:cs="Calibri"/>
                              <w:color w:val="FF0000"/>
                              <w:sz w:val="24"/>
                            </w:rPr>
                            <w:t xml:space="preserve">CABINET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9767E7" id="_x0000_t202" coordsize="21600,21600" o:spt="202" path="m,l,21600r21600,l21600,xe">
              <v:stroke joinstyle="miter"/>
              <v:path gradientshapeok="t" o:connecttype="rect"/>
            </v:shapetype>
            <v:shape id="MSIPCM5c3e4634ad57a49dc6757ec6" o:spid="_x0000_s1026" type="#_x0000_t202" alt="{&quot;HashCode&quot;:-759495762,&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90EE3EC" w14:textId="11B8A0E4" w:rsidR="00C5658A" w:rsidRPr="00C5658A" w:rsidRDefault="00C5658A" w:rsidP="00C5658A">
                    <w:pPr>
                      <w:spacing w:after="0"/>
                      <w:jc w:val="center"/>
                      <w:rPr>
                        <w:rFonts w:cs="Calibri"/>
                        <w:color w:val="FF0000"/>
                        <w:sz w:val="24"/>
                      </w:rPr>
                    </w:pPr>
                    <w:r w:rsidRPr="00C5658A">
                      <w:rPr>
                        <w:rFonts w:cs="Calibri"/>
                        <w:color w:val="FF0000"/>
                        <w:sz w:val="24"/>
                      </w:rPr>
                      <w:t xml:space="preserve">CABINET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033E" w14:textId="77777777" w:rsidR="00E05F6E" w:rsidRDefault="00E05F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7D05" w14:textId="7A4A5BCF" w:rsidR="00E05F6E" w:rsidRDefault="00E05F6E" w:rsidP="00BA2C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58D1" w14:textId="0618A3A3" w:rsidR="00E05F6E" w:rsidRDefault="00E05F6E" w:rsidP="00E56F4C">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5E6D"/>
    <w:multiLevelType w:val="hybridMultilevel"/>
    <w:tmpl w:val="A16AE8A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9C16A1E"/>
    <w:multiLevelType w:val="hybridMultilevel"/>
    <w:tmpl w:val="24D443EA"/>
    <w:lvl w:ilvl="0" w:tplc="FFFFFFFF">
      <w:start w:val="1"/>
      <w:numFmt w:val="lowerLetter"/>
      <w:lvlText w:val="%1)"/>
      <w:lvlJc w:val="left"/>
      <w:pPr>
        <w:ind w:left="1080" w:hanging="360"/>
      </w:pPr>
    </w:lvl>
    <w:lvl w:ilvl="1" w:tplc="0C09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3D4527"/>
    <w:multiLevelType w:val="hybridMultilevel"/>
    <w:tmpl w:val="6FDE1A74"/>
    <w:lvl w:ilvl="0" w:tplc="0C09000F">
      <w:start w:val="1"/>
      <w:numFmt w:val="decimal"/>
      <w:lvlText w:val="%1."/>
      <w:lvlJc w:val="left"/>
      <w:pPr>
        <w:ind w:left="720" w:hanging="360"/>
      </w:pPr>
    </w:lvl>
    <w:lvl w:ilvl="1" w:tplc="1E7E38E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BB0B1D"/>
    <w:multiLevelType w:val="hybridMultilevel"/>
    <w:tmpl w:val="1A0C88CE"/>
    <w:lvl w:ilvl="0" w:tplc="FFFFFFFF">
      <w:start w:val="1"/>
      <w:numFmt w:val="lowerLetter"/>
      <w:lvlText w:val="%1)"/>
      <w:lvlJc w:val="left"/>
      <w:pPr>
        <w:ind w:left="1279" w:hanging="360"/>
      </w:pPr>
    </w:lvl>
    <w:lvl w:ilvl="1" w:tplc="FFFFFFFF">
      <w:start w:val="1"/>
      <w:numFmt w:val="lowerLetter"/>
      <w:lvlText w:val="(%2)"/>
      <w:lvlJc w:val="left"/>
      <w:pPr>
        <w:ind w:left="1999" w:hanging="360"/>
      </w:pPr>
      <w:rPr>
        <w:rFonts w:hint="default"/>
      </w:r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4" w15:restartNumberingAfterBreak="0">
    <w:nsid w:val="230A756C"/>
    <w:multiLevelType w:val="hybridMultilevel"/>
    <w:tmpl w:val="1824A50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BE24211"/>
    <w:multiLevelType w:val="hybridMultilevel"/>
    <w:tmpl w:val="38941916"/>
    <w:lvl w:ilvl="0" w:tplc="C6E27C56">
      <w:start w:val="1"/>
      <w:numFmt w:val="decimal"/>
      <w:lvlText w:val="%1)"/>
      <w:lvlJc w:val="left"/>
      <w:pPr>
        <w:ind w:left="360" w:hanging="360"/>
      </w:pPr>
      <w:rPr>
        <w:i w:val="0"/>
        <w:sz w:val="24"/>
        <w:szCs w:val="24"/>
      </w:rPr>
    </w:lvl>
    <w:lvl w:ilvl="1" w:tplc="0C090001">
      <w:start w:val="1"/>
      <w:numFmt w:val="bullet"/>
      <w:lvlText w:val=""/>
      <w:lvlJc w:val="left"/>
      <w:pPr>
        <w:ind w:left="1080" w:hanging="360"/>
      </w:pPr>
      <w:rPr>
        <w:rFonts w:ascii="Symbol" w:hAnsi="Symbol" w:hint="default"/>
      </w:rPr>
    </w:lvl>
    <w:lvl w:ilvl="2" w:tplc="DCC88DB4">
      <w:start w:val="1"/>
      <w:numFmt w:val="lowerRoman"/>
      <w:lvlText w:val="%3."/>
      <w:lvlJc w:val="left"/>
      <w:pPr>
        <w:ind w:left="1800" w:hanging="180"/>
      </w:pPr>
      <w:rPr>
        <w:rFonts w:hint="default"/>
      </w:rPr>
    </w:lvl>
    <w:lvl w:ilvl="3" w:tplc="6854F13C">
      <w:start w:val="1"/>
      <w:numFmt w:val="upperLetter"/>
      <w:lvlText w:val="(%4)"/>
      <w:lvlJc w:val="left"/>
      <w:pPr>
        <w:ind w:left="2520" w:hanging="360"/>
      </w:pPr>
      <w:rPr>
        <w:rFonts w:hint="default"/>
      </w:rPr>
    </w:lvl>
    <w:lvl w:ilvl="4" w:tplc="4386D17C">
      <w:start w:val="1"/>
      <w:numFmt w:val="decimal"/>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805963"/>
    <w:multiLevelType w:val="hybridMultilevel"/>
    <w:tmpl w:val="97365810"/>
    <w:lvl w:ilvl="0" w:tplc="C2CE0408">
      <w:start w:val="1"/>
      <w:numFmt w:val="decimal"/>
      <w:pStyle w:val="Style1"/>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E13BAC"/>
    <w:multiLevelType w:val="hybridMultilevel"/>
    <w:tmpl w:val="1A0C88CE"/>
    <w:lvl w:ilvl="0" w:tplc="FFFFFFFF">
      <w:start w:val="1"/>
      <w:numFmt w:val="lowerLetter"/>
      <w:lvlText w:val="%1)"/>
      <w:lvlJc w:val="left"/>
      <w:pPr>
        <w:ind w:left="1279" w:hanging="360"/>
      </w:pPr>
    </w:lvl>
    <w:lvl w:ilvl="1" w:tplc="FFFFFFFF">
      <w:start w:val="1"/>
      <w:numFmt w:val="lowerLetter"/>
      <w:lvlText w:val="(%2)"/>
      <w:lvlJc w:val="left"/>
      <w:pPr>
        <w:ind w:left="1999" w:hanging="360"/>
      </w:pPr>
      <w:rPr>
        <w:rFonts w:hint="default"/>
      </w:r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8"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C054D4"/>
    <w:multiLevelType w:val="hybridMultilevel"/>
    <w:tmpl w:val="1A0C88CE"/>
    <w:lvl w:ilvl="0" w:tplc="FFFFFFFF">
      <w:start w:val="1"/>
      <w:numFmt w:val="lowerLetter"/>
      <w:lvlText w:val="%1)"/>
      <w:lvlJc w:val="left"/>
      <w:pPr>
        <w:ind w:left="1279" w:hanging="360"/>
      </w:pPr>
    </w:lvl>
    <w:lvl w:ilvl="1" w:tplc="FFFFFFFF">
      <w:start w:val="1"/>
      <w:numFmt w:val="lowerLetter"/>
      <w:lvlText w:val="(%2)"/>
      <w:lvlJc w:val="left"/>
      <w:pPr>
        <w:ind w:left="1999" w:hanging="360"/>
      </w:pPr>
      <w:rPr>
        <w:rFonts w:hint="default"/>
      </w:r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10" w15:restartNumberingAfterBreak="0">
    <w:nsid w:val="3776566B"/>
    <w:multiLevelType w:val="hybridMultilevel"/>
    <w:tmpl w:val="0DF4884E"/>
    <w:lvl w:ilvl="0" w:tplc="1E7E38E6">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15:restartNumberingAfterBreak="0">
    <w:nsid w:val="43E623EF"/>
    <w:multiLevelType w:val="hybridMultilevel"/>
    <w:tmpl w:val="821834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579776E"/>
    <w:multiLevelType w:val="hybridMultilevel"/>
    <w:tmpl w:val="34843A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69D3799"/>
    <w:multiLevelType w:val="hybridMultilevel"/>
    <w:tmpl w:val="63DA22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7A70B9F"/>
    <w:multiLevelType w:val="hybridMultilevel"/>
    <w:tmpl w:val="24AE8C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E0727D9"/>
    <w:multiLevelType w:val="hybridMultilevel"/>
    <w:tmpl w:val="1A0C88CE"/>
    <w:lvl w:ilvl="0" w:tplc="FFFFFFFF">
      <w:start w:val="1"/>
      <w:numFmt w:val="lowerLetter"/>
      <w:lvlText w:val="%1)"/>
      <w:lvlJc w:val="left"/>
      <w:pPr>
        <w:ind w:left="1279" w:hanging="360"/>
      </w:pPr>
    </w:lvl>
    <w:lvl w:ilvl="1" w:tplc="FFFFFFFF">
      <w:start w:val="1"/>
      <w:numFmt w:val="lowerLetter"/>
      <w:lvlText w:val="(%2)"/>
      <w:lvlJc w:val="left"/>
      <w:pPr>
        <w:ind w:left="1999" w:hanging="360"/>
      </w:pPr>
      <w:rPr>
        <w:rFonts w:hint="default"/>
      </w:r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16" w15:restartNumberingAfterBreak="0">
    <w:nsid w:val="65A41CC5"/>
    <w:multiLevelType w:val="multilevel"/>
    <w:tmpl w:val="9A52D388"/>
    <w:lvl w:ilvl="0">
      <w:numFmt w:val="none"/>
      <w:suff w:val="nothing"/>
      <w:lvlText w:val="%1"/>
      <w:lvlJc w:val="left"/>
      <w:pPr>
        <w:ind w:left="0" w:firstLine="0"/>
      </w:pPr>
      <w:rPr>
        <w:rFonts w:hint="default"/>
      </w:rPr>
    </w:lvl>
    <w:lvl w:ilvl="1">
      <w:start w:val="1"/>
      <w:numFmt w:val="upperLetter"/>
      <w:pStyle w:val="LDStandard2"/>
      <w:lvlText w:val="%2%1."/>
      <w:lvlJc w:val="left"/>
      <w:pPr>
        <w:tabs>
          <w:tab w:val="num" w:pos="567"/>
        </w:tabs>
        <w:ind w:left="567" w:hanging="567"/>
      </w:pPr>
      <w:rPr>
        <w:rFonts w:hint="default"/>
      </w:rPr>
    </w:lvl>
    <w:lvl w:ilvl="2">
      <w:start w:val="1"/>
      <w:numFmt w:val="decimal"/>
      <w:lvlRestart w:val="0"/>
      <w:pStyle w:val="LDStandard3"/>
      <w:lvlText w:val="%3."/>
      <w:lvlJc w:val="left"/>
      <w:pPr>
        <w:tabs>
          <w:tab w:val="num" w:pos="567"/>
        </w:tabs>
        <w:ind w:left="567" w:hanging="567"/>
      </w:pPr>
      <w:rPr>
        <w:rFonts w:hint="default"/>
      </w:rPr>
    </w:lvl>
    <w:lvl w:ilvl="3">
      <w:start w:val="1"/>
      <w:numFmt w:val="lowerLetter"/>
      <w:pStyle w:val="LDStandard4"/>
      <w:lvlText w:val="%4%1."/>
      <w:lvlJc w:val="left"/>
      <w:pPr>
        <w:tabs>
          <w:tab w:val="num" w:pos="1134"/>
        </w:tabs>
        <w:ind w:left="1134" w:hanging="567"/>
      </w:pPr>
      <w:rPr>
        <w:rFonts w:hint="default"/>
      </w:rPr>
    </w:lvl>
    <w:lvl w:ilvl="4">
      <w:start w:val="1"/>
      <w:numFmt w:val="lowerRoman"/>
      <w:pStyle w:val="LDStandard5"/>
      <w:lvlText w:val="%5%1."/>
      <w:lvlJc w:val="left"/>
      <w:pPr>
        <w:tabs>
          <w:tab w:val="num" w:pos="1701"/>
        </w:tabs>
        <w:ind w:left="1701" w:hanging="1701"/>
      </w:pPr>
      <w:rPr>
        <w:rFonts w:hint="default"/>
      </w:rPr>
    </w:lvl>
    <w:lvl w:ilvl="5">
      <w:start w:val="1"/>
      <w:numFmt w:val="lowerRoman"/>
      <w:pStyle w:val="LDStandard6"/>
      <w:lvlText w:val="(%6%1)"/>
      <w:lvlJc w:val="left"/>
      <w:pPr>
        <w:tabs>
          <w:tab w:val="num" w:pos="2835"/>
        </w:tabs>
        <w:ind w:left="0" w:firstLine="0"/>
      </w:pPr>
      <w:rPr>
        <w:rFonts w:hint="default"/>
      </w:rPr>
    </w:lvl>
    <w:lvl w:ilvl="6">
      <w:start w:val="1"/>
      <w:numFmt w:val="lowerRoman"/>
      <w:pStyle w:val="LDStandard7"/>
      <w:lvlText w:val="(%7%1)"/>
      <w:lvlJc w:val="left"/>
      <w:pPr>
        <w:tabs>
          <w:tab w:val="num" w:pos="3544"/>
        </w:tabs>
        <w:ind w:left="0" w:firstLine="0"/>
      </w:pPr>
      <w:rPr>
        <w:rFonts w:hint="default"/>
      </w:rPr>
    </w:lvl>
    <w:lvl w:ilvl="7">
      <w:start w:val="1"/>
      <w:numFmt w:val="upperLetter"/>
      <w:pStyle w:val="LDStandard8"/>
      <w:lvlText w:val="(%8)%1"/>
      <w:lvlJc w:val="left"/>
      <w:pPr>
        <w:tabs>
          <w:tab w:val="num" w:pos="4253"/>
        </w:tabs>
        <w:ind w:left="0" w:firstLine="0"/>
      </w:pPr>
      <w:rPr>
        <w:rFonts w:hint="default"/>
      </w:rPr>
    </w:lvl>
    <w:lvl w:ilvl="8">
      <w:start w:val="1"/>
      <w:numFmt w:val="none"/>
      <w:lvlText w:val="%9%1"/>
      <w:lvlJc w:val="left"/>
      <w:pPr>
        <w:tabs>
          <w:tab w:val="num" w:pos="709"/>
        </w:tabs>
        <w:ind w:left="0" w:firstLine="0"/>
      </w:pPr>
      <w:rPr>
        <w:rFonts w:hint="default"/>
      </w:rPr>
    </w:lvl>
  </w:abstractNum>
  <w:abstractNum w:abstractNumId="17" w15:restartNumberingAfterBreak="0">
    <w:nsid w:val="66E118E4"/>
    <w:multiLevelType w:val="hybridMultilevel"/>
    <w:tmpl w:val="4D9E21A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78A5AB2"/>
    <w:multiLevelType w:val="hybridMultilevel"/>
    <w:tmpl w:val="E65636FC"/>
    <w:lvl w:ilvl="0" w:tplc="A18E4DC6">
      <w:start w:val="1"/>
      <w:numFmt w:val="decimal"/>
      <w:pStyle w:val="ESStandard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41F0790"/>
    <w:multiLevelType w:val="hybridMultilevel"/>
    <w:tmpl w:val="B6C41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C14F97"/>
    <w:multiLevelType w:val="hybridMultilevel"/>
    <w:tmpl w:val="811EFF94"/>
    <w:lvl w:ilvl="0" w:tplc="0C090001">
      <w:start w:val="1"/>
      <w:numFmt w:val="bullet"/>
      <w:lvlText w:val=""/>
      <w:lvlJc w:val="left"/>
      <w:pPr>
        <w:ind w:left="1080" w:hanging="360"/>
      </w:pPr>
      <w:rPr>
        <w:rFonts w:ascii="Symbol" w:hAnsi="Symbo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51491191">
    <w:abstractNumId w:val="16"/>
  </w:num>
  <w:num w:numId="2" w16cid:durableId="363794146">
    <w:abstractNumId w:val="5"/>
  </w:num>
  <w:num w:numId="3" w16cid:durableId="559751087">
    <w:abstractNumId w:val="19"/>
  </w:num>
  <w:num w:numId="4" w16cid:durableId="1946032733">
    <w:abstractNumId w:val="2"/>
  </w:num>
  <w:num w:numId="5" w16cid:durableId="1718357322">
    <w:abstractNumId w:val="20"/>
  </w:num>
  <w:num w:numId="6" w16cid:durableId="1089813145">
    <w:abstractNumId w:val="12"/>
  </w:num>
  <w:num w:numId="7" w16cid:durableId="982545985">
    <w:abstractNumId w:val="8"/>
  </w:num>
  <w:num w:numId="8" w16cid:durableId="1557013847">
    <w:abstractNumId w:val="6"/>
  </w:num>
  <w:num w:numId="9" w16cid:durableId="337121626">
    <w:abstractNumId w:val="18"/>
  </w:num>
  <w:num w:numId="10" w16cid:durableId="1960068699">
    <w:abstractNumId w:val="13"/>
  </w:num>
  <w:num w:numId="11" w16cid:durableId="81689284">
    <w:abstractNumId w:val="0"/>
  </w:num>
  <w:num w:numId="12" w16cid:durableId="232087539">
    <w:abstractNumId w:val="10"/>
  </w:num>
  <w:num w:numId="13" w16cid:durableId="1605262663">
    <w:abstractNumId w:val="11"/>
  </w:num>
  <w:num w:numId="14" w16cid:durableId="1130783611">
    <w:abstractNumId w:val="4"/>
  </w:num>
  <w:num w:numId="15" w16cid:durableId="1039160379">
    <w:abstractNumId w:val="1"/>
  </w:num>
  <w:num w:numId="16" w16cid:durableId="662054398">
    <w:abstractNumId w:val="21"/>
  </w:num>
  <w:num w:numId="17" w16cid:durableId="1852254383">
    <w:abstractNumId w:val="15"/>
  </w:num>
  <w:num w:numId="18" w16cid:durableId="306975110">
    <w:abstractNumId w:val="9"/>
  </w:num>
  <w:num w:numId="19" w16cid:durableId="1762988917">
    <w:abstractNumId w:val="7"/>
  </w:num>
  <w:num w:numId="20" w16cid:durableId="1996375921">
    <w:abstractNumId w:val="3"/>
  </w:num>
  <w:num w:numId="21" w16cid:durableId="891304365">
    <w:abstractNumId w:val="17"/>
  </w:num>
  <w:num w:numId="22" w16cid:durableId="615910208">
    <w:abstractNumId w:val="14"/>
  </w:num>
  <w:num w:numId="23" w16cid:durableId="30312695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6F"/>
    <w:rsid w:val="000013B3"/>
    <w:rsid w:val="00001460"/>
    <w:rsid w:val="00001885"/>
    <w:rsid w:val="000035FA"/>
    <w:rsid w:val="00003688"/>
    <w:rsid w:val="00004158"/>
    <w:rsid w:val="00006A86"/>
    <w:rsid w:val="000145D0"/>
    <w:rsid w:val="000165E8"/>
    <w:rsid w:val="00016B6E"/>
    <w:rsid w:val="0002003E"/>
    <w:rsid w:val="0002231E"/>
    <w:rsid w:val="00023958"/>
    <w:rsid w:val="0002613C"/>
    <w:rsid w:val="0003417E"/>
    <w:rsid w:val="0003549B"/>
    <w:rsid w:val="00036638"/>
    <w:rsid w:val="000366D1"/>
    <w:rsid w:val="00036B4F"/>
    <w:rsid w:val="00040AEE"/>
    <w:rsid w:val="00042EE7"/>
    <w:rsid w:val="00043AB3"/>
    <w:rsid w:val="00044B6C"/>
    <w:rsid w:val="00045F89"/>
    <w:rsid w:val="00051B2E"/>
    <w:rsid w:val="0005240B"/>
    <w:rsid w:val="00052BC3"/>
    <w:rsid w:val="00052F1C"/>
    <w:rsid w:val="0005479E"/>
    <w:rsid w:val="0005671E"/>
    <w:rsid w:val="00056D1A"/>
    <w:rsid w:val="00057E48"/>
    <w:rsid w:val="00061471"/>
    <w:rsid w:val="00063699"/>
    <w:rsid w:val="00065ADB"/>
    <w:rsid w:val="00065FF9"/>
    <w:rsid w:val="00066194"/>
    <w:rsid w:val="000673A8"/>
    <w:rsid w:val="000678E0"/>
    <w:rsid w:val="00070CD5"/>
    <w:rsid w:val="00073655"/>
    <w:rsid w:val="00076930"/>
    <w:rsid w:val="000775B5"/>
    <w:rsid w:val="00080626"/>
    <w:rsid w:val="000812C9"/>
    <w:rsid w:val="00081EF4"/>
    <w:rsid w:val="00082AAF"/>
    <w:rsid w:val="0008495C"/>
    <w:rsid w:val="00086AEC"/>
    <w:rsid w:val="000915EF"/>
    <w:rsid w:val="00093A8E"/>
    <w:rsid w:val="00094297"/>
    <w:rsid w:val="0009487B"/>
    <w:rsid w:val="000968CE"/>
    <w:rsid w:val="00097F9A"/>
    <w:rsid w:val="000A2146"/>
    <w:rsid w:val="000A5184"/>
    <w:rsid w:val="000A6C7B"/>
    <w:rsid w:val="000B1DB8"/>
    <w:rsid w:val="000B271C"/>
    <w:rsid w:val="000B2C2E"/>
    <w:rsid w:val="000B3671"/>
    <w:rsid w:val="000B4191"/>
    <w:rsid w:val="000B5D17"/>
    <w:rsid w:val="000B5DB8"/>
    <w:rsid w:val="000B6042"/>
    <w:rsid w:val="000C21F0"/>
    <w:rsid w:val="000C2534"/>
    <w:rsid w:val="000C2EDE"/>
    <w:rsid w:val="000C50D6"/>
    <w:rsid w:val="000C600F"/>
    <w:rsid w:val="000C7581"/>
    <w:rsid w:val="000D0C3A"/>
    <w:rsid w:val="000D15C4"/>
    <w:rsid w:val="000D25A7"/>
    <w:rsid w:val="000D2C30"/>
    <w:rsid w:val="000E0558"/>
    <w:rsid w:val="000E104B"/>
    <w:rsid w:val="000E1F44"/>
    <w:rsid w:val="000E25F7"/>
    <w:rsid w:val="000E4A19"/>
    <w:rsid w:val="000E555E"/>
    <w:rsid w:val="000E5793"/>
    <w:rsid w:val="000E59EC"/>
    <w:rsid w:val="000E65C1"/>
    <w:rsid w:val="000F189C"/>
    <w:rsid w:val="000F227C"/>
    <w:rsid w:val="000F3D72"/>
    <w:rsid w:val="000F43D7"/>
    <w:rsid w:val="000F621F"/>
    <w:rsid w:val="000F631B"/>
    <w:rsid w:val="000F7643"/>
    <w:rsid w:val="00102668"/>
    <w:rsid w:val="00102CDB"/>
    <w:rsid w:val="00105B9B"/>
    <w:rsid w:val="00114AE1"/>
    <w:rsid w:val="00116772"/>
    <w:rsid w:val="001177CE"/>
    <w:rsid w:val="001177EF"/>
    <w:rsid w:val="00121041"/>
    <w:rsid w:val="00121A21"/>
    <w:rsid w:val="0012219B"/>
    <w:rsid w:val="00122BEF"/>
    <w:rsid w:val="001239EA"/>
    <w:rsid w:val="0012427E"/>
    <w:rsid w:val="001257DD"/>
    <w:rsid w:val="00133776"/>
    <w:rsid w:val="0013497B"/>
    <w:rsid w:val="00137033"/>
    <w:rsid w:val="001412C9"/>
    <w:rsid w:val="001413E9"/>
    <w:rsid w:val="0014288F"/>
    <w:rsid w:val="0014325B"/>
    <w:rsid w:val="00144B6B"/>
    <w:rsid w:val="00147609"/>
    <w:rsid w:val="00147DC7"/>
    <w:rsid w:val="0015064A"/>
    <w:rsid w:val="00150AC1"/>
    <w:rsid w:val="001513DE"/>
    <w:rsid w:val="0015165C"/>
    <w:rsid w:val="00152BA0"/>
    <w:rsid w:val="00152FEC"/>
    <w:rsid w:val="001546C6"/>
    <w:rsid w:val="00163AB0"/>
    <w:rsid w:val="001647B8"/>
    <w:rsid w:val="001671FC"/>
    <w:rsid w:val="0016756B"/>
    <w:rsid w:val="001675B3"/>
    <w:rsid w:val="00170445"/>
    <w:rsid w:val="001716EE"/>
    <w:rsid w:val="00172A30"/>
    <w:rsid w:val="00173228"/>
    <w:rsid w:val="00173596"/>
    <w:rsid w:val="001741B6"/>
    <w:rsid w:val="0017438F"/>
    <w:rsid w:val="00175397"/>
    <w:rsid w:val="00175BD8"/>
    <w:rsid w:val="001801CD"/>
    <w:rsid w:val="00180917"/>
    <w:rsid w:val="00181EA3"/>
    <w:rsid w:val="001831AE"/>
    <w:rsid w:val="001910D3"/>
    <w:rsid w:val="001917BF"/>
    <w:rsid w:val="00191866"/>
    <w:rsid w:val="00191D04"/>
    <w:rsid w:val="00192D3A"/>
    <w:rsid w:val="00193F92"/>
    <w:rsid w:val="00195A26"/>
    <w:rsid w:val="00196C02"/>
    <w:rsid w:val="00197C3E"/>
    <w:rsid w:val="001A0A27"/>
    <w:rsid w:val="001A2069"/>
    <w:rsid w:val="001A4842"/>
    <w:rsid w:val="001A654D"/>
    <w:rsid w:val="001B1E1B"/>
    <w:rsid w:val="001B311B"/>
    <w:rsid w:val="001B3C34"/>
    <w:rsid w:val="001B3D40"/>
    <w:rsid w:val="001C14B6"/>
    <w:rsid w:val="001C1F06"/>
    <w:rsid w:val="001C2D7C"/>
    <w:rsid w:val="001C3DD5"/>
    <w:rsid w:val="001C539B"/>
    <w:rsid w:val="001C551D"/>
    <w:rsid w:val="001D05DD"/>
    <w:rsid w:val="001D0B71"/>
    <w:rsid w:val="001D0CEA"/>
    <w:rsid w:val="001D14DE"/>
    <w:rsid w:val="001D3CCB"/>
    <w:rsid w:val="001D3E7E"/>
    <w:rsid w:val="001D561C"/>
    <w:rsid w:val="001D77C6"/>
    <w:rsid w:val="001E07BC"/>
    <w:rsid w:val="001E0CFE"/>
    <w:rsid w:val="001E0E6D"/>
    <w:rsid w:val="001E394F"/>
    <w:rsid w:val="001E3CA6"/>
    <w:rsid w:val="001E436E"/>
    <w:rsid w:val="001E66D2"/>
    <w:rsid w:val="001F04E2"/>
    <w:rsid w:val="001F087F"/>
    <w:rsid w:val="001F1F56"/>
    <w:rsid w:val="001F66A6"/>
    <w:rsid w:val="002001C4"/>
    <w:rsid w:val="00201B93"/>
    <w:rsid w:val="002036C5"/>
    <w:rsid w:val="0021007A"/>
    <w:rsid w:val="00213C7B"/>
    <w:rsid w:val="002144B3"/>
    <w:rsid w:val="0021516C"/>
    <w:rsid w:val="00217907"/>
    <w:rsid w:val="00217ECC"/>
    <w:rsid w:val="00221C26"/>
    <w:rsid w:val="0022357B"/>
    <w:rsid w:val="00223B6D"/>
    <w:rsid w:val="00225171"/>
    <w:rsid w:val="00225889"/>
    <w:rsid w:val="00227C02"/>
    <w:rsid w:val="00227C8A"/>
    <w:rsid w:val="00231BCB"/>
    <w:rsid w:val="00232449"/>
    <w:rsid w:val="002339B3"/>
    <w:rsid w:val="00235442"/>
    <w:rsid w:val="002360E9"/>
    <w:rsid w:val="00240D4F"/>
    <w:rsid w:val="00242168"/>
    <w:rsid w:val="00242FDA"/>
    <w:rsid w:val="00251C0B"/>
    <w:rsid w:val="00251CEA"/>
    <w:rsid w:val="0025557E"/>
    <w:rsid w:val="00261CDD"/>
    <w:rsid w:val="00263D0C"/>
    <w:rsid w:val="0026661E"/>
    <w:rsid w:val="00270312"/>
    <w:rsid w:val="0027125C"/>
    <w:rsid w:val="002716DD"/>
    <w:rsid w:val="00271E12"/>
    <w:rsid w:val="0027227C"/>
    <w:rsid w:val="00273D8F"/>
    <w:rsid w:val="00276029"/>
    <w:rsid w:val="0027791E"/>
    <w:rsid w:val="00281655"/>
    <w:rsid w:val="002837EF"/>
    <w:rsid w:val="002837F3"/>
    <w:rsid w:val="00284215"/>
    <w:rsid w:val="002846B5"/>
    <w:rsid w:val="00284C6B"/>
    <w:rsid w:val="0028502E"/>
    <w:rsid w:val="00285E19"/>
    <w:rsid w:val="00286C48"/>
    <w:rsid w:val="00287644"/>
    <w:rsid w:val="00287AEE"/>
    <w:rsid w:val="00290516"/>
    <w:rsid w:val="00290AA1"/>
    <w:rsid w:val="00292B37"/>
    <w:rsid w:val="002944C9"/>
    <w:rsid w:val="002947A9"/>
    <w:rsid w:val="002957C0"/>
    <w:rsid w:val="002A36C9"/>
    <w:rsid w:val="002A6E33"/>
    <w:rsid w:val="002A6E9D"/>
    <w:rsid w:val="002A7290"/>
    <w:rsid w:val="002A7EA1"/>
    <w:rsid w:val="002A7FD4"/>
    <w:rsid w:val="002B1D3C"/>
    <w:rsid w:val="002B2C06"/>
    <w:rsid w:val="002B3443"/>
    <w:rsid w:val="002B3977"/>
    <w:rsid w:val="002B577D"/>
    <w:rsid w:val="002B70F5"/>
    <w:rsid w:val="002B718B"/>
    <w:rsid w:val="002C164D"/>
    <w:rsid w:val="002C17E9"/>
    <w:rsid w:val="002C3D26"/>
    <w:rsid w:val="002C4541"/>
    <w:rsid w:val="002C4624"/>
    <w:rsid w:val="002C5219"/>
    <w:rsid w:val="002C6BCA"/>
    <w:rsid w:val="002C7451"/>
    <w:rsid w:val="002C77AF"/>
    <w:rsid w:val="002D0375"/>
    <w:rsid w:val="002D10D9"/>
    <w:rsid w:val="002D1A01"/>
    <w:rsid w:val="002D30E1"/>
    <w:rsid w:val="002D58E5"/>
    <w:rsid w:val="002D6188"/>
    <w:rsid w:val="002D6896"/>
    <w:rsid w:val="002D79EB"/>
    <w:rsid w:val="002E1EF2"/>
    <w:rsid w:val="002E257B"/>
    <w:rsid w:val="002E35C1"/>
    <w:rsid w:val="002E6010"/>
    <w:rsid w:val="002F0264"/>
    <w:rsid w:val="002F3780"/>
    <w:rsid w:val="002F54C9"/>
    <w:rsid w:val="002F6128"/>
    <w:rsid w:val="00300935"/>
    <w:rsid w:val="00300D84"/>
    <w:rsid w:val="003011E0"/>
    <w:rsid w:val="00303198"/>
    <w:rsid w:val="003054C6"/>
    <w:rsid w:val="003056A6"/>
    <w:rsid w:val="00311B5E"/>
    <w:rsid w:val="0031222A"/>
    <w:rsid w:val="0031235F"/>
    <w:rsid w:val="00313210"/>
    <w:rsid w:val="003136D8"/>
    <w:rsid w:val="00313BFE"/>
    <w:rsid w:val="00314204"/>
    <w:rsid w:val="003169DA"/>
    <w:rsid w:val="00316D82"/>
    <w:rsid w:val="003205B4"/>
    <w:rsid w:val="00320A13"/>
    <w:rsid w:val="00326862"/>
    <w:rsid w:val="00327980"/>
    <w:rsid w:val="00327ED0"/>
    <w:rsid w:val="003314B2"/>
    <w:rsid w:val="00332D75"/>
    <w:rsid w:val="00333CBD"/>
    <w:rsid w:val="00333F53"/>
    <w:rsid w:val="00334E6C"/>
    <w:rsid w:val="0033563E"/>
    <w:rsid w:val="00335ADD"/>
    <w:rsid w:val="00340112"/>
    <w:rsid w:val="003428A2"/>
    <w:rsid w:val="00343B9E"/>
    <w:rsid w:val="00346FA3"/>
    <w:rsid w:val="003477E7"/>
    <w:rsid w:val="003511F1"/>
    <w:rsid w:val="0035149C"/>
    <w:rsid w:val="00351AB3"/>
    <w:rsid w:val="00351FD2"/>
    <w:rsid w:val="00352E6F"/>
    <w:rsid w:val="00353DA0"/>
    <w:rsid w:val="00354017"/>
    <w:rsid w:val="003564DB"/>
    <w:rsid w:val="00356548"/>
    <w:rsid w:val="003565CC"/>
    <w:rsid w:val="00357FA1"/>
    <w:rsid w:val="00361433"/>
    <w:rsid w:val="00362F9D"/>
    <w:rsid w:val="0036449B"/>
    <w:rsid w:val="003663DA"/>
    <w:rsid w:val="0036788A"/>
    <w:rsid w:val="0037006D"/>
    <w:rsid w:val="00372E5F"/>
    <w:rsid w:val="00373B55"/>
    <w:rsid w:val="00375977"/>
    <w:rsid w:val="003768A9"/>
    <w:rsid w:val="003806BC"/>
    <w:rsid w:val="00381CC7"/>
    <w:rsid w:val="00384240"/>
    <w:rsid w:val="00384AC4"/>
    <w:rsid w:val="00391EFB"/>
    <w:rsid w:val="0039289E"/>
    <w:rsid w:val="00393D9E"/>
    <w:rsid w:val="003A0376"/>
    <w:rsid w:val="003A0CD0"/>
    <w:rsid w:val="003A3607"/>
    <w:rsid w:val="003A40EC"/>
    <w:rsid w:val="003A6A49"/>
    <w:rsid w:val="003B003F"/>
    <w:rsid w:val="003B1C15"/>
    <w:rsid w:val="003B2147"/>
    <w:rsid w:val="003B28D9"/>
    <w:rsid w:val="003B2A3D"/>
    <w:rsid w:val="003B5462"/>
    <w:rsid w:val="003B6C49"/>
    <w:rsid w:val="003B70FF"/>
    <w:rsid w:val="003B7FB1"/>
    <w:rsid w:val="003C0A0D"/>
    <w:rsid w:val="003C252A"/>
    <w:rsid w:val="003C39F7"/>
    <w:rsid w:val="003C3E70"/>
    <w:rsid w:val="003C5F01"/>
    <w:rsid w:val="003C6518"/>
    <w:rsid w:val="003D057C"/>
    <w:rsid w:val="003D0D67"/>
    <w:rsid w:val="003D314C"/>
    <w:rsid w:val="003E13AA"/>
    <w:rsid w:val="003E14DF"/>
    <w:rsid w:val="003E753E"/>
    <w:rsid w:val="003E7AD8"/>
    <w:rsid w:val="003F30EC"/>
    <w:rsid w:val="003F69CA"/>
    <w:rsid w:val="004003DE"/>
    <w:rsid w:val="00403127"/>
    <w:rsid w:val="00403530"/>
    <w:rsid w:val="004040A4"/>
    <w:rsid w:val="0041023E"/>
    <w:rsid w:val="00411419"/>
    <w:rsid w:val="0041442A"/>
    <w:rsid w:val="0041514C"/>
    <w:rsid w:val="00416B5B"/>
    <w:rsid w:val="004177A7"/>
    <w:rsid w:val="004179E3"/>
    <w:rsid w:val="00422859"/>
    <w:rsid w:val="00422BE9"/>
    <w:rsid w:val="00424FF4"/>
    <w:rsid w:val="00425C6C"/>
    <w:rsid w:val="00425FDD"/>
    <w:rsid w:val="00426828"/>
    <w:rsid w:val="00427C80"/>
    <w:rsid w:val="00431A7C"/>
    <w:rsid w:val="004321E6"/>
    <w:rsid w:val="004322E2"/>
    <w:rsid w:val="0043239B"/>
    <w:rsid w:val="00433BFF"/>
    <w:rsid w:val="004365A6"/>
    <w:rsid w:val="00436FDA"/>
    <w:rsid w:val="004404B9"/>
    <w:rsid w:val="004469BB"/>
    <w:rsid w:val="00446B1E"/>
    <w:rsid w:val="0044737C"/>
    <w:rsid w:val="00450873"/>
    <w:rsid w:val="00452280"/>
    <w:rsid w:val="004543EE"/>
    <w:rsid w:val="004545E2"/>
    <w:rsid w:val="004562D8"/>
    <w:rsid w:val="0045633A"/>
    <w:rsid w:val="0046078D"/>
    <w:rsid w:val="00462B35"/>
    <w:rsid w:val="004642D7"/>
    <w:rsid w:val="00467C54"/>
    <w:rsid w:val="004723E8"/>
    <w:rsid w:val="00473F9C"/>
    <w:rsid w:val="00475792"/>
    <w:rsid w:val="00476243"/>
    <w:rsid w:val="00477B4B"/>
    <w:rsid w:val="00480536"/>
    <w:rsid w:val="00483B40"/>
    <w:rsid w:val="00485A7E"/>
    <w:rsid w:val="00491F7C"/>
    <w:rsid w:val="0049252E"/>
    <w:rsid w:val="00492FD6"/>
    <w:rsid w:val="0049562E"/>
    <w:rsid w:val="0049725A"/>
    <w:rsid w:val="004A2270"/>
    <w:rsid w:val="004A3250"/>
    <w:rsid w:val="004A4ACD"/>
    <w:rsid w:val="004A4ED7"/>
    <w:rsid w:val="004A6E18"/>
    <w:rsid w:val="004A6F34"/>
    <w:rsid w:val="004B006F"/>
    <w:rsid w:val="004B18D3"/>
    <w:rsid w:val="004B43B8"/>
    <w:rsid w:val="004B4E6C"/>
    <w:rsid w:val="004B531B"/>
    <w:rsid w:val="004B631D"/>
    <w:rsid w:val="004B6C63"/>
    <w:rsid w:val="004C376D"/>
    <w:rsid w:val="004C3986"/>
    <w:rsid w:val="004C50AA"/>
    <w:rsid w:val="004C7229"/>
    <w:rsid w:val="004D065D"/>
    <w:rsid w:val="004D0851"/>
    <w:rsid w:val="004D12C2"/>
    <w:rsid w:val="004D1D1E"/>
    <w:rsid w:val="004D2F56"/>
    <w:rsid w:val="004D3A45"/>
    <w:rsid w:val="004E18B0"/>
    <w:rsid w:val="004E18E2"/>
    <w:rsid w:val="004E5008"/>
    <w:rsid w:val="004E5053"/>
    <w:rsid w:val="004E59D5"/>
    <w:rsid w:val="004E654C"/>
    <w:rsid w:val="004E6836"/>
    <w:rsid w:val="004F09C8"/>
    <w:rsid w:val="004F1BB8"/>
    <w:rsid w:val="004F1C87"/>
    <w:rsid w:val="004F26F1"/>
    <w:rsid w:val="004F2D65"/>
    <w:rsid w:val="004F318D"/>
    <w:rsid w:val="004F49EE"/>
    <w:rsid w:val="004F520A"/>
    <w:rsid w:val="004F6382"/>
    <w:rsid w:val="00501172"/>
    <w:rsid w:val="005046CD"/>
    <w:rsid w:val="00505443"/>
    <w:rsid w:val="0050584C"/>
    <w:rsid w:val="00506258"/>
    <w:rsid w:val="00506990"/>
    <w:rsid w:val="00506E62"/>
    <w:rsid w:val="00507656"/>
    <w:rsid w:val="00507777"/>
    <w:rsid w:val="005106BE"/>
    <w:rsid w:val="00511A60"/>
    <w:rsid w:val="005160AB"/>
    <w:rsid w:val="00522051"/>
    <w:rsid w:val="00522C99"/>
    <w:rsid w:val="005258DB"/>
    <w:rsid w:val="005264F5"/>
    <w:rsid w:val="00526BC6"/>
    <w:rsid w:val="00530F1D"/>
    <w:rsid w:val="00531876"/>
    <w:rsid w:val="00533E3F"/>
    <w:rsid w:val="005341E6"/>
    <w:rsid w:val="00535103"/>
    <w:rsid w:val="00535E73"/>
    <w:rsid w:val="00541398"/>
    <w:rsid w:val="00541604"/>
    <w:rsid w:val="0054329E"/>
    <w:rsid w:val="00544F0B"/>
    <w:rsid w:val="0054545B"/>
    <w:rsid w:val="0054598C"/>
    <w:rsid w:val="00550880"/>
    <w:rsid w:val="00550B1F"/>
    <w:rsid w:val="0055302D"/>
    <w:rsid w:val="00554129"/>
    <w:rsid w:val="00555E06"/>
    <w:rsid w:val="00561446"/>
    <w:rsid w:val="00561674"/>
    <w:rsid w:val="005622C8"/>
    <w:rsid w:val="00566200"/>
    <w:rsid w:val="0057351C"/>
    <w:rsid w:val="00575286"/>
    <w:rsid w:val="00575314"/>
    <w:rsid w:val="00575E9F"/>
    <w:rsid w:val="0058238F"/>
    <w:rsid w:val="00583635"/>
    <w:rsid w:val="00584D7A"/>
    <w:rsid w:val="005860DE"/>
    <w:rsid w:val="00587BD4"/>
    <w:rsid w:val="00590581"/>
    <w:rsid w:val="00590D94"/>
    <w:rsid w:val="00591C77"/>
    <w:rsid w:val="005922F9"/>
    <w:rsid w:val="00592755"/>
    <w:rsid w:val="005975F2"/>
    <w:rsid w:val="00597F15"/>
    <w:rsid w:val="005A05A6"/>
    <w:rsid w:val="005A1451"/>
    <w:rsid w:val="005A196B"/>
    <w:rsid w:val="005A3608"/>
    <w:rsid w:val="005A3A96"/>
    <w:rsid w:val="005A3B20"/>
    <w:rsid w:val="005A4EBF"/>
    <w:rsid w:val="005A5277"/>
    <w:rsid w:val="005A628B"/>
    <w:rsid w:val="005A6DDC"/>
    <w:rsid w:val="005B0509"/>
    <w:rsid w:val="005B2CEB"/>
    <w:rsid w:val="005B3C33"/>
    <w:rsid w:val="005B42BE"/>
    <w:rsid w:val="005B4F95"/>
    <w:rsid w:val="005C05B4"/>
    <w:rsid w:val="005C062D"/>
    <w:rsid w:val="005C2AD0"/>
    <w:rsid w:val="005C3376"/>
    <w:rsid w:val="005C4A55"/>
    <w:rsid w:val="005C5B85"/>
    <w:rsid w:val="005C708E"/>
    <w:rsid w:val="005C7444"/>
    <w:rsid w:val="005D14BC"/>
    <w:rsid w:val="005D4564"/>
    <w:rsid w:val="005D7BCB"/>
    <w:rsid w:val="005E020E"/>
    <w:rsid w:val="005E0A0B"/>
    <w:rsid w:val="005E2F23"/>
    <w:rsid w:val="005E3484"/>
    <w:rsid w:val="005E36C2"/>
    <w:rsid w:val="005E4D3A"/>
    <w:rsid w:val="005E5BF2"/>
    <w:rsid w:val="005E6F42"/>
    <w:rsid w:val="005F0848"/>
    <w:rsid w:val="005F0B24"/>
    <w:rsid w:val="005F0F77"/>
    <w:rsid w:val="005F1B7F"/>
    <w:rsid w:val="005F3048"/>
    <w:rsid w:val="005F4651"/>
    <w:rsid w:val="006002C0"/>
    <w:rsid w:val="00600350"/>
    <w:rsid w:val="00601FFD"/>
    <w:rsid w:val="006039AB"/>
    <w:rsid w:val="00603F18"/>
    <w:rsid w:val="006046C9"/>
    <w:rsid w:val="00607FA9"/>
    <w:rsid w:val="0061133F"/>
    <w:rsid w:val="00611ACE"/>
    <w:rsid w:val="00612005"/>
    <w:rsid w:val="006123FB"/>
    <w:rsid w:val="0061609B"/>
    <w:rsid w:val="00621784"/>
    <w:rsid w:val="00622BAC"/>
    <w:rsid w:val="006259D2"/>
    <w:rsid w:val="006262FD"/>
    <w:rsid w:val="00630B48"/>
    <w:rsid w:val="0063275B"/>
    <w:rsid w:val="0063408A"/>
    <w:rsid w:val="00634425"/>
    <w:rsid w:val="00640E26"/>
    <w:rsid w:val="00641318"/>
    <w:rsid w:val="00642135"/>
    <w:rsid w:val="00643560"/>
    <w:rsid w:val="00643975"/>
    <w:rsid w:val="006448AC"/>
    <w:rsid w:val="00647777"/>
    <w:rsid w:val="00647D7C"/>
    <w:rsid w:val="006532DD"/>
    <w:rsid w:val="006548C5"/>
    <w:rsid w:val="006549D7"/>
    <w:rsid w:val="006558B5"/>
    <w:rsid w:val="00657F12"/>
    <w:rsid w:val="00663907"/>
    <w:rsid w:val="006649EB"/>
    <w:rsid w:val="00667C10"/>
    <w:rsid w:val="00677F36"/>
    <w:rsid w:val="00677FDA"/>
    <w:rsid w:val="00681369"/>
    <w:rsid w:val="00681786"/>
    <w:rsid w:val="00681B99"/>
    <w:rsid w:val="00683046"/>
    <w:rsid w:val="00684134"/>
    <w:rsid w:val="006842EE"/>
    <w:rsid w:val="00685D39"/>
    <w:rsid w:val="006860C6"/>
    <w:rsid w:val="00686BDF"/>
    <w:rsid w:val="00690422"/>
    <w:rsid w:val="006910EB"/>
    <w:rsid w:val="00691627"/>
    <w:rsid w:val="00695F27"/>
    <w:rsid w:val="006976E2"/>
    <w:rsid w:val="00697A3C"/>
    <w:rsid w:val="006A0CB3"/>
    <w:rsid w:val="006A143E"/>
    <w:rsid w:val="006A1747"/>
    <w:rsid w:val="006A1D9A"/>
    <w:rsid w:val="006A21AF"/>
    <w:rsid w:val="006A3C8F"/>
    <w:rsid w:val="006A40EC"/>
    <w:rsid w:val="006A57CF"/>
    <w:rsid w:val="006B0163"/>
    <w:rsid w:val="006B1A20"/>
    <w:rsid w:val="006B3163"/>
    <w:rsid w:val="006B3802"/>
    <w:rsid w:val="006B3D7C"/>
    <w:rsid w:val="006B42BA"/>
    <w:rsid w:val="006B4AC5"/>
    <w:rsid w:val="006B4FD7"/>
    <w:rsid w:val="006B51E8"/>
    <w:rsid w:val="006B6609"/>
    <w:rsid w:val="006B6A84"/>
    <w:rsid w:val="006C23AA"/>
    <w:rsid w:val="006C638E"/>
    <w:rsid w:val="006C68DE"/>
    <w:rsid w:val="006D015A"/>
    <w:rsid w:val="006D49DE"/>
    <w:rsid w:val="006D6325"/>
    <w:rsid w:val="006D6A5A"/>
    <w:rsid w:val="006D757C"/>
    <w:rsid w:val="006E0946"/>
    <w:rsid w:val="006E2164"/>
    <w:rsid w:val="006E35AD"/>
    <w:rsid w:val="006E3F32"/>
    <w:rsid w:val="006E7A1A"/>
    <w:rsid w:val="006F3D3C"/>
    <w:rsid w:val="006F5245"/>
    <w:rsid w:val="006F5386"/>
    <w:rsid w:val="006F6532"/>
    <w:rsid w:val="006F6D8C"/>
    <w:rsid w:val="007032B3"/>
    <w:rsid w:val="00704439"/>
    <w:rsid w:val="00706F3D"/>
    <w:rsid w:val="00712AEF"/>
    <w:rsid w:val="007139D1"/>
    <w:rsid w:val="00715BD0"/>
    <w:rsid w:val="007220B5"/>
    <w:rsid w:val="00722D34"/>
    <w:rsid w:val="0072589D"/>
    <w:rsid w:val="00725BE4"/>
    <w:rsid w:val="00725EA1"/>
    <w:rsid w:val="00727223"/>
    <w:rsid w:val="00732503"/>
    <w:rsid w:val="007352C8"/>
    <w:rsid w:val="00736404"/>
    <w:rsid w:val="00740947"/>
    <w:rsid w:val="0074127A"/>
    <w:rsid w:val="00742691"/>
    <w:rsid w:val="00745B4B"/>
    <w:rsid w:val="00747358"/>
    <w:rsid w:val="007533FD"/>
    <w:rsid w:val="0075498B"/>
    <w:rsid w:val="0075630C"/>
    <w:rsid w:val="00756AAA"/>
    <w:rsid w:val="00756CED"/>
    <w:rsid w:val="00757749"/>
    <w:rsid w:val="00761540"/>
    <w:rsid w:val="00761600"/>
    <w:rsid w:val="00764102"/>
    <w:rsid w:val="00765474"/>
    <w:rsid w:val="007655E3"/>
    <w:rsid w:val="007700C5"/>
    <w:rsid w:val="00771A13"/>
    <w:rsid w:val="00773549"/>
    <w:rsid w:val="00775563"/>
    <w:rsid w:val="00775C05"/>
    <w:rsid w:val="00780505"/>
    <w:rsid w:val="00781F86"/>
    <w:rsid w:val="00782640"/>
    <w:rsid w:val="00782A8B"/>
    <w:rsid w:val="007853C3"/>
    <w:rsid w:val="00786035"/>
    <w:rsid w:val="0079087F"/>
    <w:rsid w:val="00790FE0"/>
    <w:rsid w:val="007914B4"/>
    <w:rsid w:val="007929E8"/>
    <w:rsid w:val="00792C8E"/>
    <w:rsid w:val="00795830"/>
    <w:rsid w:val="007A0044"/>
    <w:rsid w:val="007A0FC6"/>
    <w:rsid w:val="007A3690"/>
    <w:rsid w:val="007A5197"/>
    <w:rsid w:val="007A5339"/>
    <w:rsid w:val="007B013C"/>
    <w:rsid w:val="007B2CC3"/>
    <w:rsid w:val="007B381A"/>
    <w:rsid w:val="007B48E0"/>
    <w:rsid w:val="007B5EB8"/>
    <w:rsid w:val="007B70D1"/>
    <w:rsid w:val="007B7F9A"/>
    <w:rsid w:val="007C2840"/>
    <w:rsid w:val="007C2B40"/>
    <w:rsid w:val="007C426F"/>
    <w:rsid w:val="007C4D58"/>
    <w:rsid w:val="007C6A1E"/>
    <w:rsid w:val="007D0370"/>
    <w:rsid w:val="007D14F7"/>
    <w:rsid w:val="007D232D"/>
    <w:rsid w:val="007D567A"/>
    <w:rsid w:val="007D5C51"/>
    <w:rsid w:val="007D6327"/>
    <w:rsid w:val="007D68AD"/>
    <w:rsid w:val="007D6928"/>
    <w:rsid w:val="007D7D1D"/>
    <w:rsid w:val="007E2024"/>
    <w:rsid w:val="007E2B26"/>
    <w:rsid w:val="007E36A5"/>
    <w:rsid w:val="007E36B2"/>
    <w:rsid w:val="007E4AB6"/>
    <w:rsid w:val="007E73AE"/>
    <w:rsid w:val="007F0C63"/>
    <w:rsid w:val="007F1ABE"/>
    <w:rsid w:val="007F4D98"/>
    <w:rsid w:val="007F56EC"/>
    <w:rsid w:val="007F6BA1"/>
    <w:rsid w:val="007F77DF"/>
    <w:rsid w:val="007F7DC3"/>
    <w:rsid w:val="00800BDA"/>
    <w:rsid w:val="00800C6E"/>
    <w:rsid w:val="00801ACE"/>
    <w:rsid w:val="00801F34"/>
    <w:rsid w:val="00802355"/>
    <w:rsid w:val="00802CEC"/>
    <w:rsid w:val="008039D0"/>
    <w:rsid w:val="00803FDF"/>
    <w:rsid w:val="00804144"/>
    <w:rsid w:val="008046D4"/>
    <w:rsid w:val="00806873"/>
    <w:rsid w:val="008115F4"/>
    <w:rsid w:val="00812253"/>
    <w:rsid w:val="00813A52"/>
    <w:rsid w:val="00815E40"/>
    <w:rsid w:val="00816664"/>
    <w:rsid w:val="00816AE3"/>
    <w:rsid w:val="00816D7E"/>
    <w:rsid w:val="0081733A"/>
    <w:rsid w:val="00817952"/>
    <w:rsid w:val="0082371F"/>
    <w:rsid w:val="00823842"/>
    <w:rsid w:val="0082778E"/>
    <w:rsid w:val="00827991"/>
    <w:rsid w:val="008346B5"/>
    <w:rsid w:val="008374D1"/>
    <w:rsid w:val="00837726"/>
    <w:rsid w:val="008425DE"/>
    <w:rsid w:val="008430D9"/>
    <w:rsid w:val="00843B7C"/>
    <w:rsid w:val="008466A8"/>
    <w:rsid w:val="00850BB3"/>
    <w:rsid w:val="0085322A"/>
    <w:rsid w:val="0085557C"/>
    <w:rsid w:val="008562C8"/>
    <w:rsid w:val="00856FCA"/>
    <w:rsid w:val="00857515"/>
    <w:rsid w:val="00857A54"/>
    <w:rsid w:val="00863D1D"/>
    <w:rsid w:val="0086589B"/>
    <w:rsid w:val="00867AAB"/>
    <w:rsid w:val="0087122D"/>
    <w:rsid w:val="00872DB6"/>
    <w:rsid w:val="008769F5"/>
    <w:rsid w:val="00877F5C"/>
    <w:rsid w:val="00880129"/>
    <w:rsid w:val="00880170"/>
    <w:rsid w:val="00883DB8"/>
    <w:rsid w:val="00884495"/>
    <w:rsid w:val="008862AA"/>
    <w:rsid w:val="0088668C"/>
    <w:rsid w:val="00887DCF"/>
    <w:rsid w:val="0089044F"/>
    <w:rsid w:val="008904A9"/>
    <w:rsid w:val="00890ECD"/>
    <w:rsid w:val="00894F41"/>
    <w:rsid w:val="008969D4"/>
    <w:rsid w:val="0089786A"/>
    <w:rsid w:val="008A0269"/>
    <w:rsid w:val="008A0ABC"/>
    <w:rsid w:val="008A2268"/>
    <w:rsid w:val="008A6FCC"/>
    <w:rsid w:val="008A7054"/>
    <w:rsid w:val="008B01C2"/>
    <w:rsid w:val="008B295C"/>
    <w:rsid w:val="008B29ED"/>
    <w:rsid w:val="008B2F23"/>
    <w:rsid w:val="008B38C2"/>
    <w:rsid w:val="008B4566"/>
    <w:rsid w:val="008B7F79"/>
    <w:rsid w:val="008C12A5"/>
    <w:rsid w:val="008C16A4"/>
    <w:rsid w:val="008C2B7C"/>
    <w:rsid w:val="008C7056"/>
    <w:rsid w:val="008C7089"/>
    <w:rsid w:val="008C7B38"/>
    <w:rsid w:val="008D250D"/>
    <w:rsid w:val="008D76C0"/>
    <w:rsid w:val="008E190F"/>
    <w:rsid w:val="008E1F51"/>
    <w:rsid w:val="008E21C8"/>
    <w:rsid w:val="008E6B34"/>
    <w:rsid w:val="008E6E43"/>
    <w:rsid w:val="008F13D6"/>
    <w:rsid w:val="008F1C4C"/>
    <w:rsid w:val="008F2A3C"/>
    <w:rsid w:val="008F4C64"/>
    <w:rsid w:val="008F5B49"/>
    <w:rsid w:val="008F70C6"/>
    <w:rsid w:val="00902BBE"/>
    <w:rsid w:val="0090462F"/>
    <w:rsid w:val="0090463E"/>
    <w:rsid w:val="00905FAD"/>
    <w:rsid w:val="009073E1"/>
    <w:rsid w:val="00910B7D"/>
    <w:rsid w:val="00911D50"/>
    <w:rsid w:val="00912F91"/>
    <w:rsid w:val="00916001"/>
    <w:rsid w:val="00920DE5"/>
    <w:rsid w:val="00921187"/>
    <w:rsid w:val="009211A4"/>
    <w:rsid w:val="00921F9F"/>
    <w:rsid w:val="00921FAF"/>
    <w:rsid w:val="009268B5"/>
    <w:rsid w:val="009273C7"/>
    <w:rsid w:val="0092781C"/>
    <w:rsid w:val="0093092E"/>
    <w:rsid w:val="00933CC9"/>
    <w:rsid w:val="00933F56"/>
    <w:rsid w:val="00934B52"/>
    <w:rsid w:val="00936D24"/>
    <w:rsid w:val="009372A9"/>
    <w:rsid w:val="00943E5D"/>
    <w:rsid w:val="0094409E"/>
    <w:rsid w:val="009441CF"/>
    <w:rsid w:val="00946228"/>
    <w:rsid w:val="00947939"/>
    <w:rsid w:val="00950302"/>
    <w:rsid w:val="00951894"/>
    <w:rsid w:val="00952210"/>
    <w:rsid w:val="00953180"/>
    <w:rsid w:val="00953777"/>
    <w:rsid w:val="009576C1"/>
    <w:rsid w:val="00962725"/>
    <w:rsid w:val="009627EA"/>
    <w:rsid w:val="00963344"/>
    <w:rsid w:val="00963A15"/>
    <w:rsid w:val="00963C00"/>
    <w:rsid w:val="00964042"/>
    <w:rsid w:val="009664ED"/>
    <w:rsid w:val="00970237"/>
    <w:rsid w:val="00970623"/>
    <w:rsid w:val="00970C9D"/>
    <w:rsid w:val="00975D93"/>
    <w:rsid w:val="0097729F"/>
    <w:rsid w:val="00985B51"/>
    <w:rsid w:val="0098754A"/>
    <w:rsid w:val="00987E1C"/>
    <w:rsid w:val="00991770"/>
    <w:rsid w:val="00993A8F"/>
    <w:rsid w:val="00993C79"/>
    <w:rsid w:val="009966E0"/>
    <w:rsid w:val="00996A63"/>
    <w:rsid w:val="009A16C1"/>
    <w:rsid w:val="009A6F1E"/>
    <w:rsid w:val="009B0246"/>
    <w:rsid w:val="009B2B1C"/>
    <w:rsid w:val="009B5046"/>
    <w:rsid w:val="009B730C"/>
    <w:rsid w:val="009B7AD4"/>
    <w:rsid w:val="009C07B0"/>
    <w:rsid w:val="009C1A92"/>
    <w:rsid w:val="009C2DD0"/>
    <w:rsid w:val="009C4341"/>
    <w:rsid w:val="009C604E"/>
    <w:rsid w:val="009C746C"/>
    <w:rsid w:val="009CB33F"/>
    <w:rsid w:val="009D11AA"/>
    <w:rsid w:val="009E09AB"/>
    <w:rsid w:val="009E28BF"/>
    <w:rsid w:val="009E3371"/>
    <w:rsid w:val="009E394E"/>
    <w:rsid w:val="009E5B5E"/>
    <w:rsid w:val="009E76CB"/>
    <w:rsid w:val="009F2E81"/>
    <w:rsid w:val="009F4839"/>
    <w:rsid w:val="009F5521"/>
    <w:rsid w:val="009F5AB1"/>
    <w:rsid w:val="009F704C"/>
    <w:rsid w:val="00A0086D"/>
    <w:rsid w:val="00A00C3B"/>
    <w:rsid w:val="00A029B5"/>
    <w:rsid w:val="00A03D80"/>
    <w:rsid w:val="00A05A92"/>
    <w:rsid w:val="00A10578"/>
    <w:rsid w:val="00A10DCA"/>
    <w:rsid w:val="00A10F58"/>
    <w:rsid w:val="00A129EA"/>
    <w:rsid w:val="00A13177"/>
    <w:rsid w:val="00A1333E"/>
    <w:rsid w:val="00A14AFC"/>
    <w:rsid w:val="00A16BC9"/>
    <w:rsid w:val="00A20940"/>
    <w:rsid w:val="00A212D6"/>
    <w:rsid w:val="00A23364"/>
    <w:rsid w:val="00A2583F"/>
    <w:rsid w:val="00A25A72"/>
    <w:rsid w:val="00A25A7B"/>
    <w:rsid w:val="00A25BAE"/>
    <w:rsid w:val="00A25CDF"/>
    <w:rsid w:val="00A26063"/>
    <w:rsid w:val="00A263EA"/>
    <w:rsid w:val="00A31556"/>
    <w:rsid w:val="00A32031"/>
    <w:rsid w:val="00A3709E"/>
    <w:rsid w:val="00A40457"/>
    <w:rsid w:val="00A40B1E"/>
    <w:rsid w:val="00A416F8"/>
    <w:rsid w:val="00A42B18"/>
    <w:rsid w:val="00A454E3"/>
    <w:rsid w:val="00A45C36"/>
    <w:rsid w:val="00A46CE8"/>
    <w:rsid w:val="00A47DFD"/>
    <w:rsid w:val="00A51504"/>
    <w:rsid w:val="00A51AA1"/>
    <w:rsid w:val="00A53812"/>
    <w:rsid w:val="00A53D1E"/>
    <w:rsid w:val="00A56CB8"/>
    <w:rsid w:val="00A5705A"/>
    <w:rsid w:val="00A57E60"/>
    <w:rsid w:val="00A6130E"/>
    <w:rsid w:val="00A631D9"/>
    <w:rsid w:val="00A63750"/>
    <w:rsid w:val="00A65F6F"/>
    <w:rsid w:val="00A71007"/>
    <w:rsid w:val="00A7235C"/>
    <w:rsid w:val="00A72619"/>
    <w:rsid w:val="00A72889"/>
    <w:rsid w:val="00A754CC"/>
    <w:rsid w:val="00A76F6C"/>
    <w:rsid w:val="00A8017B"/>
    <w:rsid w:val="00A806AB"/>
    <w:rsid w:val="00A8399D"/>
    <w:rsid w:val="00A83DC2"/>
    <w:rsid w:val="00A84A02"/>
    <w:rsid w:val="00A84CE6"/>
    <w:rsid w:val="00A84FC3"/>
    <w:rsid w:val="00A87516"/>
    <w:rsid w:val="00A9057F"/>
    <w:rsid w:val="00A907EA"/>
    <w:rsid w:val="00A91094"/>
    <w:rsid w:val="00A918B1"/>
    <w:rsid w:val="00A922ED"/>
    <w:rsid w:val="00A946C0"/>
    <w:rsid w:val="00A96711"/>
    <w:rsid w:val="00A97669"/>
    <w:rsid w:val="00AA181A"/>
    <w:rsid w:val="00AA3C67"/>
    <w:rsid w:val="00AA41F4"/>
    <w:rsid w:val="00AA5DA5"/>
    <w:rsid w:val="00AA7325"/>
    <w:rsid w:val="00AA78F4"/>
    <w:rsid w:val="00AB1148"/>
    <w:rsid w:val="00AB1E8D"/>
    <w:rsid w:val="00AB2A80"/>
    <w:rsid w:val="00AB2CC2"/>
    <w:rsid w:val="00AB5D73"/>
    <w:rsid w:val="00AB6D47"/>
    <w:rsid w:val="00AB7B57"/>
    <w:rsid w:val="00AC0C4F"/>
    <w:rsid w:val="00AC1C3A"/>
    <w:rsid w:val="00AC34D6"/>
    <w:rsid w:val="00AC36A6"/>
    <w:rsid w:val="00AC492C"/>
    <w:rsid w:val="00AC4FF2"/>
    <w:rsid w:val="00AD4842"/>
    <w:rsid w:val="00AE0EF6"/>
    <w:rsid w:val="00AE1816"/>
    <w:rsid w:val="00AE443C"/>
    <w:rsid w:val="00AE544E"/>
    <w:rsid w:val="00AE5774"/>
    <w:rsid w:val="00AF1E67"/>
    <w:rsid w:val="00AF259A"/>
    <w:rsid w:val="00AF2738"/>
    <w:rsid w:val="00AF2F3B"/>
    <w:rsid w:val="00AF3001"/>
    <w:rsid w:val="00AF40FB"/>
    <w:rsid w:val="00AF7C4B"/>
    <w:rsid w:val="00B009FD"/>
    <w:rsid w:val="00B04823"/>
    <w:rsid w:val="00B06C1C"/>
    <w:rsid w:val="00B078A9"/>
    <w:rsid w:val="00B11873"/>
    <w:rsid w:val="00B11B90"/>
    <w:rsid w:val="00B11CFA"/>
    <w:rsid w:val="00B13EC1"/>
    <w:rsid w:val="00B1404F"/>
    <w:rsid w:val="00B15378"/>
    <w:rsid w:val="00B20E9F"/>
    <w:rsid w:val="00B21086"/>
    <w:rsid w:val="00B237EA"/>
    <w:rsid w:val="00B23D0C"/>
    <w:rsid w:val="00B256A6"/>
    <w:rsid w:val="00B25C5B"/>
    <w:rsid w:val="00B25EC4"/>
    <w:rsid w:val="00B26610"/>
    <w:rsid w:val="00B33C04"/>
    <w:rsid w:val="00B34012"/>
    <w:rsid w:val="00B36771"/>
    <w:rsid w:val="00B3757B"/>
    <w:rsid w:val="00B4057A"/>
    <w:rsid w:val="00B41791"/>
    <w:rsid w:val="00B418E9"/>
    <w:rsid w:val="00B42FDB"/>
    <w:rsid w:val="00B51A45"/>
    <w:rsid w:val="00B53BCA"/>
    <w:rsid w:val="00B547D3"/>
    <w:rsid w:val="00B54D13"/>
    <w:rsid w:val="00B56EE7"/>
    <w:rsid w:val="00B57837"/>
    <w:rsid w:val="00B578DA"/>
    <w:rsid w:val="00B57C59"/>
    <w:rsid w:val="00B57C79"/>
    <w:rsid w:val="00B60B93"/>
    <w:rsid w:val="00B616A4"/>
    <w:rsid w:val="00B64645"/>
    <w:rsid w:val="00B64DC7"/>
    <w:rsid w:val="00B65668"/>
    <w:rsid w:val="00B66222"/>
    <w:rsid w:val="00B674BF"/>
    <w:rsid w:val="00B67ACE"/>
    <w:rsid w:val="00B67CF8"/>
    <w:rsid w:val="00B73139"/>
    <w:rsid w:val="00B751EA"/>
    <w:rsid w:val="00B80368"/>
    <w:rsid w:val="00B815EB"/>
    <w:rsid w:val="00B837E8"/>
    <w:rsid w:val="00B85742"/>
    <w:rsid w:val="00B87C4F"/>
    <w:rsid w:val="00B9052B"/>
    <w:rsid w:val="00B913EA"/>
    <w:rsid w:val="00B9270C"/>
    <w:rsid w:val="00B94C46"/>
    <w:rsid w:val="00B96597"/>
    <w:rsid w:val="00B965A2"/>
    <w:rsid w:val="00B970A0"/>
    <w:rsid w:val="00B97EC2"/>
    <w:rsid w:val="00BA0439"/>
    <w:rsid w:val="00BA05C8"/>
    <w:rsid w:val="00BA0B7F"/>
    <w:rsid w:val="00BA2CFA"/>
    <w:rsid w:val="00BA35A8"/>
    <w:rsid w:val="00BA3D0E"/>
    <w:rsid w:val="00BA5494"/>
    <w:rsid w:val="00BA5947"/>
    <w:rsid w:val="00BA7188"/>
    <w:rsid w:val="00BB048E"/>
    <w:rsid w:val="00BB4FEA"/>
    <w:rsid w:val="00BB50D1"/>
    <w:rsid w:val="00BB7ADC"/>
    <w:rsid w:val="00BC19D5"/>
    <w:rsid w:val="00BC2738"/>
    <w:rsid w:val="00BC5E70"/>
    <w:rsid w:val="00BC6B57"/>
    <w:rsid w:val="00BD25DA"/>
    <w:rsid w:val="00BD3DFA"/>
    <w:rsid w:val="00BD486F"/>
    <w:rsid w:val="00BD5BEC"/>
    <w:rsid w:val="00BD7539"/>
    <w:rsid w:val="00BE0D34"/>
    <w:rsid w:val="00BE2C67"/>
    <w:rsid w:val="00BE2FA5"/>
    <w:rsid w:val="00BE56AB"/>
    <w:rsid w:val="00BF3517"/>
    <w:rsid w:val="00BF3925"/>
    <w:rsid w:val="00BF3F3E"/>
    <w:rsid w:val="00BF6FC7"/>
    <w:rsid w:val="00C0115E"/>
    <w:rsid w:val="00C037B6"/>
    <w:rsid w:val="00C03AAC"/>
    <w:rsid w:val="00C04B47"/>
    <w:rsid w:val="00C05DF3"/>
    <w:rsid w:val="00C061E4"/>
    <w:rsid w:val="00C10245"/>
    <w:rsid w:val="00C10BD7"/>
    <w:rsid w:val="00C14699"/>
    <w:rsid w:val="00C148E9"/>
    <w:rsid w:val="00C155E1"/>
    <w:rsid w:val="00C16A81"/>
    <w:rsid w:val="00C16C97"/>
    <w:rsid w:val="00C20089"/>
    <w:rsid w:val="00C217BC"/>
    <w:rsid w:val="00C220B0"/>
    <w:rsid w:val="00C22F32"/>
    <w:rsid w:val="00C23282"/>
    <w:rsid w:val="00C24832"/>
    <w:rsid w:val="00C333F8"/>
    <w:rsid w:val="00C35677"/>
    <w:rsid w:val="00C359FF"/>
    <w:rsid w:val="00C360A4"/>
    <w:rsid w:val="00C36B32"/>
    <w:rsid w:val="00C374D9"/>
    <w:rsid w:val="00C41901"/>
    <w:rsid w:val="00C46454"/>
    <w:rsid w:val="00C466F7"/>
    <w:rsid w:val="00C46E86"/>
    <w:rsid w:val="00C477AE"/>
    <w:rsid w:val="00C5658A"/>
    <w:rsid w:val="00C56B93"/>
    <w:rsid w:val="00C60C9F"/>
    <w:rsid w:val="00C61DA6"/>
    <w:rsid w:val="00C6271A"/>
    <w:rsid w:val="00C62B89"/>
    <w:rsid w:val="00C665EE"/>
    <w:rsid w:val="00C66985"/>
    <w:rsid w:val="00C725E2"/>
    <w:rsid w:val="00C7378B"/>
    <w:rsid w:val="00C73BCB"/>
    <w:rsid w:val="00C74A64"/>
    <w:rsid w:val="00C74D4E"/>
    <w:rsid w:val="00C763CC"/>
    <w:rsid w:val="00C76636"/>
    <w:rsid w:val="00C76C95"/>
    <w:rsid w:val="00C77D67"/>
    <w:rsid w:val="00C830DA"/>
    <w:rsid w:val="00C85144"/>
    <w:rsid w:val="00C8651C"/>
    <w:rsid w:val="00C86893"/>
    <w:rsid w:val="00C8783E"/>
    <w:rsid w:val="00C90438"/>
    <w:rsid w:val="00C92A35"/>
    <w:rsid w:val="00C92CB4"/>
    <w:rsid w:val="00C933D0"/>
    <w:rsid w:val="00C94761"/>
    <w:rsid w:val="00C9496B"/>
    <w:rsid w:val="00C95BE4"/>
    <w:rsid w:val="00CA1941"/>
    <w:rsid w:val="00CA2B48"/>
    <w:rsid w:val="00CA41C4"/>
    <w:rsid w:val="00CA6F6F"/>
    <w:rsid w:val="00CB2FF5"/>
    <w:rsid w:val="00CB4321"/>
    <w:rsid w:val="00CB64B5"/>
    <w:rsid w:val="00CB6B27"/>
    <w:rsid w:val="00CB7146"/>
    <w:rsid w:val="00CC05E2"/>
    <w:rsid w:val="00CC1266"/>
    <w:rsid w:val="00CC1566"/>
    <w:rsid w:val="00CC1E8F"/>
    <w:rsid w:val="00CC2DE0"/>
    <w:rsid w:val="00CC3A41"/>
    <w:rsid w:val="00CC4241"/>
    <w:rsid w:val="00CC7268"/>
    <w:rsid w:val="00CD1D78"/>
    <w:rsid w:val="00CD2542"/>
    <w:rsid w:val="00CD5BCF"/>
    <w:rsid w:val="00CD795F"/>
    <w:rsid w:val="00CD7ED7"/>
    <w:rsid w:val="00CE05D2"/>
    <w:rsid w:val="00CE11EE"/>
    <w:rsid w:val="00CE3685"/>
    <w:rsid w:val="00CF09A9"/>
    <w:rsid w:val="00CF2175"/>
    <w:rsid w:val="00CF39AC"/>
    <w:rsid w:val="00CF5B5E"/>
    <w:rsid w:val="00D00778"/>
    <w:rsid w:val="00D0139F"/>
    <w:rsid w:val="00D0235E"/>
    <w:rsid w:val="00D03B0D"/>
    <w:rsid w:val="00D04EF1"/>
    <w:rsid w:val="00D060FB"/>
    <w:rsid w:val="00D074AC"/>
    <w:rsid w:val="00D108E0"/>
    <w:rsid w:val="00D11EAE"/>
    <w:rsid w:val="00D122B3"/>
    <w:rsid w:val="00D141DB"/>
    <w:rsid w:val="00D14CFA"/>
    <w:rsid w:val="00D15291"/>
    <w:rsid w:val="00D1568B"/>
    <w:rsid w:val="00D1627A"/>
    <w:rsid w:val="00D16B8E"/>
    <w:rsid w:val="00D16DA6"/>
    <w:rsid w:val="00D200CA"/>
    <w:rsid w:val="00D206DC"/>
    <w:rsid w:val="00D226D9"/>
    <w:rsid w:val="00D24643"/>
    <w:rsid w:val="00D25292"/>
    <w:rsid w:val="00D27403"/>
    <w:rsid w:val="00D3068B"/>
    <w:rsid w:val="00D3193B"/>
    <w:rsid w:val="00D31C48"/>
    <w:rsid w:val="00D34195"/>
    <w:rsid w:val="00D351D6"/>
    <w:rsid w:val="00D359E5"/>
    <w:rsid w:val="00D36572"/>
    <w:rsid w:val="00D36C97"/>
    <w:rsid w:val="00D37CE5"/>
    <w:rsid w:val="00D418A1"/>
    <w:rsid w:val="00D419B1"/>
    <w:rsid w:val="00D43EFC"/>
    <w:rsid w:val="00D44000"/>
    <w:rsid w:val="00D4500B"/>
    <w:rsid w:val="00D470DA"/>
    <w:rsid w:val="00D50D00"/>
    <w:rsid w:val="00D52D87"/>
    <w:rsid w:val="00D532BF"/>
    <w:rsid w:val="00D55329"/>
    <w:rsid w:val="00D560B4"/>
    <w:rsid w:val="00D56172"/>
    <w:rsid w:val="00D66F63"/>
    <w:rsid w:val="00D7392B"/>
    <w:rsid w:val="00D76612"/>
    <w:rsid w:val="00D775A9"/>
    <w:rsid w:val="00D77AFC"/>
    <w:rsid w:val="00D807F9"/>
    <w:rsid w:val="00D80CA3"/>
    <w:rsid w:val="00D8106F"/>
    <w:rsid w:val="00D83B63"/>
    <w:rsid w:val="00D83CB1"/>
    <w:rsid w:val="00D848AB"/>
    <w:rsid w:val="00D8513F"/>
    <w:rsid w:val="00D873D1"/>
    <w:rsid w:val="00D87CB8"/>
    <w:rsid w:val="00D9137C"/>
    <w:rsid w:val="00D92C0F"/>
    <w:rsid w:val="00D93663"/>
    <w:rsid w:val="00D93D84"/>
    <w:rsid w:val="00D9493C"/>
    <w:rsid w:val="00D94DC9"/>
    <w:rsid w:val="00D971BB"/>
    <w:rsid w:val="00D97847"/>
    <w:rsid w:val="00DA042E"/>
    <w:rsid w:val="00DA14F3"/>
    <w:rsid w:val="00DA2CBA"/>
    <w:rsid w:val="00DA46C1"/>
    <w:rsid w:val="00DA5245"/>
    <w:rsid w:val="00DA7710"/>
    <w:rsid w:val="00DB0438"/>
    <w:rsid w:val="00DB068B"/>
    <w:rsid w:val="00DB192C"/>
    <w:rsid w:val="00DB2078"/>
    <w:rsid w:val="00DB21E6"/>
    <w:rsid w:val="00DB2E8E"/>
    <w:rsid w:val="00DC272E"/>
    <w:rsid w:val="00DC2773"/>
    <w:rsid w:val="00DC31B5"/>
    <w:rsid w:val="00DC3B1E"/>
    <w:rsid w:val="00DC5E08"/>
    <w:rsid w:val="00DD1CA9"/>
    <w:rsid w:val="00DD2317"/>
    <w:rsid w:val="00DD518F"/>
    <w:rsid w:val="00DD6099"/>
    <w:rsid w:val="00DD6709"/>
    <w:rsid w:val="00DD6905"/>
    <w:rsid w:val="00DD7DFC"/>
    <w:rsid w:val="00DE0AFA"/>
    <w:rsid w:val="00DE33DB"/>
    <w:rsid w:val="00DE3E0A"/>
    <w:rsid w:val="00DE5A5A"/>
    <w:rsid w:val="00DE643B"/>
    <w:rsid w:val="00DE69A9"/>
    <w:rsid w:val="00DE7346"/>
    <w:rsid w:val="00DE7E9C"/>
    <w:rsid w:val="00DE7FAB"/>
    <w:rsid w:val="00DF137F"/>
    <w:rsid w:val="00DF1D9C"/>
    <w:rsid w:val="00DF311A"/>
    <w:rsid w:val="00E011E7"/>
    <w:rsid w:val="00E01204"/>
    <w:rsid w:val="00E0130D"/>
    <w:rsid w:val="00E019BD"/>
    <w:rsid w:val="00E0302B"/>
    <w:rsid w:val="00E04247"/>
    <w:rsid w:val="00E05F6E"/>
    <w:rsid w:val="00E062E0"/>
    <w:rsid w:val="00E06792"/>
    <w:rsid w:val="00E106E5"/>
    <w:rsid w:val="00E10E7F"/>
    <w:rsid w:val="00E117F6"/>
    <w:rsid w:val="00E12524"/>
    <w:rsid w:val="00E14F7C"/>
    <w:rsid w:val="00E14FB1"/>
    <w:rsid w:val="00E16249"/>
    <w:rsid w:val="00E16732"/>
    <w:rsid w:val="00E170F4"/>
    <w:rsid w:val="00E20BB9"/>
    <w:rsid w:val="00E22472"/>
    <w:rsid w:val="00E251EE"/>
    <w:rsid w:val="00E25334"/>
    <w:rsid w:val="00E33879"/>
    <w:rsid w:val="00E33C67"/>
    <w:rsid w:val="00E33F16"/>
    <w:rsid w:val="00E34802"/>
    <w:rsid w:val="00E34D94"/>
    <w:rsid w:val="00E36D3D"/>
    <w:rsid w:val="00E41030"/>
    <w:rsid w:val="00E41C1C"/>
    <w:rsid w:val="00E43968"/>
    <w:rsid w:val="00E45C7F"/>
    <w:rsid w:val="00E47596"/>
    <w:rsid w:val="00E5067C"/>
    <w:rsid w:val="00E51235"/>
    <w:rsid w:val="00E540C8"/>
    <w:rsid w:val="00E554BB"/>
    <w:rsid w:val="00E55992"/>
    <w:rsid w:val="00E6083E"/>
    <w:rsid w:val="00E62018"/>
    <w:rsid w:val="00E621FF"/>
    <w:rsid w:val="00E623E8"/>
    <w:rsid w:val="00E62487"/>
    <w:rsid w:val="00E66E33"/>
    <w:rsid w:val="00E67DBB"/>
    <w:rsid w:val="00E67E7C"/>
    <w:rsid w:val="00E75A8F"/>
    <w:rsid w:val="00E77A79"/>
    <w:rsid w:val="00E829DC"/>
    <w:rsid w:val="00E8449E"/>
    <w:rsid w:val="00E8479E"/>
    <w:rsid w:val="00E85200"/>
    <w:rsid w:val="00E857A4"/>
    <w:rsid w:val="00E85A6C"/>
    <w:rsid w:val="00E87654"/>
    <w:rsid w:val="00E92E59"/>
    <w:rsid w:val="00E941AF"/>
    <w:rsid w:val="00E95186"/>
    <w:rsid w:val="00E9699B"/>
    <w:rsid w:val="00E9704E"/>
    <w:rsid w:val="00EA02F9"/>
    <w:rsid w:val="00EA0700"/>
    <w:rsid w:val="00EA2010"/>
    <w:rsid w:val="00EA2A2A"/>
    <w:rsid w:val="00EA2B37"/>
    <w:rsid w:val="00EA365F"/>
    <w:rsid w:val="00EA39A8"/>
    <w:rsid w:val="00EA3D01"/>
    <w:rsid w:val="00EA4685"/>
    <w:rsid w:val="00EB1029"/>
    <w:rsid w:val="00EB266A"/>
    <w:rsid w:val="00EB2BA8"/>
    <w:rsid w:val="00EB2CE4"/>
    <w:rsid w:val="00EB4867"/>
    <w:rsid w:val="00EB493F"/>
    <w:rsid w:val="00EB64CE"/>
    <w:rsid w:val="00EB64EF"/>
    <w:rsid w:val="00EC0BFF"/>
    <w:rsid w:val="00EC3113"/>
    <w:rsid w:val="00EC540E"/>
    <w:rsid w:val="00EC573F"/>
    <w:rsid w:val="00EC5D9C"/>
    <w:rsid w:val="00EC618C"/>
    <w:rsid w:val="00EC73D3"/>
    <w:rsid w:val="00ED0F8F"/>
    <w:rsid w:val="00ED30D2"/>
    <w:rsid w:val="00ED50E7"/>
    <w:rsid w:val="00ED527F"/>
    <w:rsid w:val="00ED5E24"/>
    <w:rsid w:val="00ED7FAB"/>
    <w:rsid w:val="00EE0324"/>
    <w:rsid w:val="00EE07E4"/>
    <w:rsid w:val="00EE21DA"/>
    <w:rsid w:val="00EE2A0C"/>
    <w:rsid w:val="00EE377E"/>
    <w:rsid w:val="00EE3A12"/>
    <w:rsid w:val="00EE64DF"/>
    <w:rsid w:val="00EE70E5"/>
    <w:rsid w:val="00EF0BF3"/>
    <w:rsid w:val="00EF1178"/>
    <w:rsid w:val="00EF21FF"/>
    <w:rsid w:val="00EF3C0B"/>
    <w:rsid w:val="00EF69E0"/>
    <w:rsid w:val="00EF6A42"/>
    <w:rsid w:val="00EF7E6A"/>
    <w:rsid w:val="00F00E7A"/>
    <w:rsid w:val="00F031DB"/>
    <w:rsid w:val="00F050A0"/>
    <w:rsid w:val="00F052CC"/>
    <w:rsid w:val="00F052DB"/>
    <w:rsid w:val="00F05D1C"/>
    <w:rsid w:val="00F06CD2"/>
    <w:rsid w:val="00F10141"/>
    <w:rsid w:val="00F10B5C"/>
    <w:rsid w:val="00F1417E"/>
    <w:rsid w:val="00F15D4B"/>
    <w:rsid w:val="00F175DE"/>
    <w:rsid w:val="00F17F6C"/>
    <w:rsid w:val="00F241CE"/>
    <w:rsid w:val="00F245F6"/>
    <w:rsid w:val="00F26279"/>
    <w:rsid w:val="00F26B11"/>
    <w:rsid w:val="00F27F8F"/>
    <w:rsid w:val="00F30856"/>
    <w:rsid w:val="00F33DEB"/>
    <w:rsid w:val="00F34F69"/>
    <w:rsid w:val="00F41410"/>
    <w:rsid w:val="00F42654"/>
    <w:rsid w:val="00F44BB3"/>
    <w:rsid w:val="00F45038"/>
    <w:rsid w:val="00F46163"/>
    <w:rsid w:val="00F47275"/>
    <w:rsid w:val="00F508A0"/>
    <w:rsid w:val="00F5223A"/>
    <w:rsid w:val="00F52DD3"/>
    <w:rsid w:val="00F57B27"/>
    <w:rsid w:val="00F60B86"/>
    <w:rsid w:val="00F610F7"/>
    <w:rsid w:val="00F62894"/>
    <w:rsid w:val="00F644A9"/>
    <w:rsid w:val="00F64D4C"/>
    <w:rsid w:val="00F67492"/>
    <w:rsid w:val="00F70C86"/>
    <w:rsid w:val="00F71F49"/>
    <w:rsid w:val="00F74096"/>
    <w:rsid w:val="00F74DCB"/>
    <w:rsid w:val="00F75303"/>
    <w:rsid w:val="00F7587C"/>
    <w:rsid w:val="00F76030"/>
    <w:rsid w:val="00F84DE4"/>
    <w:rsid w:val="00F86B70"/>
    <w:rsid w:val="00F91117"/>
    <w:rsid w:val="00F92500"/>
    <w:rsid w:val="00F92B26"/>
    <w:rsid w:val="00F93BD9"/>
    <w:rsid w:val="00F93F25"/>
    <w:rsid w:val="00F94CAA"/>
    <w:rsid w:val="00F94D51"/>
    <w:rsid w:val="00F950BD"/>
    <w:rsid w:val="00FA1535"/>
    <w:rsid w:val="00FA2180"/>
    <w:rsid w:val="00FA2442"/>
    <w:rsid w:val="00FA49DB"/>
    <w:rsid w:val="00FA7C00"/>
    <w:rsid w:val="00FA7CC1"/>
    <w:rsid w:val="00FB1ED3"/>
    <w:rsid w:val="00FB271A"/>
    <w:rsid w:val="00FB311A"/>
    <w:rsid w:val="00FB4F5D"/>
    <w:rsid w:val="00FB5723"/>
    <w:rsid w:val="00FC1718"/>
    <w:rsid w:val="00FC30D9"/>
    <w:rsid w:val="00FC3D49"/>
    <w:rsid w:val="00FD1B8D"/>
    <w:rsid w:val="00FD35A0"/>
    <w:rsid w:val="00FD3EBE"/>
    <w:rsid w:val="00FD4B9A"/>
    <w:rsid w:val="00FD561B"/>
    <w:rsid w:val="00FD582C"/>
    <w:rsid w:val="00FD5CDD"/>
    <w:rsid w:val="00FD60B8"/>
    <w:rsid w:val="00FD6631"/>
    <w:rsid w:val="00FD69F4"/>
    <w:rsid w:val="00FE40B6"/>
    <w:rsid w:val="00FE42EC"/>
    <w:rsid w:val="00FE5CAA"/>
    <w:rsid w:val="00FE711B"/>
    <w:rsid w:val="00FF00E5"/>
    <w:rsid w:val="00FF1BE3"/>
    <w:rsid w:val="00FF221A"/>
    <w:rsid w:val="00FF429D"/>
    <w:rsid w:val="00FF65B2"/>
    <w:rsid w:val="00FF6625"/>
    <w:rsid w:val="00FF7FFC"/>
    <w:rsid w:val="01ED668E"/>
    <w:rsid w:val="029DF7D7"/>
    <w:rsid w:val="030CC081"/>
    <w:rsid w:val="041369A8"/>
    <w:rsid w:val="056DDF67"/>
    <w:rsid w:val="05B291DD"/>
    <w:rsid w:val="06BD48EA"/>
    <w:rsid w:val="06CCA65F"/>
    <w:rsid w:val="077C6E82"/>
    <w:rsid w:val="090D85E5"/>
    <w:rsid w:val="09180C12"/>
    <w:rsid w:val="0937E772"/>
    <w:rsid w:val="0A376399"/>
    <w:rsid w:val="0B3691B6"/>
    <w:rsid w:val="0BA62875"/>
    <w:rsid w:val="0C1FF4D9"/>
    <w:rsid w:val="0C693F72"/>
    <w:rsid w:val="0D41F8D6"/>
    <w:rsid w:val="0E1287F5"/>
    <w:rsid w:val="0E9D5DA0"/>
    <w:rsid w:val="0F1EF42E"/>
    <w:rsid w:val="10DB16FE"/>
    <w:rsid w:val="10E608FB"/>
    <w:rsid w:val="11961F5E"/>
    <w:rsid w:val="119F5140"/>
    <w:rsid w:val="125694F0"/>
    <w:rsid w:val="1267CFC7"/>
    <w:rsid w:val="1321C1CF"/>
    <w:rsid w:val="133C77E8"/>
    <w:rsid w:val="13928E59"/>
    <w:rsid w:val="139811FD"/>
    <w:rsid w:val="13B348C3"/>
    <w:rsid w:val="13FF31A8"/>
    <w:rsid w:val="14D274A6"/>
    <w:rsid w:val="152E3612"/>
    <w:rsid w:val="15EAA0B5"/>
    <w:rsid w:val="16419AA2"/>
    <w:rsid w:val="17AD57DD"/>
    <w:rsid w:val="184AA1CC"/>
    <w:rsid w:val="18619105"/>
    <w:rsid w:val="18EFBA0C"/>
    <w:rsid w:val="193401A7"/>
    <w:rsid w:val="1DA8AC4A"/>
    <w:rsid w:val="1E3A871B"/>
    <w:rsid w:val="1E9F2699"/>
    <w:rsid w:val="1F3A94E7"/>
    <w:rsid w:val="20A9222D"/>
    <w:rsid w:val="2125EB2F"/>
    <w:rsid w:val="218C889F"/>
    <w:rsid w:val="2299F564"/>
    <w:rsid w:val="23729626"/>
    <w:rsid w:val="23D180A1"/>
    <w:rsid w:val="23F9EB4C"/>
    <w:rsid w:val="243AE9D1"/>
    <w:rsid w:val="243F4E37"/>
    <w:rsid w:val="246A3C42"/>
    <w:rsid w:val="2490BDE3"/>
    <w:rsid w:val="24BBA970"/>
    <w:rsid w:val="26489E29"/>
    <w:rsid w:val="26645034"/>
    <w:rsid w:val="276AD651"/>
    <w:rsid w:val="27D9997C"/>
    <w:rsid w:val="27E32FC9"/>
    <w:rsid w:val="2877B4CF"/>
    <w:rsid w:val="292CE7B9"/>
    <w:rsid w:val="2B1882FA"/>
    <w:rsid w:val="2B5AC266"/>
    <w:rsid w:val="2BA14309"/>
    <w:rsid w:val="2BC9B2B2"/>
    <w:rsid w:val="2D197A02"/>
    <w:rsid w:val="2DEE9085"/>
    <w:rsid w:val="2E6B3F00"/>
    <w:rsid w:val="2FDE35C7"/>
    <w:rsid w:val="307AD92E"/>
    <w:rsid w:val="30AE0B20"/>
    <w:rsid w:val="3249DB81"/>
    <w:rsid w:val="325B1658"/>
    <w:rsid w:val="327E6C7A"/>
    <w:rsid w:val="332A946E"/>
    <w:rsid w:val="3388BB86"/>
    <w:rsid w:val="3429C9FF"/>
    <w:rsid w:val="348AF216"/>
    <w:rsid w:val="34CE858A"/>
    <w:rsid w:val="358D3D9F"/>
    <w:rsid w:val="35A8905B"/>
    <w:rsid w:val="361054FD"/>
    <w:rsid w:val="36F20838"/>
    <w:rsid w:val="3889CD36"/>
    <w:rsid w:val="38CA57DC"/>
    <w:rsid w:val="3BDEDE26"/>
    <w:rsid w:val="3BF4EAAD"/>
    <w:rsid w:val="3CB1F392"/>
    <w:rsid w:val="3CCB585D"/>
    <w:rsid w:val="3D1C8339"/>
    <w:rsid w:val="3DA7E5B9"/>
    <w:rsid w:val="3E3BE452"/>
    <w:rsid w:val="3E4DC3F3"/>
    <w:rsid w:val="3EBE3515"/>
    <w:rsid w:val="3F22BF25"/>
    <w:rsid w:val="3F4983C1"/>
    <w:rsid w:val="3F6C2688"/>
    <w:rsid w:val="3FBE8C56"/>
    <w:rsid w:val="401433F6"/>
    <w:rsid w:val="403BFA22"/>
    <w:rsid w:val="4098C9D8"/>
    <w:rsid w:val="4098EA7E"/>
    <w:rsid w:val="41CC00B8"/>
    <w:rsid w:val="42756322"/>
    <w:rsid w:val="42D8337B"/>
    <w:rsid w:val="4383413F"/>
    <w:rsid w:val="43965D4E"/>
    <w:rsid w:val="43D105A7"/>
    <w:rsid w:val="44E7A519"/>
    <w:rsid w:val="45190EE4"/>
    <w:rsid w:val="45C6846C"/>
    <w:rsid w:val="4658310E"/>
    <w:rsid w:val="46723AA3"/>
    <w:rsid w:val="46D68012"/>
    <w:rsid w:val="47F056BA"/>
    <w:rsid w:val="48183C16"/>
    <w:rsid w:val="488E5CC0"/>
    <w:rsid w:val="4954D88F"/>
    <w:rsid w:val="49956749"/>
    <w:rsid w:val="4A9CF98E"/>
    <w:rsid w:val="4C91AC84"/>
    <w:rsid w:val="4E01D0B6"/>
    <w:rsid w:val="4E853A0E"/>
    <w:rsid w:val="4FB44B95"/>
    <w:rsid w:val="509F56B9"/>
    <w:rsid w:val="50E48079"/>
    <w:rsid w:val="51D58449"/>
    <w:rsid w:val="526DFD7B"/>
    <w:rsid w:val="52D07669"/>
    <w:rsid w:val="55166F1E"/>
    <w:rsid w:val="562769E3"/>
    <w:rsid w:val="579495BF"/>
    <w:rsid w:val="589061C3"/>
    <w:rsid w:val="58E02869"/>
    <w:rsid w:val="59E4796C"/>
    <w:rsid w:val="5A3C860C"/>
    <w:rsid w:val="5A3D2474"/>
    <w:rsid w:val="5C812E24"/>
    <w:rsid w:val="5C8974BE"/>
    <w:rsid w:val="5D19C3FA"/>
    <w:rsid w:val="5E20764F"/>
    <w:rsid w:val="5EFCBE5C"/>
    <w:rsid w:val="5FF2F0B8"/>
    <w:rsid w:val="63608EA1"/>
    <w:rsid w:val="6366E175"/>
    <w:rsid w:val="642A587A"/>
    <w:rsid w:val="64860022"/>
    <w:rsid w:val="64A5B523"/>
    <w:rsid w:val="6543DCCD"/>
    <w:rsid w:val="66088B24"/>
    <w:rsid w:val="668CBD46"/>
    <w:rsid w:val="669E8237"/>
    <w:rsid w:val="66B037E0"/>
    <w:rsid w:val="673C9D8A"/>
    <w:rsid w:val="674DD861"/>
    <w:rsid w:val="67A3B8F7"/>
    <w:rsid w:val="6886081D"/>
    <w:rsid w:val="68DB5A97"/>
    <w:rsid w:val="693BEA27"/>
    <w:rsid w:val="69D622F9"/>
    <w:rsid w:val="6A9F82B8"/>
    <w:rsid w:val="6BB20846"/>
    <w:rsid w:val="6C7651E6"/>
    <w:rsid w:val="6D4EEEB2"/>
    <w:rsid w:val="6DB80E54"/>
    <w:rsid w:val="6DF04BD7"/>
    <w:rsid w:val="6ECAD54A"/>
    <w:rsid w:val="70868F74"/>
    <w:rsid w:val="70EF9AB2"/>
    <w:rsid w:val="7127EC99"/>
    <w:rsid w:val="7147C53F"/>
    <w:rsid w:val="71E92264"/>
    <w:rsid w:val="7201567A"/>
    <w:rsid w:val="7214FC1B"/>
    <w:rsid w:val="7384F2C5"/>
    <w:rsid w:val="746F9816"/>
    <w:rsid w:val="74FC87B2"/>
    <w:rsid w:val="7542004E"/>
    <w:rsid w:val="75703B7E"/>
    <w:rsid w:val="758BED89"/>
    <w:rsid w:val="75C3D441"/>
    <w:rsid w:val="75E99605"/>
    <w:rsid w:val="76245292"/>
    <w:rsid w:val="76345EBF"/>
    <w:rsid w:val="76BC9387"/>
    <w:rsid w:val="7AD2A2B5"/>
    <w:rsid w:val="7B8F0B46"/>
    <w:rsid w:val="7C90D436"/>
    <w:rsid w:val="7D407DCC"/>
    <w:rsid w:val="7E288EA9"/>
    <w:rsid w:val="7E597A39"/>
    <w:rsid w:val="7EC89DEF"/>
    <w:rsid w:val="7F08D063"/>
    <w:rsid w:val="7F491FC0"/>
    <w:rsid w:val="7FD34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BA2D7"/>
  <w15:chartTrackingRefBased/>
  <w15:docId w15:val="{B17B81CC-B9F7-4B2A-A9C9-FD83CE32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EA"/>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B3671"/>
    <w:pPr>
      <w:keepNext/>
      <w:keepLines/>
      <w:spacing w:before="120" w:after="120" w:line="240" w:lineRule="auto"/>
      <w:outlineLvl w:val="0"/>
    </w:pPr>
    <w:rPr>
      <w:rFonts w:eastAsiaTheme="majorEastAsia"/>
      <w:b/>
      <w:bCs/>
      <w:sz w:val="26"/>
      <w:szCs w:val="28"/>
    </w:rPr>
  </w:style>
  <w:style w:type="paragraph" w:styleId="Heading2">
    <w:name w:val="heading 2"/>
    <w:basedOn w:val="Normal"/>
    <w:next w:val="Normal"/>
    <w:link w:val="Heading2Char"/>
    <w:unhideWhenUsed/>
    <w:qFormat/>
    <w:rsid w:val="004469BB"/>
    <w:pPr>
      <w:keepNext/>
      <w:keepLines/>
      <w:spacing w:before="120" w:after="120" w:line="240" w:lineRule="auto"/>
      <w:outlineLvl w:val="1"/>
    </w:pPr>
    <w:rPr>
      <w:rFonts w:eastAsiaTheme="majorEastAsia" w:cstheme="majorBidi"/>
      <w:b/>
      <w:i/>
      <w:sz w:val="24"/>
      <w:szCs w:val="26"/>
    </w:rPr>
  </w:style>
  <w:style w:type="paragraph" w:styleId="Heading3">
    <w:name w:val="heading 3"/>
    <w:basedOn w:val="Normal"/>
    <w:next w:val="Normal"/>
    <w:link w:val="Heading3Char"/>
    <w:uiPriority w:val="9"/>
    <w:semiHidden/>
    <w:unhideWhenUsed/>
    <w:qFormat/>
    <w:rsid w:val="003477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352E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69BB"/>
    <w:rPr>
      <w:rFonts w:ascii="Calibri" w:eastAsiaTheme="majorEastAsia" w:hAnsi="Calibri" w:cstheme="majorBidi"/>
      <w:b/>
      <w:i/>
      <w:sz w:val="24"/>
      <w:szCs w:val="26"/>
    </w:rPr>
  </w:style>
  <w:style w:type="character" w:customStyle="1" w:styleId="Heading4Char">
    <w:name w:val="Heading 4 Char"/>
    <w:basedOn w:val="DefaultParagraphFont"/>
    <w:link w:val="Heading4"/>
    <w:semiHidden/>
    <w:rsid w:val="00352E6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rsid w:val="00352E6F"/>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rsid w:val="00352E6F"/>
    <w:rPr>
      <w:rFonts w:ascii="Times New Roman" w:eastAsia="Times New Roman" w:hAnsi="Times New Roman" w:cs="Times New Roman"/>
      <w:sz w:val="24"/>
      <w:szCs w:val="20"/>
      <w:lang w:val="en-GB"/>
    </w:rPr>
  </w:style>
  <w:style w:type="paragraph" w:styleId="Footer">
    <w:name w:val="footer"/>
    <w:basedOn w:val="Normal"/>
    <w:link w:val="FooterChar"/>
    <w:uiPriority w:val="99"/>
    <w:rsid w:val="003314B2"/>
    <w:pPr>
      <w:spacing w:before="120" w:after="60" w:line="240" w:lineRule="exact"/>
    </w:pPr>
    <w:rPr>
      <w:sz w:val="18"/>
      <w:szCs w:val="20"/>
    </w:rPr>
  </w:style>
  <w:style w:type="character" w:customStyle="1" w:styleId="FooterChar">
    <w:name w:val="Footer Char"/>
    <w:basedOn w:val="DefaultParagraphFont"/>
    <w:link w:val="Footer"/>
    <w:uiPriority w:val="99"/>
    <w:rsid w:val="003314B2"/>
    <w:rPr>
      <w:rFonts w:ascii="Calibri" w:eastAsia="Times New Roman" w:hAnsi="Calibri" w:cs="Times New Roman"/>
      <w:sz w:val="18"/>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352E6F"/>
    <w:pPr>
      <w:spacing w:after="0" w:line="240" w:lineRule="auto"/>
      <w:ind w:left="720"/>
    </w:pPr>
    <w:rPr>
      <w:rFonts w:cs="Calibri"/>
      <w:lang w:eastAsia="en-AU"/>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Quote,ft,fn"/>
    <w:basedOn w:val="Normal"/>
    <w:link w:val="FootnoteTextChar"/>
    <w:uiPriority w:val="99"/>
    <w:rsid w:val="00933F56"/>
    <w:pPr>
      <w:widowControl w:val="0"/>
      <w:spacing w:after="60" w:line="240" w:lineRule="auto"/>
    </w:pPr>
    <w:rPr>
      <w:sz w:val="20"/>
      <w:szCs w:val="20"/>
      <w:lang w:val="en-GB"/>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ft Char"/>
    <w:basedOn w:val="DefaultParagraphFont"/>
    <w:link w:val="FootnoteText"/>
    <w:uiPriority w:val="99"/>
    <w:rsid w:val="00933F56"/>
    <w:rPr>
      <w:rFonts w:ascii="Calibri" w:eastAsia="Times New Roman" w:hAnsi="Calibri" w:cs="Times New Roman"/>
      <w:sz w:val="20"/>
      <w:szCs w:val="20"/>
      <w:lang w:val="en-GB"/>
    </w:rPr>
  </w:style>
  <w:style w:type="character" w:styleId="FootnoteReference">
    <w:name w:val="footnote reference"/>
    <w:aliases w:val="Footnotes refss,4_G,Footnote number"/>
    <w:basedOn w:val="DefaultParagraphFont"/>
    <w:uiPriority w:val="99"/>
    <w:rsid w:val="003314B2"/>
    <w:rPr>
      <w:rFonts w:ascii="Calibri" w:hAnsi="Calibri" w:cs="Times New Roman"/>
      <w:color w:val="auto"/>
      <w:sz w:val="20"/>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352E6F"/>
    <w:rPr>
      <w:rFonts w:ascii="Calibri" w:eastAsia="Times New Roman" w:hAnsi="Calibri" w:cs="Calibri"/>
      <w:lang w:eastAsia="en-AU"/>
    </w:rPr>
  </w:style>
  <w:style w:type="paragraph" w:customStyle="1" w:styleId="ESStandard1">
    <w:name w:val="ES Standard1"/>
    <w:basedOn w:val="Normal"/>
    <w:link w:val="ESStandard1Char"/>
    <w:qFormat/>
    <w:rsid w:val="00E77A79"/>
    <w:pPr>
      <w:numPr>
        <w:numId w:val="9"/>
      </w:numPr>
    </w:pPr>
    <w:rPr>
      <w:rFonts w:cs="Arial"/>
      <w:iCs/>
      <w:sz w:val="24"/>
      <w:szCs w:val="24"/>
    </w:rPr>
  </w:style>
  <w:style w:type="paragraph" w:customStyle="1" w:styleId="LDStandard2">
    <w:name w:val="LD_Standard2"/>
    <w:basedOn w:val="Normal"/>
    <w:rsid w:val="00352E6F"/>
    <w:pPr>
      <w:numPr>
        <w:ilvl w:val="1"/>
        <w:numId w:val="1"/>
      </w:numPr>
      <w:spacing w:after="240" w:line="240" w:lineRule="auto"/>
      <w:jc w:val="both"/>
    </w:pPr>
    <w:rPr>
      <w:rFonts w:ascii="Arial" w:hAnsi="Arial"/>
      <w:b/>
      <w:sz w:val="24"/>
      <w:szCs w:val="20"/>
    </w:rPr>
  </w:style>
  <w:style w:type="paragraph" w:customStyle="1" w:styleId="LDStandard3">
    <w:name w:val="LD_Standard3"/>
    <w:basedOn w:val="Normal"/>
    <w:rsid w:val="00352E6F"/>
    <w:pPr>
      <w:numPr>
        <w:ilvl w:val="2"/>
        <w:numId w:val="1"/>
      </w:numPr>
      <w:spacing w:after="240" w:line="240" w:lineRule="auto"/>
      <w:jc w:val="both"/>
    </w:pPr>
    <w:rPr>
      <w:rFonts w:ascii="Times New Roman" w:hAnsi="Times New Roman"/>
      <w:sz w:val="24"/>
      <w:szCs w:val="20"/>
    </w:rPr>
  </w:style>
  <w:style w:type="paragraph" w:customStyle="1" w:styleId="LDStandard4">
    <w:name w:val="LD_Standard4"/>
    <w:basedOn w:val="Normal"/>
    <w:qFormat/>
    <w:rsid w:val="00352E6F"/>
    <w:pPr>
      <w:numPr>
        <w:ilvl w:val="3"/>
        <w:numId w:val="1"/>
      </w:numPr>
      <w:spacing w:after="120" w:line="240" w:lineRule="auto"/>
      <w:jc w:val="both"/>
    </w:pPr>
    <w:rPr>
      <w:rFonts w:ascii="Times New Roman" w:hAnsi="Times New Roman"/>
      <w:sz w:val="24"/>
      <w:szCs w:val="20"/>
    </w:rPr>
  </w:style>
  <w:style w:type="paragraph" w:customStyle="1" w:styleId="LDStandard5">
    <w:name w:val="LD_Standard5"/>
    <w:basedOn w:val="Normal"/>
    <w:qFormat/>
    <w:rsid w:val="00352E6F"/>
    <w:pPr>
      <w:numPr>
        <w:ilvl w:val="4"/>
        <w:numId w:val="1"/>
      </w:numPr>
      <w:spacing w:after="240" w:line="240" w:lineRule="auto"/>
      <w:jc w:val="both"/>
    </w:pPr>
    <w:rPr>
      <w:rFonts w:ascii="Times New Roman" w:hAnsi="Times New Roman"/>
      <w:sz w:val="24"/>
      <w:szCs w:val="20"/>
    </w:rPr>
  </w:style>
  <w:style w:type="paragraph" w:customStyle="1" w:styleId="LDStandard6">
    <w:name w:val="LD_Standard6"/>
    <w:basedOn w:val="Normal"/>
    <w:qFormat/>
    <w:rsid w:val="00352E6F"/>
    <w:pPr>
      <w:numPr>
        <w:ilvl w:val="5"/>
        <w:numId w:val="1"/>
      </w:numPr>
      <w:spacing w:after="240" w:line="240" w:lineRule="auto"/>
      <w:jc w:val="both"/>
    </w:pPr>
    <w:rPr>
      <w:rFonts w:ascii="Times New Roman" w:hAnsi="Times New Roman"/>
      <w:sz w:val="24"/>
      <w:szCs w:val="20"/>
    </w:rPr>
  </w:style>
  <w:style w:type="paragraph" w:customStyle="1" w:styleId="LDStandard7">
    <w:name w:val="LD_Standard7"/>
    <w:basedOn w:val="LDStandard6"/>
    <w:rsid w:val="00352E6F"/>
    <w:pPr>
      <w:numPr>
        <w:ilvl w:val="6"/>
      </w:numPr>
    </w:pPr>
  </w:style>
  <w:style w:type="paragraph" w:customStyle="1" w:styleId="LDStandard8">
    <w:name w:val="LD_Standard8"/>
    <w:basedOn w:val="LDStandard7"/>
    <w:rsid w:val="00352E6F"/>
    <w:pPr>
      <w:numPr>
        <w:ilvl w:val="7"/>
      </w:numPr>
    </w:pPr>
  </w:style>
  <w:style w:type="paragraph" w:styleId="NormalWeb">
    <w:name w:val="Normal (Web)"/>
    <w:basedOn w:val="Normal"/>
    <w:uiPriority w:val="99"/>
    <w:unhideWhenUsed/>
    <w:rsid w:val="007C426F"/>
    <w:pPr>
      <w:spacing w:before="100" w:beforeAutospacing="1" w:after="100" w:afterAutospacing="1" w:line="240" w:lineRule="auto"/>
    </w:pPr>
    <w:rPr>
      <w:rFonts w:ascii="Times New Roman" w:hAnsi="Times New Roman"/>
      <w:sz w:val="24"/>
      <w:szCs w:val="24"/>
      <w:lang w:eastAsia="en-AU"/>
    </w:rPr>
  </w:style>
  <w:style w:type="character" w:customStyle="1" w:styleId="Heading1Char">
    <w:name w:val="Heading 1 Char"/>
    <w:basedOn w:val="DefaultParagraphFont"/>
    <w:link w:val="Heading1"/>
    <w:uiPriority w:val="9"/>
    <w:rsid w:val="000B3671"/>
    <w:rPr>
      <w:rFonts w:ascii="Calibri" w:eastAsiaTheme="majorEastAsia" w:hAnsi="Calibri" w:cs="Times New Roman"/>
      <w:b/>
      <w:bCs/>
      <w:sz w:val="26"/>
      <w:szCs w:val="28"/>
    </w:rPr>
  </w:style>
  <w:style w:type="character" w:customStyle="1" w:styleId="ui-provider">
    <w:name w:val="ui-provider"/>
    <w:basedOn w:val="DefaultParagraphFont"/>
    <w:rsid w:val="001C14B6"/>
  </w:style>
  <w:style w:type="character" w:styleId="Strong">
    <w:name w:val="Strong"/>
    <w:basedOn w:val="DefaultParagraphFont"/>
    <w:uiPriority w:val="22"/>
    <w:qFormat/>
    <w:rsid w:val="00550B1F"/>
    <w:rPr>
      <w:b/>
      <w:bCs/>
    </w:rPr>
  </w:style>
  <w:style w:type="paragraph" w:customStyle="1" w:styleId="Default">
    <w:name w:val="Default"/>
    <w:rsid w:val="007929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3477E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001C4"/>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AB2A80"/>
    <w:rPr>
      <w:sz w:val="16"/>
      <w:szCs w:val="16"/>
    </w:rPr>
  </w:style>
  <w:style w:type="paragraph" w:styleId="CommentText">
    <w:name w:val="annotation text"/>
    <w:basedOn w:val="Normal"/>
    <w:link w:val="CommentTextChar"/>
    <w:uiPriority w:val="99"/>
    <w:unhideWhenUsed/>
    <w:rsid w:val="00AB2A80"/>
    <w:pPr>
      <w:spacing w:line="240" w:lineRule="auto"/>
    </w:pPr>
    <w:rPr>
      <w:sz w:val="20"/>
      <w:szCs w:val="20"/>
    </w:rPr>
  </w:style>
  <w:style w:type="character" w:customStyle="1" w:styleId="CommentTextChar">
    <w:name w:val="Comment Text Char"/>
    <w:basedOn w:val="DefaultParagraphFont"/>
    <w:link w:val="CommentText"/>
    <w:uiPriority w:val="99"/>
    <w:rsid w:val="00AB2A8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A80"/>
    <w:rPr>
      <w:b/>
      <w:bCs/>
    </w:rPr>
  </w:style>
  <w:style w:type="character" w:customStyle="1" w:styleId="CommentSubjectChar">
    <w:name w:val="Comment Subject Char"/>
    <w:basedOn w:val="CommentTextChar"/>
    <w:link w:val="CommentSubject"/>
    <w:uiPriority w:val="99"/>
    <w:semiHidden/>
    <w:rsid w:val="00AB2A80"/>
    <w:rPr>
      <w:rFonts w:ascii="Calibri" w:eastAsia="Times New Roman" w:hAnsi="Calibri" w:cs="Times New Roman"/>
      <w:b/>
      <w:bCs/>
      <w:sz w:val="20"/>
      <w:szCs w:val="20"/>
    </w:rPr>
  </w:style>
  <w:style w:type="paragraph" w:customStyle="1" w:styleId="Bullet1">
    <w:name w:val="Bullet 1"/>
    <w:basedOn w:val="Normal"/>
    <w:link w:val="Bullet1Char"/>
    <w:qFormat/>
    <w:rsid w:val="00A20940"/>
    <w:pPr>
      <w:numPr>
        <w:numId w:val="3"/>
      </w:numPr>
      <w:spacing w:after="60" w:line="240" w:lineRule="auto"/>
    </w:pPr>
    <w:rPr>
      <w:rFonts w:asciiTheme="minorHAnsi" w:hAnsiTheme="minorHAnsi"/>
      <w:szCs w:val="20"/>
    </w:rPr>
  </w:style>
  <w:style w:type="character" w:customStyle="1" w:styleId="Bullet1Char">
    <w:name w:val="Bullet 1 Char"/>
    <w:basedOn w:val="DefaultParagraphFont"/>
    <w:link w:val="Bullet1"/>
    <w:rsid w:val="00A20940"/>
    <w:rPr>
      <w:rFonts w:eastAsia="Times New Roman" w:cs="Times New Roman"/>
      <w:szCs w:val="20"/>
    </w:rPr>
  </w:style>
  <w:style w:type="character" w:styleId="Hyperlink">
    <w:name w:val="Hyperlink"/>
    <w:basedOn w:val="DefaultParagraphFont"/>
    <w:uiPriority w:val="99"/>
    <w:unhideWhenUsed/>
    <w:rsid w:val="00642135"/>
    <w:rPr>
      <w:color w:val="0000FF"/>
      <w:u w:val="single"/>
    </w:rPr>
  </w:style>
  <w:style w:type="paragraph" w:customStyle="1" w:styleId="ACBodytext">
    <w:name w:val="AC_Body text"/>
    <w:basedOn w:val="Normal"/>
    <w:link w:val="ACBodytextChar"/>
    <w:qFormat/>
    <w:rsid w:val="001716EE"/>
    <w:pPr>
      <w:spacing w:before="200" w:after="60" w:line="240" w:lineRule="auto"/>
    </w:pPr>
    <w:rPr>
      <w:szCs w:val="20"/>
    </w:rPr>
  </w:style>
  <w:style w:type="character" w:customStyle="1" w:styleId="ACBodytextChar">
    <w:name w:val="AC_Body text Char"/>
    <w:basedOn w:val="DefaultParagraphFont"/>
    <w:link w:val="ACBodytext"/>
    <w:rsid w:val="001716EE"/>
    <w:rPr>
      <w:rFonts w:ascii="Calibri" w:eastAsia="Times New Roman" w:hAnsi="Calibri" w:cs="Times New Roman"/>
      <w:szCs w:val="20"/>
    </w:rPr>
  </w:style>
  <w:style w:type="character" w:styleId="Emphasis">
    <w:name w:val="Emphasis"/>
    <w:basedOn w:val="DefaultParagraphFont"/>
    <w:uiPriority w:val="20"/>
    <w:qFormat/>
    <w:rsid w:val="00F45038"/>
    <w:rPr>
      <w:i/>
      <w:iCs/>
    </w:rPr>
  </w:style>
  <w:style w:type="character" w:customStyle="1" w:styleId="cf01">
    <w:name w:val="cf01"/>
    <w:basedOn w:val="DefaultParagraphFont"/>
    <w:rsid w:val="00817952"/>
    <w:rPr>
      <w:rFonts w:ascii="Segoe UI" w:hAnsi="Segoe UI" w:cs="Segoe UI" w:hint="default"/>
      <w:sz w:val="18"/>
      <w:szCs w:val="18"/>
    </w:rPr>
  </w:style>
  <w:style w:type="character" w:customStyle="1" w:styleId="fui-primitive">
    <w:name w:val="fui-primitive"/>
    <w:basedOn w:val="DefaultParagraphFont"/>
    <w:rsid w:val="00A10F58"/>
  </w:style>
  <w:style w:type="paragraph" w:customStyle="1" w:styleId="CS-Paragraphnumbering">
    <w:name w:val="CS - Paragraph numbering"/>
    <w:basedOn w:val="Normal"/>
    <w:rsid w:val="00A96711"/>
    <w:pPr>
      <w:numPr>
        <w:numId w:val="7"/>
      </w:numPr>
      <w:spacing w:after="120"/>
      <w:ind w:right="-45"/>
    </w:pPr>
    <w:rPr>
      <w:rFonts w:asciiTheme="minorHAnsi" w:eastAsiaTheme="minorHAnsi" w:hAnsiTheme="minorHAnsi" w:cstheme="minorBidi"/>
      <w:sz w:val="24"/>
      <w:szCs w:val="24"/>
    </w:rPr>
  </w:style>
  <w:style w:type="character" w:styleId="BookTitle">
    <w:name w:val="Book Title"/>
    <w:basedOn w:val="DefaultParagraphFont"/>
    <w:uiPriority w:val="33"/>
    <w:qFormat/>
    <w:rsid w:val="00E77A79"/>
    <w:rPr>
      <w:b/>
      <w:bCs/>
      <w:i/>
      <w:iCs/>
      <w:spacing w:val="5"/>
    </w:rPr>
  </w:style>
  <w:style w:type="paragraph" w:customStyle="1" w:styleId="Style1">
    <w:name w:val="Style1"/>
    <w:basedOn w:val="ESStandard1"/>
    <w:link w:val="Style1Char"/>
    <w:qFormat/>
    <w:rsid w:val="00E77A79"/>
    <w:pPr>
      <w:numPr>
        <w:numId w:val="8"/>
      </w:numPr>
    </w:pPr>
  </w:style>
  <w:style w:type="character" w:customStyle="1" w:styleId="ESStandard1Char">
    <w:name w:val="ES Standard1 Char"/>
    <w:basedOn w:val="DefaultParagraphFont"/>
    <w:link w:val="ESStandard1"/>
    <w:rsid w:val="00E77A79"/>
    <w:rPr>
      <w:rFonts w:ascii="Calibri" w:eastAsia="Times New Roman" w:hAnsi="Calibri" w:cs="Arial"/>
      <w:iCs/>
      <w:sz w:val="24"/>
      <w:szCs w:val="24"/>
    </w:rPr>
  </w:style>
  <w:style w:type="character" w:customStyle="1" w:styleId="Style1Char">
    <w:name w:val="Style1 Char"/>
    <w:basedOn w:val="ESStandard1Char"/>
    <w:link w:val="Style1"/>
    <w:rsid w:val="00E77A79"/>
    <w:rPr>
      <w:rFonts w:ascii="Calibri" w:eastAsia="Times New Roman" w:hAnsi="Calibri" w:cs="Arial"/>
      <w:iCs/>
      <w:sz w:val="24"/>
      <w:szCs w:val="24"/>
    </w:rPr>
  </w:style>
  <w:style w:type="paragraph" w:styleId="NoSpacing">
    <w:name w:val="No Spacing"/>
    <w:uiPriority w:val="1"/>
    <w:qFormat/>
    <w:rsid w:val="005E020E"/>
    <w:pPr>
      <w:spacing w:after="0" w:line="240" w:lineRule="auto"/>
    </w:pPr>
    <w:rPr>
      <w:rFonts w:ascii="Calibri" w:eastAsia="Times New Roman" w:hAnsi="Calibri" w:cs="Times New Roman"/>
    </w:rPr>
  </w:style>
  <w:style w:type="paragraph" w:customStyle="1" w:styleId="Style2">
    <w:name w:val="Style2"/>
    <w:basedOn w:val="Style1"/>
    <w:link w:val="Style2Char"/>
    <w:qFormat/>
    <w:rsid w:val="00975D93"/>
    <w:pPr>
      <w:ind w:left="357" w:firstLine="0"/>
    </w:pPr>
  </w:style>
  <w:style w:type="character" w:customStyle="1" w:styleId="Style2Char">
    <w:name w:val="Style2 Char"/>
    <w:basedOn w:val="Style1Char"/>
    <w:link w:val="Style2"/>
    <w:rsid w:val="00975D93"/>
    <w:rPr>
      <w:rFonts w:ascii="Calibri" w:eastAsia="Times New Roman" w:hAnsi="Calibri" w:cs="Arial"/>
      <w:iCs/>
      <w:sz w:val="24"/>
      <w:szCs w:val="24"/>
    </w:rPr>
  </w:style>
  <w:style w:type="paragraph" w:customStyle="1" w:styleId="Style3">
    <w:name w:val="Style3"/>
    <w:basedOn w:val="Normal"/>
    <w:link w:val="Style3Char"/>
    <w:qFormat/>
    <w:rsid w:val="00975D93"/>
  </w:style>
  <w:style w:type="character" w:customStyle="1" w:styleId="Style3Char">
    <w:name w:val="Style3 Char"/>
    <w:basedOn w:val="DefaultParagraphFont"/>
    <w:link w:val="Style3"/>
    <w:rsid w:val="00975D93"/>
    <w:rPr>
      <w:rFonts w:ascii="Calibri" w:eastAsia="Times New Roman" w:hAnsi="Calibri" w:cs="Times New Roman"/>
    </w:rPr>
  </w:style>
  <w:style w:type="paragraph" w:customStyle="1" w:styleId="Style4">
    <w:name w:val="Style4"/>
    <w:basedOn w:val="Style3"/>
    <w:link w:val="Style4Char"/>
    <w:qFormat/>
    <w:rsid w:val="00975D93"/>
  </w:style>
  <w:style w:type="character" w:customStyle="1" w:styleId="Style4Char">
    <w:name w:val="Style4 Char"/>
    <w:basedOn w:val="Style3Char"/>
    <w:link w:val="Style4"/>
    <w:rsid w:val="00975D9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1690">
      <w:bodyDiv w:val="1"/>
      <w:marLeft w:val="0"/>
      <w:marRight w:val="0"/>
      <w:marTop w:val="0"/>
      <w:marBottom w:val="0"/>
      <w:divBdr>
        <w:top w:val="none" w:sz="0" w:space="0" w:color="auto"/>
        <w:left w:val="none" w:sz="0" w:space="0" w:color="auto"/>
        <w:bottom w:val="none" w:sz="0" w:space="0" w:color="auto"/>
        <w:right w:val="none" w:sz="0" w:space="0" w:color="auto"/>
      </w:divBdr>
    </w:div>
    <w:div w:id="90861126">
      <w:bodyDiv w:val="1"/>
      <w:marLeft w:val="0"/>
      <w:marRight w:val="0"/>
      <w:marTop w:val="0"/>
      <w:marBottom w:val="0"/>
      <w:divBdr>
        <w:top w:val="none" w:sz="0" w:space="0" w:color="auto"/>
        <w:left w:val="none" w:sz="0" w:space="0" w:color="auto"/>
        <w:bottom w:val="none" w:sz="0" w:space="0" w:color="auto"/>
        <w:right w:val="none" w:sz="0" w:space="0" w:color="auto"/>
      </w:divBdr>
    </w:div>
    <w:div w:id="191772108">
      <w:bodyDiv w:val="1"/>
      <w:marLeft w:val="0"/>
      <w:marRight w:val="0"/>
      <w:marTop w:val="0"/>
      <w:marBottom w:val="0"/>
      <w:divBdr>
        <w:top w:val="none" w:sz="0" w:space="0" w:color="auto"/>
        <w:left w:val="none" w:sz="0" w:space="0" w:color="auto"/>
        <w:bottom w:val="none" w:sz="0" w:space="0" w:color="auto"/>
        <w:right w:val="none" w:sz="0" w:space="0" w:color="auto"/>
      </w:divBdr>
    </w:div>
    <w:div w:id="308167061">
      <w:bodyDiv w:val="1"/>
      <w:marLeft w:val="0"/>
      <w:marRight w:val="0"/>
      <w:marTop w:val="0"/>
      <w:marBottom w:val="0"/>
      <w:divBdr>
        <w:top w:val="none" w:sz="0" w:space="0" w:color="auto"/>
        <w:left w:val="none" w:sz="0" w:space="0" w:color="auto"/>
        <w:bottom w:val="none" w:sz="0" w:space="0" w:color="auto"/>
        <w:right w:val="none" w:sz="0" w:space="0" w:color="auto"/>
      </w:divBdr>
    </w:div>
    <w:div w:id="363560467">
      <w:bodyDiv w:val="1"/>
      <w:marLeft w:val="0"/>
      <w:marRight w:val="0"/>
      <w:marTop w:val="0"/>
      <w:marBottom w:val="0"/>
      <w:divBdr>
        <w:top w:val="none" w:sz="0" w:space="0" w:color="auto"/>
        <w:left w:val="none" w:sz="0" w:space="0" w:color="auto"/>
        <w:bottom w:val="none" w:sz="0" w:space="0" w:color="auto"/>
        <w:right w:val="none" w:sz="0" w:space="0" w:color="auto"/>
      </w:divBdr>
    </w:div>
    <w:div w:id="391848505">
      <w:bodyDiv w:val="1"/>
      <w:marLeft w:val="0"/>
      <w:marRight w:val="0"/>
      <w:marTop w:val="0"/>
      <w:marBottom w:val="0"/>
      <w:divBdr>
        <w:top w:val="none" w:sz="0" w:space="0" w:color="auto"/>
        <w:left w:val="none" w:sz="0" w:space="0" w:color="auto"/>
        <w:bottom w:val="none" w:sz="0" w:space="0" w:color="auto"/>
        <w:right w:val="none" w:sz="0" w:space="0" w:color="auto"/>
      </w:divBdr>
    </w:div>
    <w:div w:id="483737623">
      <w:bodyDiv w:val="1"/>
      <w:marLeft w:val="0"/>
      <w:marRight w:val="0"/>
      <w:marTop w:val="0"/>
      <w:marBottom w:val="0"/>
      <w:divBdr>
        <w:top w:val="none" w:sz="0" w:space="0" w:color="auto"/>
        <w:left w:val="none" w:sz="0" w:space="0" w:color="auto"/>
        <w:bottom w:val="none" w:sz="0" w:space="0" w:color="auto"/>
        <w:right w:val="none" w:sz="0" w:space="0" w:color="auto"/>
      </w:divBdr>
    </w:div>
    <w:div w:id="548495349">
      <w:bodyDiv w:val="1"/>
      <w:marLeft w:val="0"/>
      <w:marRight w:val="0"/>
      <w:marTop w:val="0"/>
      <w:marBottom w:val="0"/>
      <w:divBdr>
        <w:top w:val="none" w:sz="0" w:space="0" w:color="auto"/>
        <w:left w:val="none" w:sz="0" w:space="0" w:color="auto"/>
        <w:bottom w:val="none" w:sz="0" w:space="0" w:color="auto"/>
        <w:right w:val="none" w:sz="0" w:space="0" w:color="auto"/>
      </w:divBdr>
    </w:div>
    <w:div w:id="686371928">
      <w:bodyDiv w:val="1"/>
      <w:marLeft w:val="0"/>
      <w:marRight w:val="0"/>
      <w:marTop w:val="0"/>
      <w:marBottom w:val="0"/>
      <w:divBdr>
        <w:top w:val="none" w:sz="0" w:space="0" w:color="auto"/>
        <w:left w:val="none" w:sz="0" w:space="0" w:color="auto"/>
        <w:bottom w:val="none" w:sz="0" w:space="0" w:color="auto"/>
        <w:right w:val="none" w:sz="0" w:space="0" w:color="auto"/>
      </w:divBdr>
    </w:div>
    <w:div w:id="849418797">
      <w:bodyDiv w:val="1"/>
      <w:marLeft w:val="0"/>
      <w:marRight w:val="0"/>
      <w:marTop w:val="0"/>
      <w:marBottom w:val="0"/>
      <w:divBdr>
        <w:top w:val="none" w:sz="0" w:space="0" w:color="auto"/>
        <w:left w:val="none" w:sz="0" w:space="0" w:color="auto"/>
        <w:bottom w:val="none" w:sz="0" w:space="0" w:color="auto"/>
        <w:right w:val="none" w:sz="0" w:space="0" w:color="auto"/>
      </w:divBdr>
    </w:div>
    <w:div w:id="884482599">
      <w:bodyDiv w:val="1"/>
      <w:marLeft w:val="0"/>
      <w:marRight w:val="0"/>
      <w:marTop w:val="0"/>
      <w:marBottom w:val="0"/>
      <w:divBdr>
        <w:top w:val="none" w:sz="0" w:space="0" w:color="auto"/>
        <w:left w:val="none" w:sz="0" w:space="0" w:color="auto"/>
        <w:bottom w:val="none" w:sz="0" w:space="0" w:color="auto"/>
        <w:right w:val="none" w:sz="0" w:space="0" w:color="auto"/>
      </w:divBdr>
    </w:div>
    <w:div w:id="943612582">
      <w:bodyDiv w:val="1"/>
      <w:marLeft w:val="0"/>
      <w:marRight w:val="0"/>
      <w:marTop w:val="0"/>
      <w:marBottom w:val="0"/>
      <w:divBdr>
        <w:top w:val="none" w:sz="0" w:space="0" w:color="auto"/>
        <w:left w:val="none" w:sz="0" w:space="0" w:color="auto"/>
        <w:bottom w:val="none" w:sz="0" w:space="0" w:color="auto"/>
        <w:right w:val="none" w:sz="0" w:space="0" w:color="auto"/>
      </w:divBdr>
    </w:div>
    <w:div w:id="1057360885">
      <w:bodyDiv w:val="1"/>
      <w:marLeft w:val="0"/>
      <w:marRight w:val="0"/>
      <w:marTop w:val="0"/>
      <w:marBottom w:val="0"/>
      <w:divBdr>
        <w:top w:val="none" w:sz="0" w:space="0" w:color="auto"/>
        <w:left w:val="none" w:sz="0" w:space="0" w:color="auto"/>
        <w:bottom w:val="none" w:sz="0" w:space="0" w:color="auto"/>
        <w:right w:val="none" w:sz="0" w:space="0" w:color="auto"/>
      </w:divBdr>
    </w:div>
    <w:div w:id="1070420278">
      <w:bodyDiv w:val="1"/>
      <w:marLeft w:val="0"/>
      <w:marRight w:val="0"/>
      <w:marTop w:val="0"/>
      <w:marBottom w:val="0"/>
      <w:divBdr>
        <w:top w:val="none" w:sz="0" w:space="0" w:color="auto"/>
        <w:left w:val="none" w:sz="0" w:space="0" w:color="auto"/>
        <w:bottom w:val="none" w:sz="0" w:space="0" w:color="auto"/>
        <w:right w:val="none" w:sz="0" w:space="0" w:color="auto"/>
      </w:divBdr>
    </w:div>
    <w:div w:id="1300839931">
      <w:bodyDiv w:val="1"/>
      <w:marLeft w:val="0"/>
      <w:marRight w:val="0"/>
      <w:marTop w:val="0"/>
      <w:marBottom w:val="0"/>
      <w:divBdr>
        <w:top w:val="none" w:sz="0" w:space="0" w:color="auto"/>
        <w:left w:val="none" w:sz="0" w:space="0" w:color="auto"/>
        <w:bottom w:val="none" w:sz="0" w:space="0" w:color="auto"/>
        <w:right w:val="none" w:sz="0" w:space="0" w:color="auto"/>
      </w:divBdr>
    </w:div>
    <w:div w:id="1517504812">
      <w:bodyDiv w:val="1"/>
      <w:marLeft w:val="0"/>
      <w:marRight w:val="0"/>
      <w:marTop w:val="0"/>
      <w:marBottom w:val="0"/>
      <w:divBdr>
        <w:top w:val="none" w:sz="0" w:space="0" w:color="auto"/>
        <w:left w:val="none" w:sz="0" w:space="0" w:color="auto"/>
        <w:bottom w:val="none" w:sz="0" w:space="0" w:color="auto"/>
        <w:right w:val="none" w:sz="0" w:space="0" w:color="auto"/>
      </w:divBdr>
    </w:div>
    <w:div w:id="1719937750">
      <w:bodyDiv w:val="1"/>
      <w:marLeft w:val="0"/>
      <w:marRight w:val="0"/>
      <w:marTop w:val="0"/>
      <w:marBottom w:val="0"/>
      <w:divBdr>
        <w:top w:val="none" w:sz="0" w:space="0" w:color="auto"/>
        <w:left w:val="none" w:sz="0" w:space="0" w:color="auto"/>
        <w:bottom w:val="none" w:sz="0" w:space="0" w:color="auto"/>
        <w:right w:val="none" w:sz="0" w:space="0" w:color="auto"/>
      </w:divBdr>
    </w:div>
    <w:div w:id="1792164873">
      <w:bodyDiv w:val="1"/>
      <w:marLeft w:val="0"/>
      <w:marRight w:val="0"/>
      <w:marTop w:val="0"/>
      <w:marBottom w:val="0"/>
      <w:divBdr>
        <w:top w:val="none" w:sz="0" w:space="0" w:color="auto"/>
        <w:left w:val="none" w:sz="0" w:space="0" w:color="auto"/>
        <w:bottom w:val="none" w:sz="0" w:space="0" w:color="auto"/>
        <w:right w:val="none" w:sz="0" w:space="0" w:color="auto"/>
      </w:divBdr>
    </w:div>
    <w:div w:id="20962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A9DA-AA49-40C5-9DEC-CF653616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15086</Words>
  <Characters>83244</Characters>
  <Application>Microsoft Office Word</Application>
  <DocSecurity>0</DocSecurity>
  <Lines>1337</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Taryn</dc:creator>
  <cp:keywords/>
  <dc:description/>
  <cp:lastModifiedBy>PCODCS</cp:lastModifiedBy>
  <cp:revision>4</cp:revision>
  <cp:lastPrinted>2023-10-20T06:18:00Z</cp:lastPrinted>
  <dcterms:created xsi:type="dcterms:W3CDTF">2023-10-31T06:02:00Z</dcterms:created>
  <dcterms:modified xsi:type="dcterms:W3CDTF">2023-10-31T06:02:00Z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c28a1-59e3-4b8d-9931-07e592b3aab7_Enabled">
    <vt:lpwstr>true</vt:lpwstr>
  </property>
  <property fmtid="{D5CDD505-2E9C-101B-9397-08002B2CF9AE}" pid="3" name="MSIP_Label_06cc28a1-59e3-4b8d-9931-07e592b3aab7_SetDate">
    <vt:lpwstr>2023-09-28T12:52:14Z</vt:lpwstr>
  </property>
  <property fmtid="{D5CDD505-2E9C-101B-9397-08002B2CF9AE}" pid="4" name="MSIP_Label_06cc28a1-59e3-4b8d-9931-07e592b3aab7_Method">
    <vt:lpwstr>Privileged</vt:lpwstr>
  </property>
  <property fmtid="{D5CDD505-2E9C-101B-9397-08002B2CF9AE}" pid="5" name="MSIP_Label_06cc28a1-59e3-4b8d-9931-07e592b3aab7_Name">
    <vt:lpwstr>CABINET</vt:lpwstr>
  </property>
  <property fmtid="{D5CDD505-2E9C-101B-9397-08002B2CF9AE}" pid="6" name="MSIP_Label_06cc28a1-59e3-4b8d-9931-07e592b3aab7_SiteId">
    <vt:lpwstr>b46c1908-0334-4236-b978-585ee88e4199</vt:lpwstr>
  </property>
  <property fmtid="{D5CDD505-2E9C-101B-9397-08002B2CF9AE}" pid="7" name="MSIP_Label_06cc28a1-59e3-4b8d-9931-07e592b3aab7_ActionId">
    <vt:lpwstr>00d84161-cf95-4dd7-a639-4f7a155d272c</vt:lpwstr>
  </property>
  <property fmtid="{D5CDD505-2E9C-101B-9397-08002B2CF9AE}" pid="8" name="MSIP_Label_06cc28a1-59e3-4b8d-9931-07e592b3aab7_ContentBits">
    <vt:lpwstr>1</vt:lpwstr>
  </property>
</Properties>
</file>