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E76A"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3C63919E" w14:textId="423B534A" w:rsidR="006815C9" w:rsidRDefault="005773FD">
      <w:pPr>
        <w:pStyle w:val="Billname"/>
        <w:spacing w:before="700"/>
      </w:pPr>
      <w:r>
        <w:t>Magistrates Court (</w:t>
      </w:r>
      <w:r w:rsidR="004631B5">
        <w:t xml:space="preserve">Planning </w:t>
      </w:r>
      <w:r>
        <w:t xml:space="preserve">Infringement Notices) </w:t>
      </w:r>
      <w:r w:rsidR="004631B5">
        <w:t xml:space="preserve">Regulation </w:t>
      </w:r>
      <w:r w:rsidR="004631B5" w:rsidRPr="00EF4F3A">
        <w:t>202</w:t>
      </w:r>
      <w:r>
        <w:t>3</w:t>
      </w:r>
    </w:p>
    <w:p w14:paraId="52D63882" w14:textId="4D941AA0" w:rsidR="006815C9" w:rsidRDefault="00F5371D" w:rsidP="00091D34">
      <w:pPr>
        <w:spacing w:before="340"/>
        <w:rPr>
          <w:rFonts w:ascii="Arial" w:hAnsi="Arial" w:cs="Arial"/>
          <w:b/>
          <w:bCs/>
        </w:rPr>
      </w:pPr>
      <w:r>
        <w:rPr>
          <w:rFonts w:ascii="Arial" w:hAnsi="Arial" w:cs="Arial"/>
          <w:b/>
          <w:bCs/>
        </w:rPr>
        <w:t xml:space="preserve">Subordinate law </w:t>
      </w:r>
      <w:r w:rsidRPr="00EF4F3A">
        <w:rPr>
          <w:rFonts w:ascii="Arial" w:hAnsi="Arial" w:cs="Arial"/>
          <w:b/>
          <w:bCs/>
        </w:rPr>
        <w:t>SL</w:t>
      </w:r>
      <w:r w:rsidR="004631B5" w:rsidRPr="00EF4F3A">
        <w:rPr>
          <w:rFonts w:ascii="Arial" w:hAnsi="Arial" w:cs="Arial"/>
          <w:b/>
          <w:bCs/>
        </w:rPr>
        <w:t>20</w:t>
      </w:r>
      <w:r w:rsidR="00FC10B8">
        <w:rPr>
          <w:rFonts w:ascii="Arial" w:hAnsi="Arial" w:cs="Arial"/>
          <w:b/>
          <w:bCs/>
        </w:rPr>
        <w:t>2</w:t>
      </w:r>
      <w:r w:rsidR="005773FD">
        <w:rPr>
          <w:rFonts w:ascii="Arial" w:hAnsi="Arial" w:cs="Arial"/>
          <w:b/>
          <w:bCs/>
        </w:rPr>
        <w:t>3</w:t>
      </w:r>
      <w:r w:rsidR="00FC10B8">
        <w:rPr>
          <w:rFonts w:ascii="Arial" w:hAnsi="Arial" w:cs="Arial"/>
          <w:b/>
          <w:bCs/>
        </w:rPr>
        <w:t>-</w:t>
      </w:r>
      <w:r w:rsidR="00A54A58">
        <w:rPr>
          <w:rFonts w:ascii="Arial" w:hAnsi="Arial" w:cs="Arial"/>
          <w:b/>
          <w:bCs/>
        </w:rPr>
        <w:t>22</w:t>
      </w:r>
    </w:p>
    <w:p w14:paraId="7F42B275" w14:textId="517633BD" w:rsidR="006815C9" w:rsidRDefault="006815C9" w:rsidP="00091D34">
      <w:pPr>
        <w:pStyle w:val="madeunder"/>
        <w:spacing w:before="300" w:after="0"/>
      </w:pPr>
      <w:r>
        <w:t>made under the</w:t>
      </w:r>
    </w:p>
    <w:p w14:paraId="3CC52D89" w14:textId="13265942" w:rsidR="006815C9" w:rsidRDefault="00F53552" w:rsidP="00091D34">
      <w:pPr>
        <w:pStyle w:val="CoverActName"/>
        <w:spacing w:before="320" w:after="0"/>
        <w:rPr>
          <w:rFonts w:cs="Arial"/>
          <w:sz w:val="20"/>
        </w:rPr>
      </w:pPr>
      <w:r>
        <w:rPr>
          <w:rFonts w:cs="Arial"/>
          <w:sz w:val="20"/>
        </w:rPr>
        <w:t>Magistrates Court Act 1930, s321</w:t>
      </w:r>
    </w:p>
    <w:p w14:paraId="7370C47F" w14:textId="0C99B66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482F3346" w14:textId="77777777" w:rsidR="006815C9" w:rsidRDefault="006815C9">
      <w:pPr>
        <w:pStyle w:val="N-line3"/>
        <w:pBdr>
          <w:bottom w:val="none" w:sz="0" w:space="0" w:color="auto"/>
        </w:pBdr>
      </w:pPr>
    </w:p>
    <w:p w14:paraId="55CED713" w14:textId="77777777" w:rsidR="006815C9" w:rsidRDefault="006815C9">
      <w:pPr>
        <w:pStyle w:val="N-line3"/>
        <w:pBdr>
          <w:top w:val="single" w:sz="12" w:space="1" w:color="auto"/>
          <w:bottom w:val="none" w:sz="0" w:space="0" w:color="auto"/>
        </w:pBdr>
      </w:pPr>
    </w:p>
    <w:bookmarkEnd w:id="0"/>
    <w:p w14:paraId="04ABAFF9" w14:textId="0093E5EB" w:rsidR="00284296" w:rsidRDefault="00284296" w:rsidP="00284296">
      <w:pPr>
        <w:pStyle w:val="Default"/>
        <w:rPr>
          <w:sz w:val="22"/>
          <w:szCs w:val="22"/>
        </w:rPr>
      </w:pPr>
      <w:r>
        <w:rPr>
          <w:sz w:val="22"/>
          <w:szCs w:val="22"/>
        </w:rPr>
        <w:t xml:space="preserve">This explanatory statement relates to the </w:t>
      </w:r>
      <w:r w:rsidR="005773FD">
        <w:rPr>
          <w:i/>
          <w:iCs/>
          <w:sz w:val="22"/>
          <w:szCs w:val="22"/>
        </w:rPr>
        <w:t>Magistrates Court (P</w:t>
      </w:r>
      <w:r>
        <w:rPr>
          <w:i/>
          <w:iCs/>
          <w:sz w:val="22"/>
          <w:szCs w:val="22"/>
        </w:rPr>
        <w:t xml:space="preserve">lanning </w:t>
      </w:r>
      <w:r w:rsidR="005773FD">
        <w:rPr>
          <w:i/>
          <w:iCs/>
          <w:sz w:val="22"/>
          <w:szCs w:val="22"/>
        </w:rPr>
        <w:t xml:space="preserve">Infringement Notices) </w:t>
      </w:r>
      <w:r>
        <w:rPr>
          <w:i/>
          <w:iCs/>
          <w:sz w:val="22"/>
          <w:szCs w:val="22"/>
        </w:rPr>
        <w:t>Regulation 202</w:t>
      </w:r>
      <w:r w:rsidR="005773FD">
        <w:rPr>
          <w:i/>
          <w:iCs/>
          <w:sz w:val="22"/>
          <w:szCs w:val="22"/>
        </w:rPr>
        <w:t>3</w:t>
      </w:r>
      <w:r>
        <w:rPr>
          <w:i/>
          <w:iCs/>
          <w:sz w:val="22"/>
          <w:szCs w:val="22"/>
        </w:rPr>
        <w:t xml:space="preserve"> </w:t>
      </w:r>
      <w:r>
        <w:rPr>
          <w:sz w:val="22"/>
          <w:szCs w:val="22"/>
        </w:rPr>
        <w:t xml:space="preserve">(the </w:t>
      </w:r>
      <w:r w:rsidRPr="00FC10B8">
        <w:rPr>
          <w:sz w:val="22"/>
          <w:szCs w:val="22"/>
        </w:rPr>
        <w:t>regulation</w:t>
      </w:r>
      <w:r>
        <w:rPr>
          <w:sz w:val="22"/>
          <w:szCs w:val="22"/>
        </w:rPr>
        <w:t xml:space="preserve">) as made by the Executive. It has been prepared to assist the reader of the regulation and to help inform any debate on it. It does not form part of the regulation and has not been endorsed by the Legislative Assembly. </w:t>
      </w:r>
    </w:p>
    <w:p w14:paraId="7F6CC82D" w14:textId="77777777" w:rsidR="00284296" w:rsidRDefault="00284296" w:rsidP="00284296">
      <w:pPr>
        <w:pStyle w:val="Default"/>
        <w:rPr>
          <w:sz w:val="22"/>
          <w:szCs w:val="22"/>
        </w:rPr>
      </w:pPr>
    </w:p>
    <w:p w14:paraId="498A9090" w14:textId="59FE4340" w:rsidR="00284296" w:rsidRDefault="00284296" w:rsidP="00284296">
      <w:pPr>
        <w:pStyle w:val="Default"/>
        <w:rPr>
          <w:sz w:val="22"/>
          <w:szCs w:val="22"/>
        </w:rPr>
      </w:pPr>
      <w:r>
        <w:rPr>
          <w:sz w:val="22"/>
          <w:szCs w:val="22"/>
        </w:rPr>
        <w:t>This statement must be read in conjunction with the regulation. It is not, and is not meant to be, a comprehensive description of the regulation. What is said about a provision is not taken as an authoritative guide to the meaning of a provision, this being a task for the courts.</w:t>
      </w:r>
    </w:p>
    <w:p w14:paraId="45AA25C4" w14:textId="77777777" w:rsidR="002D6571" w:rsidRDefault="002D6571" w:rsidP="00284296">
      <w:pPr>
        <w:pStyle w:val="Default"/>
        <w:rPr>
          <w:sz w:val="22"/>
          <w:szCs w:val="22"/>
        </w:rPr>
      </w:pPr>
    </w:p>
    <w:p w14:paraId="7B1DDB26" w14:textId="79B08B3F" w:rsidR="006815C9" w:rsidRPr="009B41D7" w:rsidRDefault="00284296" w:rsidP="00284296">
      <w:r w:rsidRPr="009B41D7">
        <w:rPr>
          <w:rFonts w:ascii="Arial" w:hAnsi="Arial" w:cs="Arial"/>
          <w:b/>
          <w:bCs/>
          <w:sz w:val="23"/>
          <w:szCs w:val="23"/>
        </w:rPr>
        <w:t>OVERVIEW OF THE REGULATION</w:t>
      </w:r>
    </w:p>
    <w:p w14:paraId="58313E02" w14:textId="0A66E085" w:rsidR="007D34DB" w:rsidRDefault="007D34DB" w:rsidP="00180B9A">
      <w:pPr>
        <w:pStyle w:val="Default"/>
        <w:rPr>
          <w:sz w:val="22"/>
          <w:szCs w:val="22"/>
        </w:rPr>
      </w:pPr>
    </w:p>
    <w:p w14:paraId="0D3012FB" w14:textId="77777777" w:rsidR="003066C6" w:rsidRDefault="003066C6" w:rsidP="003066C6">
      <w:pPr>
        <w:pStyle w:val="Default"/>
        <w:rPr>
          <w:sz w:val="22"/>
          <w:szCs w:val="22"/>
        </w:rPr>
      </w:pPr>
      <w:r>
        <w:rPr>
          <w:sz w:val="22"/>
          <w:szCs w:val="22"/>
        </w:rPr>
        <w:t xml:space="preserve">Part 3.8 of the </w:t>
      </w:r>
      <w:r>
        <w:rPr>
          <w:i/>
          <w:iCs/>
          <w:sz w:val="22"/>
          <w:szCs w:val="22"/>
        </w:rPr>
        <w:t>Magistrates Court Act 1930</w:t>
      </w:r>
      <w:r>
        <w:rPr>
          <w:sz w:val="22"/>
          <w:szCs w:val="22"/>
        </w:rPr>
        <w:t xml:space="preserve"> creates a system of infringement notices for certain offences, as an alternative to prosecution.  Under section 119 of the Act, regulations may be made prescribing offences as infringement notice offences. </w:t>
      </w:r>
    </w:p>
    <w:p w14:paraId="0854F111" w14:textId="77777777" w:rsidR="003066C6" w:rsidRDefault="003066C6" w:rsidP="003066C6">
      <w:pPr>
        <w:pStyle w:val="Default"/>
        <w:rPr>
          <w:sz w:val="22"/>
          <w:szCs w:val="22"/>
        </w:rPr>
      </w:pPr>
    </w:p>
    <w:p w14:paraId="3DB0D066" w14:textId="77777777" w:rsidR="003066C6" w:rsidRDefault="003066C6" w:rsidP="003066C6">
      <w:pPr>
        <w:pStyle w:val="Default"/>
        <w:rPr>
          <w:sz w:val="22"/>
          <w:szCs w:val="22"/>
        </w:rPr>
      </w:pPr>
      <w:r>
        <w:rPr>
          <w:sz w:val="22"/>
          <w:szCs w:val="22"/>
        </w:rPr>
        <w:t xml:space="preserve">The Regulation is made under that Act and will enable infringement notices to be issued for a number of offences under the </w:t>
      </w:r>
      <w:r>
        <w:rPr>
          <w:i/>
          <w:iCs/>
          <w:sz w:val="22"/>
          <w:szCs w:val="22"/>
        </w:rPr>
        <w:t>Planning Act 2023</w:t>
      </w:r>
      <w:r>
        <w:rPr>
          <w:sz w:val="22"/>
          <w:szCs w:val="22"/>
        </w:rPr>
        <w:t>.</w:t>
      </w:r>
    </w:p>
    <w:p w14:paraId="4337ADE0" w14:textId="77777777" w:rsidR="003066C6" w:rsidRDefault="003066C6" w:rsidP="003066C6">
      <w:pPr>
        <w:pStyle w:val="Default"/>
        <w:rPr>
          <w:sz w:val="22"/>
          <w:szCs w:val="22"/>
        </w:rPr>
      </w:pPr>
      <w:r>
        <w:rPr>
          <w:sz w:val="22"/>
          <w:szCs w:val="22"/>
        </w:rPr>
        <w:t> </w:t>
      </w:r>
    </w:p>
    <w:p w14:paraId="4A163587" w14:textId="77777777" w:rsidR="003066C6" w:rsidRDefault="003066C6" w:rsidP="003066C6">
      <w:pPr>
        <w:pStyle w:val="Default"/>
        <w:rPr>
          <w:sz w:val="22"/>
          <w:szCs w:val="22"/>
        </w:rPr>
      </w:pPr>
      <w:r>
        <w:rPr>
          <w:sz w:val="22"/>
          <w:szCs w:val="22"/>
        </w:rPr>
        <w:t xml:space="preserve">Under the </w:t>
      </w:r>
      <w:r>
        <w:rPr>
          <w:i/>
          <w:iCs/>
          <w:sz w:val="22"/>
          <w:szCs w:val="22"/>
        </w:rPr>
        <w:t>Magistrates Court Act 1930</w:t>
      </w:r>
      <w:r>
        <w:rPr>
          <w:sz w:val="22"/>
          <w:szCs w:val="22"/>
        </w:rPr>
        <w:t xml:space="preserve"> a person authorised to issue an infringement notice for an offence has discretion to decide whether or not to issue the notice. The regulation will enable the following kinds of offences to be dealt with by way of an infringement notice for each offence if a respective notice is duly issued and continues to have force—</w:t>
      </w:r>
    </w:p>
    <w:p w14:paraId="40D90EB8" w14:textId="07EA0F0D" w:rsidR="007171BC" w:rsidRDefault="007171BC" w:rsidP="006B325B">
      <w:pPr>
        <w:pStyle w:val="ListParagraph"/>
        <w:numPr>
          <w:ilvl w:val="0"/>
          <w:numId w:val="13"/>
        </w:numPr>
        <w:shd w:val="clear" w:color="auto" w:fill="FFFFFF"/>
        <w:spacing w:before="140" w:after="140"/>
        <w:rPr>
          <w:rFonts w:ascii="Calibri" w:hAnsi="Calibri" w:cs="Calibri"/>
          <w:color w:val="000000"/>
          <w:sz w:val="22"/>
          <w:szCs w:val="22"/>
          <w:lang w:eastAsia="en-AU"/>
        </w:rPr>
      </w:pPr>
      <w:bookmarkStart w:id="1" w:name="_Hlk138316669"/>
      <w:r>
        <w:rPr>
          <w:rFonts w:ascii="Calibri" w:hAnsi="Calibri" w:cs="Calibri"/>
          <w:color w:val="000000"/>
          <w:sz w:val="22"/>
          <w:szCs w:val="22"/>
          <w:lang w:eastAsia="en-AU"/>
        </w:rPr>
        <w:t xml:space="preserve">a person undertakes development without development approval under the </w:t>
      </w:r>
      <w:r w:rsidRPr="00071DE2">
        <w:rPr>
          <w:rFonts w:ascii="Calibri" w:hAnsi="Calibri" w:cs="Calibri"/>
          <w:i/>
          <w:iCs w:val="0"/>
          <w:color w:val="000000"/>
          <w:sz w:val="22"/>
          <w:szCs w:val="22"/>
          <w:lang w:eastAsia="en-AU"/>
        </w:rPr>
        <w:t>Planning Act 2023</w:t>
      </w:r>
      <w:r>
        <w:rPr>
          <w:rFonts w:ascii="Calibri" w:hAnsi="Calibri" w:cs="Calibri"/>
          <w:color w:val="000000"/>
          <w:sz w:val="22"/>
          <w:szCs w:val="22"/>
          <w:lang w:eastAsia="en-AU"/>
        </w:rPr>
        <w:t xml:space="preserve"> and under that Act the development requires development approval;</w:t>
      </w:r>
    </w:p>
    <w:p w14:paraId="39502497" w14:textId="644B6585" w:rsidR="007171BC" w:rsidRDefault="00071DE2" w:rsidP="006B325B">
      <w:pPr>
        <w:pStyle w:val="ListParagraph"/>
        <w:numPr>
          <w:ilvl w:val="0"/>
          <w:numId w:val="13"/>
        </w:numPr>
        <w:shd w:val="clear" w:color="auto" w:fill="FFFFFF"/>
        <w:spacing w:before="140" w:after="140"/>
        <w:rPr>
          <w:rFonts w:ascii="Calibri" w:hAnsi="Calibri" w:cs="Calibri"/>
          <w:color w:val="000000"/>
          <w:sz w:val="22"/>
          <w:szCs w:val="22"/>
          <w:lang w:eastAsia="en-AU"/>
        </w:rPr>
      </w:pPr>
      <w:bookmarkStart w:id="2" w:name="_Hlk138317233"/>
      <w:bookmarkEnd w:id="1"/>
      <w:r>
        <w:rPr>
          <w:rFonts w:ascii="Calibri" w:hAnsi="Calibri" w:cs="Calibri"/>
          <w:color w:val="000000"/>
          <w:sz w:val="22"/>
          <w:szCs w:val="22"/>
          <w:lang w:eastAsia="en-AU"/>
        </w:rPr>
        <w:t xml:space="preserve">a person undertakes development, and the development is prohibited by the </w:t>
      </w:r>
      <w:r w:rsidRPr="00071DE2">
        <w:rPr>
          <w:rFonts w:ascii="Calibri" w:hAnsi="Calibri" w:cs="Calibri"/>
          <w:i/>
          <w:iCs w:val="0"/>
          <w:color w:val="000000"/>
          <w:sz w:val="22"/>
          <w:szCs w:val="22"/>
          <w:lang w:eastAsia="en-AU"/>
        </w:rPr>
        <w:t>Planning Act 2023</w:t>
      </w:r>
      <w:r>
        <w:rPr>
          <w:rFonts w:ascii="Calibri" w:hAnsi="Calibri" w:cs="Calibri"/>
          <w:color w:val="000000"/>
          <w:sz w:val="22"/>
          <w:szCs w:val="22"/>
          <w:lang w:eastAsia="en-AU"/>
        </w:rPr>
        <w:t>;</w:t>
      </w:r>
    </w:p>
    <w:p w14:paraId="6DA27764" w14:textId="19193570" w:rsidR="00652CA6" w:rsidRDefault="006B325B" w:rsidP="006B325B">
      <w:pPr>
        <w:pStyle w:val="ListParagraph"/>
        <w:numPr>
          <w:ilvl w:val="0"/>
          <w:numId w:val="13"/>
        </w:numPr>
        <w:shd w:val="clear" w:color="auto" w:fill="FFFFFF"/>
        <w:spacing w:before="140" w:after="140"/>
        <w:rPr>
          <w:rFonts w:ascii="Calibri" w:hAnsi="Calibri" w:cs="Calibri"/>
          <w:color w:val="000000"/>
          <w:sz w:val="22"/>
          <w:szCs w:val="22"/>
          <w:lang w:eastAsia="en-AU"/>
        </w:rPr>
      </w:pPr>
      <w:bookmarkStart w:id="3" w:name="_Hlk138317493"/>
      <w:bookmarkEnd w:id="2"/>
      <w:r w:rsidRPr="006B325B">
        <w:rPr>
          <w:rFonts w:ascii="Calibri" w:hAnsi="Calibri" w:cs="Calibri"/>
          <w:color w:val="000000"/>
          <w:sz w:val="22"/>
          <w:szCs w:val="22"/>
          <w:lang w:eastAsia="en-AU"/>
        </w:rPr>
        <w:t>a person undertakes development, for which the person has a conditional development approval under the</w:t>
      </w:r>
      <w:r>
        <w:rPr>
          <w:rFonts w:ascii="Calibri" w:hAnsi="Calibri" w:cs="Calibri"/>
          <w:color w:val="000000"/>
          <w:sz w:val="22"/>
          <w:szCs w:val="22"/>
          <w:lang w:eastAsia="en-AU"/>
        </w:rPr>
        <w:t xml:space="preserve"> </w:t>
      </w:r>
      <w:r w:rsidRPr="006B325B">
        <w:rPr>
          <w:rFonts w:ascii="Calibri" w:hAnsi="Calibri" w:cs="Calibri"/>
          <w:i/>
          <w:iCs w:val="0"/>
          <w:color w:val="000000"/>
          <w:sz w:val="22"/>
          <w:szCs w:val="22"/>
          <w:lang w:eastAsia="en-AU"/>
        </w:rPr>
        <w:t>Planning Act 2023</w:t>
      </w:r>
      <w:r w:rsidRPr="006B325B">
        <w:rPr>
          <w:rFonts w:ascii="Calibri" w:hAnsi="Calibri" w:cs="Calibri"/>
          <w:color w:val="000000"/>
          <w:sz w:val="22"/>
          <w:szCs w:val="22"/>
          <w:lang w:eastAsia="en-AU"/>
        </w:rPr>
        <w:t>, and the person does not comply with a condition of the development approval when undertaking the development;</w:t>
      </w:r>
    </w:p>
    <w:p w14:paraId="0CCB20E8" w14:textId="3E0DC3CF" w:rsidR="006B325B" w:rsidRPr="006B325B" w:rsidRDefault="006B325B" w:rsidP="006B325B">
      <w:pPr>
        <w:pStyle w:val="ListParagraph"/>
        <w:numPr>
          <w:ilvl w:val="0"/>
          <w:numId w:val="13"/>
        </w:numPr>
        <w:shd w:val="clear" w:color="auto" w:fill="FFFFFF"/>
        <w:spacing w:before="140" w:after="140"/>
        <w:rPr>
          <w:rFonts w:ascii="Calibri" w:hAnsi="Calibri" w:cs="Calibri"/>
          <w:color w:val="000000"/>
          <w:sz w:val="22"/>
          <w:szCs w:val="22"/>
          <w:lang w:eastAsia="en-AU"/>
        </w:rPr>
      </w:pPr>
      <w:r w:rsidRPr="006B325B">
        <w:rPr>
          <w:rFonts w:ascii="Calibri" w:hAnsi="Calibri" w:cs="Calibri"/>
          <w:color w:val="000000"/>
          <w:sz w:val="22"/>
          <w:szCs w:val="22"/>
          <w:lang w:eastAsia="en-AU"/>
        </w:rPr>
        <w:lastRenderedPageBreak/>
        <w:t xml:space="preserve">the </w:t>
      </w:r>
      <w:r>
        <w:rPr>
          <w:rFonts w:ascii="Calibri" w:hAnsi="Calibri" w:cs="Calibri"/>
          <w:color w:val="000000"/>
          <w:sz w:val="22"/>
          <w:szCs w:val="22"/>
          <w:lang w:eastAsia="en-AU"/>
        </w:rPr>
        <w:t xml:space="preserve">territory </w:t>
      </w:r>
      <w:r w:rsidRPr="006B325B">
        <w:rPr>
          <w:rFonts w:ascii="Calibri" w:hAnsi="Calibri" w:cs="Calibri"/>
          <w:color w:val="000000"/>
          <w:sz w:val="22"/>
          <w:szCs w:val="22"/>
          <w:lang w:eastAsia="en-AU"/>
        </w:rPr>
        <w:t xml:space="preserve">planning </w:t>
      </w:r>
      <w:r>
        <w:rPr>
          <w:rFonts w:ascii="Calibri" w:hAnsi="Calibri" w:cs="Calibri"/>
          <w:color w:val="000000"/>
          <w:sz w:val="22"/>
          <w:szCs w:val="22"/>
          <w:lang w:eastAsia="en-AU"/>
        </w:rPr>
        <w:t>a</w:t>
      </w:r>
      <w:r w:rsidRPr="006B325B">
        <w:rPr>
          <w:rFonts w:ascii="Calibri" w:hAnsi="Calibri" w:cs="Calibri"/>
          <w:color w:val="000000"/>
          <w:sz w:val="22"/>
          <w:szCs w:val="22"/>
          <w:lang w:eastAsia="en-AU"/>
        </w:rPr>
        <w:t>uthority gives a controlled activity order to a person,</w:t>
      </w:r>
      <w:r>
        <w:rPr>
          <w:rFonts w:ascii="Calibri" w:hAnsi="Calibri" w:cs="Calibri"/>
          <w:color w:val="000000"/>
          <w:sz w:val="22"/>
          <w:szCs w:val="22"/>
          <w:lang w:eastAsia="en-AU"/>
        </w:rPr>
        <w:t xml:space="preserve"> </w:t>
      </w:r>
      <w:r w:rsidRPr="006B325B">
        <w:rPr>
          <w:rFonts w:ascii="Calibri" w:hAnsi="Calibri" w:cs="Calibri"/>
          <w:color w:val="000000"/>
          <w:sz w:val="22"/>
          <w:szCs w:val="22"/>
          <w:lang w:eastAsia="en-AU"/>
        </w:rPr>
        <w:t>requiring the person to do, or not do, something stated in the order, and the person contravenes the order;</w:t>
      </w:r>
    </w:p>
    <w:p w14:paraId="67BA1535" w14:textId="332D0889" w:rsidR="006B325B" w:rsidRPr="006B325B" w:rsidRDefault="006B325B" w:rsidP="006B325B">
      <w:pPr>
        <w:pStyle w:val="ListParagraph"/>
        <w:numPr>
          <w:ilvl w:val="0"/>
          <w:numId w:val="13"/>
        </w:numPr>
        <w:shd w:val="clear" w:color="auto" w:fill="FFFFFF"/>
        <w:spacing w:before="140" w:after="140"/>
        <w:rPr>
          <w:rFonts w:ascii="Calibri" w:hAnsi="Calibri" w:cs="Calibri"/>
          <w:color w:val="000000"/>
          <w:sz w:val="22"/>
          <w:szCs w:val="22"/>
          <w:lang w:eastAsia="en-AU"/>
        </w:rPr>
      </w:pPr>
      <w:r w:rsidRPr="006B325B">
        <w:rPr>
          <w:rFonts w:ascii="Calibri" w:hAnsi="Calibri" w:cs="Calibri"/>
          <w:color w:val="000000"/>
          <w:sz w:val="22"/>
          <w:szCs w:val="22"/>
          <w:lang w:eastAsia="en-AU"/>
        </w:rPr>
        <w:t>under the</w:t>
      </w:r>
      <w:r>
        <w:rPr>
          <w:rFonts w:ascii="Calibri" w:hAnsi="Calibri" w:cs="Calibri"/>
          <w:color w:val="000000"/>
          <w:sz w:val="22"/>
          <w:szCs w:val="22"/>
          <w:lang w:eastAsia="en-AU"/>
        </w:rPr>
        <w:t xml:space="preserve"> </w:t>
      </w:r>
      <w:r w:rsidRPr="006B325B">
        <w:rPr>
          <w:rFonts w:ascii="Calibri" w:hAnsi="Calibri" w:cs="Calibri"/>
          <w:i/>
          <w:iCs w:val="0"/>
          <w:color w:val="000000"/>
          <w:sz w:val="22"/>
          <w:szCs w:val="22"/>
          <w:lang w:eastAsia="en-AU"/>
        </w:rPr>
        <w:t>Planning Act 2023</w:t>
      </w:r>
      <w:r>
        <w:rPr>
          <w:rFonts w:ascii="Calibri" w:hAnsi="Calibri" w:cs="Calibri"/>
          <w:color w:val="000000"/>
          <w:sz w:val="22"/>
          <w:szCs w:val="22"/>
          <w:lang w:eastAsia="en-AU"/>
        </w:rPr>
        <w:t xml:space="preserve"> </w:t>
      </w:r>
      <w:r w:rsidRPr="006B325B">
        <w:rPr>
          <w:rFonts w:ascii="Calibri" w:hAnsi="Calibri" w:cs="Calibri"/>
          <w:color w:val="000000"/>
          <w:sz w:val="22"/>
          <w:szCs w:val="22"/>
          <w:lang w:eastAsia="en-AU"/>
        </w:rPr>
        <w:t xml:space="preserve">the </w:t>
      </w:r>
      <w:r>
        <w:rPr>
          <w:rFonts w:ascii="Calibri" w:hAnsi="Calibri" w:cs="Calibri"/>
          <w:color w:val="000000"/>
          <w:sz w:val="22"/>
          <w:szCs w:val="22"/>
          <w:lang w:eastAsia="en-AU"/>
        </w:rPr>
        <w:t xml:space="preserve">territory </w:t>
      </w:r>
      <w:r w:rsidRPr="006B325B">
        <w:rPr>
          <w:rFonts w:ascii="Calibri" w:hAnsi="Calibri" w:cs="Calibri"/>
          <w:color w:val="000000"/>
          <w:sz w:val="22"/>
          <w:szCs w:val="22"/>
          <w:lang w:eastAsia="en-AU"/>
        </w:rPr>
        <w:t>planning authority directs a person to carry out rectification work in relation to a controlled activity, and the person contravenes the direction;</w:t>
      </w:r>
    </w:p>
    <w:p w14:paraId="68CC838B" w14:textId="3054EEF8" w:rsidR="006B325B" w:rsidRPr="006B325B" w:rsidRDefault="006B325B" w:rsidP="006B325B">
      <w:pPr>
        <w:pStyle w:val="ListParagraph"/>
        <w:numPr>
          <w:ilvl w:val="0"/>
          <w:numId w:val="13"/>
        </w:numPr>
        <w:shd w:val="clear" w:color="auto" w:fill="FFFFFF"/>
        <w:spacing w:before="140" w:after="140"/>
        <w:rPr>
          <w:rFonts w:ascii="Calibri" w:hAnsi="Calibri" w:cs="Calibri"/>
          <w:color w:val="000000"/>
          <w:sz w:val="22"/>
          <w:szCs w:val="22"/>
          <w:lang w:eastAsia="en-AU"/>
        </w:rPr>
      </w:pPr>
      <w:r w:rsidRPr="006B325B">
        <w:rPr>
          <w:rFonts w:ascii="Calibri" w:hAnsi="Calibri" w:cs="Calibri"/>
          <w:color w:val="000000"/>
          <w:sz w:val="22"/>
          <w:szCs w:val="22"/>
          <w:lang w:eastAsia="en-AU"/>
        </w:rPr>
        <w:t>under the</w:t>
      </w:r>
      <w:r>
        <w:rPr>
          <w:rFonts w:ascii="Calibri" w:hAnsi="Calibri" w:cs="Calibri"/>
          <w:color w:val="000000"/>
          <w:sz w:val="22"/>
          <w:szCs w:val="22"/>
          <w:lang w:eastAsia="en-AU"/>
        </w:rPr>
        <w:t xml:space="preserve"> </w:t>
      </w:r>
      <w:r w:rsidRPr="006B325B">
        <w:rPr>
          <w:rFonts w:ascii="Calibri" w:hAnsi="Calibri" w:cs="Calibri"/>
          <w:i/>
          <w:iCs w:val="0"/>
          <w:color w:val="000000"/>
          <w:sz w:val="22"/>
          <w:szCs w:val="22"/>
          <w:lang w:eastAsia="en-AU"/>
        </w:rPr>
        <w:t>Planning Act 2023</w:t>
      </w:r>
      <w:r>
        <w:rPr>
          <w:rFonts w:ascii="Calibri" w:hAnsi="Calibri" w:cs="Calibri"/>
          <w:color w:val="000000"/>
          <w:sz w:val="22"/>
          <w:szCs w:val="22"/>
          <w:lang w:eastAsia="en-AU"/>
        </w:rPr>
        <w:t xml:space="preserve"> </w:t>
      </w:r>
      <w:r w:rsidRPr="006B325B">
        <w:rPr>
          <w:rFonts w:ascii="Calibri" w:hAnsi="Calibri" w:cs="Calibri"/>
          <w:color w:val="000000"/>
          <w:sz w:val="22"/>
          <w:szCs w:val="22"/>
          <w:lang w:eastAsia="en-AU"/>
        </w:rPr>
        <w:t>the</w:t>
      </w:r>
      <w:r>
        <w:rPr>
          <w:rFonts w:ascii="Calibri" w:hAnsi="Calibri" w:cs="Calibri"/>
          <w:color w:val="000000"/>
          <w:sz w:val="22"/>
          <w:szCs w:val="22"/>
          <w:lang w:eastAsia="en-AU"/>
        </w:rPr>
        <w:t xml:space="preserve"> territory </w:t>
      </w:r>
      <w:r w:rsidRPr="006B325B">
        <w:rPr>
          <w:rFonts w:ascii="Calibri" w:hAnsi="Calibri" w:cs="Calibri"/>
          <w:color w:val="000000"/>
          <w:sz w:val="22"/>
          <w:szCs w:val="22"/>
          <w:lang w:eastAsia="en-AU"/>
        </w:rPr>
        <w:t>planning authority directs a prohibition notice to the person, and the notice states that an activity must not be carried on by the person in relation to a place, and the person carries on the activity, or ca</w:t>
      </w:r>
      <w:r w:rsidR="00B954FF">
        <w:rPr>
          <w:rFonts w:ascii="Calibri" w:hAnsi="Calibri" w:cs="Calibri"/>
          <w:color w:val="000000"/>
          <w:sz w:val="22"/>
          <w:szCs w:val="22"/>
          <w:lang w:eastAsia="en-AU"/>
        </w:rPr>
        <w:t>r</w:t>
      </w:r>
      <w:r w:rsidRPr="006B325B">
        <w:rPr>
          <w:rFonts w:ascii="Calibri" w:hAnsi="Calibri" w:cs="Calibri"/>
          <w:color w:val="000000"/>
          <w:sz w:val="22"/>
          <w:szCs w:val="22"/>
          <w:lang w:eastAsia="en-AU"/>
        </w:rPr>
        <w:t>ries on the activity otherwise than in accordance with the notice, in relation to the place;</w:t>
      </w:r>
    </w:p>
    <w:p w14:paraId="08DF5DEA" w14:textId="3A86D036" w:rsidR="006B325B" w:rsidRPr="006B325B" w:rsidRDefault="006B325B" w:rsidP="0023592B">
      <w:pPr>
        <w:pStyle w:val="ListParagraph"/>
        <w:numPr>
          <w:ilvl w:val="0"/>
          <w:numId w:val="13"/>
        </w:numPr>
        <w:shd w:val="clear" w:color="auto" w:fill="FFFFFF"/>
        <w:spacing w:before="140"/>
        <w:ind w:left="714" w:hanging="357"/>
        <w:rPr>
          <w:rFonts w:ascii="Calibri" w:hAnsi="Calibri" w:cs="Calibri"/>
          <w:color w:val="000000"/>
          <w:sz w:val="22"/>
          <w:szCs w:val="22"/>
          <w:lang w:eastAsia="en-AU"/>
        </w:rPr>
      </w:pPr>
      <w:bookmarkStart w:id="4" w:name="_Hlk138318329"/>
      <w:bookmarkEnd w:id="3"/>
      <w:r w:rsidRPr="006B325B">
        <w:rPr>
          <w:rFonts w:ascii="Calibri" w:hAnsi="Calibri" w:cs="Calibri"/>
          <w:color w:val="000000"/>
          <w:sz w:val="22"/>
          <w:szCs w:val="22"/>
          <w:lang w:eastAsia="en-AU"/>
        </w:rPr>
        <w:t>under the</w:t>
      </w:r>
      <w:r>
        <w:rPr>
          <w:rFonts w:ascii="Calibri" w:hAnsi="Calibri" w:cs="Calibri"/>
          <w:color w:val="000000"/>
          <w:sz w:val="22"/>
          <w:szCs w:val="22"/>
          <w:lang w:eastAsia="en-AU"/>
        </w:rPr>
        <w:t xml:space="preserve"> </w:t>
      </w:r>
      <w:r w:rsidRPr="006B325B">
        <w:rPr>
          <w:rFonts w:ascii="Calibri" w:hAnsi="Calibri" w:cs="Calibri"/>
          <w:i/>
          <w:iCs w:val="0"/>
          <w:color w:val="000000"/>
          <w:sz w:val="22"/>
          <w:szCs w:val="22"/>
          <w:lang w:eastAsia="en-AU"/>
        </w:rPr>
        <w:t>Planning Act 2023</w:t>
      </w:r>
      <w:r>
        <w:rPr>
          <w:rFonts w:ascii="Calibri" w:hAnsi="Calibri" w:cs="Calibri"/>
          <w:color w:val="000000"/>
          <w:sz w:val="22"/>
          <w:szCs w:val="22"/>
          <w:lang w:eastAsia="en-AU"/>
        </w:rPr>
        <w:t xml:space="preserve"> </w:t>
      </w:r>
      <w:r w:rsidRPr="006B325B">
        <w:rPr>
          <w:rFonts w:ascii="Calibri" w:hAnsi="Calibri" w:cs="Calibri"/>
          <w:color w:val="000000"/>
          <w:sz w:val="22"/>
          <w:szCs w:val="22"/>
          <w:lang w:eastAsia="en-AU"/>
        </w:rPr>
        <w:t>an inspector lawfully requires a person to state the person’s name and home address and the person fails to comply with the requirement.</w:t>
      </w:r>
      <w:bookmarkEnd w:id="4"/>
    </w:p>
    <w:p w14:paraId="6EE42375" w14:textId="77777777" w:rsidR="0023592B" w:rsidRPr="0023592B" w:rsidRDefault="0023592B" w:rsidP="0023592B">
      <w:pPr>
        <w:pStyle w:val="Default"/>
        <w:rPr>
          <w:sz w:val="22"/>
          <w:szCs w:val="22"/>
        </w:rPr>
      </w:pPr>
    </w:p>
    <w:p w14:paraId="79076815" w14:textId="679F8CA9" w:rsidR="002D6571" w:rsidRPr="00FB3573" w:rsidRDefault="002D6571" w:rsidP="002D6571">
      <w:pPr>
        <w:autoSpaceDE w:val="0"/>
        <w:autoSpaceDN w:val="0"/>
        <w:adjustRightInd w:val="0"/>
        <w:rPr>
          <w:rFonts w:ascii="Arial" w:hAnsi="Arial" w:cs="Arial"/>
          <w:b/>
          <w:bCs/>
          <w:sz w:val="23"/>
          <w:szCs w:val="23"/>
          <w:lang w:eastAsia="en-AU"/>
        </w:rPr>
      </w:pPr>
      <w:r w:rsidRPr="00FB3573">
        <w:rPr>
          <w:rFonts w:ascii="Arial" w:hAnsi="Arial" w:cs="Arial"/>
          <w:b/>
          <w:bCs/>
          <w:sz w:val="23"/>
          <w:szCs w:val="23"/>
          <w:lang w:eastAsia="en-AU"/>
        </w:rPr>
        <w:t>SCRUTINY OF BILLS COMMITTEE PRINCIPLES AND HUMAN RIGHTS</w:t>
      </w:r>
    </w:p>
    <w:p w14:paraId="33AE4A78" w14:textId="3D66DADD" w:rsidR="002D6571" w:rsidRPr="0023592B" w:rsidRDefault="002D6571" w:rsidP="002D6571">
      <w:pPr>
        <w:pStyle w:val="Default"/>
        <w:rPr>
          <w:color w:val="auto"/>
          <w:sz w:val="20"/>
          <w:szCs w:val="20"/>
        </w:rPr>
      </w:pPr>
    </w:p>
    <w:p w14:paraId="456470F7" w14:textId="43C267F1" w:rsidR="00570DD3" w:rsidRPr="00570DD3" w:rsidRDefault="00570DD3" w:rsidP="00570DD3">
      <w:pPr>
        <w:pStyle w:val="Default"/>
        <w:rPr>
          <w:color w:val="auto"/>
          <w:sz w:val="22"/>
          <w:szCs w:val="22"/>
        </w:rPr>
      </w:pPr>
      <w:r w:rsidRPr="00570DD3">
        <w:rPr>
          <w:color w:val="auto"/>
          <w:sz w:val="22"/>
          <w:szCs w:val="22"/>
        </w:rPr>
        <w:t xml:space="preserve">The infringement notice scheme created by this regulation will provide an alternative to prosecution when a person fails to comply </w:t>
      </w:r>
      <w:r>
        <w:rPr>
          <w:color w:val="auto"/>
          <w:sz w:val="22"/>
          <w:szCs w:val="22"/>
        </w:rPr>
        <w:t xml:space="preserve">with the </w:t>
      </w:r>
      <w:r w:rsidRPr="00570DD3">
        <w:rPr>
          <w:i/>
          <w:iCs/>
          <w:color w:val="auto"/>
          <w:sz w:val="22"/>
          <w:szCs w:val="22"/>
        </w:rPr>
        <w:t>Planning Act 2023</w:t>
      </w:r>
      <w:r>
        <w:rPr>
          <w:color w:val="auto"/>
          <w:sz w:val="22"/>
          <w:szCs w:val="22"/>
        </w:rPr>
        <w:t xml:space="preserve"> in one of the circumstances set out above. In such circumstances it is deemed that </w:t>
      </w:r>
      <w:r w:rsidRPr="00570DD3">
        <w:rPr>
          <w:color w:val="auto"/>
          <w:sz w:val="22"/>
          <w:szCs w:val="22"/>
        </w:rPr>
        <w:t xml:space="preserve">an infringement notice imposing a monetary fine is a sufficient penalty. The purpose of the scheme is to encourage compliance with </w:t>
      </w:r>
      <w:r>
        <w:rPr>
          <w:color w:val="auto"/>
          <w:sz w:val="22"/>
          <w:szCs w:val="22"/>
        </w:rPr>
        <w:t xml:space="preserve">the planning scheme enabled by the </w:t>
      </w:r>
      <w:r w:rsidRPr="00570DD3">
        <w:rPr>
          <w:i/>
          <w:iCs/>
          <w:color w:val="auto"/>
          <w:sz w:val="22"/>
          <w:szCs w:val="22"/>
        </w:rPr>
        <w:t>Planning Act 2023</w:t>
      </w:r>
      <w:r w:rsidRPr="00570DD3">
        <w:rPr>
          <w:color w:val="auto"/>
          <w:sz w:val="22"/>
          <w:szCs w:val="22"/>
        </w:rPr>
        <w:t>.</w:t>
      </w:r>
    </w:p>
    <w:p w14:paraId="394E8F12" w14:textId="77777777" w:rsidR="00570DD3" w:rsidRPr="0023592B" w:rsidRDefault="00570DD3" w:rsidP="00570DD3">
      <w:pPr>
        <w:pStyle w:val="Default"/>
        <w:rPr>
          <w:color w:val="auto"/>
          <w:sz w:val="20"/>
          <w:szCs w:val="20"/>
        </w:rPr>
      </w:pPr>
    </w:p>
    <w:p w14:paraId="14AD215E" w14:textId="2018D82F" w:rsidR="00570DD3" w:rsidRPr="00570DD3" w:rsidRDefault="00570DD3" w:rsidP="00570DD3">
      <w:pPr>
        <w:pStyle w:val="Default"/>
        <w:rPr>
          <w:color w:val="auto"/>
          <w:sz w:val="22"/>
          <w:szCs w:val="22"/>
        </w:rPr>
      </w:pPr>
      <w:r w:rsidRPr="00570DD3">
        <w:rPr>
          <w:color w:val="auto"/>
          <w:sz w:val="22"/>
          <w:szCs w:val="22"/>
        </w:rPr>
        <w:t xml:space="preserve">The infringement notice scheme will only apply to an offence </w:t>
      </w:r>
      <w:r w:rsidR="00BC49E9">
        <w:rPr>
          <w:color w:val="auto"/>
          <w:sz w:val="22"/>
          <w:szCs w:val="22"/>
        </w:rPr>
        <w:t>in</w:t>
      </w:r>
      <w:r>
        <w:rPr>
          <w:color w:val="auto"/>
          <w:sz w:val="22"/>
          <w:szCs w:val="22"/>
        </w:rPr>
        <w:t xml:space="preserve"> the following circumstances. It will apply where </w:t>
      </w:r>
      <w:r w:rsidRPr="00570DD3">
        <w:rPr>
          <w:sz w:val="22"/>
          <w:szCs w:val="22"/>
        </w:rPr>
        <w:t xml:space="preserve">a person undertakes development without development approval under the </w:t>
      </w:r>
      <w:r w:rsidRPr="00570DD3">
        <w:rPr>
          <w:i/>
          <w:sz w:val="22"/>
          <w:szCs w:val="22"/>
        </w:rPr>
        <w:t>Planning Act 2023</w:t>
      </w:r>
      <w:r w:rsidRPr="00570DD3">
        <w:rPr>
          <w:sz w:val="22"/>
          <w:szCs w:val="22"/>
        </w:rPr>
        <w:t xml:space="preserve"> and under that Act the development requires development approval</w:t>
      </w:r>
      <w:r w:rsidR="00BC49E9">
        <w:t xml:space="preserve"> and where </w:t>
      </w:r>
      <w:r w:rsidR="00BC49E9" w:rsidRPr="00BC49E9">
        <w:rPr>
          <w:sz w:val="22"/>
          <w:szCs w:val="22"/>
        </w:rPr>
        <w:t xml:space="preserve">a person undertakes development, and the development is prohibited by the </w:t>
      </w:r>
      <w:r w:rsidR="00BC49E9" w:rsidRPr="00BC49E9">
        <w:rPr>
          <w:i/>
          <w:iCs/>
          <w:sz w:val="22"/>
          <w:szCs w:val="22"/>
        </w:rPr>
        <w:t>Planning Act 2023</w:t>
      </w:r>
      <w:r w:rsidR="00BC49E9">
        <w:rPr>
          <w:sz w:val="22"/>
          <w:szCs w:val="22"/>
        </w:rPr>
        <w:t>.</w:t>
      </w:r>
      <w:r>
        <w:rPr>
          <w:sz w:val="22"/>
          <w:szCs w:val="22"/>
        </w:rPr>
        <w:t xml:space="preserve"> </w:t>
      </w:r>
      <w:bookmarkStart w:id="5" w:name="_Hlk138317711"/>
      <w:r>
        <w:rPr>
          <w:sz w:val="22"/>
          <w:szCs w:val="22"/>
        </w:rPr>
        <w:t xml:space="preserve">It is considered that these offences are appropriate to be dealt with by infringement notice. </w:t>
      </w:r>
      <w:r w:rsidR="00BC49E9">
        <w:rPr>
          <w:sz w:val="22"/>
          <w:szCs w:val="22"/>
        </w:rPr>
        <w:t>They are intended to maintain the integrity of the planning system so that development does not take place that has not be</w:t>
      </w:r>
      <w:r w:rsidR="00176D9F">
        <w:rPr>
          <w:sz w:val="22"/>
          <w:szCs w:val="22"/>
        </w:rPr>
        <w:t>en</w:t>
      </w:r>
      <w:r w:rsidR="00BC49E9">
        <w:rPr>
          <w:sz w:val="22"/>
          <w:szCs w:val="22"/>
        </w:rPr>
        <w:t xml:space="preserve"> assessed by planning professionals to ensure that they meet the requirements of the </w:t>
      </w:r>
      <w:r w:rsidR="00BC49E9" w:rsidRPr="00BC49E9">
        <w:rPr>
          <w:i/>
          <w:iCs/>
          <w:sz w:val="22"/>
          <w:szCs w:val="22"/>
        </w:rPr>
        <w:t>Planning Act 2023</w:t>
      </w:r>
      <w:r w:rsidR="00BC49E9">
        <w:rPr>
          <w:sz w:val="22"/>
          <w:szCs w:val="22"/>
        </w:rPr>
        <w:t xml:space="preserve"> and to prevent development from taking place that is clearly prohibited by the Act. It should be clear whether or not a development require</w:t>
      </w:r>
      <w:r w:rsidR="006212C3">
        <w:rPr>
          <w:sz w:val="22"/>
          <w:szCs w:val="22"/>
        </w:rPr>
        <w:t>s</w:t>
      </w:r>
      <w:r w:rsidR="00BC49E9">
        <w:rPr>
          <w:sz w:val="22"/>
          <w:szCs w:val="22"/>
        </w:rPr>
        <w:t xml:space="preserve"> development approval or is development that is prohibited by the Act. Most of the requirements for approval have been carried across from the </w:t>
      </w:r>
      <w:r w:rsidR="00BC49E9" w:rsidRPr="00BC49E9">
        <w:rPr>
          <w:i/>
          <w:iCs/>
          <w:sz w:val="22"/>
          <w:szCs w:val="22"/>
        </w:rPr>
        <w:t>Planning and Development Act 2007</w:t>
      </w:r>
      <w:r w:rsidR="00BC49E9">
        <w:rPr>
          <w:sz w:val="22"/>
          <w:szCs w:val="22"/>
        </w:rPr>
        <w:t xml:space="preserve"> and extensive education will be provided during the implementation of the Act and information will be available on the Territory Planning Authority’s website.</w:t>
      </w:r>
    </w:p>
    <w:bookmarkEnd w:id="5"/>
    <w:p w14:paraId="79107A41" w14:textId="082F19DC" w:rsidR="00570DD3" w:rsidRPr="0023592B" w:rsidRDefault="00570DD3" w:rsidP="00570DD3">
      <w:pPr>
        <w:pStyle w:val="Default"/>
        <w:rPr>
          <w:color w:val="auto"/>
          <w:sz w:val="20"/>
          <w:szCs w:val="20"/>
        </w:rPr>
      </w:pPr>
    </w:p>
    <w:p w14:paraId="628E48D9" w14:textId="176C1E65" w:rsidR="002445EE" w:rsidRPr="002445EE" w:rsidRDefault="00BC49E9" w:rsidP="002445EE">
      <w:pPr>
        <w:pStyle w:val="Default"/>
        <w:rPr>
          <w:sz w:val="22"/>
          <w:szCs w:val="22"/>
        </w:rPr>
      </w:pPr>
      <w:bookmarkStart w:id="6" w:name="_Hlk138318356"/>
      <w:r>
        <w:rPr>
          <w:color w:val="auto"/>
          <w:sz w:val="22"/>
          <w:szCs w:val="22"/>
        </w:rPr>
        <w:t xml:space="preserve">The infringement notice scheme will apply where a </w:t>
      </w:r>
      <w:r w:rsidR="002445EE">
        <w:rPr>
          <w:color w:val="auto"/>
          <w:sz w:val="22"/>
          <w:szCs w:val="22"/>
        </w:rPr>
        <w:t xml:space="preserve">proponent has been provided a direction </w:t>
      </w:r>
      <w:bookmarkEnd w:id="6"/>
      <w:r w:rsidR="002445EE">
        <w:rPr>
          <w:color w:val="auto"/>
          <w:sz w:val="22"/>
          <w:szCs w:val="22"/>
        </w:rPr>
        <w:t xml:space="preserve">under the </w:t>
      </w:r>
      <w:r w:rsidR="002445EE" w:rsidRPr="002445EE">
        <w:rPr>
          <w:i/>
          <w:iCs/>
          <w:color w:val="auto"/>
          <w:sz w:val="22"/>
          <w:szCs w:val="22"/>
        </w:rPr>
        <w:t>Planning Act 2023</w:t>
      </w:r>
      <w:r w:rsidR="002445EE">
        <w:rPr>
          <w:color w:val="auto"/>
          <w:sz w:val="22"/>
          <w:szCs w:val="22"/>
        </w:rPr>
        <w:t xml:space="preserve"> and fails to comply with that direction. These circumstances include where a </w:t>
      </w:r>
      <w:r w:rsidR="002445EE" w:rsidRPr="002445EE">
        <w:rPr>
          <w:sz w:val="22"/>
          <w:szCs w:val="22"/>
        </w:rPr>
        <w:t xml:space="preserve">person undertakes development, for which the person has a conditional development approval under the </w:t>
      </w:r>
      <w:r w:rsidR="002445EE" w:rsidRPr="002445EE">
        <w:rPr>
          <w:i/>
          <w:sz w:val="22"/>
          <w:szCs w:val="22"/>
        </w:rPr>
        <w:t>Planning Act 2023</w:t>
      </w:r>
      <w:r w:rsidR="002445EE" w:rsidRPr="002445EE">
        <w:rPr>
          <w:sz w:val="22"/>
          <w:szCs w:val="22"/>
        </w:rPr>
        <w:t>, and the person does not comply with a condition of the development approval when undertaking the development;</w:t>
      </w:r>
      <w:r w:rsidR="002445EE">
        <w:rPr>
          <w:sz w:val="22"/>
          <w:szCs w:val="22"/>
        </w:rPr>
        <w:t xml:space="preserve"> </w:t>
      </w:r>
      <w:r w:rsidR="002445EE" w:rsidRPr="002445EE">
        <w:rPr>
          <w:sz w:val="22"/>
          <w:szCs w:val="22"/>
        </w:rPr>
        <w:t>the territory planning authority gives a controlled activity order to a person, requiring the person to do, or not do, something stated in the order, and the person contravenes the order;</w:t>
      </w:r>
      <w:r w:rsidR="002445EE">
        <w:rPr>
          <w:sz w:val="22"/>
          <w:szCs w:val="22"/>
        </w:rPr>
        <w:t xml:space="preserve"> </w:t>
      </w:r>
      <w:r w:rsidR="002445EE" w:rsidRPr="002445EE">
        <w:rPr>
          <w:sz w:val="22"/>
          <w:szCs w:val="22"/>
        </w:rPr>
        <w:t>the territory planning authority directs a person to carry out rectification work in relation to a controlled activity, and the person contravenes the direction;</w:t>
      </w:r>
      <w:r w:rsidR="002445EE">
        <w:rPr>
          <w:sz w:val="22"/>
          <w:szCs w:val="22"/>
        </w:rPr>
        <w:t xml:space="preserve"> and </w:t>
      </w:r>
      <w:r w:rsidR="002445EE" w:rsidRPr="002445EE">
        <w:rPr>
          <w:sz w:val="22"/>
          <w:szCs w:val="22"/>
        </w:rPr>
        <w:t>the territory planning authority directs a prohibition notice to the person, and the notice states that an activity must not be carried on by the person in relation to a place, and the person carries on the activity, or carries on the activity otherwise than in accordance with the notice, in relation to the place</w:t>
      </w:r>
      <w:r w:rsidR="002445EE">
        <w:rPr>
          <w:sz w:val="22"/>
          <w:szCs w:val="22"/>
        </w:rPr>
        <w:t>.</w:t>
      </w:r>
      <w:r w:rsidR="002445EE">
        <w:rPr>
          <w:color w:val="auto"/>
          <w:sz w:val="22"/>
          <w:szCs w:val="22"/>
        </w:rPr>
        <w:t xml:space="preserve"> </w:t>
      </w:r>
      <w:bookmarkStart w:id="7" w:name="_Hlk138318480"/>
      <w:r w:rsidR="002445EE">
        <w:rPr>
          <w:sz w:val="22"/>
          <w:szCs w:val="22"/>
        </w:rPr>
        <w:t>It is considered that these offences are appropriate to be dealt with by infringement notice. They are intended to ensure that</w:t>
      </w:r>
      <w:bookmarkEnd w:id="7"/>
      <w:r w:rsidR="002445EE">
        <w:rPr>
          <w:sz w:val="22"/>
          <w:szCs w:val="22"/>
        </w:rPr>
        <w:t xml:space="preserve"> a direction lawfully issued by an authorised person under the </w:t>
      </w:r>
      <w:r w:rsidR="002445EE" w:rsidRPr="002445EE">
        <w:rPr>
          <w:i/>
          <w:iCs/>
          <w:sz w:val="22"/>
          <w:szCs w:val="22"/>
        </w:rPr>
        <w:t>Planning Act 2023</w:t>
      </w:r>
      <w:r w:rsidR="002445EE">
        <w:rPr>
          <w:sz w:val="22"/>
          <w:szCs w:val="22"/>
        </w:rPr>
        <w:t xml:space="preserve"> has been complied with. These offences are </w:t>
      </w:r>
      <w:r w:rsidR="002445EE">
        <w:rPr>
          <w:sz w:val="22"/>
          <w:szCs w:val="22"/>
        </w:rPr>
        <w:lastRenderedPageBreak/>
        <w:t>intended to maintain the integrity of the planning system to en</w:t>
      </w:r>
      <w:r w:rsidR="006212C3">
        <w:rPr>
          <w:sz w:val="22"/>
          <w:szCs w:val="22"/>
        </w:rPr>
        <w:t xml:space="preserve">able planning system to deliver the best possible </w:t>
      </w:r>
      <w:r w:rsidR="002445EE" w:rsidRPr="002445EE">
        <w:rPr>
          <w:sz w:val="22"/>
          <w:szCs w:val="22"/>
        </w:rPr>
        <w:t>liveability, prosperity and wellbeing</w:t>
      </w:r>
      <w:r w:rsidR="006212C3">
        <w:rPr>
          <w:sz w:val="22"/>
          <w:szCs w:val="22"/>
        </w:rPr>
        <w:t xml:space="preserve"> planning outcomes for the ACT community. It will </w:t>
      </w:r>
      <w:r w:rsidR="002445EE">
        <w:rPr>
          <w:sz w:val="22"/>
          <w:szCs w:val="22"/>
        </w:rPr>
        <w:t>be clear whether or not a development</w:t>
      </w:r>
      <w:r w:rsidR="006212C3">
        <w:rPr>
          <w:sz w:val="22"/>
          <w:szCs w:val="22"/>
        </w:rPr>
        <w:t xml:space="preserve"> direction has been complied with or not. </w:t>
      </w:r>
      <w:r w:rsidR="002445EE">
        <w:rPr>
          <w:sz w:val="22"/>
          <w:szCs w:val="22"/>
        </w:rPr>
        <w:t xml:space="preserve">Most of the requirements for approval have been carried across from the </w:t>
      </w:r>
      <w:r w:rsidR="002445EE" w:rsidRPr="00BC49E9">
        <w:rPr>
          <w:i/>
          <w:iCs/>
          <w:sz w:val="22"/>
          <w:szCs w:val="22"/>
        </w:rPr>
        <w:t>Planning and Development Act 2007</w:t>
      </w:r>
      <w:r w:rsidR="002445EE">
        <w:rPr>
          <w:sz w:val="22"/>
          <w:szCs w:val="22"/>
        </w:rPr>
        <w:t xml:space="preserve"> and extensive education will be provided during the implementation of the Act and information will be available on the Territory Planning Authority’s website.</w:t>
      </w:r>
    </w:p>
    <w:p w14:paraId="14B7150C" w14:textId="69655BDA" w:rsidR="002445EE" w:rsidRDefault="002445EE" w:rsidP="00570DD3">
      <w:pPr>
        <w:pStyle w:val="Default"/>
        <w:rPr>
          <w:color w:val="auto"/>
          <w:sz w:val="22"/>
          <w:szCs w:val="22"/>
        </w:rPr>
      </w:pPr>
    </w:p>
    <w:p w14:paraId="4D45053F" w14:textId="77777777" w:rsidR="00016D4A" w:rsidRDefault="006212C3" w:rsidP="00570DD3">
      <w:pPr>
        <w:pStyle w:val="Default"/>
        <w:rPr>
          <w:color w:val="auto"/>
          <w:sz w:val="22"/>
          <w:szCs w:val="22"/>
        </w:rPr>
      </w:pPr>
      <w:r>
        <w:rPr>
          <w:color w:val="auto"/>
          <w:sz w:val="22"/>
          <w:szCs w:val="22"/>
        </w:rPr>
        <w:t>The infringement notice scheme will apply where a</w:t>
      </w:r>
      <w:r>
        <w:rPr>
          <w:sz w:val="22"/>
          <w:szCs w:val="22"/>
        </w:rPr>
        <w:t>n inspector authorised under</w:t>
      </w:r>
      <w:r w:rsidRPr="006B325B">
        <w:rPr>
          <w:sz w:val="22"/>
          <w:szCs w:val="22"/>
        </w:rPr>
        <w:t xml:space="preserve"> the</w:t>
      </w:r>
      <w:r>
        <w:rPr>
          <w:sz w:val="22"/>
          <w:szCs w:val="22"/>
        </w:rPr>
        <w:t xml:space="preserve"> </w:t>
      </w:r>
      <w:r w:rsidRPr="006B325B">
        <w:rPr>
          <w:i/>
          <w:sz w:val="22"/>
          <w:szCs w:val="22"/>
        </w:rPr>
        <w:t>Planning Act 2023</w:t>
      </w:r>
      <w:r>
        <w:rPr>
          <w:sz w:val="22"/>
          <w:szCs w:val="22"/>
        </w:rPr>
        <w:t xml:space="preserve"> </w:t>
      </w:r>
      <w:r w:rsidRPr="006B325B">
        <w:rPr>
          <w:sz w:val="22"/>
          <w:szCs w:val="22"/>
        </w:rPr>
        <w:t>lawfully requires a person to state the person’s name and home address and the person fails to comply with the requirement.</w:t>
      </w:r>
      <w:r>
        <w:rPr>
          <w:color w:val="auto"/>
          <w:sz w:val="22"/>
          <w:szCs w:val="22"/>
        </w:rPr>
        <w:t xml:space="preserve"> </w:t>
      </w:r>
      <w:r>
        <w:rPr>
          <w:sz w:val="22"/>
          <w:szCs w:val="22"/>
        </w:rPr>
        <w:t xml:space="preserve">It is considered that this offence is appropriate to be dealt with by infringement notice. </w:t>
      </w:r>
      <w:r w:rsidR="00570DD3" w:rsidRPr="00570DD3">
        <w:rPr>
          <w:color w:val="auto"/>
          <w:sz w:val="22"/>
          <w:szCs w:val="22"/>
        </w:rPr>
        <w:t xml:space="preserve">Clear guidance will be provided to </w:t>
      </w:r>
      <w:r>
        <w:rPr>
          <w:color w:val="auto"/>
          <w:sz w:val="22"/>
          <w:szCs w:val="22"/>
        </w:rPr>
        <w:t>inspectors</w:t>
      </w:r>
      <w:r w:rsidR="00570DD3" w:rsidRPr="00570DD3">
        <w:rPr>
          <w:color w:val="auto"/>
          <w:sz w:val="22"/>
          <w:szCs w:val="22"/>
        </w:rPr>
        <w:t xml:space="preserve"> regarding </w:t>
      </w:r>
      <w:r>
        <w:rPr>
          <w:color w:val="auto"/>
          <w:sz w:val="22"/>
          <w:szCs w:val="22"/>
        </w:rPr>
        <w:t>their powers under the Act.</w:t>
      </w:r>
    </w:p>
    <w:p w14:paraId="1D8C8FD2" w14:textId="77777777" w:rsidR="00016D4A" w:rsidRDefault="00016D4A" w:rsidP="00570DD3">
      <w:pPr>
        <w:pStyle w:val="Default"/>
        <w:rPr>
          <w:color w:val="auto"/>
          <w:sz w:val="22"/>
          <w:szCs w:val="22"/>
        </w:rPr>
      </w:pPr>
    </w:p>
    <w:p w14:paraId="0E45774D" w14:textId="317A0865" w:rsidR="00570DD3" w:rsidRPr="00570DD3" w:rsidRDefault="00570DD3" w:rsidP="00570DD3">
      <w:pPr>
        <w:pStyle w:val="Default"/>
        <w:rPr>
          <w:color w:val="auto"/>
          <w:sz w:val="22"/>
          <w:szCs w:val="22"/>
        </w:rPr>
      </w:pPr>
      <w:r w:rsidRPr="00570DD3">
        <w:rPr>
          <w:color w:val="auto"/>
          <w:sz w:val="22"/>
          <w:szCs w:val="22"/>
        </w:rPr>
        <w:t xml:space="preserve">Issuing of infringement notices by authorised persons under the </w:t>
      </w:r>
      <w:r w:rsidR="00016D4A" w:rsidRPr="00016D4A">
        <w:rPr>
          <w:i/>
          <w:iCs/>
          <w:color w:val="auto"/>
          <w:sz w:val="22"/>
          <w:szCs w:val="22"/>
        </w:rPr>
        <w:t>Planning</w:t>
      </w:r>
      <w:r w:rsidRPr="00016D4A">
        <w:rPr>
          <w:i/>
          <w:iCs/>
          <w:color w:val="auto"/>
          <w:sz w:val="22"/>
          <w:szCs w:val="22"/>
        </w:rPr>
        <w:t xml:space="preserve"> Act</w:t>
      </w:r>
      <w:r w:rsidR="00016D4A" w:rsidRPr="00016D4A">
        <w:rPr>
          <w:i/>
          <w:iCs/>
          <w:color w:val="auto"/>
          <w:sz w:val="22"/>
          <w:szCs w:val="22"/>
        </w:rPr>
        <w:t xml:space="preserve"> 2023</w:t>
      </w:r>
      <w:r w:rsidRPr="00570DD3">
        <w:rPr>
          <w:color w:val="auto"/>
          <w:sz w:val="22"/>
          <w:szCs w:val="22"/>
        </w:rPr>
        <w:t xml:space="preserve"> will be subject to the oversight of the Access Canberra Regulatory Complaint Assessment Committee (RCAC). The RCAC can advise on the issuing of notices including whether the issue of an infringement notice is appropriate and proportionate response in the circumstances, having regard to a number of factors including (but not limited to) the nature of the offence, human rights impact, quality and weight of collected evidence, previous evidence of offending behaviour, and actions taken by an authorised officer.</w:t>
      </w:r>
    </w:p>
    <w:p w14:paraId="19FE7E98" w14:textId="77777777" w:rsidR="00570DD3" w:rsidRPr="00570DD3" w:rsidRDefault="00570DD3" w:rsidP="00570DD3">
      <w:pPr>
        <w:pStyle w:val="Default"/>
        <w:rPr>
          <w:color w:val="auto"/>
          <w:sz w:val="22"/>
          <w:szCs w:val="22"/>
        </w:rPr>
      </w:pPr>
    </w:p>
    <w:p w14:paraId="6B495832" w14:textId="49E6DA44" w:rsidR="009B18F0" w:rsidRDefault="00570DD3" w:rsidP="002D6571">
      <w:pPr>
        <w:pStyle w:val="Default"/>
        <w:rPr>
          <w:color w:val="auto"/>
          <w:sz w:val="22"/>
          <w:szCs w:val="22"/>
        </w:rPr>
      </w:pPr>
      <w:r w:rsidRPr="00570DD3">
        <w:rPr>
          <w:color w:val="auto"/>
          <w:sz w:val="22"/>
          <w:szCs w:val="22"/>
        </w:rPr>
        <w:t>Th</w:t>
      </w:r>
      <w:r w:rsidR="00016D4A">
        <w:rPr>
          <w:color w:val="auto"/>
          <w:sz w:val="22"/>
          <w:szCs w:val="22"/>
        </w:rPr>
        <w:t>e</w:t>
      </w:r>
      <w:r w:rsidRPr="00570DD3">
        <w:rPr>
          <w:color w:val="auto"/>
          <w:sz w:val="22"/>
          <w:szCs w:val="22"/>
        </w:rPr>
        <w:t xml:space="preserve"> framing of </w:t>
      </w:r>
      <w:r w:rsidR="00016D4A">
        <w:rPr>
          <w:color w:val="auto"/>
          <w:sz w:val="22"/>
          <w:szCs w:val="22"/>
        </w:rPr>
        <w:t xml:space="preserve">these offences under the </w:t>
      </w:r>
      <w:r w:rsidR="00016D4A" w:rsidRPr="00016D4A">
        <w:rPr>
          <w:i/>
          <w:iCs/>
          <w:color w:val="auto"/>
          <w:sz w:val="22"/>
          <w:szCs w:val="22"/>
        </w:rPr>
        <w:t>Planning Act 2023</w:t>
      </w:r>
      <w:r w:rsidRPr="00570DD3">
        <w:rPr>
          <w:color w:val="auto"/>
          <w:sz w:val="22"/>
          <w:szCs w:val="22"/>
        </w:rPr>
        <w:t xml:space="preserve"> </w:t>
      </w:r>
      <w:r w:rsidR="00016D4A">
        <w:rPr>
          <w:color w:val="auto"/>
          <w:sz w:val="22"/>
          <w:szCs w:val="22"/>
        </w:rPr>
        <w:t xml:space="preserve">seeks to </w:t>
      </w:r>
      <w:r w:rsidRPr="00570DD3">
        <w:rPr>
          <w:color w:val="auto"/>
          <w:sz w:val="22"/>
          <w:szCs w:val="22"/>
        </w:rPr>
        <w:t xml:space="preserve">ensure that the use of infringement notices does not have a discriminatory impact on vulnerable and disadvantaged people in </w:t>
      </w:r>
      <w:r w:rsidR="00016D4A">
        <w:rPr>
          <w:color w:val="auto"/>
          <w:sz w:val="22"/>
          <w:szCs w:val="22"/>
        </w:rPr>
        <w:t>the</w:t>
      </w:r>
      <w:r w:rsidRPr="00570DD3">
        <w:rPr>
          <w:color w:val="auto"/>
          <w:sz w:val="22"/>
          <w:szCs w:val="22"/>
        </w:rPr>
        <w:t xml:space="preserve"> community.</w:t>
      </w:r>
      <w:r w:rsidR="00016D4A">
        <w:rPr>
          <w:color w:val="auto"/>
          <w:sz w:val="22"/>
          <w:szCs w:val="22"/>
        </w:rPr>
        <w:t xml:space="preserve"> </w:t>
      </w:r>
      <w:r w:rsidR="00E50303">
        <w:rPr>
          <w:color w:val="auto"/>
          <w:sz w:val="22"/>
          <w:szCs w:val="22"/>
        </w:rPr>
        <w:t xml:space="preserve">It is not considered that any </w:t>
      </w:r>
      <w:r w:rsidR="00016D4A">
        <w:rPr>
          <w:color w:val="auto"/>
          <w:sz w:val="22"/>
          <w:szCs w:val="22"/>
        </w:rPr>
        <w:t xml:space="preserve">of these </w:t>
      </w:r>
      <w:r w:rsidR="00E50303">
        <w:rPr>
          <w:color w:val="auto"/>
          <w:sz w:val="22"/>
          <w:szCs w:val="22"/>
        </w:rPr>
        <w:t>provision</w:t>
      </w:r>
      <w:r w:rsidR="00016D4A">
        <w:rPr>
          <w:color w:val="auto"/>
          <w:sz w:val="22"/>
          <w:szCs w:val="22"/>
        </w:rPr>
        <w:t>s</w:t>
      </w:r>
      <w:r w:rsidR="00E50303">
        <w:rPr>
          <w:color w:val="auto"/>
          <w:sz w:val="22"/>
          <w:szCs w:val="22"/>
        </w:rPr>
        <w:t xml:space="preserve"> unreasonably limits an individual’s human rights. If an individual’s human rights are limited, any limitation is reasonable and justified.</w:t>
      </w:r>
    </w:p>
    <w:p w14:paraId="1708CDA8" w14:textId="384E4694" w:rsidR="00E50303" w:rsidRDefault="00E50303" w:rsidP="002D6571">
      <w:pPr>
        <w:pStyle w:val="Default"/>
        <w:rPr>
          <w:color w:val="auto"/>
          <w:sz w:val="22"/>
          <w:szCs w:val="22"/>
        </w:rPr>
      </w:pPr>
    </w:p>
    <w:p w14:paraId="05ED57B3" w14:textId="39B0A054" w:rsidR="00F40AAD" w:rsidRDefault="00F40AAD">
      <w:pPr>
        <w:rPr>
          <w:rFonts w:ascii="Arial" w:hAnsi="Arial" w:cs="Arial"/>
          <w:b/>
          <w:bCs/>
          <w:sz w:val="23"/>
          <w:szCs w:val="23"/>
          <w:lang w:eastAsia="en-AU"/>
        </w:rPr>
      </w:pPr>
    </w:p>
    <w:p w14:paraId="3DC01A91" w14:textId="328726EE" w:rsidR="004C3417" w:rsidRPr="00FB3573" w:rsidRDefault="004C3417" w:rsidP="00350054">
      <w:pPr>
        <w:rPr>
          <w:rFonts w:ascii="Arial" w:hAnsi="Arial" w:cs="Arial"/>
          <w:b/>
          <w:bCs/>
          <w:sz w:val="23"/>
          <w:szCs w:val="23"/>
          <w:lang w:eastAsia="en-AU"/>
        </w:rPr>
      </w:pPr>
      <w:r w:rsidRPr="00FB3573">
        <w:rPr>
          <w:rFonts w:ascii="Arial" w:hAnsi="Arial" w:cs="Arial"/>
          <w:b/>
          <w:bCs/>
          <w:sz w:val="23"/>
          <w:szCs w:val="23"/>
          <w:lang w:eastAsia="en-AU"/>
        </w:rPr>
        <w:t xml:space="preserve">CLAUSE NOTES </w:t>
      </w:r>
    </w:p>
    <w:p w14:paraId="0DD1C3D4" w14:textId="77777777" w:rsidR="00652CA6" w:rsidRDefault="00652CA6" w:rsidP="004C3417">
      <w:pPr>
        <w:autoSpaceDE w:val="0"/>
        <w:autoSpaceDN w:val="0"/>
        <w:adjustRightInd w:val="0"/>
        <w:rPr>
          <w:rFonts w:ascii="Arial" w:hAnsi="Arial" w:cs="Arial"/>
          <w:b/>
          <w:bCs/>
          <w:sz w:val="23"/>
          <w:szCs w:val="23"/>
          <w:lang w:eastAsia="en-AU"/>
        </w:rPr>
      </w:pPr>
    </w:p>
    <w:p w14:paraId="5DD740E2" w14:textId="72464BAB" w:rsidR="004C3417" w:rsidRPr="00FB3573" w:rsidRDefault="004C3417" w:rsidP="004C3417">
      <w:pPr>
        <w:autoSpaceDE w:val="0"/>
        <w:autoSpaceDN w:val="0"/>
        <w:adjustRightInd w:val="0"/>
        <w:rPr>
          <w:rFonts w:ascii="Arial" w:hAnsi="Arial" w:cs="Arial"/>
          <w:sz w:val="23"/>
          <w:szCs w:val="23"/>
          <w:lang w:eastAsia="en-AU"/>
        </w:rPr>
      </w:pPr>
      <w:r w:rsidRPr="00FB3573">
        <w:rPr>
          <w:rFonts w:ascii="Arial" w:hAnsi="Arial" w:cs="Arial"/>
          <w:b/>
          <w:bCs/>
          <w:sz w:val="23"/>
          <w:szCs w:val="23"/>
          <w:lang w:eastAsia="en-AU"/>
        </w:rPr>
        <w:t xml:space="preserve">Clause 1 </w:t>
      </w:r>
      <w:r w:rsidRPr="00FB3573">
        <w:rPr>
          <w:rFonts w:ascii="Arial" w:hAnsi="Arial" w:cs="Arial"/>
          <w:b/>
          <w:bCs/>
          <w:sz w:val="23"/>
          <w:szCs w:val="23"/>
          <w:lang w:eastAsia="en-AU"/>
        </w:rPr>
        <w:tab/>
        <w:t xml:space="preserve">Name of regulation </w:t>
      </w:r>
    </w:p>
    <w:p w14:paraId="25E10F2C" w14:textId="6E821C34" w:rsidR="004C3417" w:rsidRPr="00FB3573" w:rsidRDefault="004C3417" w:rsidP="004C3417">
      <w:pPr>
        <w:autoSpaceDE w:val="0"/>
        <w:autoSpaceDN w:val="0"/>
        <w:adjustRightInd w:val="0"/>
        <w:rPr>
          <w:rFonts w:ascii="Calibri" w:hAnsi="Calibri" w:cs="Calibri"/>
          <w:sz w:val="22"/>
          <w:szCs w:val="22"/>
          <w:lang w:eastAsia="en-AU"/>
        </w:rPr>
      </w:pPr>
      <w:r w:rsidRPr="00FB3573">
        <w:rPr>
          <w:rFonts w:ascii="Calibri" w:hAnsi="Calibri" w:cs="Calibri"/>
          <w:sz w:val="22"/>
          <w:szCs w:val="22"/>
          <w:lang w:eastAsia="en-AU"/>
        </w:rPr>
        <w:t xml:space="preserve">This clause provides that the name of the regulation is the </w:t>
      </w:r>
      <w:r w:rsidR="00A66500">
        <w:rPr>
          <w:rFonts w:ascii="Calibri" w:hAnsi="Calibri" w:cs="Calibri"/>
          <w:i/>
          <w:iCs/>
          <w:sz w:val="22"/>
          <w:szCs w:val="22"/>
          <w:lang w:eastAsia="en-AU"/>
        </w:rPr>
        <w:t>Magistrates (P</w:t>
      </w:r>
      <w:r w:rsidRPr="00FB3573">
        <w:rPr>
          <w:rFonts w:ascii="Calibri" w:hAnsi="Calibri" w:cs="Calibri"/>
          <w:i/>
          <w:iCs/>
          <w:sz w:val="22"/>
          <w:szCs w:val="22"/>
          <w:lang w:eastAsia="en-AU"/>
        </w:rPr>
        <w:t xml:space="preserve">lanning </w:t>
      </w:r>
      <w:r w:rsidR="00A66500">
        <w:rPr>
          <w:rFonts w:ascii="Calibri" w:hAnsi="Calibri" w:cs="Calibri"/>
          <w:i/>
          <w:iCs/>
          <w:sz w:val="22"/>
          <w:szCs w:val="22"/>
          <w:lang w:eastAsia="en-AU"/>
        </w:rPr>
        <w:t xml:space="preserve">Infringement Notices) </w:t>
      </w:r>
      <w:r w:rsidRPr="00FB3573">
        <w:rPr>
          <w:rFonts w:ascii="Calibri" w:hAnsi="Calibri" w:cs="Calibri"/>
          <w:i/>
          <w:iCs/>
          <w:sz w:val="22"/>
          <w:szCs w:val="22"/>
          <w:lang w:eastAsia="en-AU"/>
        </w:rPr>
        <w:t>Regulation 202</w:t>
      </w:r>
      <w:r w:rsidR="00A66500">
        <w:rPr>
          <w:rFonts w:ascii="Calibri" w:hAnsi="Calibri" w:cs="Calibri"/>
          <w:i/>
          <w:iCs/>
          <w:sz w:val="22"/>
          <w:szCs w:val="22"/>
          <w:lang w:eastAsia="en-AU"/>
        </w:rPr>
        <w:t>3</w:t>
      </w:r>
      <w:r w:rsidRPr="00FB3573">
        <w:rPr>
          <w:rFonts w:ascii="Calibri" w:hAnsi="Calibri" w:cs="Calibri"/>
          <w:sz w:val="22"/>
          <w:szCs w:val="22"/>
          <w:lang w:eastAsia="en-AU"/>
        </w:rPr>
        <w:t>.</w:t>
      </w:r>
    </w:p>
    <w:p w14:paraId="7813F018" w14:textId="77777777" w:rsidR="004C3417" w:rsidRPr="00FB3573" w:rsidRDefault="004C3417" w:rsidP="004C3417">
      <w:pPr>
        <w:autoSpaceDE w:val="0"/>
        <w:autoSpaceDN w:val="0"/>
        <w:adjustRightInd w:val="0"/>
        <w:rPr>
          <w:rFonts w:ascii="Calibri" w:hAnsi="Calibri" w:cs="Calibri"/>
          <w:sz w:val="22"/>
          <w:szCs w:val="22"/>
          <w:lang w:eastAsia="en-AU"/>
        </w:rPr>
      </w:pPr>
    </w:p>
    <w:p w14:paraId="460FC222" w14:textId="54CBDECC" w:rsidR="004C3417" w:rsidRPr="00FB3573" w:rsidRDefault="004C3417" w:rsidP="004C3417">
      <w:pPr>
        <w:autoSpaceDE w:val="0"/>
        <w:autoSpaceDN w:val="0"/>
        <w:adjustRightInd w:val="0"/>
        <w:rPr>
          <w:rFonts w:ascii="Arial" w:hAnsi="Arial" w:cs="Arial"/>
          <w:sz w:val="23"/>
          <w:szCs w:val="23"/>
          <w:lang w:eastAsia="en-AU"/>
        </w:rPr>
      </w:pPr>
      <w:r w:rsidRPr="00FB3573">
        <w:rPr>
          <w:rFonts w:ascii="Arial" w:hAnsi="Arial" w:cs="Arial"/>
          <w:b/>
          <w:bCs/>
          <w:sz w:val="23"/>
          <w:szCs w:val="23"/>
          <w:lang w:eastAsia="en-AU"/>
        </w:rPr>
        <w:t xml:space="preserve">Clause 2 </w:t>
      </w:r>
      <w:r w:rsidRPr="00FB3573">
        <w:rPr>
          <w:rFonts w:ascii="Arial" w:hAnsi="Arial" w:cs="Arial"/>
          <w:b/>
          <w:bCs/>
          <w:sz w:val="23"/>
          <w:szCs w:val="23"/>
          <w:lang w:eastAsia="en-AU"/>
        </w:rPr>
        <w:tab/>
        <w:t xml:space="preserve">Commencement </w:t>
      </w:r>
    </w:p>
    <w:p w14:paraId="60634CE9" w14:textId="717AC141" w:rsidR="006B325B" w:rsidRPr="00FB3573" w:rsidRDefault="004C3417" w:rsidP="004C3417">
      <w:pPr>
        <w:autoSpaceDE w:val="0"/>
        <w:autoSpaceDN w:val="0"/>
        <w:adjustRightInd w:val="0"/>
        <w:rPr>
          <w:rFonts w:ascii="Calibri" w:hAnsi="Calibri" w:cs="Calibri"/>
          <w:sz w:val="22"/>
          <w:szCs w:val="22"/>
          <w:lang w:eastAsia="en-AU"/>
        </w:rPr>
      </w:pPr>
      <w:r w:rsidRPr="00FB3573">
        <w:rPr>
          <w:rFonts w:ascii="Calibri" w:hAnsi="Calibri" w:cs="Calibri"/>
          <w:sz w:val="22"/>
          <w:szCs w:val="22"/>
          <w:lang w:eastAsia="en-AU"/>
        </w:rPr>
        <w:t xml:space="preserve">This clause provides that the regulation commences </w:t>
      </w:r>
      <w:r w:rsidR="0010598F" w:rsidRPr="00FB3573">
        <w:rPr>
          <w:rFonts w:ascii="Calibri" w:hAnsi="Calibri" w:cs="Calibri"/>
          <w:sz w:val="22"/>
          <w:szCs w:val="22"/>
          <w:lang w:eastAsia="en-AU"/>
        </w:rPr>
        <w:t xml:space="preserve">on the commencement of the </w:t>
      </w:r>
      <w:r w:rsidR="0010598F" w:rsidRPr="002151AD">
        <w:rPr>
          <w:rFonts w:ascii="Calibri" w:hAnsi="Calibri" w:cs="Calibri"/>
          <w:i/>
          <w:iCs/>
          <w:sz w:val="22"/>
          <w:szCs w:val="22"/>
          <w:lang w:eastAsia="en-AU"/>
        </w:rPr>
        <w:t>Planning Act 202</w:t>
      </w:r>
      <w:r w:rsidR="00A66500">
        <w:rPr>
          <w:rFonts w:ascii="Calibri" w:hAnsi="Calibri" w:cs="Calibri"/>
          <w:i/>
          <w:iCs/>
          <w:sz w:val="22"/>
          <w:szCs w:val="22"/>
          <w:lang w:eastAsia="en-AU"/>
        </w:rPr>
        <w:t>3</w:t>
      </w:r>
      <w:r w:rsidR="0010598F" w:rsidRPr="00FB3573">
        <w:rPr>
          <w:rFonts w:ascii="Calibri" w:hAnsi="Calibri" w:cs="Calibri"/>
          <w:sz w:val="22"/>
          <w:szCs w:val="22"/>
          <w:lang w:eastAsia="en-AU"/>
        </w:rPr>
        <w:t xml:space="preserve">, section </w:t>
      </w:r>
      <w:r w:rsidR="00652CA6">
        <w:rPr>
          <w:rFonts w:ascii="Calibri" w:hAnsi="Calibri" w:cs="Calibri"/>
          <w:sz w:val="22"/>
          <w:szCs w:val="22"/>
          <w:lang w:eastAsia="en-AU"/>
        </w:rPr>
        <w:t>3</w:t>
      </w:r>
      <w:r w:rsidR="0010598F" w:rsidRPr="00FB3573">
        <w:rPr>
          <w:rFonts w:ascii="Calibri" w:hAnsi="Calibri" w:cs="Calibri"/>
          <w:sz w:val="22"/>
          <w:szCs w:val="22"/>
          <w:lang w:eastAsia="en-AU"/>
        </w:rPr>
        <w:t>.</w:t>
      </w:r>
    </w:p>
    <w:p w14:paraId="76DE14A2" w14:textId="77777777" w:rsidR="004C3417" w:rsidRPr="00FB3573" w:rsidRDefault="004C3417" w:rsidP="004C3417">
      <w:pPr>
        <w:autoSpaceDE w:val="0"/>
        <w:autoSpaceDN w:val="0"/>
        <w:adjustRightInd w:val="0"/>
        <w:rPr>
          <w:rFonts w:ascii="Calibri" w:hAnsi="Calibri" w:cs="Calibri"/>
          <w:sz w:val="22"/>
          <w:szCs w:val="22"/>
          <w:lang w:eastAsia="en-AU"/>
        </w:rPr>
      </w:pPr>
    </w:p>
    <w:p w14:paraId="7B527A29" w14:textId="10CB5492" w:rsidR="004C3417" w:rsidRPr="00FB3573" w:rsidRDefault="004C3417" w:rsidP="004C3417">
      <w:pPr>
        <w:autoSpaceDE w:val="0"/>
        <w:autoSpaceDN w:val="0"/>
        <w:adjustRightInd w:val="0"/>
        <w:rPr>
          <w:rFonts w:ascii="Arial" w:hAnsi="Arial" w:cs="Arial"/>
          <w:sz w:val="23"/>
          <w:szCs w:val="23"/>
          <w:lang w:eastAsia="en-AU"/>
        </w:rPr>
      </w:pPr>
      <w:r w:rsidRPr="00FB3573">
        <w:rPr>
          <w:rFonts w:ascii="Arial" w:hAnsi="Arial" w:cs="Arial"/>
          <w:b/>
          <w:bCs/>
          <w:sz w:val="23"/>
          <w:szCs w:val="23"/>
          <w:lang w:eastAsia="en-AU"/>
        </w:rPr>
        <w:t xml:space="preserve">Clause 3 </w:t>
      </w:r>
      <w:r w:rsidRPr="00FB3573">
        <w:rPr>
          <w:rFonts w:ascii="Arial" w:hAnsi="Arial" w:cs="Arial"/>
          <w:b/>
          <w:bCs/>
          <w:sz w:val="23"/>
          <w:szCs w:val="23"/>
          <w:lang w:eastAsia="en-AU"/>
        </w:rPr>
        <w:tab/>
      </w:r>
      <w:r w:rsidR="0010598F" w:rsidRPr="00FB3573">
        <w:rPr>
          <w:rFonts w:ascii="Arial" w:hAnsi="Arial" w:cs="Arial"/>
          <w:b/>
          <w:bCs/>
          <w:sz w:val="23"/>
          <w:szCs w:val="23"/>
          <w:lang w:eastAsia="en-AU"/>
        </w:rPr>
        <w:t>Dictionary</w:t>
      </w:r>
      <w:r w:rsidRPr="00FB3573">
        <w:rPr>
          <w:rFonts w:ascii="Arial" w:hAnsi="Arial" w:cs="Arial"/>
          <w:b/>
          <w:bCs/>
          <w:sz w:val="23"/>
          <w:szCs w:val="23"/>
          <w:lang w:eastAsia="en-AU"/>
        </w:rPr>
        <w:t xml:space="preserve"> </w:t>
      </w:r>
    </w:p>
    <w:p w14:paraId="26257DD8" w14:textId="0443A2BE" w:rsidR="004C3417" w:rsidRPr="00FB3573" w:rsidRDefault="004C3417" w:rsidP="004C3417">
      <w:pPr>
        <w:autoSpaceDE w:val="0"/>
        <w:autoSpaceDN w:val="0"/>
        <w:adjustRightInd w:val="0"/>
        <w:rPr>
          <w:rFonts w:ascii="Calibri" w:hAnsi="Calibri" w:cs="Calibri"/>
          <w:sz w:val="22"/>
          <w:szCs w:val="22"/>
          <w:lang w:eastAsia="en-AU"/>
        </w:rPr>
      </w:pPr>
      <w:r w:rsidRPr="00FB3573">
        <w:rPr>
          <w:rFonts w:ascii="Calibri" w:hAnsi="Calibri" w:cs="Calibri"/>
          <w:sz w:val="22"/>
          <w:szCs w:val="22"/>
          <w:lang w:eastAsia="en-AU"/>
        </w:rPr>
        <w:t xml:space="preserve">This clause provides that the </w:t>
      </w:r>
      <w:r w:rsidR="0010598F" w:rsidRPr="00FB3573">
        <w:rPr>
          <w:rFonts w:ascii="Calibri" w:hAnsi="Calibri" w:cs="Calibri"/>
          <w:sz w:val="22"/>
          <w:szCs w:val="22"/>
          <w:lang w:eastAsia="en-AU"/>
        </w:rPr>
        <w:t xml:space="preserve">dictionary at the end of the </w:t>
      </w:r>
      <w:r w:rsidRPr="00FB3573">
        <w:rPr>
          <w:rFonts w:ascii="Calibri" w:hAnsi="Calibri" w:cs="Calibri"/>
          <w:sz w:val="22"/>
          <w:szCs w:val="22"/>
          <w:lang w:eastAsia="en-AU"/>
        </w:rPr>
        <w:t>regulation</w:t>
      </w:r>
      <w:r w:rsidR="0010598F" w:rsidRPr="00FB3573">
        <w:rPr>
          <w:rFonts w:ascii="Calibri" w:hAnsi="Calibri" w:cs="Calibri"/>
          <w:sz w:val="22"/>
          <w:szCs w:val="22"/>
          <w:lang w:eastAsia="en-AU"/>
        </w:rPr>
        <w:t xml:space="preserve"> is part of the regulation. It contains</w:t>
      </w:r>
      <w:r w:rsidRPr="00FB3573">
        <w:rPr>
          <w:rFonts w:ascii="Calibri" w:hAnsi="Calibri" w:cs="Calibri"/>
          <w:sz w:val="22"/>
          <w:szCs w:val="22"/>
          <w:lang w:eastAsia="en-AU"/>
        </w:rPr>
        <w:t xml:space="preserve"> </w:t>
      </w:r>
      <w:r w:rsidR="0010598F" w:rsidRPr="00FB3573">
        <w:rPr>
          <w:rFonts w:ascii="Calibri" w:hAnsi="Calibri" w:cs="Calibri"/>
          <w:sz w:val="22"/>
          <w:szCs w:val="22"/>
          <w:lang w:eastAsia="en-AU"/>
        </w:rPr>
        <w:t>terms used in the regulation and these terms apply to the entire regulation unless a provision provides otherwise.</w:t>
      </w:r>
    </w:p>
    <w:p w14:paraId="3428D690" w14:textId="77777777" w:rsidR="004C3417" w:rsidRPr="00FB3573" w:rsidRDefault="004C3417" w:rsidP="004C3417">
      <w:pPr>
        <w:autoSpaceDE w:val="0"/>
        <w:autoSpaceDN w:val="0"/>
        <w:adjustRightInd w:val="0"/>
        <w:rPr>
          <w:rFonts w:ascii="Calibri" w:hAnsi="Calibri" w:cs="Calibri"/>
          <w:sz w:val="22"/>
          <w:szCs w:val="22"/>
          <w:lang w:eastAsia="en-AU"/>
        </w:rPr>
      </w:pPr>
    </w:p>
    <w:p w14:paraId="152DAE65" w14:textId="0D0BCDE2" w:rsidR="004C3417" w:rsidRPr="00FB3573" w:rsidRDefault="004C3417" w:rsidP="004C3417">
      <w:pPr>
        <w:pStyle w:val="Default"/>
        <w:rPr>
          <w:b/>
          <w:bCs/>
          <w:color w:val="auto"/>
          <w:sz w:val="23"/>
          <w:szCs w:val="23"/>
        </w:rPr>
      </w:pPr>
      <w:bookmarkStart w:id="8" w:name="_Hlk107846747"/>
      <w:r w:rsidRPr="00FB3573">
        <w:rPr>
          <w:rFonts w:ascii="Arial" w:hAnsi="Arial" w:cs="Arial"/>
          <w:b/>
          <w:bCs/>
          <w:color w:val="auto"/>
          <w:sz w:val="23"/>
          <w:szCs w:val="23"/>
        </w:rPr>
        <w:t xml:space="preserve">Clause 4 </w:t>
      </w:r>
      <w:r w:rsidRPr="00FB3573">
        <w:rPr>
          <w:rFonts w:ascii="Arial" w:hAnsi="Arial" w:cs="Arial"/>
          <w:b/>
          <w:bCs/>
          <w:color w:val="auto"/>
          <w:sz w:val="23"/>
          <w:szCs w:val="23"/>
        </w:rPr>
        <w:tab/>
      </w:r>
      <w:r w:rsidR="006A45D3" w:rsidRPr="00FB3573">
        <w:rPr>
          <w:rFonts w:ascii="Arial" w:hAnsi="Arial" w:cs="Arial"/>
          <w:b/>
          <w:bCs/>
          <w:color w:val="auto"/>
          <w:sz w:val="23"/>
          <w:szCs w:val="23"/>
        </w:rPr>
        <w:t>Notes</w:t>
      </w:r>
    </w:p>
    <w:p w14:paraId="31B0207D" w14:textId="5522CF17" w:rsidR="004C3417" w:rsidRPr="00FB3573" w:rsidRDefault="004C3417" w:rsidP="004C3417">
      <w:pPr>
        <w:pStyle w:val="Default"/>
        <w:rPr>
          <w:color w:val="auto"/>
          <w:sz w:val="22"/>
          <w:szCs w:val="22"/>
        </w:rPr>
      </w:pPr>
      <w:r w:rsidRPr="00FB3573">
        <w:rPr>
          <w:color w:val="auto"/>
          <w:sz w:val="22"/>
          <w:szCs w:val="22"/>
        </w:rPr>
        <w:t xml:space="preserve">This clause </w:t>
      </w:r>
      <w:r w:rsidR="006A45D3" w:rsidRPr="00FB3573">
        <w:rPr>
          <w:color w:val="auto"/>
          <w:sz w:val="22"/>
          <w:szCs w:val="22"/>
        </w:rPr>
        <w:t>provides that a note contain in the regulation is not part of the regulation. It is intended to be explanatory in nature</w:t>
      </w:r>
      <w:r w:rsidRPr="00FB3573">
        <w:rPr>
          <w:color w:val="auto"/>
          <w:sz w:val="22"/>
          <w:szCs w:val="22"/>
        </w:rPr>
        <w:t>.</w:t>
      </w:r>
    </w:p>
    <w:bookmarkEnd w:id="8"/>
    <w:p w14:paraId="31FEC7BD" w14:textId="29ECC17D" w:rsidR="00877DD5" w:rsidRPr="00FB3573" w:rsidRDefault="00877DD5" w:rsidP="004C3417">
      <w:pPr>
        <w:pStyle w:val="Default"/>
        <w:rPr>
          <w:color w:val="auto"/>
          <w:sz w:val="22"/>
          <w:szCs w:val="22"/>
        </w:rPr>
      </w:pPr>
    </w:p>
    <w:p w14:paraId="14DCA5E8" w14:textId="22D5EC4A" w:rsidR="006A45D3" w:rsidRPr="00FB3573" w:rsidRDefault="006A45D3" w:rsidP="006A45D3">
      <w:pPr>
        <w:pStyle w:val="Default"/>
        <w:rPr>
          <w:b/>
          <w:bCs/>
          <w:color w:val="auto"/>
          <w:sz w:val="23"/>
          <w:szCs w:val="23"/>
        </w:rPr>
      </w:pPr>
      <w:bookmarkStart w:id="9" w:name="_Hlk107846771"/>
      <w:bookmarkStart w:id="10" w:name="_Hlk107846804"/>
      <w:r w:rsidRPr="00FB3573">
        <w:rPr>
          <w:rFonts w:ascii="Arial" w:hAnsi="Arial" w:cs="Arial"/>
          <w:b/>
          <w:bCs/>
          <w:color w:val="auto"/>
          <w:sz w:val="23"/>
          <w:szCs w:val="23"/>
        </w:rPr>
        <w:t xml:space="preserve">Clause 5 </w:t>
      </w:r>
      <w:r w:rsidRPr="00FB3573">
        <w:rPr>
          <w:rFonts w:ascii="Arial" w:hAnsi="Arial" w:cs="Arial"/>
          <w:b/>
          <w:bCs/>
          <w:color w:val="auto"/>
          <w:sz w:val="23"/>
          <w:szCs w:val="23"/>
        </w:rPr>
        <w:tab/>
      </w:r>
      <w:r w:rsidR="00A66500">
        <w:rPr>
          <w:rFonts w:ascii="Arial" w:hAnsi="Arial" w:cs="Arial"/>
          <w:b/>
          <w:bCs/>
          <w:color w:val="auto"/>
          <w:sz w:val="23"/>
          <w:szCs w:val="23"/>
        </w:rPr>
        <w:t>Purpose of this regulation</w:t>
      </w:r>
    </w:p>
    <w:p w14:paraId="6FD570FF" w14:textId="716A4481" w:rsidR="006A45D3" w:rsidRPr="00FB3573" w:rsidRDefault="006A45D3" w:rsidP="006A45D3">
      <w:pPr>
        <w:pStyle w:val="Default"/>
        <w:rPr>
          <w:color w:val="auto"/>
          <w:sz w:val="22"/>
          <w:szCs w:val="22"/>
        </w:rPr>
      </w:pPr>
      <w:r w:rsidRPr="00FB3573">
        <w:rPr>
          <w:color w:val="auto"/>
          <w:sz w:val="22"/>
          <w:szCs w:val="22"/>
        </w:rPr>
        <w:t xml:space="preserve">This clause </w:t>
      </w:r>
      <w:r w:rsidR="00A66500">
        <w:rPr>
          <w:color w:val="auto"/>
          <w:sz w:val="22"/>
          <w:szCs w:val="22"/>
        </w:rPr>
        <w:t>sets out that its purpose is to provide for infringement notices under the Magistrates Court Ac</w:t>
      </w:r>
      <w:r w:rsidR="00720730">
        <w:rPr>
          <w:color w:val="auto"/>
          <w:sz w:val="22"/>
          <w:szCs w:val="22"/>
        </w:rPr>
        <w:t>t</w:t>
      </w:r>
      <w:r w:rsidR="00A66500">
        <w:rPr>
          <w:color w:val="auto"/>
          <w:sz w:val="22"/>
          <w:szCs w:val="22"/>
        </w:rPr>
        <w:t xml:space="preserve"> 1930</w:t>
      </w:r>
      <w:r w:rsidR="00720730">
        <w:rPr>
          <w:color w:val="auto"/>
          <w:sz w:val="22"/>
          <w:szCs w:val="22"/>
        </w:rPr>
        <w:t>, part 3.8</w:t>
      </w:r>
      <w:r w:rsidR="00A66500">
        <w:rPr>
          <w:color w:val="auto"/>
          <w:sz w:val="22"/>
          <w:szCs w:val="22"/>
        </w:rPr>
        <w:t xml:space="preserve"> for certain offences against the </w:t>
      </w:r>
      <w:r w:rsidR="00A66500" w:rsidRPr="00652CA6">
        <w:rPr>
          <w:i/>
          <w:iCs/>
          <w:color w:val="auto"/>
          <w:sz w:val="22"/>
          <w:szCs w:val="22"/>
        </w:rPr>
        <w:t>Planning Act 2023</w:t>
      </w:r>
      <w:r w:rsidR="00A66500">
        <w:rPr>
          <w:color w:val="auto"/>
          <w:sz w:val="22"/>
          <w:szCs w:val="22"/>
        </w:rPr>
        <w:t>.</w:t>
      </w:r>
    </w:p>
    <w:bookmarkEnd w:id="9"/>
    <w:p w14:paraId="7AC7A00A" w14:textId="57539259" w:rsidR="006A45D3" w:rsidRPr="00FB3573" w:rsidRDefault="006A45D3" w:rsidP="004C3417">
      <w:pPr>
        <w:pStyle w:val="Default"/>
        <w:rPr>
          <w:color w:val="auto"/>
          <w:sz w:val="22"/>
          <w:szCs w:val="22"/>
        </w:rPr>
      </w:pPr>
    </w:p>
    <w:p w14:paraId="06FC75D8" w14:textId="67A19574" w:rsidR="006A45D3" w:rsidRPr="00FB3573" w:rsidRDefault="006A45D3" w:rsidP="006A45D3">
      <w:pPr>
        <w:pStyle w:val="Default"/>
        <w:rPr>
          <w:b/>
          <w:bCs/>
          <w:color w:val="auto"/>
          <w:sz w:val="23"/>
          <w:szCs w:val="23"/>
        </w:rPr>
      </w:pPr>
      <w:bookmarkStart w:id="11" w:name="_Hlk130205058"/>
      <w:r w:rsidRPr="00FB3573">
        <w:rPr>
          <w:rFonts w:ascii="Arial" w:hAnsi="Arial" w:cs="Arial"/>
          <w:b/>
          <w:bCs/>
          <w:color w:val="auto"/>
          <w:sz w:val="23"/>
          <w:szCs w:val="23"/>
        </w:rPr>
        <w:lastRenderedPageBreak/>
        <w:t xml:space="preserve">Clause </w:t>
      </w:r>
      <w:r w:rsidR="00226B7F" w:rsidRPr="00FB3573">
        <w:rPr>
          <w:rFonts w:ascii="Arial" w:hAnsi="Arial" w:cs="Arial"/>
          <w:b/>
          <w:bCs/>
          <w:color w:val="auto"/>
          <w:sz w:val="23"/>
          <w:szCs w:val="23"/>
        </w:rPr>
        <w:t>6</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sidR="00A66500">
        <w:rPr>
          <w:rFonts w:ascii="Arial" w:hAnsi="Arial" w:cs="Arial"/>
          <w:b/>
          <w:bCs/>
          <w:color w:val="auto"/>
          <w:sz w:val="23"/>
          <w:szCs w:val="23"/>
        </w:rPr>
        <w:t>Administering authority</w:t>
      </w:r>
    </w:p>
    <w:p w14:paraId="3C223DC5" w14:textId="1F700F50" w:rsidR="006A45D3" w:rsidRDefault="00A66500" w:rsidP="004C3417">
      <w:pPr>
        <w:pStyle w:val="Default"/>
        <w:rPr>
          <w:color w:val="auto"/>
          <w:sz w:val="22"/>
          <w:szCs w:val="22"/>
        </w:rPr>
      </w:pPr>
      <w:r>
        <w:rPr>
          <w:color w:val="auto"/>
          <w:sz w:val="22"/>
          <w:szCs w:val="22"/>
        </w:rPr>
        <w:t>T</w:t>
      </w:r>
      <w:r w:rsidR="006A45D3" w:rsidRPr="00FB3573">
        <w:rPr>
          <w:color w:val="auto"/>
          <w:sz w:val="22"/>
          <w:szCs w:val="22"/>
        </w:rPr>
        <w:t xml:space="preserve">his clause </w:t>
      </w:r>
      <w:r w:rsidR="006B325B">
        <w:rPr>
          <w:color w:val="auto"/>
          <w:sz w:val="22"/>
          <w:szCs w:val="22"/>
        </w:rPr>
        <w:t>provides for the territory planning authority to be the administrating authority in relation to the issue of infringement notices under this regulation.</w:t>
      </w:r>
    </w:p>
    <w:p w14:paraId="29083A9E" w14:textId="0608F604" w:rsidR="007171BC" w:rsidRDefault="007171BC" w:rsidP="004C3417">
      <w:pPr>
        <w:pStyle w:val="Default"/>
        <w:rPr>
          <w:color w:val="auto"/>
          <w:sz w:val="22"/>
          <w:szCs w:val="22"/>
        </w:rPr>
      </w:pPr>
    </w:p>
    <w:p w14:paraId="1911A17D" w14:textId="40784D27" w:rsidR="007171BC" w:rsidRDefault="007171BC" w:rsidP="007171BC">
      <w:pPr>
        <w:pStyle w:val="Default"/>
        <w:rPr>
          <w:color w:val="auto"/>
          <w:sz w:val="22"/>
          <w:szCs w:val="22"/>
        </w:rPr>
      </w:pPr>
      <w:r>
        <w:rPr>
          <w:color w:val="auto"/>
          <w:sz w:val="22"/>
          <w:szCs w:val="22"/>
        </w:rPr>
        <w:t xml:space="preserve">This clause also provides for the term </w:t>
      </w:r>
      <w:r>
        <w:rPr>
          <w:b/>
          <w:bCs/>
          <w:i/>
          <w:iCs/>
          <w:color w:val="auto"/>
          <w:sz w:val="22"/>
          <w:szCs w:val="22"/>
        </w:rPr>
        <w:t>territory planning authority</w:t>
      </w:r>
      <w:r>
        <w:rPr>
          <w:color w:val="auto"/>
          <w:sz w:val="22"/>
          <w:szCs w:val="22"/>
        </w:rPr>
        <w:t xml:space="preserve"> used in this clause to have the same meaning as in the </w:t>
      </w:r>
      <w:r>
        <w:rPr>
          <w:i/>
          <w:iCs/>
          <w:color w:val="auto"/>
          <w:sz w:val="22"/>
          <w:szCs w:val="22"/>
        </w:rPr>
        <w:t xml:space="preserve">Planning </w:t>
      </w:r>
      <w:r w:rsidRPr="00720730">
        <w:rPr>
          <w:i/>
          <w:iCs/>
          <w:color w:val="auto"/>
          <w:sz w:val="22"/>
          <w:szCs w:val="22"/>
        </w:rPr>
        <w:t>Act 202</w:t>
      </w:r>
      <w:r>
        <w:rPr>
          <w:i/>
          <w:iCs/>
          <w:color w:val="auto"/>
          <w:sz w:val="22"/>
          <w:szCs w:val="22"/>
        </w:rPr>
        <w:t>3</w:t>
      </w:r>
      <w:r>
        <w:rPr>
          <w:color w:val="auto"/>
          <w:sz w:val="22"/>
          <w:szCs w:val="22"/>
        </w:rPr>
        <w:t>.</w:t>
      </w:r>
    </w:p>
    <w:bookmarkEnd w:id="11"/>
    <w:p w14:paraId="443DBDC9" w14:textId="0FA6931A" w:rsidR="00A66500" w:rsidRDefault="00A66500" w:rsidP="004C3417">
      <w:pPr>
        <w:pStyle w:val="Default"/>
        <w:rPr>
          <w:color w:val="auto"/>
          <w:sz w:val="22"/>
          <w:szCs w:val="22"/>
        </w:rPr>
      </w:pPr>
    </w:p>
    <w:p w14:paraId="02CDB6DE" w14:textId="79565E8D" w:rsidR="00A66500" w:rsidRPr="00FB3573" w:rsidRDefault="00A66500" w:rsidP="00A66500">
      <w:pPr>
        <w:pStyle w:val="Default"/>
        <w:rPr>
          <w:b/>
          <w:bCs/>
          <w:color w:val="auto"/>
          <w:sz w:val="23"/>
          <w:szCs w:val="23"/>
        </w:rPr>
      </w:pPr>
      <w:r w:rsidRPr="00FB3573">
        <w:rPr>
          <w:rFonts w:ascii="Arial" w:hAnsi="Arial" w:cs="Arial"/>
          <w:b/>
          <w:bCs/>
          <w:color w:val="auto"/>
          <w:sz w:val="23"/>
          <w:szCs w:val="23"/>
        </w:rPr>
        <w:t xml:space="preserve">Clause </w:t>
      </w:r>
      <w:r>
        <w:rPr>
          <w:rFonts w:ascii="Arial" w:hAnsi="Arial" w:cs="Arial"/>
          <w:b/>
          <w:bCs/>
          <w:color w:val="auto"/>
          <w:sz w:val="23"/>
          <w:szCs w:val="23"/>
        </w:rPr>
        <w:t>7</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Pr>
          <w:rFonts w:ascii="Arial" w:hAnsi="Arial" w:cs="Arial"/>
          <w:b/>
          <w:bCs/>
          <w:color w:val="auto"/>
          <w:sz w:val="23"/>
          <w:szCs w:val="23"/>
        </w:rPr>
        <w:t>Infringement notice offences</w:t>
      </w:r>
    </w:p>
    <w:p w14:paraId="28ED0AD0" w14:textId="58BD0D2A" w:rsidR="00A66500" w:rsidRDefault="00A66500" w:rsidP="00A66500">
      <w:pPr>
        <w:pStyle w:val="Default"/>
        <w:rPr>
          <w:color w:val="auto"/>
          <w:sz w:val="22"/>
          <w:szCs w:val="22"/>
        </w:rPr>
      </w:pPr>
      <w:r>
        <w:rPr>
          <w:color w:val="auto"/>
          <w:sz w:val="22"/>
          <w:szCs w:val="22"/>
        </w:rPr>
        <w:t>T</w:t>
      </w:r>
      <w:r w:rsidRPr="00FB3573">
        <w:rPr>
          <w:color w:val="auto"/>
          <w:sz w:val="22"/>
          <w:szCs w:val="22"/>
        </w:rPr>
        <w:t xml:space="preserve">his clause </w:t>
      </w:r>
      <w:r w:rsidR="00720730">
        <w:rPr>
          <w:color w:val="auto"/>
          <w:sz w:val="22"/>
          <w:szCs w:val="22"/>
        </w:rPr>
        <w:t xml:space="preserve">provides for the Magistrates Court Act 1930, part 3.9 applies to an offence against a provision of the </w:t>
      </w:r>
      <w:r w:rsidR="00720730" w:rsidRPr="00652CA6">
        <w:rPr>
          <w:i/>
          <w:iCs/>
          <w:color w:val="auto"/>
          <w:sz w:val="22"/>
          <w:szCs w:val="22"/>
        </w:rPr>
        <w:t>Planning Act 2023</w:t>
      </w:r>
      <w:r w:rsidR="00720730">
        <w:rPr>
          <w:color w:val="auto"/>
          <w:sz w:val="22"/>
          <w:szCs w:val="22"/>
        </w:rPr>
        <w:t xml:space="preserve"> mentioned in the regulation at schedule 1, column 2.</w:t>
      </w:r>
    </w:p>
    <w:p w14:paraId="04660013" w14:textId="581D9225" w:rsidR="00A66500" w:rsidRDefault="00A66500" w:rsidP="004C3417">
      <w:pPr>
        <w:pStyle w:val="Default"/>
        <w:rPr>
          <w:color w:val="auto"/>
          <w:sz w:val="22"/>
          <w:szCs w:val="22"/>
        </w:rPr>
      </w:pPr>
    </w:p>
    <w:p w14:paraId="28C48ED4" w14:textId="65502EB6" w:rsidR="00A66500" w:rsidRPr="00FB3573" w:rsidRDefault="00A66500" w:rsidP="00A66500">
      <w:pPr>
        <w:pStyle w:val="Default"/>
        <w:rPr>
          <w:b/>
          <w:bCs/>
          <w:color w:val="auto"/>
          <w:sz w:val="23"/>
          <w:szCs w:val="23"/>
        </w:rPr>
      </w:pPr>
      <w:r w:rsidRPr="00FB3573">
        <w:rPr>
          <w:rFonts w:ascii="Arial" w:hAnsi="Arial" w:cs="Arial"/>
          <w:b/>
          <w:bCs/>
          <w:color w:val="auto"/>
          <w:sz w:val="23"/>
          <w:szCs w:val="23"/>
        </w:rPr>
        <w:t xml:space="preserve">Clause </w:t>
      </w:r>
      <w:r>
        <w:rPr>
          <w:rFonts w:ascii="Arial" w:hAnsi="Arial" w:cs="Arial"/>
          <w:b/>
          <w:bCs/>
          <w:color w:val="auto"/>
          <w:sz w:val="23"/>
          <w:szCs w:val="23"/>
        </w:rPr>
        <w:t>8</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Pr>
          <w:rFonts w:ascii="Arial" w:hAnsi="Arial" w:cs="Arial"/>
          <w:b/>
          <w:bCs/>
          <w:color w:val="auto"/>
          <w:sz w:val="23"/>
          <w:szCs w:val="23"/>
        </w:rPr>
        <w:t>Infringement notice penalties</w:t>
      </w:r>
    </w:p>
    <w:p w14:paraId="17A82D84" w14:textId="3F062EE2" w:rsidR="00A66500" w:rsidRDefault="00A66500" w:rsidP="00A66500">
      <w:pPr>
        <w:pStyle w:val="Default"/>
        <w:rPr>
          <w:color w:val="auto"/>
          <w:sz w:val="22"/>
          <w:szCs w:val="22"/>
        </w:rPr>
      </w:pPr>
      <w:r>
        <w:rPr>
          <w:color w:val="auto"/>
          <w:sz w:val="22"/>
          <w:szCs w:val="22"/>
        </w:rPr>
        <w:t>T</w:t>
      </w:r>
      <w:r w:rsidRPr="00FB3573">
        <w:rPr>
          <w:color w:val="auto"/>
          <w:sz w:val="22"/>
          <w:szCs w:val="22"/>
        </w:rPr>
        <w:t xml:space="preserve">his clause </w:t>
      </w:r>
      <w:r w:rsidR="00720730">
        <w:rPr>
          <w:color w:val="auto"/>
          <w:sz w:val="22"/>
          <w:szCs w:val="22"/>
        </w:rPr>
        <w:t>provides for the penalties for an offence under a relevant infringement notice for an individual is prescribed in schedule 1, column 4, of the regulation and that the respective penalty for a corporation in that circumstances is 5 times the amount prescribed in column 4.</w:t>
      </w:r>
    </w:p>
    <w:p w14:paraId="017C8CF5" w14:textId="29E6D3E8" w:rsidR="00A66500" w:rsidRDefault="00A66500" w:rsidP="004C3417">
      <w:pPr>
        <w:pStyle w:val="Default"/>
        <w:rPr>
          <w:color w:val="auto"/>
          <w:sz w:val="22"/>
          <w:szCs w:val="22"/>
        </w:rPr>
      </w:pPr>
    </w:p>
    <w:p w14:paraId="4C32BEFA" w14:textId="518357EA" w:rsidR="00A66500" w:rsidRPr="00FB3573" w:rsidRDefault="00A66500" w:rsidP="00A66500">
      <w:pPr>
        <w:pStyle w:val="Default"/>
        <w:rPr>
          <w:b/>
          <w:bCs/>
          <w:color w:val="auto"/>
          <w:sz w:val="23"/>
          <w:szCs w:val="23"/>
        </w:rPr>
      </w:pPr>
      <w:r w:rsidRPr="00FB3573">
        <w:rPr>
          <w:rFonts w:ascii="Arial" w:hAnsi="Arial" w:cs="Arial"/>
          <w:b/>
          <w:bCs/>
          <w:color w:val="auto"/>
          <w:sz w:val="23"/>
          <w:szCs w:val="23"/>
        </w:rPr>
        <w:t xml:space="preserve">Clause </w:t>
      </w:r>
      <w:r>
        <w:rPr>
          <w:rFonts w:ascii="Arial" w:hAnsi="Arial" w:cs="Arial"/>
          <w:b/>
          <w:bCs/>
          <w:color w:val="auto"/>
          <w:sz w:val="23"/>
          <w:szCs w:val="23"/>
        </w:rPr>
        <w:t>9</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Pr>
          <w:rFonts w:ascii="Arial" w:hAnsi="Arial" w:cs="Arial"/>
          <w:b/>
          <w:bCs/>
          <w:color w:val="auto"/>
          <w:sz w:val="23"/>
          <w:szCs w:val="23"/>
        </w:rPr>
        <w:t>Contents of infringement notice–identifying authorised person</w:t>
      </w:r>
    </w:p>
    <w:p w14:paraId="51D54D38" w14:textId="7494DADB" w:rsidR="00A66500" w:rsidRDefault="00A66500" w:rsidP="00A66500">
      <w:pPr>
        <w:pStyle w:val="Default"/>
        <w:rPr>
          <w:color w:val="auto"/>
          <w:sz w:val="22"/>
          <w:szCs w:val="22"/>
        </w:rPr>
      </w:pPr>
      <w:r>
        <w:rPr>
          <w:color w:val="auto"/>
          <w:sz w:val="22"/>
          <w:szCs w:val="22"/>
        </w:rPr>
        <w:t>T</w:t>
      </w:r>
      <w:r w:rsidRPr="00FB3573">
        <w:rPr>
          <w:color w:val="auto"/>
          <w:sz w:val="22"/>
          <w:szCs w:val="22"/>
        </w:rPr>
        <w:t xml:space="preserve">his clause </w:t>
      </w:r>
      <w:r w:rsidR="00720730">
        <w:rPr>
          <w:color w:val="auto"/>
          <w:sz w:val="22"/>
          <w:szCs w:val="22"/>
        </w:rPr>
        <w:t>provides for the infringement notice must fully identify the authorised person. Such identification could be by stating the authorised person’s full name or the person’s surname and initials, or by stating a unique number given, for the regulation, to the authorised person by the administering authority.</w:t>
      </w:r>
    </w:p>
    <w:p w14:paraId="175C328A" w14:textId="3C0BBEF4" w:rsidR="00A66500" w:rsidRDefault="00A66500" w:rsidP="004C3417">
      <w:pPr>
        <w:pStyle w:val="Default"/>
        <w:rPr>
          <w:color w:val="auto"/>
          <w:sz w:val="22"/>
          <w:szCs w:val="22"/>
        </w:rPr>
      </w:pPr>
    </w:p>
    <w:p w14:paraId="7F00335C" w14:textId="2F5C2DC3" w:rsidR="00A66500" w:rsidRPr="00FB3573" w:rsidRDefault="00A66500" w:rsidP="00A66500">
      <w:pPr>
        <w:pStyle w:val="Default"/>
        <w:rPr>
          <w:b/>
          <w:bCs/>
          <w:color w:val="auto"/>
          <w:sz w:val="23"/>
          <w:szCs w:val="23"/>
        </w:rPr>
      </w:pPr>
      <w:r w:rsidRPr="00FB3573">
        <w:rPr>
          <w:rFonts w:ascii="Arial" w:hAnsi="Arial" w:cs="Arial"/>
          <w:b/>
          <w:bCs/>
          <w:color w:val="auto"/>
          <w:sz w:val="23"/>
          <w:szCs w:val="23"/>
        </w:rPr>
        <w:t xml:space="preserve">Clause </w:t>
      </w:r>
      <w:r>
        <w:rPr>
          <w:rFonts w:ascii="Arial" w:hAnsi="Arial" w:cs="Arial"/>
          <w:b/>
          <w:bCs/>
          <w:color w:val="auto"/>
          <w:sz w:val="23"/>
          <w:szCs w:val="23"/>
        </w:rPr>
        <w:t>10</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Pr>
          <w:rFonts w:ascii="Arial" w:hAnsi="Arial" w:cs="Arial"/>
          <w:b/>
          <w:bCs/>
          <w:color w:val="auto"/>
          <w:sz w:val="23"/>
          <w:szCs w:val="23"/>
        </w:rPr>
        <w:t>Contents of infringement notices–other information</w:t>
      </w:r>
    </w:p>
    <w:p w14:paraId="45BF3E57" w14:textId="58A0361D" w:rsidR="00A66500" w:rsidRDefault="00A66500" w:rsidP="00A66500">
      <w:pPr>
        <w:pStyle w:val="Default"/>
        <w:rPr>
          <w:color w:val="auto"/>
          <w:sz w:val="22"/>
          <w:szCs w:val="22"/>
        </w:rPr>
      </w:pPr>
      <w:r>
        <w:rPr>
          <w:color w:val="auto"/>
          <w:sz w:val="22"/>
          <w:szCs w:val="22"/>
        </w:rPr>
        <w:t>T</w:t>
      </w:r>
      <w:r w:rsidRPr="00FB3573">
        <w:rPr>
          <w:color w:val="auto"/>
          <w:sz w:val="22"/>
          <w:szCs w:val="22"/>
        </w:rPr>
        <w:t xml:space="preserve">his clause </w:t>
      </w:r>
      <w:r w:rsidR="00720730">
        <w:rPr>
          <w:color w:val="auto"/>
          <w:sz w:val="22"/>
          <w:szCs w:val="22"/>
        </w:rPr>
        <w:t>provides for additional information, other than the offence and penalty, which must be provided in a relevant infringement notice. The additional information is as follows:</w:t>
      </w:r>
    </w:p>
    <w:p w14:paraId="1548DE3D" w14:textId="27828CA0" w:rsidR="00720730" w:rsidRDefault="00720730" w:rsidP="00A66500">
      <w:pPr>
        <w:pStyle w:val="Default"/>
        <w:rPr>
          <w:color w:val="auto"/>
          <w:sz w:val="22"/>
          <w:szCs w:val="22"/>
        </w:rPr>
      </w:pPr>
    </w:p>
    <w:p w14:paraId="56598E05" w14:textId="047B7576" w:rsidR="00720730" w:rsidRDefault="00720730" w:rsidP="00720730">
      <w:pPr>
        <w:pStyle w:val="Default"/>
        <w:numPr>
          <w:ilvl w:val="0"/>
          <w:numId w:val="14"/>
        </w:numPr>
        <w:rPr>
          <w:color w:val="auto"/>
          <w:sz w:val="22"/>
          <w:szCs w:val="22"/>
        </w:rPr>
      </w:pPr>
      <w:r>
        <w:rPr>
          <w:color w:val="auto"/>
          <w:sz w:val="22"/>
          <w:szCs w:val="22"/>
        </w:rPr>
        <w:t>for an infringement notice served on a company – the company’s A.C.N.</w:t>
      </w:r>
    </w:p>
    <w:p w14:paraId="76D3B865" w14:textId="15E235F3" w:rsidR="00720730" w:rsidRDefault="00720730" w:rsidP="00A66500">
      <w:pPr>
        <w:pStyle w:val="Default"/>
        <w:rPr>
          <w:color w:val="auto"/>
          <w:sz w:val="22"/>
          <w:szCs w:val="22"/>
        </w:rPr>
      </w:pPr>
    </w:p>
    <w:p w14:paraId="223C5F5B" w14:textId="604BE64F" w:rsidR="00720730" w:rsidRDefault="00720730" w:rsidP="00A66500">
      <w:pPr>
        <w:pStyle w:val="Default"/>
        <w:rPr>
          <w:color w:val="auto"/>
          <w:sz w:val="22"/>
          <w:szCs w:val="22"/>
        </w:rPr>
      </w:pPr>
      <w:r>
        <w:rPr>
          <w:color w:val="auto"/>
          <w:sz w:val="22"/>
          <w:szCs w:val="22"/>
        </w:rPr>
        <w:t xml:space="preserve">This requirement is additional to the requirement under the </w:t>
      </w:r>
      <w:r w:rsidRPr="00720730">
        <w:rPr>
          <w:i/>
          <w:iCs/>
          <w:color w:val="auto"/>
          <w:sz w:val="22"/>
          <w:szCs w:val="22"/>
        </w:rPr>
        <w:t>Magistrates Court Act 1930</w:t>
      </w:r>
      <w:r>
        <w:rPr>
          <w:color w:val="auto"/>
          <w:sz w:val="22"/>
          <w:szCs w:val="22"/>
        </w:rPr>
        <w:t>, s 121(1)(c).</w:t>
      </w:r>
    </w:p>
    <w:p w14:paraId="5ACF48F4" w14:textId="7C7886C1" w:rsidR="00720730" w:rsidRDefault="00720730" w:rsidP="00A66500">
      <w:pPr>
        <w:pStyle w:val="Default"/>
        <w:rPr>
          <w:color w:val="auto"/>
          <w:sz w:val="22"/>
          <w:szCs w:val="22"/>
        </w:rPr>
      </w:pPr>
    </w:p>
    <w:p w14:paraId="36D69931" w14:textId="5C9AB796" w:rsidR="00720730" w:rsidRDefault="00720730" w:rsidP="00A66500">
      <w:pPr>
        <w:pStyle w:val="Default"/>
        <w:rPr>
          <w:color w:val="auto"/>
          <w:sz w:val="22"/>
          <w:szCs w:val="22"/>
        </w:rPr>
      </w:pPr>
      <w:r>
        <w:rPr>
          <w:color w:val="auto"/>
          <w:sz w:val="22"/>
          <w:szCs w:val="22"/>
        </w:rPr>
        <w:t xml:space="preserve">This clause also provides for the term </w:t>
      </w:r>
      <w:r w:rsidRPr="00720730">
        <w:rPr>
          <w:b/>
          <w:bCs/>
          <w:i/>
          <w:iCs/>
          <w:color w:val="auto"/>
          <w:sz w:val="22"/>
          <w:szCs w:val="22"/>
        </w:rPr>
        <w:t>company</w:t>
      </w:r>
      <w:r>
        <w:rPr>
          <w:color w:val="auto"/>
          <w:sz w:val="22"/>
          <w:szCs w:val="22"/>
        </w:rPr>
        <w:t xml:space="preserve"> and </w:t>
      </w:r>
      <w:r w:rsidRPr="00720730">
        <w:rPr>
          <w:b/>
          <w:bCs/>
          <w:i/>
          <w:iCs/>
          <w:color w:val="auto"/>
          <w:sz w:val="22"/>
          <w:szCs w:val="22"/>
        </w:rPr>
        <w:t>A</w:t>
      </w:r>
      <w:r>
        <w:rPr>
          <w:b/>
          <w:bCs/>
          <w:i/>
          <w:iCs/>
          <w:color w:val="auto"/>
          <w:sz w:val="22"/>
          <w:szCs w:val="22"/>
        </w:rPr>
        <w:t>.</w:t>
      </w:r>
      <w:r w:rsidRPr="00720730">
        <w:rPr>
          <w:b/>
          <w:bCs/>
          <w:i/>
          <w:iCs/>
          <w:color w:val="auto"/>
          <w:sz w:val="22"/>
          <w:szCs w:val="22"/>
        </w:rPr>
        <w:t>C</w:t>
      </w:r>
      <w:r>
        <w:rPr>
          <w:b/>
          <w:bCs/>
          <w:i/>
          <w:iCs/>
          <w:color w:val="auto"/>
          <w:sz w:val="22"/>
          <w:szCs w:val="22"/>
        </w:rPr>
        <w:t>.</w:t>
      </w:r>
      <w:r w:rsidRPr="00720730">
        <w:rPr>
          <w:b/>
          <w:bCs/>
          <w:i/>
          <w:iCs/>
          <w:color w:val="auto"/>
          <w:sz w:val="22"/>
          <w:szCs w:val="22"/>
        </w:rPr>
        <w:t>N</w:t>
      </w:r>
      <w:r>
        <w:rPr>
          <w:b/>
          <w:bCs/>
          <w:i/>
          <w:iCs/>
          <w:color w:val="auto"/>
          <w:sz w:val="22"/>
          <w:szCs w:val="22"/>
        </w:rPr>
        <w:t>.</w:t>
      </w:r>
      <w:r>
        <w:rPr>
          <w:color w:val="auto"/>
          <w:sz w:val="22"/>
          <w:szCs w:val="22"/>
        </w:rPr>
        <w:t xml:space="preserve"> used in this clause to </w:t>
      </w:r>
      <w:r w:rsidR="007171BC">
        <w:rPr>
          <w:color w:val="auto"/>
          <w:sz w:val="22"/>
          <w:szCs w:val="22"/>
        </w:rPr>
        <w:t xml:space="preserve">have the same meaning as in </w:t>
      </w:r>
      <w:r>
        <w:rPr>
          <w:color w:val="auto"/>
          <w:sz w:val="22"/>
          <w:szCs w:val="22"/>
        </w:rPr>
        <w:t xml:space="preserve">the </w:t>
      </w:r>
      <w:r w:rsidRPr="00720730">
        <w:rPr>
          <w:i/>
          <w:iCs/>
          <w:color w:val="auto"/>
          <w:sz w:val="22"/>
          <w:szCs w:val="22"/>
        </w:rPr>
        <w:t>Corporations Act 2002</w:t>
      </w:r>
      <w:r>
        <w:rPr>
          <w:color w:val="auto"/>
          <w:sz w:val="22"/>
          <w:szCs w:val="22"/>
        </w:rPr>
        <w:t xml:space="preserve"> (Commonwealth).</w:t>
      </w:r>
    </w:p>
    <w:p w14:paraId="77559A5F" w14:textId="2A101E88" w:rsidR="00720730" w:rsidRDefault="00720730" w:rsidP="00A66500">
      <w:pPr>
        <w:pStyle w:val="Default"/>
        <w:rPr>
          <w:color w:val="auto"/>
          <w:sz w:val="22"/>
          <w:szCs w:val="22"/>
        </w:rPr>
      </w:pPr>
    </w:p>
    <w:p w14:paraId="54C77B6D" w14:textId="3E67DA1A" w:rsidR="00A66500" w:rsidRPr="00FB3573" w:rsidRDefault="00A66500" w:rsidP="00A66500">
      <w:pPr>
        <w:pStyle w:val="Default"/>
        <w:rPr>
          <w:b/>
          <w:bCs/>
          <w:color w:val="auto"/>
          <w:sz w:val="23"/>
          <w:szCs w:val="23"/>
        </w:rPr>
      </w:pPr>
      <w:r w:rsidRPr="00FB3573">
        <w:rPr>
          <w:rFonts w:ascii="Arial" w:hAnsi="Arial" w:cs="Arial"/>
          <w:b/>
          <w:bCs/>
          <w:color w:val="auto"/>
          <w:sz w:val="23"/>
          <w:szCs w:val="23"/>
        </w:rPr>
        <w:t xml:space="preserve">Clause </w:t>
      </w:r>
      <w:r>
        <w:rPr>
          <w:rFonts w:ascii="Arial" w:hAnsi="Arial" w:cs="Arial"/>
          <w:b/>
          <w:bCs/>
          <w:color w:val="auto"/>
          <w:sz w:val="23"/>
          <w:szCs w:val="23"/>
        </w:rPr>
        <w:t>11</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Pr>
          <w:rFonts w:ascii="Arial" w:hAnsi="Arial" w:cs="Arial"/>
          <w:b/>
          <w:bCs/>
          <w:color w:val="auto"/>
          <w:sz w:val="23"/>
          <w:szCs w:val="23"/>
        </w:rPr>
        <w:t>Contents of reminder notices – identifying authorised person</w:t>
      </w:r>
    </w:p>
    <w:p w14:paraId="5B1600A9" w14:textId="77777777" w:rsidR="00720730" w:rsidRDefault="00A66500" w:rsidP="00720730">
      <w:pPr>
        <w:pStyle w:val="Default"/>
        <w:rPr>
          <w:color w:val="auto"/>
          <w:sz w:val="22"/>
          <w:szCs w:val="22"/>
        </w:rPr>
      </w:pPr>
      <w:r>
        <w:rPr>
          <w:color w:val="auto"/>
          <w:sz w:val="22"/>
          <w:szCs w:val="22"/>
        </w:rPr>
        <w:t>T</w:t>
      </w:r>
      <w:r w:rsidRPr="00FB3573">
        <w:rPr>
          <w:color w:val="auto"/>
          <w:sz w:val="22"/>
          <w:szCs w:val="22"/>
        </w:rPr>
        <w:t xml:space="preserve">his clause </w:t>
      </w:r>
      <w:r w:rsidR="00720730">
        <w:rPr>
          <w:color w:val="auto"/>
          <w:sz w:val="22"/>
          <w:szCs w:val="22"/>
        </w:rPr>
        <w:t>provides for a reminder notice must fully identify the authorised person. Such identification could be by stating the authorised person’s full name or the person’s surname and initials, or by stating a unique number given, for the regulation, to the authorised person by the administering authority.</w:t>
      </w:r>
    </w:p>
    <w:p w14:paraId="02079280" w14:textId="778BE5E7" w:rsidR="00A66500" w:rsidRDefault="00A66500" w:rsidP="004C3417">
      <w:pPr>
        <w:pStyle w:val="Default"/>
        <w:rPr>
          <w:color w:val="auto"/>
          <w:sz w:val="22"/>
          <w:szCs w:val="22"/>
        </w:rPr>
      </w:pPr>
    </w:p>
    <w:p w14:paraId="6750C724" w14:textId="4C9BC737" w:rsidR="00A66500" w:rsidRPr="00FB3573" w:rsidRDefault="00A66500" w:rsidP="00A66500">
      <w:pPr>
        <w:pStyle w:val="Default"/>
        <w:rPr>
          <w:b/>
          <w:bCs/>
          <w:color w:val="auto"/>
          <w:sz w:val="23"/>
          <w:szCs w:val="23"/>
        </w:rPr>
      </w:pPr>
      <w:r w:rsidRPr="00FB3573">
        <w:rPr>
          <w:rFonts w:ascii="Arial" w:hAnsi="Arial" w:cs="Arial"/>
          <w:b/>
          <w:bCs/>
          <w:color w:val="auto"/>
          <w:sz w:val="23"/>
          <w:szCs w:val="23"/>
        </w:rPr>
        <w:t xml:space="preserve">Clause </w:t>
      </w:r>
      <w:r>
        <w:rPr>
          <w:rFonts w:ascii="Arial" w:hAnsi="Arial" w:cs="Arial"/>
          <w:b/>
          <w:bCs/>
          <w:color w:val="auto"/>
          <w:sz w:val="23"/>
          <w:szCs w:val="23"/>
        </w:rPr>
        <w:t>12</w:t>
      </w:r>
      <w:r w:rsidRPr="00FB3573">
        <w:rPr>
          <w:rFonts w:ascii="Arial" w:hAnsi="Arial" w:cs="Arial"/>
          <w:b/>
          <w:bCs/>
          <w:color w:val="auto"/>
          <w:sz w:val="23"/>
          <w:szCs w:val="23"/>
        </w:rPr>
        <w:t xml:space="preserve"> </w:t>
      </w:r>
      <w:r w:rsidRPr="00FB3573">
        <w:rPr>
          <w:rFonts w:ascii="Arial" w:hAnsi="Arial" w:cs="Arial"/>
          <w:b/>
          <w:bCs/>
          <w:color w:val="auto"/>
          <w:sz w:val="23"/>
          <w:szCs w:val="23"/>
        </w:rPr>
        <w:tab/>
      </w:r>
      <w:r>
        <w:rPr>
          <w:rFonts w:ascii="Arial" w:hAnsi="Arial" w:cs="Arial"/>
          <w:b/>
          <w:bCs/>
          <w:color w:val="auto"/>
          <w:sz w:val="23"/>
          <w:szCs w:val="23"/>
        </w:rPr>
        <w:t>Authorised people for infringement notice offences</w:t>
      </w:r>
    </w:p>
    <w:p w14:paraId="20F48B7E" w14:textId="1A322569" w:rsidR="00A66500" w:rsidRDefault="00A66500" w:rsidP="00A66500">
      <w:pPr>
        <w:pStyle w:val="Default"/>
        <w:rPr>
          <w:color w:val="auto"/>
          <w:sz w:val="22"/>
          <w:szCs w:val="22"/>
        </w:rPr>
      </w:pPr>
      <w:r>
        <w:rPr>
          <w:color w:val="auto"/>
          <w:sz w:val="22"/>
          <w:szCs w:val="22"/>
        </w:rPr>
        <w:t>T</w:t>
      </w:r>
      <w:r w:rsidRPr="00FB3573">
        <w:rPr>
          <w:color w:val="auto"/>
          <w:sz w:val="22"/>
          <w:szCs w:val="22"/>
        </w:rPr>
        <w:t xml:space="preserve">his clause </w:t>
      </w:r>
      <w:r w:rsidR="007171BC">
        <w:rPr>
          <w:color w:val="auto"/>
          <w:sz w:val="22"/>
          <w:szCs w:val="22"/>
        </w:rPr>
        <w:t>prescribes that an inspector may serve a relevant infringement notice and a relevant reminder notice under the regulation.</w:t>
      </w:r>
    </w:p>
    <w:p w14:paraId="4CFFD1F8" w14:textId="413C2151" w:rsidR="00A66500" w:rsidRDefault="00A66500" w:rsidP="004C3417">
      <w:pPr>
        <w:pStyle w:val="Default"/>
        <w:rPr>
          <w:color w:val="auto"/>
          <w:sz w:val="22"/>
          <w:szCs w:val="22"/>
        </w:rPr>
      </w:pPr>
    </w:p>
    <w:p w14:paraId="5A2785FF" w14:textId="3D3F000B" w:rsidR="000F1062" w:rsidRPr="00964988" w:rsidRDefault="000F1062" w:rsidP="00964988">
      <w:pPr>
        <w:keepNext/>
        <w:autoSpaceDE w:val="0"/>
        <w:autoSpaceDN w:val="0"/>
        <w:adjustRightInd w:val="0"/>
        <w:spacing w:before="240" w:after="240" w:line="259" w:lineRule="auto"/>
        <w:rPr>
          <w:rFonts w:ascii="Arial" w:hAnsi="Arial" w:cs="Arial"/>
          <w:b/>
          <w:sz w:val="32"/>
          <w:szCs w:val="32"/>
        </w:rPr>
      </w:pPr>
      <w:bookmarkStart w:id="12" w:name="_Hlk108532453"/>
      <w:bookmarkEnd w:id="10"/>
      <w:r w:rsidRPr="00964988">
        <w:rPr>
          <w:rFonts w:ascii="Arial" w:hAnsi="Arial" w:cs="Arial"/>
          <w:b/>
          <w:sz w:val="32"/>
          <w:szCs w:val="32"/>
        </w:rPr>
        <w:lastRenderedPageBreak/>
        <w:t>Schedule 1</w:t>
      </w:r>
      <w:r w:rsidRPr="00964988">
        <w:rPr>
          <w:rFonts w:ascii="Arial" w:hAnsi="Arial" w:cs="Arial"/>
          <w:b/>
          <w:sz w:val="32"/>
          <w:szCs w:val="32"/>
        </w:rPr>
        <w:tab/>
      </w:r>
      <w:r w:rsidR="00A66500">
        <w:rPr>
          <w:rFonts w:ascii="Arial" w:hAnsi="Arial" w:cs="Arial"/>
          <w:b/>
          <w:sz w:val="32"/>
          <w:szCs w:val="32"/>
        </w:rPr>
        <w:t>Planning Act 2023 infringement notice offences and penalties</w:t>
      </w:r>
    </w:p>
    <w:bookmarkEnd w:id="12"/>
    <w:p w14:paraId="5FD3B7B9" w14:textId="17E9EE81" w:rsidR="007171BC" w:rsidRDefault="007171BC" w:rsidP="000F1062">
      <w:pPr>
        <w:pStyle w:val="Default"/>
        <w:rPr>
          <w:color w:val="auto"/>
          <w:sz w:val="22"/>
          <w:szCs w:val="22"/>
        </w:rPr>
      </w:pPr>
      <w:r>
        <w:rPr>
          <w:color w:val="auto"/>
          <w:sz w:val="22"/>
          <w:szCs w:val="22"/>
        </w:rPr>
        <w:t xml:space="preserve">This schedule prescribes the relevant offences under the </w:t>
      </w:r>
      <w:r w:rsidRPr="00652CA6">
        <w:rPr>
          <w:i/>
          <w:iCs/>
          <w:color w:val="auto"/>
          <w:sz w:val="22"/>
          <w:szCs w:val="22"/>
        </w:rPr>
        <w:t>Planning Act 2023</w:t>
      </w:r>
      <w:r>
        <w:rPr>
          <w:color w:val="auto"/>
          <w:sz w:val="22"/>
          <w:szCs w:val="22"/>
        </w:rPr>
        <w:t>, and respective infringement notice penalties under the regulation. Schedule 1, column 2, prescribes the reference to the offence provision of the relevant law.</w:t>
      </w:r>
    </w:p>
    <w:p w14:paraId="046F82D7" w14:textId="44FB1985" w:rsidR="00FD1BFE" w:rsidRDefault="00FD1BFE" w:rsidP="000F1062">
      <w:pPr>
        <w:pStyle w:val="Default"/>
        <w:rPr>
          <w:color w:val="auto"/>
          <w:sz w:val="22"/>
          <w:szCs w:val="22"/>
        </w:rPr>
      </w:pPr>
    </w:p>
    <w:p w14:paraId="4F1DDA22" w14:textId="5EB78C6B" w:rsidR="00FD1BFE" w:rsidRPr="00FD1BFE" w:rsidRDefault="007171BC" w:rsidP="000F1062">
      <w:pPr>
        <w:pStyle w:val="Default"/>
        <w:rPr>
          <w:color w:val="auto"/>
          <w:sz w:val="22"/>
          <w:szCs w:val="22"/>
        </w:rPr>
      </w:pPr>
      <w:r w:rsidRPr="00FD1BFE">
        <w:rPr>
          <w:color w:val="auto"/>
          <w:sz w:val="22"/>
          <w:szCs w:val="22"/>
        </w:rPr>
        <w:t>The infringement notice penalty amounts prescribed in schedule 1, column 4, are</w:t>
      </w:r>
      <w:r w:rsidR="00FD1BFE" w:rsidRPr="00FD1BFE">
        <w:rPr>
          <w:color w:val="auto"/>
          <w:sz w:val="22"/>
          <w:szCs w:val="22"/>
        </w:rPr>
        <w:t xml:space="preserve"> broadly consistent with the Guide to Framing Off</w:t>
      </w:r>
      <w:r w:rsidR="0079176D">
        <w:rPr>
          <w:color w:val="auto"/>
          <w:sz w:val="22"/>
          <w:szCs w:val="22"/>
        </w:rPr>
        <w:t>en</w:t>
      </w:r>
      <w:r w:rsidR="00FD1BFE" w:rsidRPr="00FD1BFE">
        <w:rPr>
          <w:color w:val="auto"/>
          <w:sz w:val="22"/>
          <w:szCs w:val="22"/>
        </w:rPr>
        <w:t>ces. They are intended to cover relatively serious regulatory offending for the purposes of financial gain.</w:t>
      </w:r>
    </w:p>
    <w:p w14:paraId="6A9949F1" w14:textId="77777777" w:rsidR="00FD1BFE" w:rsidRDefault="00FD1BFE" w:rsidP="000F1062">
      <w:pPr>
        <w:pStyle w:val="Default"/>
        <w:rPr>
          <w:color w:val="auto"/>
          <w:sz w:val="22"/>
          <w:szCs w:val="22"/>
          <w:highlight w:val="yellow"/>
        </w:rPr>
      </w:pPr>
    </w:p>
    <w:p w14:paraId="2858F9F7" w14:textId="4B133D40" w:rsidR="000D70BC" w:rsidRPr="00964988" w:rsidRDefault="007A043E" w:rsidP="00964988">
      <w:pPr>
        <w:keepNext/>
        <w:autoSpaceDE w:val="0"/>
        <w:autoSpaceDN w:val="0"/>
        <w:adjustRightInd w:val="0"/>
        <w:spacing w:before="240" w:after="240" w:line="259" w:lineRule="auto"/>
        <w:rPr>
          <w:rFonts w:ascii="Arial" w:hAnsi="Arial" w:cs="Arial"/>
          <w:b/>
          <w:sz w:val="32"/>
          <w:szCs w:val="32"/>
        </w:rPr>
      </w:pPr>
      <w:r w:rsidRPr="00964988">
        <w:rPr>
          <w:rFonts w:ascii="Arial" w:hAnsi="Arial" w:cs="Arial"/>
          <w:b/>
          <w:sz w:val="32"/>
          <w:szCs w:val="32"/>
        </w:rPr>
        <w:t>Dictionary</w:t>
      </w:r>
    </w:p>
    <w:p w14:paraId="787A484D" w14:textId="0D06059E" w:rsidR="000D70BC" w:rsidRPr="00FB3573" w:rsidRDefault="000D70BC" w:rsidP="000D70BC">
      <w:pPr>
        <w:pStyle w:val="Default"/>
        <w:rPr>
          <w:color w:val="auto"/>
          <w:sz w:val="22"/>
          <w:szCs w:val="22"/>
        </w:rPr>
      </w:pPr>
      <w:r w:rsidRPr="00FB3573">
        <w:rPr>
          <w:color w:val="auto"/>
          <w:sz w:val="22"/>
          <w:szCs w:val="22"/>
        </w:rPr>
        <w:t xml:space="preserve">This clause </w:t>
      </w:r>
      <w:r w:rsidR="007A043E" w:rsidRPr="00FB3573">
        <w:rPr>
          <w:color w:val="auto"/>
          <w:sz w:val="22"/>
          <w:szCs w:val="22"/>
        </w:rPr>
        <w:t>defines terms referred to in clause 3</w:t>
      </w:r>
      <w:r w:rsidRPr="00FB3573">
        <w:rPr>
          <w:color w:val="auto"/>
          <w:sz w:val="22"/>
          <w:szCs w:val="22"/>
        </w:rPr>
        <w:t xml:space="preserve">. </w:t>
      </w:r>
    </w:p>
    <w:p w14:paraId="0634AE6F" w14:textId="77777777" w:rsidR="000D70BC" w:rsidRPr="00FB3573" w:rsidRDefault="000D70BC" w:rsidP="000D70BC">
      <w:pPr>
        <w:pStyle w:val="Default"/>
        <w:rPr>
          <w:color w:val="auto"/>
          <w:sz w:val="22"/>
          <w:szCs w:val="22"/>
        </w:rPr>
      </w:pPr>
    </w:p>
    <w:sectPr w:rsidR="000D70BC" w:rsidRPr="00FB3573"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385A" w14:textId="77777777" w:rsidR="007F5EA4" w:rsidRDefault="007F5EA4" w:rsidP="006815C9">
      <w:r>
        <w:separator/>
      </w:r>
    </w:p>
  </w:endnote>
  <w:endnote w:type="continuationSeparator" w:id="0">
    <w:p w14:paraId="5A74DD35" w14:textId="77777777" w:rsidR="007F5EA4" w:rsidRDefault="007F5EA4"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B5AB"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C74D" w14:textId="62EE57A3" w:rsidR="00091D34" w:rsidRPr="00E917B3" w:rsidRDefault="00E917B3" w:rsidP="00E917B3">
    <w:pPr>
      <w:pStyle w:val="Footer"/>
      <w:jc w:val="center"/>
      <w:rPr>
        <w:rFonts w:cs="Arial"/>
        <w:sz w:val="14"/>
      </w:rPr>
    </w:pPr>
    <w:r w:rsidRPr="00E917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3521"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CACA" w14:textId="77777777" w:rsidR="007F5EA4" w:rsidRDefault="007F5EA4" w:rsidP="006815C9">
      <w:r>
        <w:separator/>
      </w:r>
    </w:p>
  </w:footnote>
  <w:footnote w:type="continuationSeparator" w:id="0">
    <w:p w14:paraId="2F0D1560" w14:textId="77777777" w:rsidR="007F5EA4" w:rsidRDefault="007F5EA4"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AA5D"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0972"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AC2"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CF51F4"/>
    <w:multiLevelType w:val="hybridMultilevel"/>
    <w:tmpl w:val="AD14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22042"/>
    <w:multiLevelType w:val="multilevel"/>
    <w:tmpl w:val="9C6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C51CD"/>
    <w:multiLevelType w:val="hybridMultilevel"/>
    <w:tmpl w:val="E88E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872B8"/>
    <w:multiLevelType w:val="hybridMultilevel"/>
    <w:tmpl w:val="BF2EC6C6"/>
    <w:lvl w:ilvl="0" w:tplc="3DAAF1E4">
      <w:start w:val="1"/>
      <w:numFmt w:val="decimal"/>
      <w:lvlText w:val="%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A2E3D55"/>
    <w:multiLevelType w:val="hybridMultilevel"/>
    <w:tmpl w:val="2A04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D5505E9"/>
    <w:multiLevelType w:val="hybridMultilevel"/>
    <w:tmpl w:val="F1DA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8303047">
    <w:abstractNumId w:val="3"/>
  </w:num>
  <w:num w:numId="2" w16cid:durableId="1581214159">
    <w:abstractNumId w:val="0"/>
  </w:num>
  <w:num w:numId="3" w16cid:durableId="49117215">
    <w:abstractNumId w:val="4"/>
  </w:num>
  <w:num w:numId="4" w16cid:durableId="895432847">
    <w:abstractNumId w:val="10"/>
  </w:num>
  <w:num w:numId="5" w16cid:durableId="1658341375">
    <w:abstractNumId w:val="13"/>
  </w:num>
  <w:num w:numId="6" w16cid:durableId="726495293">
    <w:abstractNumId w:val="2"/>
  </w:num>
  <w:num w:numId="7" w16cid:durableId="1152061441">
    <w:abstractNumId w:val="8"/>
  </w:num>
  <w:num w:numId="8" w16cid:durableId="2066836053">
    <w:abstractNumId w:val="9"/>
  </w:num>
  <w:num w:numId="9" w16cid:durableId="2080208750">
    <w:abstractNumId w:val="12"/>
  </w:num>
  <w:num w:numId="10" w16cid:durableId="838230979">
    <w:abstractNumId w:val="14"/>
  </w:num>
  <w:num w:numId="11" w16cid:durableId="1526824800">
    <w:abstractNumId w:val="7"/>
  </w:num>
  <w:num w:numId="12" w16cid:durableId="1687487483">
    <w:abstractNumId w:val="5"/>
  </w:num>
  <w:num w:numId="13" w16cid:durableId="1807047696">
    <w:abstractNumId w:val="6"/>
  </w:num>
  <w:num w:numId="14" w16cid:durableId="1384716599">
    <w:abstractNumId w:val="1"/>
  </w:num>
  <w:num w:numId="15" w16cid:durableId="1171797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6A46"/>
    <w:rsid w:val="00015F8D"/>
    <w:rsid w:val="00016D4A"/>
    <w:rsid w:val="000260CF"/>
    <w:rsid w:val="00030A72"/>
    <w:rsid w:val="00040E22"/>
    <w:rsid w:val="00047402"/>
    <w:rsid w:val="00060930"/>
    <w:rsid w:val="00071DE2"/>
    <w:rsid w:val="0008074A"/>
    <w:rsid w:val="000827BB"/>
    <w:rsid w:val="000910FA"/>
    <w:rsid w:val="00091D34"/>
    <w:rsid w:val="000C3E5A"/>
    <w:rsid w:val="000D70BC"/>
    <w:rsid w:val="000F1062"/>
    <w:rsid w:val="000F2DE6"/>
    <w:rsid w:val="0010598F"/>
    <w:rsid w:val="0011147D"/>
    <w:rsid w:val="0013001B"/>
    <w:rsid w:val="0014305E"/>
    <w:rsid w:val="0014573D"/>
    <w:rsid w:val="00152D34"/>
    <w:rsid w:val="0015312D"/>
    <w:rsid w:val="00175270"/>
    <w:rsid w:val="00176D9F"/>
    <w:rsid w:val="00180B9A"/>
    <w:rsid w:val="001A0E8C"/>
    <w:rsid w:val="001B0A27"/>
    <w:rsid w:val="001C5C0D"/>
    <w:rsid w:val="001F4DC5"/>
    <w:rsid w:val="002151AD"/>
    <w:rsid w:val="00226B7F"/>
    <w:rsid w:val="0023592B"/>
    <w:rsid w:val="00240B95"/>
    <w:rsid w:val="002445EE"/>
    <w:rsid w:val="00284296"/>
    <w:rsid w:val="002A61C8"/>
    <w:rsid w:val="002D195F"/>
    <w:rsid w:val="002D6571"/>
    <w:rsid w:val="002F0197"/>
    <w:rsid w:val="002F1719"/>
    <w:rsid w:val="0030110B"/>
    <w:rsid w:val="00302D80"/>
    <w:rsid w:val="003066C6"/>
    <w:rsid w:val="003101C1"/>
    <w:rsid w:val="00310392"/>
    <w:rsid w:val="00324F7B"/>
    <w:rsid w:val="00332937"/>
    <w:rsid w:val="00346C71"/>
    <w:rsid w:val="00350054"/>
    <w:rsid w:val="003553D4"/>
    <w:rsid w:val="0036435F"/>
    <w:rsid w:val="0036579C"/>
    <w:rsid w:val="0039119D"/>
    <w:rsid w:val="003C4CBC"/>
    <w:rsid w:val="003C4FD8"/>
    <w:rsid w:val="003C553A"/>
    <w:rsid w:val="003D0250"/>
    <w:rsid w:val="003D3AD6"/>
    <w:rsid w:val="003E441E"/>
    <w:rsid w:val="003F09EC"/>
    <w:rsid w:val="003F1481"/>
    <w:rsid w:val="003F2420"/>
    <w:rsid w:val="003F667A"/>
    <w:rsid w:val="00404DC3"/>
    <w:rsid w:val="00404F67"/>
    <w:rsid w:val="00405171"/>
    <w:rsid w:val="0041288B"/>
    <w:rsid w:val="004631B5"/>
    <w:rsid w:val="00465953"/>
    <w:rsid w:val="004700C0"/>
    <w:rsid w:val="0047128F"/>
    <w:rsid w:val="004744DA"/>
    <w:rsid w:val="004821BF"/>
    <w:rsid w:val="00486FE5"/>
    <w:rsid w:val="00495E03"/>
    <w:rsid w:val="004A53C6"/>
    <w:rsid w:val="004A5432"/>
    <w:rsid w:val="004A6958"/>
    <w:rsid w:val="004B3616"/>
    <w:rsid w:val="004B627F"/>
    <w:rsid w:val="004C3417"/>
    <w:rsid w:val="004F2B96"/>
    <w:rsid w:val="004F73C5"/>
    <w:rsid w:val="004F7773"/>
    <w:rsid w:val="005336B0"/>
    <w:rsid w:val="0054037B"/>
    <w:rsid w:val="00542D46"/>
    <w:rsid w:val="00570DD3"/>
    <w:rsid w:val="005710AE"/>
    <w:rsid w:val="005773FD"/>
    <w:rsid w:val="005A402D"/>
    <w:rsid w:val="005C3589"/>
    <w:rsid w:val="005E4BB0"/>
    <w:rsid w:val="005F686C"/>
    <w:rsid w:val="00606D8B"/>
    <w:rsid w:val="006205E9"/>
    <w:rsid w:val="006212C3"/>
    <w:rsid w:val="00645B42"/>
    <w:rsid w:val="00652CA6"/>
    <w:rsid w:val="00665E7A"/>
    <w:rsid w:val="006815C9"/>
    <w:rsid w:val="006874DB"/>
    <w:rsid w:val="006877F8"/>
    <w:rsid w:val="006A1F67"/>
    <w:rsid w:val="006A45D3"/>
    <w:rsid w:val="006B325B"/>
    <w:rsid w:val="006D4019"/>
    <w:rsid w:val="006D4E5C"/>
    <w:rsid w:val="006E5C67"/>
    <w:rsid w:val="006E7046"/>
    <w:rsid w:val="007171BC"/>
    <w:rsid w:val="00720730"/>
    <w:rsid w:val="00735B3B"/>
    <w:rsid w:val="0074074C"/>
    <w:rsid w:val="007501F8"/>
    <w:rsid w:val="00753BEA"/>
    <w:rsid w:val="007543DB"/>
    <w:rsid w:val="00764392"/>
    <w:rsid w:val="00767D22"/>
    <w:rsid w:val="0078340F"/>
    <w:rsid w:val="00790CF0"/>
    <w:rsid w:val="00791407"/>
    <w:rsid w:val="0079176D"/>
    <w:rsid w:val="00796AC2"/>
    <w:rsid w:val="007A043E"/>
    <w:rsid w:val="007B4A9B"/>
    <w:rsid w:val="007D18F6"/>
    <w:rsid w:val="007D34DB"/>
    <w:rsid w:val="007E0288"/>
    <w:rsid w:val="007F1B8C"/>
    <w:rsid w:val="007F5EA4"/>
    <w:rsid w:val="00812973"/>
    <w:rsid w:val="00814E1B"/>
    <w:rsid w:val="00820EBD"/>
    <w:rsid w:val="0082485F"/>
    <w:rsid w:val="00830F23"/>
    <w:rsid w:val="0083563A"/>
    <w:rsid w:val="008511EC"/>
    <w:rsid w:val="00875089"/>
    <w:rsid w:val="00877DD5"/>
    <w:rsid w:val="00880F10"/>
    <w:rsid w:val="00881D8F"/>
    <w:rsid w:val="008A065F"/>
    <w:rsid w:val="008A5631"/>
    <w:rsid w:val="008B0DC5"/>
    <w:rsid w:val="008B323B"/>
    <w:rsid w:val="008C55E4"/>
    <w:rsid w:val="008D6A13"/>
    <w:rsid w:val="008E6711"/>
    <w:rsid w:val="00910132"/>
    <w:rsid w:val="00914CAE"/>
    <w:rsid w:val="009167E0"/>
    <w:rsid w:val="009202CE"/>
    <w:rsid w:val="009351F6"/>
    <w:rsid w:val="00952519"/>
    <w:rsid w:val="00964988"/>
    <w:rsid w:val="00982634"/>
    <w:rsid w:val="00986BAD"/>
    <w:rsid w:val="00996C93"/>
    <w:rsid w:val="009B18F0"/>
    <w:rsid w:val="009B41D7"/>
    <w:rsid w:val="009B56EB"/>
    <w:rsid w:val="009E53C5"/>
    <w:rsid w:val="009E5B1A"/>
    <w:rsid w:val="00A10964"/>
    <w:rsid w:val="00A1179E"/>
    <w:rsid w:val="00A41E8D"/>
    <w:rsid w:val="00A500AC"/>
    <w:rsid w:val="00A54A58"/>
    <w:rsid w:val="00A54CF3"/>
    <w:rsid w:val="00A66500"/>
    <w:rsid w:val="00A83051"/>
    <w:rsid w:val="00A861C1"/>
    <w:rsid w:val="00A876D6"/>
    <w:rsid w:val="00A9518C"/>
    <w:rsid w:val="00AC66CB"/>
    <w:rsid w:val="00AC6CA6"/>
    <w:rsid w:val="00AF2670"/>
    <w:rsid w:val="00AF68EA"/>
    <w:rsid w:val="00B06EC8"/>
    <w:rsid w:val="00B12429"/>
    <w:rsid w:val="00B52820"/>
    <w:rsid w:val="00B64F8B"/>
    <w:rsid w:val="00B764BC"/>
    <w:rsid w:val="00B8048F"/>
    <w:rsid w:val="00B8282D"/>
    <w:rsid w:val="00B832DC"/>
    <w:rsid w:val="00B954FF"/>
    <w:rsid w:val="00B97A0B"/>
    <w:rsid w:val="00BA24E4"/>
    <w:rsid w:val="00BA7600"/>
    <w:rsid w:val="00BB16CF"/>
    <w:rsid w:val="00BC49E9"/>
    <w:rsid w:val="00BD1557"/>
    <w:rsid w:val="00BE013E"/>
    <w:rsid w:val="00BF41AB"/>
    <w:rsid w:val="00C1618B"/>
    <w:rsid w:val="00C20CE9"/>
    <w:rsid w:val="00C44A63"/>
    <w:rsid w:val="00C66E40"/>
    <w:rsid w:val="00CA6FDC"/>
    <w:rsid w:val="00CC5218"/>
    <w:rsid w:val="00CF344D"/>
    <w:rsid w:val="00CF4587"/>
    <w:rsid w:val="00D04F54"/>
    <w:rsid w:val="00D25746"/>
    <w:rsid w:val="00D3733B"/>
    <w:rsid w:val="00D45EE3"/>
    <w:rsid w:val="00D4780B"/>
    <w:rsid w:val="00D50F72"/>
    <w:rsid w:val="00D90D34"/>
    <w:rsid w:val="00DA2316"/>
    <w:rsid w:val="00DD0D18"/>
    <w:rsid w:val="00DE2213"/>
    <w:rsid w:val="00DE5A91"/>
    <w:rsid w:val="00DF4701"/>
    <w:rsid w:val="00DF6A2B"/>
    <w:rsid w:val="00E069D1"/>
    <w:rsid w:val="00E148DF"/>
    <w:rsid w:val="00E20CC7"/>
    <w:rsid w:val="00E266D7"/>
    <w:rsid w:val="00E30973"/>
    <w:rsid w:val="00E41ABB"/>
    <w:rsid w:val="00E50303"/>
    <w:rsid w:val="00E668F6"/>
    <w:rsid w:val="00E7734C"/>
    <w:rsid w:val="00E8157D"/>
    <w:rsid w:val="00E86B71"/>
    <w:rsid w:val="00E917B3"/>
    <w:rsid w:val="00EA2BDA"/>
    <w:rsid w:val="00EA47F4"/>
    <w:rsid w:val="00EB208E"/>
    <w:rsid w:val="00EC17A8"/>
    <w:rsid w:val="00EF4F3A"/>
    <w:rsid w:val="00EF74AD"/>
    <w:rsid w:val="00F03817"/>
    <w:rsid w:val="00F20900"/>
    <w:rsid w:val="00F26D79"/>
    <w:rsid w:val="00F40AAD"/>
    <w:rsid w:val="00F53552"/>
    <w:rsid w:val="00F5371D"/>
    <w:rsid w:val="00F601DE"/>
    <w:rsid w:val="00F63238"/>
    <w:rsid w:val="00F76F40"/>
    <w:rsid w:val="00F83C87"/>
    <w:rsid w:val="00FA2417"/>
    <w:rsid w:val="00FA6992"/>
    <w:rsid w:val="00FB3573"/>
    <w:rsid w:val="00FC10B8"/>
    <w:rsid w:val="00FC66A2"/>
    <w:rsid w:val="00FD0D3E"/>
    <w:rsid w:val="00FD1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F2167"/>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17"/>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customStyle="1" w:styleId="Default">
    <w:name w:val="Default"/>
    <w:rsid w:val="0028429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52519"/>
    <w:rPr>
      <w:sz w:val="16"/>
      <w:szCs w:val="16"/>
    </w:rPr>
  </w:style>
  <w:style w:type="paragraph" w:styleId="CommentText">
    <w:name w:val="annotation text"/>
    <w:basedOn w:val="Normal"/>
    <w:link w:val="CommentTextChar"/>
    <w:uiPriority w:val="99"/>
    <w:semiHidden/>
    <w:unhideWhenUsed/>
    <w:rsid w:val="00952519"/>
    <w:rPr>
      <w:sz w:val="20"/>
    </w:rPr>
  </w:style>
  <w:style w:type="character" w:customStyle="1" w:styleId="CommentTextChar">
    <w:name w:val="Comment Text Char"/>
    <w:basedOn w:val="DefaultParagraphFont"/>
    <w:link w:val="CommentText"/>
    <w:uiPriority w:val="99"/>
    <w:semiHidden/>
    <w:rsid w:val="00952519"/>
    <w:rPr>
      <w:lang w:eastAsia="en-US"/>
    </w:rPr>
  </w:style>
  <w:style w:type="paragraph" w:styleId="CommentSubject">
    <w:name w:val="annotation subject"/>
    <w:basedOn w:val="CommentText"/>
    <w:next w:val="CommentText"/>
    <w:link w:val="CommentSubjectChar"/>
    <w:uiPriority w:val="99"/>
    <w:semiHidden/>
    <w:unhideWhenUsed/>
    <w:rsid w:val="00952519"/>
    <w:rPr>
      <w:b/>
      <w:bCs/>
    </w:rPr>
  </w:style>
  <w:style w:type="character" w:customStyle="1" w:styleId="CommentSubjectChar">
    <w:name w:val="Comment Subject Char"/>
    <w:basedOn w:val="CommentTextChar"/>
    <w:link w:val="CommentSubject"/>
    <w:uiPriority w:val="99"/>
    <w:semiHidden/>
    <w:rsid w:val="00952519"/>
    <w:rPr>
      <w:b/>
      <w:bCs/>
      <w:lang w:eastAsia="en-US"/>
    </w:rPr>
  </w:style>
  <w:style w:type="paragraph" w:styleId="BalloonText">
    <w:name w:val="Balloon Text"/>
    <w:basedOn w:val="Normal"/>
    <w:link w:val="BalloonTextChar"/>
    <w:uiPriority w:val="99"/>
    <w:semiHidden/>
    <w:unhideWhenUsed/>
    <w:rsid w:val="00665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E7A"/>
    <w:rPr>
      <w:rFonts w:ascii="Segoe UI" w:hAnsi="Segoe UI" w:cs="Segoe UI"/>
      <w:sz w:val="18"/>
      <w:szCs w:val="18"/>
      <w:lang w:eastAsia="en-US"/>
    </w:rPr>
  </w:style>
  <w:style w:type="character" w:customStyle="1" w:styleId="Calibri12">
    <w:name w:val="Calibri 12"/>
    <w:basedOn w:val="DefaultParagraphFont"/>
    <w:uiPriority w:val="1"/>
    <w:qFormat/>
    <w:rsid w:val="00665E7A"/>
    <w:rPr>
      <w:rFonts w:ascii="Calibri" w:hAnsi="Calibri"/>
      <w:sz w:val="24"/>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665E7A"/>
    <w:pPr>
      <w:widowControl w:val="0"/>
      <w:ind w:left="720"/>
      <w:contextualSpacing/>
    </w:pPr>
    <w:rPr>
      <w:iCs/>
      <w:szCs w:val="24"/>
      <w:lang w:val="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50303"/>
    <w:rPr>
      <w:iCs/>
      <w:sz w:val="24"/>
      <w:szCs w:val="24"/>
      <w:lang w:val="en-US" w:eastAsia="en-US"/>
    </w:rPr>
  </w:style>
  <w:style w:type="paragraph" w:styleId="Revision">
    <w:name w:val="Revision"/>
    <w:hidden/>
    <w:uiPriority w:val="99"/>
    <w:semiHidden/>
    <w:rsid w:val="004B361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1322">
      <w:bodyDiv w:val="1"/>
      <w:marLeft w:val="0"/>
      <w:marRight w:val="0"/>
      <w:marTop w:val="0"/>
      <w:marBottom w:val="0"/>
      <w:divBdr>
        <w:top w:val="none" w:sz="0" w:space="0" w:color="auto"/>
        <w:left w:val="none" w:sz="0" w:space="0" w:color="auto"/>
        <w:bottom w:val="none" w:sz="0" w:space="0" w:color="auto"/>
        <w:right w:val="none" w:sz="0" w:space="0" w:color="auto"/>
      </w:divBdr>
    </w:div>
    <w:div w:id="34815346">
      <w:bodyDiv w:val="1"/>
      <w:marLeft w:val="0"/>
      <w:marRight w:val="0"/>
      <w:marTop w:val="0"/>
      <w:marBottom w:val="0"/>
      <w:divBdr>
        <w:top w:val="none" w:sz="0" w:space="0" w:color="auto"/>
        <w:left w:val="none" w:sz="0" w:space="0" w:color="auto"/>
        <w:bottom w:val="none" w:sz="0" w:space="0" w:color="auto"/>
        <w:right w:val="none" w:sz="0" w:space="0" w:color="auto"/>
      </w:divBdr>
    </w:div>
    <w:div w:id="4514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1860</Words>
  <Characters>9961</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2023-09-18T02:37:00Z</dcterms:created>
  <dcterms:modified xsi:type="dcterms:W3CDTF">2023-09-18T02:37:00Z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A41361001</vt:lpwstr>
  </property>
  <property fmtid="{D5CDD505-2E9C-101B-9397-08002B2CF9AE}" pid="4" name="Objective-Title">
    <vt:lpwstr>ES - Magistrates Court (Planning Infringement Notices) Regulation 2023</vt:lpwstr>
  </property>
  <property fmtid="{D5CDD505-2E9C-101B-9397-08002B2CF9AE}" pid="5" name="Objective-Comment">
    <vt:lpwstr/>
  </property>
  <property fmtid="{D5CDD505-2E9C-101B-9397-08002B2CF9AE}" pid="6" name="Objective-CreationStamp">
    <vt:filetime>2023-03-20T01:34:05Z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2023-06-29T08:13:17Z</vt:filetime>
  </property>
  <property fmtid="{D5CDD505-2E9C-101B-9397-08002B2CF9AE}" pid="10" name="Objective-ModificationStamp">
    <vt:filetime>2023-06-29T08:13:17Z</vt:filetime>
  </property>
  <property fmtid="{D5CDD505-2E9C-101B-9397-08002B2CF9AE}" pid="11" name="Objective-Owner">
    <vt:lpwstr>Monica Saad</vt:lpwstr>
  </property>
  <property fmtid="{D5CDD505-2E9C-101B-9397-08002B2CF9AE}" pid="12" name="Objective-Path">
    <vt:lpwstr>Whole of ACT Government:EPSDD - Environment Planning and Sustainable Development Directorate:DIVISION - Planning and Urban Policy:Branch - Territory Plan:0 ACT Planning System Review and Reform 2019 to present:12. Planning Bill - Legislation program:Regulations 2022:Magistrates Court (Planning Infringement Notices) Regulation:</vt:lpwstr>
  </property>
  <property fmtid="{D5CDD505-2E9C-101B-9397-08002B2CF9AE}" pid="13" name="Objective-Parent">
    <vt:lpwstr>Magistrates Court (Planning Infringement Notices) Regulation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CHECKEDOUTFROMJMS">
    <vt:lpwstr/>
  </property>
  <property fmtid="{D5CDD505-2E9C-101B-9397-08002B2CF9AE}" pid="44" name="DMSID">
    <vt:lpwstr>11007464</vt:lpwstr>
  </property>
  <property fmtid="{D5CDD505-2E9C-101B-9397-08002B2CF9AE}" pid="45" name="JMSREQUIREDCHECKIN">
    <vt:lpwstr/>
  </property>
</Properties>
</file>