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C5F9B" w14:textId="39A9DB17" w:rsidR="00E90DF9" w:rsidRPr="008C3B92" w:rsidRDefault="00E90DF9" w:rsidP="00E90DF9">
      <w:pPr>
        <w:spacing w:after="0"/>
        <w:rPr>
          <w:rFonts w:ascii="Arial" w:hAnsi="Arial" w:cs="Arial"/>
          <w:b/>
          <w:bCs/>
          <w:sz w:val="24"/>
          <w:szCs w:val="24"/>
        </w:rPr>
      </w:pPr>
    </w:p>
    <w:p w14:paraId="5C6C9ECA" w14:textId="32DE6F0B"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24</w:t>
      </w:r>
    </w:p>
    <w:p w14:paraId="4E149149" w14:textId="77777777" w:rsidR="00E90DF9" w:rsidRPr="00BB387E" w:rsidRDefault="00E90DF9" w:rsidP="00E90DF9">
      <w:pPr>
        <w:spacing w:after="0"/>
        <w:jc w:val="center"/>
        <w:rPr>
          <w:rFonts w:ascii="Arial" w:hAnsi="Arial" w:cs="Arial"/>
          <w:b/>
          <w:sz w:val="24"/>
          <w:szCs w:val="24"/>
        </w:rPr>
      </w:pPr>
    </w:p>
    <w:p w14:paraId="06167890" w14:textId="77777777" w:rsidR="00E90DF9" w:rsidRPr="00BB387E" w:rsidRDefault="00E90DF9" w:rsidP="00E90DF9">
      <w:pPr>
        <w:spacing w:after="0"/>
        <w:jc w:val="center"/>
        <w:rPr>
          <w:rFonts w:ascii="Arial" w:hAnsi="Arial" w:cs="Arial"/>
          <w:b/>
          <w:sz w:val="24"/>
          <w:szCs w:val="24"/>
        </w:rPr>
      </w:pPr>
    </w:p>
    <w:p w14:paraId="271BD407" w14:textId="77777777" w:rsidR="00E90DF9" w:rsidRPr="00BB387E" w:rsidRDefault="00E90DF9" w:rsidP="00E90DF9">
      <w:pPr>
        <w:spacing w:after="0"/>
        <w:jc w:val="center"/>
        <w:rPr>
          <w:rFonts w:ascii="Arial" w:hAnsi="Arial" w:cs="Arial"/>
          <w:b/>
          <w:sz w:val="24"/>
          <w:szCs w:val="24"/>
        </w:rPr>
      </w:pPr>
    </w:p>
    <w:p w14:paraId="71A1CE5B" w14:textId="77777777" w:rsidR="00E90DF9" w:rsidRPr="00BB387E" w:rsidRDefault="00E90DF9" w:rsidP="00E90DF9">
      <w:pPr>
        <w:spacing w:after="0"/>
        <w:jc w:val="center"/>
        <w:rPr>
          <w:rFonts w:ascii="Arial" w:hAnsi="Arial" w:cs="Arial"/>
          <w:b/>
          <w:sz w:val="24"/>
          <w:szCs w:val="24"/>
        </w:rPr>
      </w:pPr>
    </w:p>
    <w:p w14:paraId="677673A4" w14:textId="77777777" w:rsidR="00E90DF9" w:rsidRPr="00BB387E" w:rsidRDefault="00E90DF9" w:rsidP="00E90DF9">
      <w:pPr>
        <w:spacing w:after="0"/>
        <w:jc w:val="center"/>
        <w:rPr>
          <w:rFonts w:ascii="Arial" w:hAnsi="Arial" w:cs="Arial"/>
          <w:b/>
          <w:bCs/>
          <w:sz w:val="24"/>
          <w:szCs w:val="24"/>
        </w:rPr>
      </w:pPr>
    </w:p>
    <w:p w14:paraId="463F3AB6" w14:textId="77777777" w:rsidR="00E90DF9" w:rsidRPr="00BB387E" w:rsidRDefault="00E90DF9" w:rsidP="00E90DF9">
      <w:pPr>
        <w:spacing w:after="0"/>
        <w:jc w:val="center"/>
        <w:rPr>
          <w:rFonts w:ascii="Arial" w:hAnsi="Arial" w:cs="Arial"/>
          <w:b/>
          <w:bCs/>
          <w:sz w:val="24"/>
          <w:szCs w:val="24"/>
        </w:rPr>
      </w:pPr>
    </w:p>
    <w:p w14:paraId="02BC33AF" w14:textId="77777777" w:rsidR="00E90DF9" w:rsidRPr="00BB387E" w:rsidRDefault="00E90DF9" w:rsidP="00E90DF9">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091772B4" w14:textId="77777777" w:rsidR="00E90DF9" w:rsidRPr="00BB387E" w:rsidRDefault="00E90DF9" w:rsidP="00E90DF9">
      <w:pPr>
        <w:spacing w:after="0"/>
        <w:jc w:val="center"/>
        <w:rPr>
          <w:rFonts w:ascii="Arial" w:hAnsi="Arial" w:cs="Arial"/>
          <w:b/>
          <w:sz w:val="24"/>
          <w:szCs w:val="24"/>
        </w:rPr>
      </w:pPr>
      <w:r w:rsidRPr="00BB387E">
        <w:rPr>
          <w:rFonts w:ascii="Arial" w:hAnsi="Arial" w:cs="Arial"/>
          <w:b/>
          <w:bCs/>
          <w:sz w:val="24"/>
          <w:szCs w:val="24"/>
        </w:rPr>
        <w:t>AUSTRALIAN CAPITAL TERRITORY</w:t>
      </w:r>
    </w:p>
    <w:p w14:paraId="63982AB9" w14:textId="77777777" w:rsidR="00E90DF9" w:rsidRPr="00BB387E" w:rsidRDefault="00E90DF9" w:rsidP="00E90DF9">
      <w:pPr>
        <w:spacing w:after="0"/>
        <w:jc w:val="center"/>
        <w:rPr>
          <w:rFonts w:ascii="Arial" w:hAnsi="Arial" w:cs="Arial"/>
          <w:b/>
          <w:sz w:val="24"/>
          <w:szCs w:val="24"/>
        </w:rPr>
      </w:pPr>
    </w:p>
    <w:p w14:paraId="5FABE90A" w14:textId="77777777" w:rsidR="00E90DF9" w:rsidRPr="00BB387E" w:rsidRDefault="00E90DF9" w:rsidP="00E90DF9">
      <w:pPr>
        <w:spacing w:after="0"/>
        <w:jc w:val="center"/>
        <w:rPr>
          <w:rFonts w:ascii="Arial" w:hAnsi="Arial" w:cs="Arial"/>
          <w:b/>
          <w:sz w:val="24"/>
          <w:szCs w:val="24"/>
        </w:rPr>
      </w:pPr>
    </w:p>
    <w:p w14:paraId="6118207D" w14:textId="77777777" w:rsidR="00E90DF9" w:rsidRPr="00BB387E" w:rsidRDefault="00E90DF9" w:rsidP="00E90DF9">
      <w:pPr>
        <w:spacing w:after="0"/>
        <w:jc w:val="center"/>
        <w:rPr>
          <w:rFonts w:ascii="Arial" w:hAnsi="Arial" w:cs="Arial"/>
          <w:b/>
          <w:sz w:val="24"/>
          <w:szCs w:val="24"/>
        </w:rPr>
      </w:pPr>
    </w:p>
    <w:p w14:paraId="75A33EE9" w14:textId="5200AC5B" w:rsidR="00E90DF9" w:rsidRPr="00BB387E" w:rsidRDefault="00E90DF9" w:rsidP="00E90DF9">
      <w:pPr>
        <w:spacing w:after="0"/>
        <w:jc w:val="center"/>
        <w:rPr>
          <w:rFonts w:ascii="Arial" w:hAnsi="Arial" w:cs="Arial"/>
          <w:b/>
          <w:sz w:val="24"/>
          <w:szCs w:val="24"/>
        </w:rPr>
      </w:pPr>
      <w:r>
        <w:rPr>
          <w:rFonts w:ascii="Arial" w:hAnsi="Arial" w:cs="Arial"/>
          <w:b/>
          <w:sz w:val="24"/>
          <w:szCs w:val="24"/>
        </w:rPr>
        <w:t>TENTH ASSEMBLY</w:t>
      </w:r>
    </w:p>
    <w:p w14:paraId="12B1793E" w14:textId="77777777" w:rsidR="00E90DF9" w:rsidRPr="00BB387E" w:rsidRDefault="00E90DF9" w:rsidP="00E90DF9">
      <w:pPr>
        <w:spacing w:after="0"/>
        <w:jc w:val="center"/>
        <w:rPr>
          <w:rFonts w:ascii="Arial" w:hAnsi="Arial" w:cs="Arial"/>
          <w:b/>
          <w:sz w:val="24"/>
          <w:szCs w:val="24"/>
        </w:rPr>
      </w:pPr>
    </w:p>
    <w:p w14:paraId="3D84F818" w14:textId="77777777" w:rsidR="00E90DF9" w:rsidRPr="00BB387E" w:rsidRDefault="00E90DF9" w:rsidP="00E90DF9">
      <w:pPr>
        <w:spacing w:after="0"/>
        <w:jc w:val="center"/>
        <w:rPr>
          <w:rFonts w:ascii="Arial" w:hAnsi="Arial" w:cs="Arial"/>
          <w:b/>
          <w:sz w:val="24"/>
          <w:szCs w:val="24"/>
        </w:rPr>
      </w:pPr>
    </w:p>
    <w:p w14:paraId="312E8FE1" w14:textId="77777777" w:rsidR="00E90DF9" w:rsidRPr="00BB387E" w:rsidRDefault="00E90DF9" w:rsidP="00E90DF9">
      <w:pPr>
        <w:spacing w:after="0"/>
        <w:jc w:val="center"/>
        <w:rPr>
          <w:rFonts w:ascii="Arial" w:hAnsi="Arial" w:cs="Arial"/>
          <w:b/>
          <w:sz w:val="24"/>
          <w:szCs w:val="24"/>
        </w:rPr>
      </w:pPr>
    </w:p>
    <w:p w14:paraId="62527870" w14:textId="77777777" w:rsidR="00E90DF9" w:rsidRPr="00BB387E" w:rsidRDefault="00E90DF9" w:rsidP="00E90DF9">
      <w:pPr>
        <w:spacing w:after="0"/>
        <w:jc w:val="center"/>
        <w:rPr>
          <w:rFonts w:ascii="Arial" w:hAnsi="Arial" w:cs="Arial"/>
          <w:b/>
          <w:sz w:val="24"/>
          <w:szCs w:val="24"/>
        </w:rPr>
      </w:pPr>
    </w:p>
    <w:p w14:paraId="10E34864" w14:textId="77777777" w:rsidR="00E90DF9" w:rsidRPr="00BB387E" w:rsidRDefault="00E90DF9" w:rsidP="00E90DF9">
      <w:pPr>
        <w:spacing w:after="0"/>
        <w:jc w:val="center"/>
        <w:rPr>
          <w:rFonts w:ascii="Arial" w:hAnsi="Arial" w:cs="Arial"/>
          <w:b/>
          <w:sz w:val="24"/>
          <w:szCs w:val="24"/>
        </w:rPr>
      </w:pPr>
    </w:p>
    <w:p w14:paraId="7A5CE6C9" w14:textId="77777777" w:rsidR="00E90DF9" w:rsidRPr="00BB387E" w:rsidRDefault="00E90DF9" w:rsidP="00E90DF9">
      <w:pPr>
        <w:spacing w:after="0"/>
        <w:jc w:val="center"/>
        <w:rPr>
          <w:rFonts w:ascii="Arial" w:hAnsi="Arial" w:cs="Arial"/>
          <w:b/>
          <w:sz w:val="24"/>
          <w:szCs w:val="24"/>
        </w:rPr>
      </w:pPr>
    </w:p>
    <w:p w14:paraId="015F9046" w14:textId="6FA73FCA" w:rsidR="00A301D8" w:rsidRPr="001C0E29" w:rsidRDefault="00A301D8" w:rsidP="00A301D8">
      <w:pPr>
        <w:spacing w:after="0"/>
        <w:jc w:val="center"/>
        <w:rPr>
          <w:rFonts w:ascii="Arial" w:hAnsi="Arial" w:cs="Arial"/>
          <w:b/>
          <w:bCs/>
          <w:sz w:val="24"/>
          <w:szCs w:val="24"/>
        </w:rPr>
      </w:pPr>
      <w:r>
        <w:rPr>
          <w:rFonts w:ascii="Arial" w:hAnsi="Arial" w:cs="Arial"/>
          <w:b/>
          <w:bCs/>
          <w:sz w:val="24"/>
          <w:szCs w:val="24"/>
        </w:rPr>
        <w:t>HUMAN RIGHTS (HEALTHY ENVIRONMENT) AMENDMENT BILL 2023</w:t>
      </w:r>
    </w:p>
    <w:p w14:paraId="4A2E8BD8" w14:textId="77777777" w:rsidR="00A301D8" w:rsidRPr="001C0E29" w:rsidRDefault="00A301D8" w:rsidP="00A301D8">
      <w:pPr>
        <w:spacing w:after="0"/>
        <w:jc w:val="center"/>
        <w:rPr>
          <w:rFonts w:ascii="Arial" w:hAnsi="Arial" w:cs="Arial"/>
          <w:b/>
          <w:bCs/>
          <w:sz w:val="24"/>
          <w:szCs w:val="24"/>
        </w:rPr>
      </w:pPr>
    </w:p>
    <w:p w14:paraId="76B7C312" w14:textId="77777777" w:rsidR="00A301D8" w:rsidRPr="001C0E29" w:rsidRDefault="00A301D8" w:rsidP="00A301D8">
      <w:pPr>
        <w:spacing w:after="0"/>
        <w:jc w:val="center"/>
        <w:rPr>
          <w:rFonts w:ascii="Arial" w:hAnsi="Arial" w:cs="Arial"/>
          <w:b/>
          <w:bCs/>
          <w:sz w:val="24"/>
          <w:szCs w:val="24"/>
        </w:rPr>
      </w:pPr>
    </w:p>
    <w:p w14:paraId="02C37A89" w14:textId="77777777" w:rsidR="00A301D8" w:rsidRPr="001C0E29" w:rsidRDefault="00A301D8" w:rsidP="00A301D8">
      <w:pPr>
        <w:spacing w:after="0"/>
        <w:jc w:val="center"/>
        <w:rPr>
          <w:rFonts w:ascii="Arial" w:hAnsi="Arial" w:cs="Arial"/>
          <w:b/>
          <w:bCs/>
          <w:sz w:val="24"/>
          <w:szCs w:val="24"/>
        </w:rPr>
      </w:pPr>
      <w:r>
        <w:rPr>
          <w:rFonts w:ascii="Arial" w:hAnsi="Arial" w:cs="Arial"/>
          <w:b/>
          <w:bCs/>
          <w:sz w:val="24"/>
          <w:szCs w:val="24"/>
        </w:rPr>
        <w:t xml:space="preserve">SUPPLEMENTARY </w:t>
      </w:r>
      <w:r w:rsidRPr="001C0E29">
        <w:rPr>
          <w:rFonts w:ascii="Arial" w:hAnsi="Arial" w:cs="Arial"/>
          <w:b/>
          <w:bCs/>
          <w:sz w:val="24"/>
          <w:szCs w:val="24"/>
        </w:rPr>
        <w:t xml:space="preserve">EXPLANATORY STATEMENT </w:t>
      </w:r>
    </w:p>
    <w:p w14:paraId="25C71D31" w14:textId="77777777" w:rsidR="00E90DF9" w:rsidRPr="00BB387E" w:rsidRDefault="00E90DF9" w:rsidP="00E90DF9">
      <w:pPr>
        <w:spacing w:after="0"/>
        <w:jc w:val="center"/>
        <w:rPr>
          <w:rFonts w:ascii="Arial" w:hAnsi="Arial" w:cs="Arial"/>
          <w:b/>
          <w:sz w:val="24"/>
          <w:szCs w:val="24"/>
        </w:rPr>
      </w:pPr>
    </w:p>
    <w:p w14:paraId="62B7AD27" w14:textId="77777777" w:rsidR="00E90DF9" w:rsidRPr="00BB387E" w:rsidRDefault="00E90DF9" w:rsidP="00E90DF9">
      <w:pPr>
        <w:spacing w:after="0"/>
        <w:jc w:val="center"/>
        <w:rPr>
          <w:rFonts w:ascii="Arial" w:hAnsi="Arial" w:cs="Arial"/>
          <w:b/>
          <w:sz w:val="24"/>
          <w:szCs w:val="24"/>
        </w:rPr>
      </w:pPr>
    </w:p>
    <w:p w14:paraId="3B7A8E87" w14:textId="77777777" w:rsidR="00E90DF9" w:rsidRPr="00BB387E" w:rsidRDefault="00E90DF9" w:rsidP="00E90DF9">
      <w:pPr>
        <w:spacing w:after="0"/>
        <w:jc w:val="center"/>
        <w:rPr>
          <w:rFonts w:ascii="Arial" w:hAnsi="Arial" w:cs="Arial"/>
          <w:b/>
          <w:sz w:val="24"/>
          <w:szCs w:val="24"/>
        </w:rPr>
      </w:pPr>
    </w:p>
    <w:p w14:paraId="67BAB751" w14:textId="77777777" w:rsidR="00E90DF9" w:rsidRDefault="00E90DF9" w:rsidP="00E90DF9">
      <w:pPr>
        <w:spacing w:after="0"/>
        <w:jc w:val="center"/>
        <w:rPr>
          <w:rFonts w:ascii="Arial" w:hAnsi="Arial" w:cs="Arial"/>
          <w:b/>
          <w:sz w:val="24"/>
          <w:szCs w:val="24"/>
        </w:rPr>
      </w:pPr>
    </w:p>
    <w:p w14:paraId="3D25356F" w14:textId="77777777" w:rsidR="00E90DF9" w:rsidRDefault="00E90DF9" w:rsidP="00E90DF9">
      <w:pPr>
        <w:spacing w:after="0"/>
        <w:jc w:val="center"/>
        <w:rPr>
          <w:rFonts w:ascii="Arial" w:hAnsi="Arial" w:cs="Arial"/>
          <w:b/>
          <w:sz w:val="24"/>
          <w:szCs w:val="24"/>
        </w:rPr>
      </w:pPr>
    </w:p>
    <w:p w14:paraId="5A9A0527" w14:textId="77777777" w:rsidR="00E90DF9" w:rsidRDefault="00E90DF9" w:rsidP="00E90DF9">
      <w:pPr>
        <w:spacing w:after="0"/>
        <w:jc w:val="center"/>
        <w:rPr>
          <w:rFonts w:ascii="Arial" w:hAnsi="Arial" w:cs="Arial"/>
          <w:b/>
          <w:sz w:val="24"/>
          <w:szCs w:val="24"/>
        </w:rPr>
      </w:pPr>
    </w:p>
    <w:p w14:paraId="4CDC9EA3" w14:textId="77777777" w:rsidR="00E90DF9" w:rsidRPr="00BB387E" w:rsidRDefault="00E90DF9" w:rsidP="00E90DF9">
      <w:pPr>
        <w:spacing w:after="0"/>
        <w:jc w:val="center"/>
        <w:rPr>
          <w:rFonts w:ascii="Arial" w:hAnsi="Arial" w:cs="Arial"/>
          <w:b/>
          <w:sz w:val="24"/>
          <w:szCs w:val="24"/>
        </w:rPr>
      </w:pPr>
    </w:p>
    <w:p w14:paraId="01179C4F" w14:textId="77777777" w:rsidR="00E90DF9" w:rsidRPr="00BB387E" w:rsidRDefault="00E90DF9" w:rsidP="00E90DF9">
      <w:pPr>
        <w:keepNext/>
        <w:widowControl w:val="0"/>
        <w:spacing w:after="0"/>
        <w:jc w:val="center"/>
        <w:outlineLvl w:val="7"/>
        <w:rPr>
          <w:rFonts w:ascii="Arial" w:hAnsi="Arial" w:cs="Arial"/>
          <w:b/>
          <w:bCs/>
          <w:sz w:val="24"/>
          <w:szCs w:val="24"/>
        </w:rPr>
      </w:pPr>
    </w:p>
    <w:p w14:paraId="01D43C2C" w14:textId="77777777" w:rsidR="00E90DF9" w:rsidRPr="00BB387E" w:rsidRDefault="00E90DF9" w:rsidP="00E90DF9">
      <w:pPr>
        <w:keepNext/>
        <w:widowControl w:val="0"/>
        <w:spacing w:after="0"/>
        <w:jc w:val="center"/>
        <w:outlineLvl w:val="7"/>
        <w:rPr>
          <w:rFonts w:ascii="Arial" w:hAnsi="Arial" w:cs="Arial"/>
          <w:b/>
          <w:bCs/>
          <w:sz w:val="24"/>
          <w:szCs w:val="24"/>
        </w:rPr>
      </w:pPr>
    </w:p>
    <w:p w14:paraId="461523AD" w14:textId="77777777" w:rsidR="00E90DF9" w:rsidRPr="00BB387E" w:rsidRDefault="00E90DF9" w:rsidP="00E90DF9">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340671F6" w14:textId="6F94DEDB" w:rsidR="00E90DF9" w:rsidRPr="00A301D8" w:rsidRDefault="00A301D8" w:rsidP="00E90DF9">
      <w:pPr>
        <w:spacing w:after="0"/>
        <w:ind w:right="686"/>
        <w:jc w:val="right"/>
        <w:rPr>
          <w:rFonts w:ascii="Arial" w:hAnsi="Arial" w:cs="Arial"/>
          <w:b/>
          <w:bCs/>
          <w:color w:val="000000" w:themeColor="text1"/>
          <w:sz w:val="24"/>
          <w:szCs w:val="24"/>
        </w:rPr>
      </w:pPr>
      <w:r w:rsidRPr="00A301D8">
        <w:rPr>
          <w:rFonts w:ascii="Arial" w:hAnsi="Arial" w:cs="Arial"/>
          <w:b/>
          <w:bCs/>
          <w:color w:val="000000" w:themeColor="text1"/>
          <w:sz w:val="24"/>
          <w:szCs w:val="24"/>
        </w:rPr>
        <w:t>Tara Cheyne MLA</w:t>
      </w:r>
    </w:p>
    <w:p w14:paraId="6D5568E4" w14:textId="4CF2CFE3" w:rsidR="00A301D8" w:rsidRDefault="00A301D8" w:rsidP="00E90DF9">
      <w:pPr>
        <w:spacing w:after="0"/>
        <w:ind w:right="686"/>
        <w:jc w:val="right"/>
        <w:rPr>
          <w:rFonts w:ascii="Arial" w:hAnsi="Arial" w:cs="Arial"/>
          <w:b/>
          <w:bCs/>
          <w:sz w:val="24"/>
          <w:szCs w:val="24"/>
        </w:rPr>
      </w:pPr>
      <w:r w:rsidRPr="00A301D8">
        <w:rPr>
          <w:rFonts w:ascii="Arial" w:hAnsi="Arial" w:cs="Arial"/>
          <w:b/>
          <w:bCs/>
          <w:color w:val="000000" w:themeColor="text1"/>
          <w:sz w:val="24"/>
          <w:szCs w:val="24"/>
        </w:rPr>
        <w:t>Minister for Human Rights</w:t>
      </w:r>
    </w:p>
    <w:p w14:paraId="764EA7E1" w14:textId="77777777" w:rsidR="00E90DF9" w:rsidRPr="008C3B92" w:rsidRDefault="00E90DF9" w:rsidP="00E90DF9">
      <w:pPr>
        <w:spacing w:after="0" w:line="240" w:lineRule="auto"/>
        <w:rPr>
          <w:rFonts w:ascii="Arial" w:hAnsi="Arial" w:cs="Arial"/>
          <w:b/>
          <w:bCs/>
          <w:sz w:val="24"/>
          <w:szCs w:val="24"/>
          <w:u w:val="single"/>
        </w:rPr>
        <w:sectPr w:rsidR="00E90DF9" w:rsidRPr="008C3B92" w:rsidSect="00E63BE6">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428B67D0" w14:textId="68DE89EA" w:rsidR="00E90DF9" w:rsidRPr="00BB387E" w:rsidRDefault="00A301D8" w:rsidP="00E90DF9">
      <w:pPr>
        <w:pStyle w:val="Heading1"/>
        <w:jc w:val="center"/>
      </w:pPr>
      <w:r>
        <w:lastRenderedPageBreak/>
        <w:t>HUMAN RIGHTS (HEALTHY ENVIRONMENT) AMENDMENT BILL 2023</w:t>
      </w:r>
    </w:p>
    <w:p w14:paraId="791A60D0" w14:textId="77777777" w:rsidR="00E90DF9" w:rsidRDefault="00E90DF9" w:rsidP="00E90DF9">
      <w:pPr>
        <w:spacing w:after="0"/>
        <w:contextualSpacing/>
        <w:rPr>
          <w:rFonts w:ascii="Arial" w:hAnsi="Arial" w:cs="Arial"/>
          <w:bCs/>
          <w:sz w:val="24"/>
          <w:szCs w:val="24"/>
        </w:rPr>
      </w:pPr>
    </w:p>
    <w:p w14:paraId="286D8413" w14:textId="650E7748" w:rsidR="00A301D8" w:rsidRPr="00121578" w:rsidRDefault="00A301D8" w:rsidP="00121578">
      <w:pPr>
        <w:pStyle w:val="Recommendation2"/>
        <w:numPr>
          <w:ilvl w:val="0"/>
          <w:numId w:val="0"/>
        </w:numPr>
        <w:spacing w:before="0"/>
        <w:rPr>
          <w:rFonts w:ascii="Arial" w:eastAsia="Times New Roman" w:hAnsi="Arial" w:cs="Arial"/>
          <w:bCs/>
        </w:rPr>
      </w:pPr>
      <w:r w:rsidRPr="001C0E29">
        <w:rPr>
          <w:rFonts w:ascii="Arial" w:eastAsia="Times New Roman" w:hAnsi="Arial" w:cs="Arial"/>
          <w:bCs/>
        </w:rPr>
        <w:t xml:space="preserve">This </w:t>
      </w:r>
      <w:r w:rsidR="00121578">
        <w:rPr>
          <w:rFonts w:ascii="Arial" w:eastAsia="Times New Roman" w:hAnsi="Arial" w:cs="Arial"/>
          <w:bCs/>
        </w:rPr>
        <w:t>Supplementary E</w:t>
      </w:r>
      <w:r w:rsidRPr="001C0E29">
        <w:rPr>
          <w:rFonts w:ascii="Arial" w:eastAsia="Times New Roman" w:hAnsi="Arial" w:cs="Arial"/>
          <w:bCs/>
        </w:rPr>
        <w:t xml:space="preserve">xplanatory </w:t>
      </w:r>
      <w:r w:rsidR="00121578">
        <w:rPr>
          <w:rFonts w:ascii="Arial" w:eastAsia="Times New Roman" w:hAnsi="Arial" w:cs="Arial"/>
          <w:bCs/>
        </w:rPr>
        <w:t>S</w:t>
      </w:r>
      <w:r w:rsidRPr="001C0E29">
        <w:rPr>
          <w:rFonts w:ascii="Arial" w:eastAsia="Times New Roman" w:hAnsi="Arial" w:cs="Arial"/>
          <w:bCs/>
        </w:rPr>
        <w:t xml:space="preserve">tatement relates to the </w:t>
      </w:r>
      <w:r w:rsidR="00797970">
        <w:rPr>
          <w:rFonts w:ascii="Arial" w:eastAsia="Times New Roman" w:hAnsi="Arial" w:cs="Arial"/>
          <w:bCs/>
        </w:rPr>
        <w:t>Human Rights (Healthy Environment) Amendment Bill 2023</w:t>
      </w:r>
      <w:r w:rsidRPr="001C0E29">
        <w:rPr>
          <w:rFonts w:ascii="Arial" w:eastAsia="Times New Roman" w:hAnsi="Arial" w:cs="Arial"/>
          <w:bCs/>
        </w:rPr>
        <w:t xml:space="preserve"> (</w:t>
      </w:r>
      <w:r w:rsidRPr="00D815DB">
        <w:rPr>
          <w:rFonts w:ascii="Arial" w:eastAsia="Times New Roman" w:hAnsi="Arial" w:cs="Arial"/>
          <w:bCs/>
        </w:rPr>
        <w:t>the Bill)</w:t>
      </w:r>
      <w:r w:rsidRPr="001C0E29">
        <w:rPr>
          <w:rFonts w:ascii="Arial" w:eastAsia="Times New Roman" w:hAnsi="Arial" w:cs="Arial"/>
          <w:bCs/>
        </w:rPr>
        <w:t xml:space="preserve"> </w:t>
      </w:r>
      <w:r>
        <w:rPr>
          <w:rFonts w:ascii="Arial" w:eastAsia="Times New Roman" w:hAnsi="Arial" w:cs="Arial"/>
          <w:bCs/>
        </w:rPr>
        <w:t xml:space="preserve">– Government Amendments </w:t>
      </w:r>
      <w:r w:rsidRPr="001C0E29">
        <w:rPr>
          <w:rFonts w:ascii="Arial" w:eastAsia="Times New Roman" w:hAnsi="Arial" w:cs="Arial"/>
          <w:bCs/>
        </w:rPr>
        <w:t>as presented to the ACT Legislative Assembly.</w:t>
      </w:r>
      <w:r w:rsidR="00121578">
        <w:rPr>
          <w:rFonts w:ascii="Arial" w:eastAsia="Times New Roman" w:hAnsi="Arial" w:cs="Arial"/>
          <w:bCs/>
        </w:rPr>
        <w:t xml:space="preserve"> </w:t>
      </w:r>
    </w:p>
    <w:p w14:paraId="3735CFA3" w14:textId="19055DF2" w:rsidR="00E90DF9" w:rsidRPr="00121578" w:rsidRDefault="00A301D8" w:rsidP="00121578">
      <w:pPr>
        <w:pStyle w:val="Recommendation2"/>
        <w:numPr>
          <w:ilvl w:val="0"/>
          <w:numId w:val="0"/>
        </w:numPr>
        <w:spacing w:before="0"/>
        <w:rPr>
          <w:rFonts w:ascii="Arial" w:eastAsia="Times New Roman" w:hAnsi="Arial" w:cs="Arial"/>
          <w:bCs/>
        </w:rPr>
      </w:pPr>
      <w:r w:rsidRPr="001C0E29">
        <w:rPr>
          <w:rFonts w:ascii="Arial" w:eastAsia="Times New Roman" w:hAnsi="Arial" w:cs="Arial"/>
          <w:bCs/>
        </w:rPr>
        <w:t> </w:t>
      </w:r>
    </w:p>
    <w:p w14:paraId="266B7B2E" w14:textId="77777777" w:rsidR="00E90DF9" w:rsidRPr="00121578" w:rsidRDefault="00E90DF9" w:rsidP="00E90DF9">
      <w:pPr>
        <w:pStyle w:val="Heading2"/>
        <w:rPr>
          <w:rFonts w:eastAsia="Times New Roman" w:cs="Arial"/>
          <w:szCs w:val="24"/>
        </w:rPr>
      </w:pPr>
      <w:r w:rsidRPr="00121578">
        <w:rPr>
          <w:rFonts w:eastAsia="Times New Roman" w:cs="Arial"/>
          <w:szCs w:val="24"/>
        </w:rPr>
        <w:t>OVERVIEW OF THE BILL</w:t>
      </w:r>
    </w:p>
    <w:p w14:paraId="26C22DBF" w14:textId="4BF26BB4" w:rsidR="00121578" w:rsidRDefault="00121578" w:rsidP="00121578">
      <w:pPr>
        <w:spacing w:after="120"/>
        <w:ind w:right="-45"/>
        <w:rPr>
          <w:rFonts w:ascii="Arial" w:hAnsi="Arial" w:cs="Arial"/>
          <w:iCs/>
          <w:sz w:val="24"/>
          <w:szCs w:val="24"/>
        </w:rPr>
      </w:pPr>
      <w:r w:rsidRPr="00121578">
        <w:rPr>
          <w:rFonts w:ascii="Arial" w:hAnsi="Arial" w:cs="Arial"/>
          <w:bCs/>
          <w:sz w:val="24"/>
          <w:szCs w:val="24"/>
        </w:rPr>
        <w:t xml:space="preserve">On 26 October 2023, the Minister for Human Rights introduced the </w:t>
      </w:r>
      <w:r w:rsidR="00D815DB">
        <w:rPr>
          <w:rFonts w:ascii="Arial" w:hAnsi="Arial" w:cs="Arial"/>
          <w:bCs/>
          <w:sz w:val="24"/>
          <w:szCs w:val="24"/>
        </w:rPr>
        <w:t xml:space="preserve">Bill </w:t>
      </w:r>
      <w:r w:rsidRPr="00121578">
        <w:rPr>
          <w:rFonts w:ascii="Arial" w:hAnsi="Arial" w:cs="Arial"/>
          <w:bCs/>
          <w:sz w:val="24"/>
          <w:szCs w:val="24"/>
        </w:rPr>
        <w:t xml:space="preserve">into the Legislative Assembly. </w:t>
      </w:r>
      <w:r>
        <w:rPr>
          <w:rFonts w:ascii="Arial" w:hAnsi="Arial" w:cs="Arial"/>
          <w:bCs/>
          <w:sz w:val="24"/>
          <w:szCs w:val="24"/>
        </w:rPr>
        <w:t xml:space="preserve">The Bill </w:t>
      </w:r>
      <w:r w:rsidRPr="00121578">
        <w:rPr>
          <w:rFonts w:ascii="Arial" w:hAnsi="Arial" w:cs="Arial"/>
          <w:iCs/>
          <w:sz w:val="24"/>
          <w:szCs w:val="24"/>
        </w:rPr>
        <w:t xml:space="preserve">amends the </w:t>
      </w:r>
      <w:r w:rsidRPr="00121578">
        <w:rPr>
          <w:rFonts w:ascii="Arial" w:hAnsi="Arial" w:cs="Arial"/>
          <w:i/>
          <w:sz w:val="24"/>
          <w:szCs w:val="24"/>
        </w:rPr>
        <w:t xml:space="preserve">Human Rights Act 2004 </w:t>
      </w:r>
      <w:r w:rsidRPr="00121578">
        <w:rPr>
          <w:rFonts w:ascii="Arial" w:hAnsi="Arial" w:cs="Arial"/>
          <w:iCs/>
          <w:sz w:val="24"/>
          <w:szCs w:val="24"/>
        </w:rPr>
        <w:t>(the Human Rights Act) to include</w:t>
      </w:r>
      <w:r>
        <w:rPr>
          <w:rFonts w:ascii="Arial" w:hAnsi="Arial" w:cs="Arial"/>
          <w:iCs/>
          <w:sz w:val="24"/>
          <w:szCs w:val="24"/>
        </w:rPr>
        <w:t xml:space="preserve"> the right to a healthy environment in the ACT’s human rights framework. </w:t>
      </w:r>
      <w:r w:rsidR="00BC3DCA">
        <w:rPr>
          <w:rFonts w:ascii="Arial" w:hAnsi="Arial" w:cs="Arial"/>
          <w:iCs/>
          <w:sz w:val="24"/>
          <w:szCs w:val="24"/>
        </w:rPr>
        <w:t xml:space="preserve">In an Australian first, the Bill provides express statutory recognition for the right to a clean, </w:t>
      </w:r>
      <w:r>
        <w:rPr>
          <w:rFonts w:ascii="Arial" w:hAnsi="Arial" w:cs="Arial"/>
          <w:iCs/>
          <w:sz w:val="24"/>
          <w:szCs w:val="24"/>
        </w:rPr>
        <w:t xml:space="preserve">healthy and sustainable environment. </w:t>
      </w:r>
    </w:p>
    <w:p w14:paraId="0210203C" w14:textId="2FF56B4E" w:rsidR="00BC3DCA" w:rsidRDefault="00BC3DCA" w:rsidP="00121578">
      <w:pPr>
        <w:spacing w:after="120"/>
        <w:ind w:right="-45"/>
        <w:rPr>
          <w:rFonts w:ascii="Arial" w:hAnsi="Arial" w:cs="Arial"/>
          <w:iCs/>
          <w:sz w:val="24"/>
          <w:szCs w:val="24"/>
        </w:rPr>
      </w:pPr>
      <w:r>
        <w:rPr>
          <w:rFonts w:ascii="Arial" w:hAnsi="Arial" w:cs="Arial"/>
          <w:iCs/>
          <w:sz w:val="24"/>
          <w:szCs w:val="24"/>
        </w:rPr>
        <w:t xml:space="preserve">On 8 November 2023, the Standing Committee on Justice and Community Safety </w:t>
      </w:r>
      <w:r w:rsidRPr="00D815DB">
        <w:rPr>
          <w:rFonts w:ascii="Arial" w:hAnsi="Arial" w:cs="Arial"/>
          <w:iCs/>
          <w:sz w:val="24"/>
          <w:szCs w:val="24"/>
        </w:rPr>
        <w:t xml:space="preserve">(Committee) </w:t>
      </w:r>
      <w:r>
        <w:rPr>
          <w:rFonts w:ascii="Arial" w:hAnsi="Arial" w:cs="Arial"/>
          <w:iCs/>
          <w:sz w:val="24"/>
          <w:szCs w:val="24"/>
        </w:rPr>
        <w:t>decided to inquir</w:t>
      </w:r>
      <w:r w:rsidR="00B46D34">
        <w:rPr>
          <w:rFonts w:ascii="Arial" w:hAnsi="Arial" w:cs="Arial"/>
          <w:iCs/>
          <w:sz w:val="24"/>
          <w:szCs w:val="24"/>
        </w:rPr>
        <w:t>e</w:t>
      </w:r>
      <w:r>
        <w:rPr>
          <w:rFonts w:ascii="Arial" w:hAnsi="Arial" w:cs="Arial"/>
          <w:iCs/>
          <w:sz w:val="24"/>
          <w:szCs w:val="24"/>
        </w:rPr>
        <w:t xml:space="preserve"> into the Bill. </w:t>
      </w:r>
    </w:p>
    <w:p w14:paraId="5948C7B0" w14:textId="289B26E6" w:rsidR="00BC3DCA" w:rsidRDefault="00BC3DCA" w:rsidP="00121578">
      <w:pPr>
        <w:spacing w:after="120"/>
        <w:ind w:right="-45"/>
        <w:rPr>
          <w:rFonts w:ascii="Arial" w:hAnsi="Arial" w:cs="Arial"/>
          <w:iCs/>
          <w:sz w:val="24"/>
          <w:szCs w:val="24"/>
        </w:rPr>
      </w:pPr>
      <w:r>
        <w:rPr>
          <w:rFonts w:ascii="Arial" w:hAnsi="Arial" w:cs="Arial"/>
          <w:iCs/>
          <w:sz w:val="24"/>
          <w:szCs w:val="24"/>
        </w:rPr>
        <w:t xml:space="preserve">The Committee received a total of 14 submissions. </w:t>
      </w:r>
      <w:r w:rsidRPr="00BC3DCA">
        <w:rPr>
          <w:rFonts w:ascii="Arial" w:hAnsi="Arial" w:cs="Arial"/>
          <w:iCs/>
          <w:sz w:val="24"/>
          <w:szCs w:val="24"/>
        </w:rPr>
        <w:t xml:space="preserve">All submissions received by the Committee were broadly supportive of adding the right to a healthy environment to the Human Rights Act. A number of submissions raised concerns and/or suggested improvements for the Bill and as part of implementation of the new right. </w:t>
      </w:r>
    </w:p>
    <w:p w14:paraId="261979D7" w14:textId="5441D872" w:rsidR="00121578" w:rsidRDefault="00BC3DCA" w:rsidP="00FA7F3B">
      <w:pPr>
        <w:spacing w:after="120"/>
        <w:ind w:right="-45"/>
        <w:rPr>
          <w:rFonts w:ascii="Arial" w:hAnsi="Arial" w:cs="Arial"/>
          <w:iCs/>
          <w:sz w:val="24"/>
          <w:szCs w:val="24"/>
        </w:rPr>
      </w:pPr>
      <w:r>
        <w:rPr>
          <w:rFonts w:ascii="Arial" w:hAnsi="Arial" w:cs="Arial"/>
          <w:iCs/>
          <w:sz w:val="24"/>
          <w:szCs w:val="24"/>
        </w:rPr>
        <w:t xml:space="preserve">The Committee released its report on 25 January 2024 making 10 recommendations. </w:t>
      </w:r>
      <w:r w:rsidRPr="00BC3DCA">
        <w:rPr>
          <w:rFonts w:ascii="Arial" w:hAnsi="Arial" w:cs="Arial"/>
          <w:iCs/>
          <w:sz w:val="24"/>
          <w:szCs w:val="24"/>
        </w:rPr>
        <w:t xml:space="preserve">The Committee’s recommendations </w:t>
      </w:r>
      <w:r>
        <w:rPr>
          <w:rFonts w:ascii="Arial" w:hAnsi="Arial" w:cs="Arial"/>
          <w:iCs/>
          <w:sz w:val="24"/>
          <w:szCs w:val="24"/>
        </w:rPr>
        <w:t>have</w:t>
      </w:r>
      <w:r w:rsidRPr="00BC3DCA">
        <w:rPr>
          <w:rFonts w:ascii="Arial" w:hAnsi="Arial" w:cs="Arial"/>
          <w:iCs/>
          <w:sz w:val="24"/>
          <w:szCs w:val="24"/>
        </w:rPr>
        <w:t xml:space="preserve"> informed the Government’s amendments to the Bill.</w:t>
      </w:r>
    </w:p>
    <w:p w14:paraId="56B14B36" w14:textId="44F8ABB5" w:rsidR="00FA7F3B" w:rsidRDefault="00B46D34" w:rsidP="00FA7F3B">
      <w:pPr>
        <w:spacing w:after="120"/>
        <w:ind w:right="-45"/>
        <w:rPr>
          <w:rFonts w:ascii="Arial" w:hAnsi="Arial" w:cs="Arial"/>
          <w:iCs/>
          <w:sz w:val="24"/>
          <w:szCs w:val="24"/>
        </w:rPr>
      </w:pPr>
      <w:r>
        <w:rPr>
          <w:rFonts w:ascii="Arial" w:hAnsi="Arial" w:cs="Arial"/>
          <w:iCs/>
          <w:sz w:val="24"/>
          <w:szCs w:val="24"/>
        </w:rPr>
        <w:t>The proposed</w:t>
      </w:r>
      <w:r w:rsidR="00FA7F3B">
        <w:rPr>
          <w:rFonts w:ascii="Arial" w:hAnsi="Arial" w:cs="Arial"/>
          <w:iCs/>
          <w:sz w:val="24"/>
          <w:szCs w:val="24"/>
        </w:rPr>
        <w:t xml:space="preserve"> Government </w:t>
      </w:r>
      <w:r w:rsidR="00D412B1">
        <w:rPr>
          <w:rFonts w:ascii="Arial" w:hAnsi="Arial" w:cs="Arial"/>
          <w:iCs/>
          <w:sz w:val="24"/>
          <w:szCs w:val="24"/>
        </w:rPr>
        <w:t>a</w:t>
      </w:r>
      <w:r w:rsidR="00FA7F3B">
        <w:rPr>
          <w:rFonts w:ascii="Arial" w:hAnsi="Arial" w:cs="Arial"/>
          <w:iCs/>
          <w:sz w:val="24"/>
          <w:szCs w:val="24"/>
        </w:rPr>
        <w:t xml:space="preserve">mendments </w:t>
      </w:r>
      <w:r>
        <w:rPr>
          <w:rFonts w:ascii="Arial" w:hAnsi="Arial" w:cs="Arial"/>
          <w:iCs/>
          <w:sz w:val="24"/>
          <w:szCs w:val="24"/>
        </w:rPr>
        <w:t>will</w:t>
      </w:r>
      <w:r w:rsidR="00FA7F3B">
        <w:rPr>
          <w:rFonts w:ascii="Arial" w:hAnsi="Arial" w:cs="Arial"/>
          <w:iCs/>
          <w:sz w:val="24"/>
          <w:szCs w:val="24"/>
        </w:rPr>
        <w:t>:</w:t>
      </w:r>
    </w:p>
    <w:p w14:paraId="5BB6FC28" w14:textId="6678F954" w:rsidR="00E3218D" w:rsidRPr="00C725B2" w:rsidRDefault="00E3218D" w:rsidP="00B46D34">
      <w:pPr>
        <w:pStyle w:val="ListParagraph"/>
        <w:numPr>
          <w:ilvl w:val="0"/>
          <w:numId w:val="3"/>
        </w:numPr>
        <w:spacing w:before="240" w:after="200" w:line="276" w:lineRule="auto"/>
        <w:ind w:right="-45" w:hanging="357"/>
        <w:rPr>
          <w:rFonts w:ascii="Arial" w:hAnsi="Arial" w:cs="Arial"/>
          <w:iCs/>
          <w:sz w:val="24"/>
          <w:szCs w:val="24"/>
        </w:rPr>
      </w:pPr>
      <w:bookmarkStart w:id="0" w:name="_Hlk165298653"/>
      <w:r w:rsidRPr="00C725B2">
        <w:rPr>
          <w:rFonts w:ascii="Arial" w:hAnsi="Arial" w:cs="Arial"/>
          <w:iCs/>
          <w:sz w:val="24"/>
          <w:szCs w:val="24"/>
        </w:rPr>
        <w:t>i</w:t>
      </w:r>
      <w:r w:rsidR="00C725B2" w:rsidRPr="00C725B2">
        <w:rPr>
          <w:rFonts w:ascii="Arial" w:hAnsi="Arial" w:cs="Arial"/>
          <w:iCs/>
          <w:sz w:val="24"/>
          <w:szCs w:val="24"/>
        </w:rPr>
        <w:t xml:space="preserve">nsert a sunset clause </w:t>
      </w:r>
      <w:r w:rsidR="008F5F7C">
        <w:rPr>
          <w:rFonts w:ascii="Arial" w:hAnsi="Arial" w:cs="Arial"/>
          <w:iCs/>
          <w:sz w:val="24"/>
          <w:szCs w:val="24"/>
        </w:rPr>
        <w:t>for the litigation bar provision</w:t>
      </w:r>
      <w:r w:rsidR="00D412B1">
        <w:rPr>
          <w:rFonts w:ascii="Arial" w:hAnsi="Arial" w:cs="Arial"/>
          <w:iCs/>
          <w:sz w:val="24"/>
          <w:szCs w:val="24"/>
        </w:rPr>
        <w:t xml:space="preserve"> so that the right to a healthy environment will be justiciable</w:t>
      </w:r>
      <w:r w:rsidR="00DA0AD4">
        <w:rPr>
          <w:rFonts w:ascii="Arial" w:hAnsi="Arial" w:cs="Arial"/>
          <w:iCs/>
          <w:sz w:val="24"/>
          <w:szCs w:val="24"/>
        </w:rPr>
        <w:t xml:space="preserve"> </w:t>
      </w:r>
      <w:r w:rsidR="001F579C">
        <w:rPr>
          <w:rFonts w:ascii="Arial" w:hAnsi="Arial" w:cs="Arial"/>
          <w:iCs/>
          <w:sz w:val="24"/>
          <w:szCs w:val="24"/>
        </w:rPr>
        <w:t>after 1 October 2028</w:t>
      </w:r>
      <w:r w:rsidR="00B46D34">
        <w:rPr>
          <w:rFonts w:ascii="Arial" w:hAnsi="Arial" w:cs="Arial"/>
          <w:iCs/>
          <w:sz w:val="24"/>
          <w:szCs w:val="24"/>
        </w:rPr>
        <w:t>;</w:t>
      </w:r>
    </w:p>
    <w:p w14:paraId="6DFFFB6E" w14:textId="5492E0B4" w:rsidR="00FA7F3B" w:rsidRPr="00FA7F3B" w:rsidRDefault="00FA7F3B" w:rsidP="00B46D34">
      <w:pPr>
        <w:pStyle w:val="ListParagraph"/>
        <w:numPr>
          <w:ilvl w:val="0"/>
          <w:numId w:val="3"/>
        </w:numPr>
        <w:spacing w:before="240" w:after="200" w:line="276" w:lineRule="auto"/>
        <w:ind w:right="-45" w:hanging="357"/>
        <w:rPr>
          <w:rFonts w:ascii="Arial" w:hAnsi="Arial" w:cs="Arial"/>
          <w:iCs/>
          <w:sz w:val="24"/>
          <w:szCs w:val="24"/>
        </w:rPr>
      </w:pPr>
      <w:r>
        <w:rPr>
          <w:rFonts w:ascii="Arial" w:hAnsi="Arial" w:cs="Arial"/>
          <w:iCs/>
          <w:sz w:val="24"/>
          <w:szCs w:val="24"/>
        </w:rPr>
        <w:t xml:space="preserve">amend the timeframe for the statutory review of the operation of the amendments made by the Bill so that the Minister must </w:t>
      </w:r>
      <w:r w:rsidR="001F579C">
        <w:rPr>
          <w:rFonts w:ascii="Arial" w:hAnsi="Arial" w:cs="Arial"/>
          <w:iCs/>
          <w:sz w:val="24"/>
          <w:szCs w:val="24"/>
        </w:rPr>
        <w:t>begin the review</w:t>
      </w:r>
      <w:r>
        <w:rPr>
          <w:rFonts w:ascii="Arial" w:hAnsi="Arial" w:cs="Arial"/>
          <w:b/>
          <w:bCs/>
          <w:iCs/>
          <w:sz w:val="24"/>
          <w:szCs w:val="24"/>
        </w:rPr>
        <w:t xml:space="preserve"> </w:t>
      </w:r>
      <w:r w:rsidR="001F579C" w:rsidRPr="00E35581">
        <w:rPr>
          <w:rFonts w:ascii="Arial" w:hAnsi="Arial" w:cs="Arial"/>
          <w:iCs/>
          <w:sz w:val="24"/>
          <w:szCs w:val="24"/>
        </w:rPr>
        <w:t xml:space="preserve">no later than 1 October 2027 </w:t>
      </w:r>
      <w:r w:rsidR="001F579C" w:rsidRPr="001F579C">
        <w:rPr>
          <w:rFonts w:ascii="Arial" w:hAnsi="Arial" w:cs="Arial"/>
          <w:iCs/>
          <w:sz w:val="24"/>
          <w:szCs w:val="24"/>
        </w:rPr>
        <w:t>and table the report of the review as soon as</w:t>
      </w:r>
      <w:r w:rsidR="001F579C">
        <w:rPr>
          <w:rFonts w:ascii="Arial" w:hAnsi="Arial" w:cs="Arial"/>
          <w:iCs/>
          <w:sz w:val="24"/>
          <w:szCs w:val="24"/>
        </w:rPr>
        <w:t xml:space="preserve"> practicable after it is completed</w:t>
      </w:r>
      <w:r w:rsidR="00B46D34">
        <w:rPr>
          <w:rFonts w:ascii="Arial" w:hAnsi="Arial" w:cs="Arial"/>
          <w:iCs/>
          <w:sz w:val="24"/>
          <w:szCs w:val="24"/>
        </w:rPr>
        <w:t>; and</w:t>
      </w:r>
    </w:p>
    <w:p w14:paraId="13A22395" w14:textId="21C334BB" w:rsidR="00FA7F3B" w:rsidRPr="00FA7F3B" w:rsidRDefault="00FA7F3B" w:rsidP="00B46D34">
      <w:pPr>
        <w:pStyle w:val="ListParagraph"/>
        <w:numPr>
          <w:ilvl w:val="0"/>
          <w:numId w:val="3"/>
        </w:numPr>
        <w:spacing w:before="240" w:after="200" w:line="276" w:lineRule="auto"/>
        <w:ind w:right="-45" w:hanging="357"/>
        <w:rPr>
          <w:rFonts w:ascii="Arial" w:hAnsi="Arial" w:cs="Arial"/>
          <w:iCs/>
          <w:sz w:val="24"/>
          <w:szCs w:val="24"/>
        </w:rPr>
      </w:pPr>
      <w:r w:rsidRPr="00FA7F3B">
        <w:rPr>
          <w:rFonts w:ascii="Arial" w:hAnsi="Arial" w:cs="Arial"/>
          <w:iCs/>
          <w:sz w:val="24"/>
          <w:szCs w:val="24"/>
        </w:rPr>
        <w:t xml:space="preserve">provide specifically that the statutory review will consider: </w:t>
      </w:r>
    </w:p>
    <w:p w14:paraId="67D36EA5" w14:textId="5A04D4E3" w:rsidR="00C725B2" w:rsidRPr="00C725B2" w:rsidRDefault="00C725B2" w:rsidP="00B46D34">
      <w:pPr>
        <w:pStyle w:val="ListParagraph"/>
        <w:numPr>
          <w:ilvl w:val="1"/>
          <w:numId w:val="3"/>
        </w:numPr>
        <w:spacing w:before="240" w:after="200" w:line="276" w:lineRule="auto"/>
        <w:ind w:right="-45" w:hanging="357"/>
        <w:rPr>
          <w:rFonts w:ascii="Arial" w:hAnsi="Arial" w:cs="Arial"/>
          <w:iCs/>
          <w:sz w:val="24"/>
          <w:szCs w:val="24"/>
        </w:rPr>
      </w:pPr>
      <w:r w:rsidRPr="00C725B2">
        <w:rPr>
          <w:rFonts w:ascii="Arial" w:hAnsi="Arial" w:cs="Arial"/>
          <w:iCs/>
          <w:sz w:val="24"/>
          <w:szCs w:val="24"/>
        </w:rPr>
        <w:t>whether the limitation on justiciability under section 40C</w:t>
      </w:r>
      <w:r w:rsidR="00B46D34">
        <w:rPr>
          <w:rFonts w:ascii="Arial" w:hAnsi="Arial" w:cs="Arial"/>
          <w:iCs/>
          <w:sz w:val="24"/>
          <w:szCs w:val="24"/>
        </w:rPr>
        <w:t>(5</w:t>
      </w:r>
      <w:r w:rsidRPr="00C725B2">
        <w:rPr>
          <w:rFonts w:ascii="Arial" w:hAnsi="Arial" w:cs="Arial"/>
          <w:iCs/>
          <w:sz w:val="24"/>
          <w:szCs w:val="24"/>
        </w:rPr>
        <w:t>A</w:t>
      </w:r>
      <w:r w:rsidR="00B46D34">
        <w:rPr>
          <w:rFonts w:ascii="Arial" w:hAnsi="Arial" w:cs="Arial"/>
          <w:iCs/>
          <w:sz w:val="24"/>
          <w:szCs w:val="24"/>
        </w:rPr>
        <w:t>)</w:t>
      </w:r>
      <w:r w:rsidRPr="00C725B2">
        <w:rPr>
          <w:rFonts w:ascii="Arial" w:hAnsi="Arial" w:cs="Arial"/>
          <w:iCs/>
          <w:sz w:val="24"/>
          <w:szCs w:val="24"/>
        </w:rPr>
        <w:t xml:space="preserve"> remains appropriate, notwithstanding the sunset clause; and</w:t>
      </w:r>
    </w:p>
    <w:p w14:paraId="6DF29FA4" w14:textId="43C23F2E" w:rsidR="00FA7F3B" w:rsidRDefault="00FA7F3B" w:rsidP="00B46D34">
      <w:pPr>
        <w:pStyle w:val="ListParagraph"/>
        <w:numPr>
          <w:ilvl w:val="1"/>
          <w:numId w:val="3"/>
        </w:numPr>
        <w:spacing w:before="240" w:after="200" w:line="276" w:lineRule="auto"/>
        <w:ind w:right="-45" w:hanging="357"/>
        <w:rPr>
          <w:rFonts w:ascii="Arial" w:hAnsi="Arial" w:cs="Arial"/>
          <w:iCs/>
          <w:sz w:val="24"/>
          <w:szCs w:val="24"/>
        </w:rPr>
      </w:pPr>
      <w:r w:rsidRPr="00FA7F3B">
        <w:rPr>
          <w:rFonts w:ascii="Arial" w:hAnsi="Arial" w:cs="Arial"/>
          <w:iCs/>
          <w:sz w:val="24"/>
          <w:szCs w:val="24"/>
        </w:rPr>
        <w:t>the categorisation of the right in Part 3A (Economic, Social and Cultural Rights) of the Human Rights Act.</w:t>
      </w:r>
    </w:p>
    <w:bookmarkEnd w:id="0"/>
    <w:p w14:paraId="5F10D8F7" w14:textId="77777777" w:rsidR="00D412B1" w:rsidRDefault="00D412B1" w:rsidP="00F86B47">
      <w:pPr>
        <w:pStyle w:val="ListParagraph"/>
        <w:spacing w:after="120"/>
        <w:ind w:left="1440" w:right="-45"/>
        <w:rPr>
          <w:rFonts w:ascii="Arial" w:hAnsi="Arial" w:cs="Arial"/>
          <w:iCs/>
          <w:sz w:val="24"/>
          <w:szCs w:val="24"/>
        </w:rPr>
      </w:pPr>
    </w:p>
    <w:p w14:paraId="25E5EC3A" w14:textId="78C9BA07" w:rsidR="00E90DF9" w:rsidRDefault="00E90DF9" w:rsidP="009627F1">
      <w:pPr>
        <w:keepNext/>
        <w:rPr>
          <w:rFonts w:ascii="Arial" w:hAnsi="Arial" w:cs="Arial"/>
          <w:b/>
          <w:sz w:val="24"/>
          <w:szCs w:val="24"/>
        </w:rPr>
      </w:pPr>
      <w:r w:rsidRPr="00AC59DF">
        <w:rPr>
          <w:rFonts w:ascii="Arial" w:hAnsi="Arial" w:cs="Arial"/>
          <w:b/>
          <w:sz w:val="24"/>
          <w:szCs w:val="24"/>
        </w:rPr>
        <w:lastRenderedPageBreak/>
        <w:t>CONSULTATION ON THE PROPOSED APPROACH</w:t>
      </w:r>
    </w:p>
    <w:p w14:paraId="403551B1" w14:textId="7AFAB17F" w:rsidR="00F86B47" w:rsidRPr="00775119" w:rsidRDefault="00F86B47" w:rsidP="009627F1">
      <w:pPr>
        <w:keepNext/>
        <w:tabs>
          <w:tab w:val="left" w:pos="425"/>
        </w:tabs>
        <w:spacing w:before="240"/>
        <w:rPr>
          <w:rFonts w:ascii="Arial" w:hAnsi="Arial" w:cs="Arial"/>
          <w:iCs/>
          <w:sz w:val="24"/>
          <w:szCs w:val="24"/>
        </w:rPr>
      </w:pPr>
      <w:r w:rsidRPr="00775119">
        <w:rPr>
          <w:rFonts w:ascii="Arial" w:hAnsi="Arial" w:cs="Arial"/>
          <w:iCs/>
          <w:sz w:val="24"/>
          <w:szCs w:val="24"/>
        </w:rPr>
        <w:t>In November 2022, the Government committed to introduce an amendment to the Human Rights Act to include a right to a healthy environment in the Human Rights Act in this term of the</w:t>
      </w:r>
      <w:r w:rsidR="00D412B1">
        <w:rPr>
          <w:rFonts w:ascii="Arial" w:hAnsi="Arial" w:cs="Arial"/>
          <w:iCs/>
          <w:sz w:val="24"/>
          <w:szCs w:val="24"/>
        </w:rPr>
        <w:t xml:space="preserve"> Legislative</w:t>
      </w:r>
      <w:r w:rsidRPr="00775119">
        <w:rPr>
          <w:rFonts w:ascii="Arial" w:hAnsi="Arial" w:cs="Arial"/>
          <w:iCs/>
          <w:sz w:val="24"/>
          <w:szCs w:val="24"/>
        </w:rPr>
        <w:t xml:space="preserve"> Assembly. This followed strong public support for introducing the right to a healthy environment expressed through a public consultation process undertaken in 2022</w:t>
      </w:r>
      <w:r w:rsidR="00090D0C">
        <w:rPr>
          <w:rFonts w:ascii="Arial" w:hAnsi="Arial" w:cs="Arial"/>
          <w:iCs/>
          <w:sz w:val="24"/>
          <w:szCs w:val="24"/>
        </w:rPr>
        <w:t xml:space="preserve">, including through </w:t>
      </w:r>
      <w:r w:rsidRPr="00775119">
        <w:rPr>
          <w:rFonts w:ascii="Arial" w:hAnsi="Arial" w:cs="Arial"/>
          <w:iCs/>
          <w:sz w:val="24"/>
          <w:szCs w:val="24"/>
        </w:rPr>
        <w:t>YourSay public consultation</w:t>
      </w:r>
      <w:r w:rsidR="00090D0C">
        <w:rPr>
          <w:rFonts w:ascii="Arial" w:hAnsi="Arial" w:cs="Arial"/>
          <w:iCs/>
          <w:sz w:val="24"/>
          <w:szCs w:val="24"/>
        </w:rPr>
        <w:t>.</w:t>
      </w:r>
    </w:p>
    <w:p w14:paraId="588BDA67" w14:textId="364A2FB9" w:rsidR="00F86B47" w:rsidRDefault="00090D0C" w:rsidP="00F86B47">
      <w:pPr>
        <w:rPr>
          <w:rFonts w:ascii="Arial" w:hAnsi="Arial" w:cs="Arial"/>
          <w:iCs/>
          <w:sz w:val="24"/>
          <w:szCs w:val="24"/>
        </w:rPr>
      </w:pPr>
      <w:r>
        <w:rPr>
          <w:rFonts w:ascii="Arial" w:hAnsi="Arial" w:cs="Arial"/>
          <w:iCs/>
          <w:sz w:val="24"/>
          <w:szCs w:val="24"/>
        </w:rPr>
        <w:t>Throughout 2023 and 2024,</w:t>
      </w:r>
      <w:r w:rsidR="00F86B47">
        <w:rPr>
          <w:rFonts w:ascii="Arial" w:hAnsi="Arial" w:cs="Arial"/>
          <w:iCs/>
          <w:sz w:val="24"/>
          <w:szCs w:val="24"/>
        </w:rPr>
        <w:t xml:space="preserve"> the Justice and Community Safety Directorate has been engaging with key stakeholders, including primarily Government directorates and agencies to inform the development of the Bill and key implementation measures.</w:t>
      </w:r>
    </w:p>
    <w:p w14:paraId="79DF469E" w14:textId="0E495DBB" w:rsidR="00F86B47" w:rsidRPr="00F86B47" w:rsidRDefault="00F86B47" w:rsidP="00F86B47">
      <w:pPr>
        <w:spacing w:after="0"/>
        <w:rPr>
          <w:rFonts w:ascii="Arial" w:hAnsi="Arial" w:cs="Arial"/>
          <w:iCs/>
          <w:sz w:val="24"/>
          <w:szCs w:val="24"/>
        </w:rPr>
      </w:pPr>
      <w:r w:rsidRPr="00F86B47">
        <w:rPr>
          <w:rFonts w:ascii="Arial" w:hAnsi="Arial" w:cs="Arial"/>
          <w:iCs/>
          <w:sz w:val="24"/>
          <w:szCs w:val="24"/>
        </w:rPr>
        <w:t xml:space="preserve">The Government carefully considered each submission to the Committee. Further targeted consultation </w:t>
      </w:r>
      <w:r w:rsidR="00D412B1">
        <w:rPr>
          <w:rFonts w:ascii="Arial" w:hAnsi="Arial" w:cs="Arial"/>
          <w:iCs/>
          <w:sz w:val="24"/>
          <w:szCs w:val="24"/>
        </w:rPr>
        <w:t>was</w:t>
      </w:r>
      <w:r w:rsidRPr="00F86B47">
        <w:rPr>
          <w:rFonts w:ascii="Arial" w:hAnsi="Arial" w:cs="Arial"/>
          <w:iCs/>
          <w:sz w:val="24"/>
          <w:szCs w:val="24"/>
        </w:rPr>
        <w:t xml:space="preserve"> undertaken with </w:t>
      </w:r>
      <w:r w:rsidR="006D23F4">
        <w:rPr>
          <w:rFonts w:ascii="Arial" w:hAnsi="Arial" w:cs="Arial"/>
          <w:iCs/>
          <w:sz w:val="24"/>
          <w:szCs w:val="24"/>
        </w:rPr>
        <w:t>the Chief Minister, Treasury and Economic Development Directorate, Access Canberra, Environment, Planning and Sustainable Development Directorate, ACT Corrective Services and ACT Health</w:t>
      </w:r>
      <w:r w:rsidR="00D412B1">
        <w:rPr>
          <w:rFonts w:ascii="Arial" w:hAnsi="Arial" w:cs="Arial"/>
          <w:iCs/>
          <w:sz w:val="24"/>
          <w:szCs w:val="24"/>
        </w:rPr>
        <w:t xml:space="preserve"> in relation to the Government’s position on each of the Committee’s recommendations</w:t>
      </w:r>
      <w:r w:rsidR="006D23F4">
        <w:rPr>
          <w:rFonts w:ascii="Arial" w:hAnsi="Arial" w:cs="Arial"/>
          <w:iCs/>
          <w:sz w:val="24"/>
          <w:szCs w:val="24"/>
        </w:rPr>
        <w:t>.</w:t>
      </w:r>
    </w:p>
    <w:p w14:paraId="75631E9A" w14:textId="77777777" w:rsidR="00B26900" w:rsidRDefault="00B26900" w:rsidP="00E90DF9">
      <w:pPr>
        <w:pStyle w:val="Heading2"/>
      </w:pPr>
    </w:p>
    <w:p w14:paraId="1E002791" w14:textId="61F7AADF" w:rsidR="00E90DF9" w:rsidRDefault="00E90DF9" w:rsidP="00E90DF9">
      <w:pPr>
        <w:pStyle w:val="Heading2"/>
      </w:pPr>
      <w:r>
        <w:t xml:space="preserve">CONSISTENCY WITH </w:t>
      </w:r>
      <w:r w:rsidRPr="008C225D">
        <w:t>HUMAN RIGHTS</w:t>
      </w:r>
    </w:p>
    <w:p w14:paraId="58F3155D" w14:textId="4BBEB23F" w:rsidR="00E90DF9" w:rsidRDefault="00B26900" w:rsidP="00E90DF9">
      <w:pPr>
        <w:spacing w:after="0" w:line="240" w:lineRule="auto"/>
        <w:rPr>
          <w:rFonts w:ascii="Arial" w:hAnsi="Arial" w:cs="Arial"/>
          <w:iCs/>
          <w:sz w:val="24"/>
          <w:szCs w:val="24"/>
        </w:rPr>
      </w:pPr>
      <w:bookmarkStart w:id="1" w:name="OLE_LINK1"/>
      <w:r>
        <w:rPr>
          <w:rFonts w:ascii="Arial" w:hAnsi="Arial" w:cs="Arial"/>
          <w:iCs/>
          <w:sz w:val="24"/>
          <w:szCs w:val="24"/>
        </w:rPr>
        <w:t xml:space="preserve">The Government </w:t>
      </w:r>
      <w:r w:rsidR="00D412B1">
        <w:rPr>
          <w:rFonts w:ascii="Arial" w:hAnsi="Arial" w:cs="Arial"/>
          <w:iCs/>
          <w:sz w:val="24"/>
          <w:szCs w:val="24"/>
        </w:rPr>
        <w:t>a</w:t>
      </w:r>
      <w:r>
        <w:rPr>
          <w:rFonts w:ascii="Arial" w:hAnsi="Arial" w:cs="Arial"/>
          <w:iCs/>
          <w:sz w:val="24"/>
          <w:szCs w:val="24"/>
        </w:rPr>
        <w:t xml:space="preserve">mendments </w:t>
      </w:r>
      <w:r w:rsidR="001F579C">
        <w:rPr>
          <w:rFonts w:ascii="Arial" w:hAnsi="Arial" w:cs="Arial"/>
          <w:iCs/>
          <w:sz w:val="24"/>
          <w:szCs w:val="24"/>
        </w:rPr>
        <w:t>are not considered to limit</w:t>
      </w:r>
      <w:r>
        <w:rPr>
          <w:rFonts w:ascii="Arial" w:hAnsi="Arial" w:cs="Arial"/>
          <w:iCs/>
          <w:sz w:val="24"/>
          <w:szCs w:val="24"/>
        </w:rPr>
        <w:t xml:space="preserve"> any human rights</w:t>
      </w:r>
      <w:r w:rsidR="001F579C">
        <w:rPr>
          <w:rFonts w:ascii="Arial" w:hAnsi="Arial" w:cs="Arial"/>
          <w:iCs/>
          <w:sz w:val="24"/>
          <w:szCs w:val="24"/>
        </w:rPr>
        <w:t xml:space="preserve"> in the </w:t>
      </w:r>
      <w:r w:rsidR="001F579C" w:rsidRPr="00E35581">
        <w:rPr>
          <w:rFonts w:ascii="Arial" w:hAnsi="Arial" w:cs="Arial"/>
          <w:i/>
          <w:sz w:val="24"/>
          <w:szCs w:val="24"/>
        </w:rPr>
        <w:t>Human Rights Act 2004</w:t>
      </w:r>
      <w:r>
        <w:rPr>
          <w:rFonts w:ascii="Arial" w:hAnsi="Arial" w:cs="Arial"/>
          <w:iCs/>
          <w:sz w:val="24"/>
          <w:szCs w:val="24"/>
        </w:rPr>
        <w:t xml:space="preserve">. </w:t>
      </w:r>
    </w:p>
    <w:p w14:paraId="0D52C8EC" w14:textId="3EEB86E1" w:rsidR="001F579C" w:rsidRDefault="001F579C" w:rsidP="00E90DF9">
      <w:pPr>
        <w:spacing w:after="0" w:line="240" w:lineRule="auto"/>
        <w:rPr>
          <w:rFonts w:ascii="Arial" w:hAnsi="Arial" w:cs="Arial"/>
          <w:iCs/>
          <w:sz w:val="24"/>
          <w:szCs w:val="24"/>
        </w:rPr>
      </w:pPr>
    </w:p>
    <w:p w14:paraId="75CB5A41" w14:textId="1594E39E" w:rsidR="001F579C" w:rsidRDefault="001F579C" w:rsidP="00E90DF9">
      <w:pPr>
        <w:spacing w:after="0" w:line="240" w:lineRule="auto"/>
        <w:rPr>
          <w:rFonts w:ascii="Arial" w:hAnsi="Arial" w:cs="Arial"/>
          <w:b/>
          <w:bCs/>
          <w:iCs/>
          <w:sz w:val="24"/>
          <w:szCs w:val="24"/>
        </w:rPr>
      </w:pPr>
      <w:r>
        <w:rPr>
          <w:rFonts w:ascii="Arial" w:hAnsi="Arial" w:cs="Arial"/>
          <w:iCs/>
          <w:sz w:val="24"/>
          <w:szCs w:val="24"/>
        </w:rPr>
        <w:t>In providing a sunset clause for the bar on litigation in relation to the right to a healthy environment, the amendments may promote the right to a fair trial protected in section 21 of the Human Rights Act.</w:t>
      </w:r>
    </w:p>
    <w:p w14:paraId="5295D79C" w14:textId="77777777" w:rsidR="00121578" w:rsidRDefault="00121578" w:rsidP="00E90DF9">
      <w:pPr>
        <w:spacing w:after="0" w:line="240" w:lineRule="auto"/>
        <w:rPr>
          <w:rFonts w:ascii="Arial" w:hAnsi="Arial" w:cs="Arial"/>
          <w:b/>
          <w:bCs/>
          <w:iCs/>
          <w:sz w:val="24"/>
          <w:szCs w:val="24"/>
        </w:rPr>
      </w:pPr>
    </w:p>
    <w:p w14:paraId="0504BD8A" w14:textId="77777777" w:rsidR="00121578" w:rsidRDefault="00121578" w:rsidP="00E90DF9">
      <w:pPr>
        <w:spacing w:after="0" w:line="240" w:lineRule="auto"/>
        <w:rPr>
          <w:rFonts w:ascii="Arial" w:hAnsi="Arial" w:cs="Arial"/>
          <w:b/>
          <w:bCs/>
          <w:iCs/>
          <w:sz w:val="24"/>
          <w:szCs w:val="24"/>
        </w:rPr>
      </w:pPr>
    </w:p>
    <w:p w14:paraId="60083C07" w14:textId="77777777" w:rsidR="00121578" w:rsidRDefault="00121578" w:rsidP="00E90DF9">
      <w:pPr>
        <w:spacing w:after="0" w:line="240" w:lineRule="auto"/>
        <w:rPr>
          <w:rFonts w:ascii="Arial" w:hAnsi="Arial" w:cs="Arial"/>
          <w:b/>
          <w:bCs/>
          <w:iCs/>
          <w:sz w:val="24"/>
          <w:szCs w:val="24"/>
        </w:rPr>
      </w:pPr>
    </w:p>
    <w:bookmarkEnd w:id="1"/>
    <w:p w14:paraId="634CD2DB" w14:textId="77777777" w:rsidR="00E90DF9" w:rsidRDefault="00E90DF9" w:rsidP="00E90DF9">
      <w:pPr>
        <w:pStyle w:val="Heading2"/>
        <w:pageBreakBefore/>
        <w:spacing w:before="240" w:after="240"/>
      </w:pPr>
      <w:r w:rsidRPr="008C225D">
        <w:lastRenderedPageBreak/>
        <w:t>CLAUSE NOTES</w:t>
      </w:r>
    </w:p>
    <w:p w14:paraId="138751BA" w14:textId="38CF985C" w:rsidR="00D815DB" w:rsidRPr="00ED3B77" w:rsidRDefault="00A62369" w:rsidP="00D815DB">
      <w:pPr>
        <w:pStyle w:val="Heading3"/>
        <w:rPr>
          <w:b w:val="0"/>
        </w:rPr>
      </w:pPr>
      <w:r>
        <w:t>Amendment</w:t>
      </w:r>
      <w:r w:rsidR="00D815DB" w:rsidRPr="00ED3B77">
        <w:t xml:space="preserve"> 1</w:t>
      </w:r>
      <w:r w:rsidR="00D815DB" w:rsidRPr="00ED3B77">
        <w:tab/>
      </w:r>
      <w:r>
        <w:t>Proposed new c</w:t>
      </w:r>
      <w:r w:rsidR="00D815DB">
        <w:t>lause 7</w:t>
      </w:r>
      <w:r w:rsidR="008F5F7C">
        <w:t>A</w:t>
      </w:r>
    </w:p>
    <w:p w14:paraId="359F88CA" w14:textId="126CCA46" w:rsidR="00D815DB" w:rsidRPr="009627F1" w:rsidRDefault="00D815DB" w:rsidP="00D815DB">
      <w:pPr>
        <w:rPr>
          <w:rFonts w:ascii="Arial" w:hAnsi="Arial" w:cs="Arial"/>
          <w:sz w:val="24"/>
          <w:szCs w:val="24"/>
        </w:rPr>
      </w:pPr>
      <w:r w:rsidRPr="009627F1">
        <w:rPr>
          <w:rFonts w:ascii="Arial" w:hAnsi="Arial" w:cs="Arial"/>
          <w:sz w:val="24"/>
          <w:szCs w:val="24"/>
        </w:rPr>
        <w:t xml:space="preserve">This clause </w:t>
      </w:r>
      <w:r w:rsidR="008F5F7C" w:rsidRPr="009627F1">
        <w:rPr>
          <w:rFonts w:ascii="Arial" w:hAnsi="Arial" w:cs="Arial"/>
          <w:sz w:val="24"/>
          <w:szCs w:val="24"/>
        </w:rPr>
        <w:t>inserts a new section 40C(8) into</w:t>
      </w:r>
      <w:r w:rsidRPr="009627F1">
        <w:rPr>
          <w:rFonts w:ascii="Arial" w:hAnsi="Arial" w:cs="Arial"/>
          <w:sz w:val="24"/>
          <w:szCs w:val="24"/>
        </w:rPr>
        <w:t xml:space="preserve"> the Bill </w:t>
      </w:r>
      <w:r w:rsidR="008F5F7C" w:rsidRPr="009627F1">
        <w:rPr>
          <w:rFonts w:ascii="Arial" w:hAnsi="Arial" w:cs="Arial"/>
          <w:sz w:val="24"/>
          <w:szCs w:val="24"/>
        </w:rPr>
        <w:t>to provide for a sunset clause for the litigation bar provision</w:t>
      </w:r>
      <w:r w:rsidRPr="009627F1">
        <w:rPr>
          <w:rFonts w:ascii="Arial" w:hAnsi="Arial" w:cs="Arial"/>
          <w:sz w:val="24"/>
          <w:szCs w:val="24"/>
        </w:rPr>
        <w:t xml:space="preserve">. </w:t>
      </w:r>
    </w:p>
    <w:p w14:paraId="6FBF9241" w14:textId="7BBF5E20" w:rsidR="00F67261" w:rsidRPr="009627F1" w:rsidRDefault="008F5F7C" w:rsidP="002A6C14">
      <w:pPr>
        <w:pStyle w:val="Paragraphtext"/>
        <w:spacing w:line="276" w:lineRule="auto"/>
        <w:rPr>
          <w:rFonts w:ascii="Arial" w:hAnsi="Arial" w:cs="Arial"/>
        </w:rPr>
      </w:pPr>
      <w:r w:rsidRPr="009627F1">
        <w:rPr>
          <w:rFonts w:ascii="Arial" w:hAnsi="Arial" w:cs="Arial"/>
          <w:szCs w:val="24"/>
        </w:rPr>
        <w:t>The new section 40C(8)</w:t>
      </w:r>
      <w:r w:rsidR="00D815DB" w:rsidRPr="009627F1">
        <w:rPr>
          <w:rFonts w:ascii="Arial" w:hAnsi="Arial" w:cs="Arial"/>
          <w:szCs w:val="24"/>
        </w:rPr>
        <w:t xml:space="preserve"> provides that</w:t>
      </w:r>
      <w:r w:rsidRPr="009627F1">
        <w:rPr>
          <w:rFonts w:ascii="Arial" w:hAnsi="Arial" w:cs="Arial"/>
          <w:szCs w:val="24"/>
        </w:rPr>
        <w:t xml:space="preserve"> subsections 40C(5A), (5B) and this subsection </w:t>
      </w:r>
      <w:r w:rsidR="00D815DB" w:rsidRPr="009627F1">
        <w:rPr>
          <w:rFonts w:ascii="Arial" w:hAnsi="Arial" w:cs="Arial"/>
          <w:szCs w:val="24"/>
        </w:rPr>
        <w:t xml:space="preserve">expire </w:t>
      </w:r>
      <w:r w:rsidR="001F579C" w:rsidRPr="009627F1">
        <w:rPr>
          <w:rFonts w:ascii="Arial" w:hAnsi="Arial" w:cs="Arial"/>
          <w:szCs w:val="24"/>
        </w:rPr>
        <w:t>on 1 October 2028</w:t>
      </w:r>
      <w:r w:rsidR="00D815DB" w:rsidRPr="009627F1">
        <w:rPr>
          <w:rFonts w:ascii="Arial" w:hAnsi="Arial" w:cs="Arial"/>
          <w:szCs w:val="24"/>
        </w:rPr>
        <w:t xml:space="preserve">. </w:t>
      </w:r>
      <w:r w:rsidR="002A6C14" w:rsidRPr="009627F1">
        <w:rPr>
          <w:rFonts w:ascii="Arial" w:hAnsi="Arial" w:cs="Arial"/>
        </w:rPr>
        <w:t xml:space="preserve">The inclusion of a sunset clause will automatically </w:t>
      </w:r>
      <w:r w:rsidRPr="009627F1">
        <w:rPr>
          <w:rFonts w:ascii="Arial" w:hAnsi="Arial" w:cs="Arial"/>
        </w:rPr>
        <w:t xml:space="preserve">remove the bar on </w:t>
      </w:r>
      <w:r w:rsidR="00CF4682" w:rsidRPr="009627F1">
        <w:rPr>
          <w:rFonts w:ascii="Arial" w:hAnsi="Arial" w:cs="Arial"/>
        </w:rPr>
        <w:t xml:space="preserve">litigation </w:t>
      </w:r>
      <w:r w:rsidRPr="009627F1">
        <w:rPr>
          <w:rFonts w:ascii="Arial" w:hAnsi="Arial" w:cs="Arial"/>
        </w:rPr>
        <w:t>remedies</w:t>
      </w:r>
      <w:r w:rsidR="002A6C14" w:rsidRPr="009627F1">
        <w:rPr>
          <w:rFonts w:ascii="Arial" w:hAnsi="Arial" w:cs="Arial"/>
        </w:rPr>
        <w:t xml:space="preserve"> under section 40C</w:t>
      </w:r>
      <w:r w:rsidR="00A62369" w:rsidRPr="009627F1">
        <w:rPr>
          <w:rFonts w:ascii="Arial" w:hAnsi="Arial" w:cs="Arial"/>
        </w:rPr>
        <w:t>(5A)</w:t>
      </w:r>
      <w:r w:rsidR="002A6C14" w:rsidRPr="009627F1">
        <w:rPr>
          <w:rFonts w:ascii="Arial" w:hAnsi="Arial" w:cs="Arial"/>
        </w:rPr>
        <w:t xml:space="preserve"> of the Human Rights Act in relation to the new right </w:t>
      </w:r>
      <w:r w:rsidR="001F579C" w:rsidRPr="009627F1">
        <w:rPr>
          <w:rFonts w:ascii="Arial" w:hAnsi="Arial" w:cs="Arial"/>
        </w:rPr>
        <w:t>after 1 October 2028</w:t>
      </w:r>
      <w:r w:rsidR="002A6C14" w:rsidRPr="009627F1">
        <w:rPr>
          <w:rFonts w:ascii="Arial" w:hAnsi="Arial" w:cs="Arial"/>
        </w:rPr>
        <w:t xml:space="preserve">. </w:t>
      </w:r>
    </w:p>
    <w:p w14:paraId="21139D56" w14:textId="29C5143F" w:rsidR="00E90DF9" w:rsidRPr="00ED3B77" w:rsidRDefault="00A62369" w:rsidP="00E90DF9">
      <w:pPr>
        <w:pStyle w:val="Heading3"/>
        <w:rPr>
          <w:b w:val="0"/>
        </w:rPr>
      </w:pPr>
      <w:r>
        <w:t xml:space="preserve">Amendment </w:t>
      </w:r>
      <w:r w:rsidR="00D815DB">
        <w:t>2</w:t>
      </w:r>
      <w:r w:rsidR="00E90DF9" w:rsidRPr="00ED3B77">
        <w:tab/>
      </w:r>
      <w:r w:rsidR="00B26900">
        <w:t>Clause 8</w:t>
      </w:r>
    </w:p>
    <w:p w14:paraId="31B8F406" w14:textId="50C8F2A1" w:rsidR="00B55E7A" w:rsidRPr="009627F1" w:rsidRDefault="00B26900" w:rsidP="00B55E7A">
      <w:pPr>
        <w:rPr>
          <w:rFonts w:ascii="Arial" w:hAnsi="Arial" w:cs="Arial"/>
          <w:sz w:val="24"/>
          <w:szCs w:val="24"/>
        </w:rPr>
      </w:pPr>
      <w:r w:rsidRPr="009627F1">
        <w:rPr>
          <w:rFonts w:ascii="Arial" w:hAnsi="Arial" w:cs="Arial"/>
          <w:sz w:val="24"/>
          <w:szCs w:val="24"/>
        </w:rPr>
        <w:t xml:space="preserve">This clause substitutes clause 8 of the Bill to </w:t>
      </w:r>
      <w:r w:rsidR="00B55E7A" w:rsidRPr="009627F1">
        <w:rPr>
          <w:rFonts w:ascii="Arial" w:hAnsi="Arial" w:cs="Arial"/>
          <w:sz w:val="24"/>
          <w:szCs w:val="24"/>
        </w:rPr>
        <w:t xml:space="preserve">replace the requirements for the statutory review. </w:t>
      </w:r>
      <w:r w:rsidR="00F67261" w:rsidRPr="009627F1">
        <w:rPr>
          <w:rFonts w:ascii="Arial" w:hAnsi="Arial" w:cs="Arial"/>
          <w:sz w:val="24"/>
          <w:szCs w:val="24"/>
        </w:rPr>
        <w:t>The clause</w:t>
      </w:r>
      <w:r w:rsidR="00B55E7A" w:rsidRPr="009627F1">
        <w:rPr>
          <w:rFonts w:ascii="Arial" w:hAnsi="Arial" w:cs="Arial"/>
          <w:sz w:val="24"/>
          <w:szCs w:val="24"/>
        </w:rPr>
        <w:t xml:space="preserve"> inserts </w:t>
      </w:r>
      <w:r w:rsidR="00CF4682" w:rsidRPr="009627F1">
        <w:rPr>
          <w:rFonts w:ascii="Arial" w:hAnsi="Arial" w:cs="Arial"/>
          <w:sz w:val="24"/>
          <w:szCs w:val="24"/>
        </w:rPr>
        <w:t xml:space="preserve">a new </w:t>
      </w:r>
      <w:r w:rsidR="00B55E7A" w:rsidRPr="009627F1">
        <w:rPr>
          <w:rFonts w:ascii="Arial" w:hAnsi="Arial" w:cs="Arial"/>
          <w:sz w:val="24"/>
          <w:szCs w:val="24"/>
        </w:rPr>
        <w:t xml:space="preserve">section 43 which imposes a review obligation on the Minister to conduct a review </w:t>
      </w:r>
      <w:r w:rsidR="00CF4682" w:rsidRPr="009627F1">
        <w:rPr>
          <w:rFonts w:ascii="Arial" w:hAnsi="Arial" w:cs="Arial"/>
          <w:sz w:val="24"/>
          <w:szCs w:val="24"/>
        </w:rPr>
        <w:t xml:space="preserve">of the operation of the amendments to the Human Rights Act made by the </w:t>
      </w:r>
      <w:r w:rsidR="00CF4682" w:rsidRPr="009627F1">
        <w:rPr>
          <w:rFonts w:ascii="Arial" w:hAnsi="Arial" w:cs="Arial"/>
          <w:i/>
          <w:iCs/>
          <w:sz w:val="24"/>
          <w:szCs w:val="24"/>
        </w:rPr>
        <w:t>Human Rights (Healthy Environment) Amendment Act 2023</w:t>
      </w:r>
      <w:r w:rsidR="00CF4682" w:rsidRPr="009627F1">
        <w:rPr>
          <w:rFonts w:ascii="Arial" w:hAnsi="Arial" w:cs="Arial"/>
          <w:sz w:val="24"/>
          <w:szCs w:val="24"/>
        </w:rPr>
        <w:t>.</w:t>
      </w:r>
    </w:p>
    <w:p w14:paraId="15F751C0" w14:textId="5D990B5D" w:rsidR="00EB0A53" w:rsidRPr="009627F1" w:rsidRDefault="00EB0A53" w:rsidP="00B55E7A">
      <w:pPr>
        <w:rPr>
          <w:rFonts w:ascii="Arial" w:hAnsi="Arial" w:cs="Arial"/>
          <w:sz w:val="24"/>
          <w:szCs w:val="24"/>
        </w:rPr>
      </w:pPr>
      <w:r w:rsidRPr="009627F1">
        <w:rPr>
          <w:rFonts w:ascii="Arial" w:hAnsi="Arial" w:cs="Arial"/>
          <w:sz w:val="24"/>
          <w:szCs w:val="24"/>
        </w:rPr>
        <w:t>Subsection 43(1) requires the Minister to review the operation of the amendments, with subsection 43(2) specifically requiring the review to:</w:t>
      </w:r>
    </w:p>
    <w:p w14:paraId="5964273C" w14:textId="4E260B8E" w:rsidR="00B55E7A" w:rsidRPr="009627F1" w:rsidRDefault="00B55E7A" w:rsidP="00EB0A53">
      <w:pPr>
        <w:pStyle w:val="ListParagraph"/>
        <w:numPr>
          <w:ilvl w:val="0"/>
          <w:numId w:val="12"/>
        </w:numPr>
        <w:spacing w:line="276" w:lineRule="auto"/>
        <w:rPr>
          <w:rFonts w:ascii="Arial" w:hAnsi="Arial" w:cs="Arial"/>
          <w:sz w:val="24"/>
          <w:szCs w:val="24"/>
        </w:rPr>
      </w:pPr>
      <w:r w:rsidRPr="009627F1">
        <w:rPr>
          <w:rFonts w:ascii="Arial" w:hAnsi="Arial" w:cs="Arial"/>
          <w:sz w:val="24"/>
          <w:szCs w:val="24"/>
        </w:rPr>
        <w:t>consider the categorisation of the right set out in section 27C as an economic, social and cultural right;</w:t>
      </w:r>
    </w:p>
    <w:p w14:paraId="6439C486" w14:textId="4810EB85" w:rsidR="00561979" w:rsidRPr="009627F1" w:rsidRDefault="00EB0A53" w:rsidP="00561979">
      <w:pPr>
        <w:pStyle w:val="ListParagraph"/>
        <w:numPr>
          <w:ilvl w:val="0"/>
          <w:numId w:val="12"/>
        </w:numPr>
        <w:spacing w:line="276" w:lineRule="auto"/>
        <w:rPr>
          <w:rFonts w:ascii="Arial" w:hAnsi="Arial" w:cs="Arial"/>
          <w:sz w:val="24"/>
          <w:szCs w:val="24"/>
        </w:rPr>
      </w:pPr>
      <w:r w:rsidRPr="009627F1">
        <w:rPr>
          <w:rFonts w:ascii="Arial" w:hAnsi="Arial" w:cs="Arial"/>
          <w:sz w:val="24"/>
          <w:szCs w:val="24"/>
        </w:rPr>
        <w:t>evaluate the prohibition under section 40C</w:t>
      </w:r>
      <w:r w:rsidR="008F5F7C" w:rsidRPr="009627F1">
        <w:rPr>
          <w:rFonts w:ascii="Arial" w:hAnsi="Arial" w:cs="Arial"/>
          <w:sz w:val="24"/>
          <w:szCs w:val="24"/>
        </w:rPr>
        <w:t>(5A)</w:t>
      </w:r>
      <w:r w:rsidRPr="009627F1">
        <w:rPr>
          <w:rFonts w:ascii="Arial" w:hAnsi="Arial" w:cs="Arial"/>
          <w:sz w:val="24"/>
          <w:szCs w:val="24"/>
        </w:rPr>
        <w:t>; and</w:t>
      </w:r>
    </w:p>
    <w:p w14:paraId="37D98398" w14:textId="4EBD64B5" w:rsidR="00561979" w:rsidRPr="009627F1" w:rsidRDefault="00EB0A53" w:rsidP="00561979">
      <w:pPr>
        <w:pStyle w:val="ListParagraph"/>
        <w:numPr>
          <w:ilvl w:val="0"/>
          <w:numId w:val="12"/>
        </w:numPr>
        <w:spacing w:line="276" w:lineRule="auto"/>
        <w:rPr>
          <w:rFonts w:ascii="Arial" w:hAnsi="Arial" w:cs="Arial"/>
          <w:sz w:val="24"/>
          <w:szCs w:val="24"/>
        </w:rPr>
      </w:pPr>
      <w:r w:rsidRPr="009627F1">
        <w:rPr>
          <w:rFonts w:ascii="Arial" w:hAnsi="Arial" w:cs="Arial"/>
          <w:sz w:val="24"/>
          <w:szCs w:val="24"/>
        </w:rPr>
        <w:t xml:space="preserve">consider whether the prohibition under section </w:t>
      </w:r>
      <w:r w:rsidR="008F5F7C" w:rsidRPr="009627F1">
        <w:rPr>
          <w:rFonts w:ascii="Arial" w:hAnsi="Arial" w:cs="Arial"/>
          <w:sz w:val="24"/>
          <w:szCs w:val="24"/>
        </w:rPr>
        <w:t xml:space="preserve">40C(5A) </w:t>
      </w:r>
      <w:r w:rsidRPr="009627F1">
        <w:rPr>
          <w:rFonts w:ascii="Arial" w:hAnsi="Arial" w:cs="Arial"/>
          <w:sz w:val="24"/>
          <w:szCs w:val="24"/>
        </w:rPr>
        <w:t xml:space="preserve">remains appropriate, despite </w:t>
      </w:r>
      <w:r w:rsidR="00A81B92" w:rsidRPr="009627F1">
        <w:rPr>
          <w:rFonts w:ascii="Arial" w:hAnsi="Arial" w:cs="Arial"/>
          <w:sz w:val="24"/>
          <w:szCs w:val="24"/>
        </w:rPr>
        <w:t>the sunset clause in</w:t>
      </w:r>
      <w:r w:rsidRPr="009627F1">
        <w:rPr>
          <w:rFonts w:ascii="Arial" w:hAnsi="Arial" w:cs="Arial"/>
          <w:sz w:val="24"/>
          <w:szCs w:val="24"/>
        </w:rPr>
        <w:t xml:space="preserve"> section 40C(</w:t>
      </w:r>
      <w:r w:rsidR="008F5F7C" w:rsidRPr="009627F1">
        <w:rPr>
          <w:rFonts w:ascii="Arial" w:hAnsi="Arial" w:cs="Arial"/>
          <w:sz w:val="24"/>
          <w:szCs w:val="24"/>
        </w:rPr>
        <w:t>8</w:t>
      </w:r>
      <w:r w:rsidRPr="009627F1">
        <w:rPr>
          <w:rFonts w:ascii="Arial" w:hAnsi="Arial" w:cs="Arial"/>
          <w:sz w:val="24"/>
          <w:szCs w:val="24"/>
        </w:rPr>
        <w:t xml:space="preserve">). </w:t>
      </w:r>
    </w:p>
    <w:p w14:paraId="50F4B8F7" w14:textId="77777777" w:rsidR="00561979" w:rsidRPr="009627F1" w:rsidRDefault="00561979" w:rsidP="00561979">
      <w:pPr>
        <w:pStyle w:val="ListParagraph"/>
        <w:spacing w:line="276" w:lineRule="auto"/>
        <w:ind w:left="1080"/>
        <w:rPr>
          <w:rFonts w:ascii="Arial" w:hAnsi="Arial" w:cs="Arial"/>
          <w:sz w:val="24"/>
          <w:szCs w:val="24"/>
        </w:rPr>
      </w:pPr>
    </w:p>
    <w:p w14:paraId="2E9A367C" w14:textId="281E1DCA" w:rsidR="00561979" w:rsidRPr="009627F1" w:rsidRDefault="00561979" w:rsidP="00CF4682">
      <w:pPr>
        <w:rPr>
          <w:rFonts w:ascii="Arial" w:hAnsi="Arial" w:cs="Arial"/>
          <w:sz w:val="24"/>
          <w:szCs w:val="24"/>
        </w:rPr>
      </w:pPr>
      <w:r w:rsidRPr="009627F1">
        <w:rPr>
          <w:rFonts w:ascii="Arial" w:hAnsi="Arial" w:cs="Arial"/>
          <w:sz w:val="24"/>
          <w:szCs w:val="24"/>
        </w:rPr>
        <w:t>Subsection 43(3) requires the Minister</w:t>
      </w:r>
      <w:r w:rsidR="00CF4682" w:rsidRPr="009627F1">
        <w:rPr>
          <w:rFonts w:ascii="Arial" w:hAnsi="Arial" w:cs="Arial"/>
          <w:sz w:val="24"/>
          <w:szCs w:val="24"/>
        </w:rPr>
        <w:t xml:space="preserve"> to begin the review not later than 1 October 2027 and present a report of the review to the Legislative Assembly as soon as practicable after the report is completed</w:t>
      </w:r>
      <w:r w:rsidRPr="009627F1">
        <w:rPr>
          <w:rFonts w:ascii="Arial" w:hAnsi="Arial" w:cs="Arial"/>
          <w:sz w:val="24"/>
          <w:szCs w:val="24"/>
        </w:rPr>
        <w:t xml:space="preserve">. </w:t>
      </w:r>
    </w:p>
    <w:p w14:paraId="05597FE7" w14:textId="46F66ED0" w:rsidR="004212DD" w:rsidRPr="009627F1" w:rsidRDefault="00561979" w:rsidP="00561979">
      <w:pPr>
        <w:rPr>
          <w:rFonts w:ascii="Arial" w:hAnsi="Arial" w:cs="Arial"/>
          <w:sz w:val="24"/>
          <w:szCs w:val="24"/>
        </w:rPr>
      </w:pPr>
      <w:r w:rsidRPr="009627F1">
        <w:rPr>
          <w:rFonts w:ascii="Arial" w:hAnsi="Arial" w:cs="Arial"/>
          <w:sz w:val="24"/>
          <w:szCs w:val="24"/>
        </w:rPr>
        <w:t xml:space="preserve">The statutory review will provide an opportunity to consider the operation of the new right. The review will assess the impact of the right and any refinement needed based on </w:t>
      </w:r>
      <w:r w:rsidR="00A62369" w:rsidRPr="009627F1">
        <w:rPr>
          <w:rFonts w:ascii="Arial" w:hAnsi="Arial" w:cs="Arial"/>
          <w:sz w:val="24"/>
          <w:szCs w:val="24"/>
        </w:rPr>
        <w:t xml:space="preserve">its implementation in the ACT and </w:t>
      </w:r>
      <w:r w:rsidRPr="009627F1">
        <w:rPr>
          <w:rFonts w:ascii="Arial" w:hAnsi="Arial" w:cs="Arial"/>
          <w:sz w:val="24"/>
          <w:szCs w:val="24"/>
        </w:rPr>
        <w:t xml:space="preserve">further development and crystallisation of the right at the international level. </w:t>
      </w:r>
    </w:p>
    <w:p w14:paraId="3C7E6FC9" w14:textId="41D12580" w:rsidR="00561979" w:rsidRPr="009627F1" w:rsidRDefault="00561979" w:rsidP="00561979">
      <w:pPr>
        <w:rPr>
          <w:rFonts w:ascii="Arial" w:hAnsi="Arial" w:cs="Arial"/>
          <w:sz w:val="24"/>
          <w:szCs w:val="24"/>
        </w:rPr>
      </w:pPr>
      <w:r w:rsidRPr="009627F1">
        <w:rPr>
          <w:rFonts w:ascii="Arial" w:hAnsi="Arial" w:cs="Arial"/>
          <w:sz w:val="24"/>
          <w:szCs w:val="24"/>
        </w:rPr>
        <w:t>Subsection 43(</w:t>
      </w:r>
      <w:r w:rsidR="004212DD" w:rsidRPr="009627F1">
        <w:rPr>
          <w:rFonts w:ascii="Arial" w:hAnsi="Arial" w:cs="Arial"/>
          <w:sz w:val="24"/>
          <w:szCs w:val="24"/>
        </w:rPr>
        <w:t>2)(c) provides</w:t>
      </w:r>
      <w:r w:rsidRPr="009627F1">
        <w:rPr>
          <w:rFonts w:ascii="Arial" w:hAnsi="Arial" w:cs="Arial"/>
          <w:sz w:val="24"/>
          <w:szCs w:val="24"/>
        </w:rPr>
        <w:t xml:space="preserve"> a structural mechanism to ensure the Government considers the litigation bar based on all of the information and data available at the time of the review</w:t>
      </w:r>
      <w:r w:rsidR="00CF4682" w:rsidRPr="009627F1">
        <w:rPr>
          <w:rFonts w:ascii="Arial" w:hAnsi="Arial" w:cs="Arial"/>
          <w:sz w:val="24"/>
          <w:szCs w:val="24"/>
        </w:rPr>
        <w:t>. This recognises that while the sunset clause will operate to end the litigation bar on 1 October 2028 unless further action is taken, an amendment could potentially be passed by the Legislative Assembly to extend the operation of the litigation bar if the review recommended that the</w:t>
      </w:r>
      <w:r w:rsidRPr="009627F1">
        <w:rPr>
          <w:rFonts w:ascii="Arial" w:hAnsi="Arial" w:cs="Arial"/>
          <w:sz w:val="24"/>
          <w:szCs w:val="24"/>
        </w:rPr>
        <w:t xml:space="preserve"> right to </w:t>
      </w:r>
      <w:r w:rsidR="00CF4682" w:rsidRPr="009627F1">
        <w:rPr>
          <w:rFonts w:ascii="Arial" w:hAnsi="Arial" w:cs="Arial"/>
          <w:sz w:val="24"/>
          <w:szCs w:val="24"/>
        </w:rPr>
        <w:t>a healthy environment remain</w:t>
      </w:r>
      <w:r w:rsidRPr="009627F1">
        <w:rPr>
          <w:rFonts w:ascii="Arial" w:hAnsi="Arial" w:cs="Arial"/>
          <w:sz w:val="24"/>
          <w:szCs w:val="24"/>
        </w:rPr>
        <w:t xml:space="preserve"> non-justiciable for a further period.</w:t>
      </w:r>
    </w:p>
    <w:p w14:paraId="2F6C34E8" w14:textId="0F9881A9" w:rsidR="004212DD" w:rsidRPr="009627F1" w:rsidRDefault="004212DD" w:rsidP="00561979">
      <w:pPr>
        <w:rPr>
          <w:rFonts w:ascii="Arial" w:hAnsi="Arial" w:cs="Arial"/>
          <w:sz w:val="24"/>
          <w:szCs w:val="24"/>
        </w:rPr>
      </w:pPr>
      <w:r w:rsidRPr="009627F1">
        <w:rPr>
          <w:rFonts w:ascii="Arial" w:hAnsi="Arial" w:cs="Arial"/>
          <w:sz w:val="24"/>
          <w:szCs w:val="24"/>
        </w:rPr>
        <w:t xml:space="preserve">Subsection 43(4) provides that this section expires </w:t>
      </w:r>
      <w:r w:rsidR="00A62369" w:rsidRPr="009627F1">
        <w:rPr>
          <w:rFonts w:ascii="Arial" w:hAnsi="Arial" w:cs="Arial"/>
          <w:sz w:val="24"/>
          <w:szCs w:val="24"/>
        </w:rPr>
        <w:t>on 1 October 2028.</w:t>
      </w:r>
      <w:r w:rsidRPr="009627F1">
        <w:rPr>
          <w:rFonts w:ascii="Arial" w:hAnsi="Arial" w:cs="Arial"/>
          <w:sz w:val="24"/>
          <w:szCs w:val="24"/>
        </w:rPr>
        <w:t xml:space="preserve"> </w:t>
      </w:r>
    </w:p>
    <w:p w14:paraId="60E26E08" w14:textId="01BEC704" w:rsidR="004212DD" w:rsidRPr="009627F1" w:rsidRDefault="004212DD" w:rsidP="00561979">
      <w:pPr>
        <w:rPr>
          <w:rFonts w:ascii="Arial" w:hAnsi="Arial" w:cs="Arial"/>
          <w:sz w:val="24"/>
          <w:szCs w:val="24"/>
        </w:rPr>
      </w:pPr>
      <w:r w:rsidRPr="009627F1">
        <w:rPr>
          <w:rFonts w:ascii="Arial" w:hAnsi="Arial" w:cs="Arial"/>
          <w:sz w:val="24"/>
          <w:szCs w:val="24"/>
        </w:rPr>
        <w:lastRenderedPageBreak/>
        <w:t>Subsection 43(5) provides that ‘public authority’ in this section relies on the definition in section 40C(7).</w:t>
      </w:r>
    </w:p>
    <w:sectPr w:rsidR="004212DD" w:rsidRPr="009627F1" w:rsidSect="00E63BE6">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8FE6" w14:textId="77777777" w:rsidR="00E63BE6" w:rsidRDefault="00E63BE6" w:rsidP="00E90DF9">
      <w:pPr>
        <w:spacing w:after="0" w:line="240" w:lineRule="auto"/>
      </w:pPr>
      <w:r>
        <w:separator/>
      </w:r>
    </w:p>
  </w:endnote>
  <w:endnote w:type="continuationSeparator" w:id="0">
    <w:p w14:paraId="146BC01B" w14:textId="77777777" w:rsidR="00E63BE6" w:rsidRDefault="00E63BE6" w:rsidP="00E9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B59B" w14:textId="77777777" w:rsidR="009003A0" w:rsidRDefault="00900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9A7D" w14:textId="1FE46906" w:rsidR="00267DB0" w:rsidRPr="009003A0" w:rsidRDefault="009003A0" w:rsidP="009003A0">
    <w:pPr>
      <w:pStyle w:val="Footer"/>
      <w:jc w:val="center"/>
      <w:rPr>
        <w:rFonts w:cs="Arial"/>
        <w:sz w:val="14"/>
      </w:rPr>
    </w:pPr>
    <w:r w:rsidRPr="009003A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85B3" w14:textId="77777777" w:rsidR="00E90DF9" w:rsidRDefault="00E90DF9">
    <w:pPr>
      <w:pStyle w:val="Footer"/>
      <w:jc w:val="right"/>
    </w:pPr>
  </w:p>
  <w:p w14:paraId="7B511C0F" w14:textId="77777777" w:rsidR="00E90DF9" w:rsidRPr="00DC5912" w:rsidRDefault="00E90DF9"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7831" w14:textId="77777777" w:rsidR="00E90DF9" w:rsidRDefault="00E90DF9"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7C139F12" w14:textId="17CA7466" w:rsidR="009003A0" w:rsidRPr="009003A0" w:rsidRDefault="009003A0" w:rsidP="009003A0">
    <w:pPr>
      <w:pStyle w:val="Footer"/>
      <w:spacing w:before="60" w:line="240" w:lineRule="auto"/>
      <w:jc w:val="center"/>
      <w:rPr>
        <w:rFonts w:cs="Arial"/>
        <w:sz w:val="14"/>
      </w:rPr>
    </w:pPr>
    <w:r w:rsidRPr="009003A0">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668" w14:textId="77777777" w:rsidR="00E90DF9" w:rsidRDefault="00E90DF9">
    <w:pPr>
      <w:pStyle w:val="Footer"/>
      <w:jc w:val="right"/>
    </w:pPr>
    <w:r>
      <w:fldChar w:fldCharType="begin"/>
    </w:r>
    <w:r>
      <w:instrText xml:space="preserve"> PAGE   \* MERGEFORMAT </w:instrText>
    </w:r>
    <w:r>
      <w:fldChar w:fldCharType="separate"/>
    </w:r>
    <w:r>
      <w:rPr>
        <w:noProof/>
      </w:rPr>
      <w:t>1</w:t>
    </w:r>
    <w:r>
      <w:fldChar w:fldCharType="end"/>
    </w:r>
  </w:p>
  <w:p w14:paraId="7857314D" w14:textId="440B5261" w:rsidR="009003A0" w:rsidRPr="009003A0" w:rsidRDefault="009003A0" w:rsidP="009003A0">
    <w:pPr>
      <w:pStyle w:val="Footer"/>
      <w:jc w:val="center"/>
      <w:rPr>
        <w:rFonts w:cs="Arial"/>
        <w:sz w:val="14"/>
      </w:rPr>
    </w:pPr>
    <w:r w:rsidRPr="009003A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E4DE" w14:textId="77777777" w:rsidR="00E63BE6" w:rsidRDefault="00E63BE6" w:rsidP="00E90DF9">
      <w:pPr>
        <w:spacing w:after="0" w:line="240" w:lineRule="auto"/>
      </w:pPr>
      <w:r>
        <w:separator/>
      </w:r>
    </w:p>
  </w:footnote>
  <w:footnote w:type="continuationSeparator" w:id="0">
    <w:p w14:paraId="7211816D" w14:textId="77777777" w:rsidR="00E63BE6" w:rsidRDefault="00E63BE6" w:rsidP="00E90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6139" w14:textId="77777777" w:rsidR="009003A0" w:rsidRDefault="00900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13AD" w14:textId="77777777" w:rsidR="009003A0" w:rsidRDefault="0090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7ECE" w14:textId="77777777" w:rsidR="009003A0" w:rsidRDefault="00900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AF0"/>
    <w:multiLevelType w:val="hybridMultilevel"/>
    <w:tmpl w:val="50F4F518"/>
    <w:lvl w:ilvl="0" w:tplc="FFFFFFFF">
      <w:start w:val="1"/>
      <w:numFmt w:val="lowerLetter"/>
      <w:pStyle w:val="Recommendation2"/>
      <w:lvlText w:val="%1."/>
      <w:lvlJc w:val="left"/>
      <w:pPr>
        <w:ind w:left="785" w:hanging="360"/>
      </w:pPr>
    </w:lvl>
    <w:lvl w:ilvl="1" w:tplc="0C090019">
      <w:start w:val="1"/>
      <w:numFmt w:val="lowerLetter"/>
      <w:lvlText w:val="%2."/>
      <w:lvlJc w:val="left"/>
      <w:pPr>
        <w:ind w:left="1931" w:hanging="360"/>
      </w:pPr>
    </w:lvl>
    <w:lvl w:ilvl="2" w:tplc="0C09001B">
      <w:start w:val="1"/>
      <w:numFmt w:val="lowerRoman"/>
      <w:lvlText w:val="%3."/>
      <w:lvlJc w:val="right"/>
      <w:pPr>
        <w:ind w:left="1238" w:hanging="180"/>
      </w:pPr>
    </w:lvl>
    <w:lvl w:ilvl="3" w:tplc="0C09000F">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F24D31"/>
    <w:multiLevelType w:val="hybridMultilevel"/>
    <w:tmpl w:val="1AD840F6"/>
    <w:lvl w:ilvl="0" w:tplc="0360E97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8867CA9"/>
    <w:multiLevelType w:val="multilevel"/>
    <w:tmpl w:val="5540F8F4"/>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474" w:hanging="454"/>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4" w15:restartNumberingAfterBreak="0">
    <w:nsid w:val="1B2D38EB"/>
    <w:multiLevelType w:val="hybridMultilevel"/>
    <w:tmpl w:val="AF0C0710"/>
    <w:lvl w:ilvl="0" w:tplc="47F4C9EA">
      <w:start w:val="2"/>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F83DF7"/>
    <w:multiLevelType w:val="hybridMultilevel"/>
    <w:tmpl w:val="6090E5C0"/>
    <w:lvl w:ilvl="0" w:tplc="0C090019">
      <w:start w:val="1"/>
      <w:numFmt w:val="lowerLetter"/>
      <w:lvlText w:val="%1."/>
      <w:lvlJc w:val="left"/>
      <w:pPr>
        <w:ind w:left="720" w:hanging="360"/>
      </w:pPr>
      <w:rPr>
        <w:rFonts w:hint="default"/>
      </w:rPr>
    </w:lvl>
    <w:lvl w:ilvl="1" w:tplc="9F0AC194">
      <w:start w:val="1"/>
      <w:numFmt w:val="lowerRoman"/>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F02635"/>
    <w:multiLevelType w:val="hybridMultilevel"/>
    <w:tmpl w:val="F17E16B2"/>
    <w:lvl w:ilvl="0" w:tplc="7444E572">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F762321"/>
    <w:multiLevelType w:val="hybridMultilevel"/>
    <w:tmpl w:val="39F60076"/>
    <w:lvl w:ilvl="0" w:tplc="14D8E950">
      <w:start w:val="20"/>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BCF3075"/>
    <w:multiLevelType w:val="multilevel"/>
    <w:tmpl w:val="D98C5D9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9" w15:restartNumberingAfterBreak="0">
    <w:nsid w:val="6D74441E"/>
    <w:multiLevelType w:val="hybridMultilevel"/>
    <w:tmpl w:val="328EB8F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5C1810"/>
    <w:multiLevelType w:val="hybridMultilevel"/>
    <w:tmpl w:val="90582BA0"/>
    <w:lvl w:ilvl="0" w:tplc="F682758A">
      <w:start w:val="1"/>
      <w:numFmt w:val="decimal"/>
      <w:lvlText w:val="%1."/>
      <w:lvlJc w:val="left"/>
      <w:pPr>
        <w:tabs>
          <w:tab w:val="num" w:pos="567"/>
        </w:tabs>
        <w:ind w:left="0" w:firstLine="0"/>
      </w:pPr>
      <w:rPr>
        <w:rFonts w:asciiTheme="minorHAnsi" w:eastAsia="Times New Roman" w:hAnsiTheme="minorHAnsi" w:cstheme="minorHAnsi"/>
        <w:b w:val="0"/>
        <w:bCs/>
        <w:i w:val="0"/>
        <w:iCs/>
        <w:sz w:val="22"/>
        <w:szCs w:val="22"/>
      </w:rPr>
    </w:lvl>
    <w:lvl w:ilvl="1" w:tplc="1910FF90">
      <w:start w:val="1"/>
      <w:numFmt w:val="lowerLetter"/>
      <w:lvlText w:val="%2."/>
      <w:lvlJc w:val="left"/>
      <w:pPr>
        <w:tabs>
          <w:tab w:val="num" w:pos="1134"/>
        </w:tabs>
        <w:ind w:left="567" w:firstLine="0"/>
      </w:pPr>
      <w:rPr>
        <w:rFonts w:asciiTheme="minorHAnsi" w:hAnsiTheme="minorHAnsi" w:cstheme="minorHAnsi" w:hint="default"/>
        <w:b w:val="0"/>
        <w:bCs w:val="0"/>
        <w:i w:val="0"/>
        <w:iCs/>
        <w:sz w:val="22"/>
        <w:szCs w:val="22"/>
      </w:rPr>
    </w:lvl>
    <w:lvl w:ilvl="2" w:tplc="FB102CCA">
      <w:start w:val="1"/>
      <w:numFmt w:val="lowerRoman"/>
      <w:lvlText w:val="%3."/>
      <w:lvlJc w:val="right"/>
      <w:pPr>
        <w:tabs>
          <w:tab w:val="num" w:pos="1701"/>
        </w:tabs>
        <w:ind w:left="1276" w:firstLine="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7D242A89"/>
    <w:multiLevelType w:val="multilevel"/>
    <w:tmpl w:val="FE48D3A6"/>
    <w:lvl w:ilvl="0">
      <w:start w:val="1"/>
      <w:numFmt w:val="decimal"/>
      <w:lvlText w:val="%1)"/>
      <w:lvlJc w:val="left"/>
      <w:pPr>
        <w:ind w:left="340" w:hanging="340"/>
      </w:pPr>
      <w:rPr>
        <w:rFonts w:hint="default"/>
        <w:sz w:val="24"/>
      </w:rPr>
    </w:lvl>
    <w:lvl w:ilvl="1">
      <w:start w:val="1"/>
      <w:numFmt w:val="lowerLetter"/>
      <w:lvlText w:val="%2."/>
      <w:lvlJc w:val="left"/>
      <w:pPr>
        <w:ind w:left="680" w:hanging="340"/>
      </w:pPr>
      <w:rPr>
        <w:rFonts w:hint="default"/>
        <w:sz w:val="24"/>
      </w:rPr>
    </w:lvl>
    <w:lvl w:ilvl="2">
      <w:start w:val="1"/>
      <w:numFmt w:val="lowerRoman"/>
      <w:lvlText w:val="%3."/>
      <w:lvlJc w:val="left"/>
      <w:pPr>
        <w:ind w:left="1020" w:hanging="340"/>
      </w:pPr>
      <w:rPr>
        <w:rFonts w:hint="default"/>
        <w:sz w:val="24"/>
      </w:rPr>
    </w:lvl>
    <w:lvl w:ilvl="3">
      <w:start w:val="1"/>
      <w:numFmt w:val="upperLetter"/>
      <w:lvlText w:val="(%4)"/>
      <w:lvlJc w:val="left"/>
      <w:pPr>
        <w:ind w:left="1360" w:hanging="340"/>
      </w:pPr>
      <w:rPr>
        <w:rFonts w:hint="default"/>
        <w:sz w:val="24"/>
      </w:rPr>
    </w:lvl>
    <w:lvl w:ilvl="4">
      <w:start w:val="1"/>
      <w:numFmt w:val="decimal"/>
      <w:lvlText w:val="%5."/>
      <w:lvlJc w:val="left"/>
      <w:pPr>
        <w:ind w:left="1700" w:hanging="340"/>
      </w:pPr>
      <w:rPr>
        <w:rFonts w:hint="default"/>
        <w:sz w:val="24"/>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num w:numId="1" w16cid:durableId="485321631">
    <w:abstractNumId w:val="1"/>
  </w:num>
  <w:num w:numId="2" w16cid:durableId="1434938738">
    <w:abstractNumId w:val="0"/>
  </w:num>
  <w:num w:numId="3" w16cid:durableId="2084644600">
    <w:abstractNumId w:val="5"/>
  </w:num>
  <w:num w:numId="4" w16cid:durableId="8659470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8951761">
    <w:abstractNumId w:val="6"/>
  </w:num>
  <w:num w:numId="6" w16cid:durableId="524906520">
    <w:abstractNumId w:val="4"/>
  </w:num>
  <w:num w:numId="7" w16cid:durableId="1429354733">
    <w:abstractNumId w:val="2"/>
  </w:num>
  <w:num w:numId="8" w16cid:durableId="1753313540">
    <w:abstractNumId w:val="11"/>
  </w:num>
  <w:num w:numId="9" w16cid:durableId="12660005">
    <w:abstractNumId w:val="9"/>
  </w:num>
  <w:num w:numId="10" w16cid:durableId="1162351317">
    <w:abstractNumId w:val="3"/>
    <w:lvlOverride w:ilvl="0">
      <w:lvl w:ilvl="0">
        <w:start w:val="1"/>
        <w:numFmt w:val="decimal"/>
        <w:lvlText w:val="%1)"/>
        <w:lvlJc w:val="left"/>
        <w:pPr>
          <w:ind w:left="340" w:hanging="340"/>
        </w:pPr>
        <w:rPr>
          <w:rFonts w:hint="default"/>
          <w:b w:val="0"/>
          <w:bCs/>
          <w:sz w:val="24"/>
        </w:rPr>
      </w:lvl>
    </w:lvlOverride>
    <w:lvlOverride w:ilvl="1">
      <w:lvl w:ilvl="1">
        <w:start w:val="1"/>
        <w:numFmt w:val="lowerLetter"/>
        <w:lvlText w:val="%2."/>
        <w:lvlJc w:val="left"/>
        <w:pPr>
          <w:ind w:left="680" w:hanging="340"/>
        </w:pPr>
        <w:rPr>
          <w:rFonts w:hint="default"/>
          <w:sz w:val="24"/>
        </w:rPr>
      </w:lvl>
    </w:lvlOverride>
    <w:lvlOverride w:ilvl="2">
      <w:lvl w:ilvl="2">
        <w:start w:val="1"/>
        <w:numFmt w:val="lowerRoman"/>
        <w:lvlText w:val="%3."/>
        <w:lvlJc w:val="left"/>
        <w:pPr>
          <w:ind w:left="1021" w:hanging="341"/>
        </w:pPr>
        <w:rPr>
          <w:rFonts w:hint="default"/>
          <w:sz w:val="24"/>
        </w:rPr>
      </w:lvl>
    </w:lvlOverride>
    <w:lvlOverride w:ilvl="3">
      <w:lvl w:ilvl="3">
        <w:start w:val="1"/>
        <w:numFmt w:val="upperLetter"/>
        <w:lvlText w:val="(%4)"/>
        <w:lvlJc w:val="left"/>
        <w:pPr>
          <w:ind w:left="1474" w:hanging="454"/>
        </w:pPr>
        <w:rPr>
          <w:rFonts w:hint="default"/>
          <w:sz w:val="24"/>
        </w:rPr>
      </w:lvl>
    </w:lvlOverride>
    <w:lvlOverride w:ilvl="4">
      <w:lvl w:ilvl="4">
        <w:start w:val="1"/>
        <w:numFmt w:val="decimal"/>
        <w:lvlText w:val="%5."/>
        <w:lvlJc w:val="left"/>
        <w:pPr>
          <w:ind w:left="1700" w:hanging="340"/>
        </w:pPr>
        <w:rPr>
          <w:rFonts w:hint="default"/>
          <w:sz w:val="24"/>
        </w:rPr>
      </w:lvl>
    </w:lvlOverride>
    <w:lvlOverride w:ilvl="5">
      <w:lvl w:ilvl="5">
        <w:start w:val="1"/>
        <w:numFmt w:val="none"/>
        <w:lvlText w:val=""/>
        <w:lvlJc w:val="left"/>
        <w:pPr>
          <w:ind w:left="2040" w:hanging="340"/>
        </w:pPr>
        <w:rPr>
          <w:rFonts w:hint="default"/>
        </w:rPr>
      </w:lvl>
    </w:lvlOverride>
    <w:lvlOverride w:ilvl="6">
      <w:lvl w:ilvl="6">
        <w:start w:val="1"/>
        <w:numFmt w:val="none"/>
        <w:lvlText w:val=""/>
        <w:lvlJc w:val="left"/>
        <w:pPr>
          <w:ind w:left="2380" w:hanging="340"/>
        </w:pPr>
        <w:rPr>
          <w:rFonts w:hint="default"/>
        </w:rPr>
      </w:lvl>
    </w:lvlOverride>
    <w:lvlOverride w:ilvl="7">
      <w:lvl w:ilvl="7">
        <w:start w:val="1"/>
        <w:numFmt w:val="none"/>
        <w:lvlText w:val=""/>
        <w:lvlJc w:val="left"/>
        <w:pPr>
          <w:ind w:left="2720" w:hanging="340"/>
        </w:pPr>
        <w:rPr>
          <w:rFonts w:hint="default"/>
        </w:rPr>
      </w:lvl>
    </w:lvlOverride>
    <w:lvlOverride w:ilvl="8">
      <w:lvl w:ilvl="8">
        <w:start w:val="1"/>
        <w:numFmt w:val="none"/>
        <w:lvlText w:val=""/>
        <w:lvlJc w:val="left"/>
        <w:pPr>
          <w:ind w:left="3060" w:hanging="340"/>
        </w:pPr>
        <w:rPr>
          <w:rFonts w:hint="default"/>
        </w:rPr>
      </w:lvl>
    </w:lvlOverride>
  </w:num>
  <w:num w:numId="11" w16cid:durableId="63796574">
    <w:abstractNumId w:val="8"/>
  </w:num>
  <w:num w:numId="12" w16cid:durableId="1119570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F4"/>
    <w:rsid w:val="00071994"/>
    <w:rsid w:val="00090D0C"/>
    <w:rsid w:val="000E2C2D"/>
    <w:rsid w:val="00121578"/>
    <w:rsid w:val="001235D4"/>
    <w:rsid w:val="00175181"/>
    <w:rsid w:val="001F579C"/>
    <w:rsid w:val="002162F4"/>
    <w:rsid w:val="00267DB0"/>
    <w:rsid w:val="002A6C14"/>
    <w:rsid w:val="00364752"/>
    <w:rsid w:val="004212DD"/>
    <w:rsid w:val="00480471"/>
    <w:rsid w:val="00507604"/>
    <w:rsid w:val="00561979"/>
    <w:rsid w:val="005B0897"/>
    <w:rsid w:val="005E74AF"/>
    <w:rsid w:val="00614764"/>
    <w:rsid w:val="006653C6"/>
    <w:rsid w:val="006D23F4"/>
    <w:rsid w:val="0072670D"/>
    <w:rsid w:val="00760A4C"/>
    <w:rsid w:val="00797970"/>
    <w:rsid w:val="00810494"/>
    <w:rsid w:val="008C071F"/>
    <w:rsid w:val="008C648A"/>
    <w:rsid w:val="008E11A6"/>
    <w:rsid w:val="008E3AAA"/>
    <w:rsid w:val="008F5F7C"/>
    <w:rsid w:val="009003A0"/>
    <w:rsid w:val="00922113"/>
    <w:rsid w:val="009627F1"/>
    <w:rsid w:val="009A661F"/>
    <w:rsid w:val="00A301D8"/>
    <w:rsid w:val="00A53E70"/>
    <w:rsid w:val="00A62369"/>
    <w:rsid w:val="00A653A1"/>
    <w:rsid w:val="00A81B92"/>
    <w:rsid w:val="00AD22F4"/>
    <w:rsid w:val="00B10812"/>
    <w:rsid w:val="00B26900"/>
    <w:rsid w:val="00B46D34"/>
    <w:rsid w:val="00B55E7A"/>
    <w:rsid w:val="00BA0A16"/>
    <w:rsid w:val="00BC3DCA"/>
    <w:rsid w:val="00C2789C"/>
    <w:rsid w:val="00C725B2"/>
    <w:rsid w:val="00C84EEA"/>
    <w:rsid w:val="00CE6D3D"/>
    <w:rsid w:val="00CF4682"/>
    <w:rsid w:val="00CF76B1"/>
    <w:rsid w:val="00D412B1"/>
    <w:rsid w:val="00D815DB"/>
    <w:rsid w:val="00D93E1C"/>
    <w:rsid w:val="00DA0AD4"/>
    <w:rsid w:val="00E07B57"/>
    <w:rsid w:val="00E3218D"/>
    <w:rsid w:val="00E35581"/>
    <w:rsid w:val="00E5069D"/>
    <w:rsid w:val="00E63BE6"/>
    <w:rsid w:val="00E90DF9"/>
    <w:rsid w:val="00E9372A"/>
    <w:rsid w:val="00EB0A53"/>
    <w:rsid w:val="00F67261"/>
    <w:rsid w:val="00F86B47"/>
    <w:rsid w:val="00FA7F3B"/>
    <w:rsid w:val="00FB7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D3965"/>
  <w15:chartTrackingRefBased/>
  <w15:docId w15:val="{D61E32E4-F51F-4A39-984F-BFA829E5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F9"/>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E90DF9"/>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iPriority w:val="9"/>
    <w:unhideWhenUsed/>
    <w:qFormat/>
    <w:rsid w:val="00E90DF9"/>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rsid w:val="00E90DF9"/>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rsid w:val="00E90D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DF9"/>
    <w:rPr>
      <w:rFonts w:ascii="Arial" w:eastAsiaTheme="majorEastAsia" w:hAnsi="Arial" w:cs="Times New Roman"/>
      <w:b/>
      <w:bCs/>
      <w:kern w:val="0"/>
      <w:sz w:val="28"/>
      <w:szCs w:val="28"/>
      <w14:ligatures w14:val="none"/>
    </w:rPr>
  </w:style>
  <w:style w:type="character" w:customStyle="1" w:styleId="Heading2Char">
    <w:name w:val="Heading 2 Char"/>
    <w:basedOn w:val="DefaultParagraphFont"/>
    <w:link w:val="Heading2"/>
    <w:uiPriority w:val="9"/>
    <w:rsid w:val="00E90DF9"/>
    <w:rPr>
      <w:rFonts w:ascii="Arial" w:eastAsiaTheme="majorEastAsia" w:hAnsi="Arial" w:cstheme="majorBidi"/>
      <w:b/>
      <w:kern w:val="0"/>
      <w:sz w:val="24"/>
      <w:szCs w:val="26"/>
      <w14:ligatures w14:val="none"/>
    </w:rPr>
  </w:style>
  <w:style w:type="character" w:customStyle="1" w:styleId="Heading3Char">
    <w:name w:val="Heading 3 Char"/>
    <w:basedOn w:val="DefaultParagraphFont"/>
    <w:link w:val="Heading3"/>
    <w:rsid w:val="00E90DF9"/>
    <w:rPr>
      <w:rFonts w:ascii="Arial" w:eastAsiaTheme="majorEastAsia" w:hAnsi="Arial" w:cstheme="majorBidi"/>
      <w:b/>
      <w:kern w:val="0"/>
      <w:sz w:val="24"/>
      <w:szCs w:val="24"/>
      <w14:ligatures w14:val="none"/>
    </w:rPr>
  </w:style>
  <w:style w:type="character" w:customStyle="1" w:styleId="Heading4Char">
    <w:name w:val="Heading 4 Char"/>
    <w:basedOn w:val="DefaultParagraphFont"/>
    <w:link w:val="Heading4"/>
    <w:semiHidden/>
    <w:rsid w:val="00E90DF9"/>
    <w:rPr>
      <w:rFonts w:asciiTheme="majorHAnsi" w:eastAsiaTheme="majorEastAsia" w:hAnsiTheme="majorHAnsi" w:cstheme="majorBidi"/>
      <w:i/>
      <w:iCs/>
      <w:color w:val="2F5496" w:themeColor="accent1" w:themeShade="BF"/>
      <w:kern w:val="0"/>
      <w14:ligatures w14:val="none"/>
    </w:rPr>
  </w:style>
  <w:style w:type="paragraph" w:styleId="Footer">
    <w:name w:val="footer"/>
    <w:basedOn w:val="Normal"/>
    <w:link w:val="FooterChar"/>
    <w:uiPriority w:val="99"/>
    <w:rsid w:val="00E90DF9"/>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rsid w:val="00E90DF9"/>
    <w:rPr>
      <w:rFonts w:ascii="Arial" w:eastAsia="Times New Roman" w:hAnsi="Arial" w:cs="Times New Roman"/>
      <w:kern w:val="0"/>
      <w:sz w:val="18"/>
      <w:szCs w:val="20"/>
      <w14:ligatures w14:val="none"/>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E90DF9"/>
    <w:pPr>
      <w:spacing w:after="0" w:line="240" w:lineRule="auto"/>
      <w:ind w:left="720"/>
    </w:pPr>
    <w:rPr>
      <w:rFonts w:cs="Calibri"/>
      <w:lang w:eastAsia="en-AU"/>
    </w:rPr>
  </w:style>
  <w:style w:type="paragraph" w:styleId="FootnoteText">
    <w:name w:val="footnote text"/>
    <w:basedOn w:val="Normal"/>
    <w:link w:val="FootnoteTextChar"/>
    <w:uiPriority w:val="99"/>
    <w:rsid w:val="00E90DF9"/>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rsid w:val="00E90DF9"/>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rsid w:val="00E90DF9"/>
    <w:rPr>
      <w:rFonts w:cs="Times New Roman"/>
      <w:vertAlign w:val="superscript"/>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E90DF9"/>
    <w:rPr>
      <w:rFonts w:ascii="Calibri" w:eastAsia="Times New Roman" w:hAnsi="Calibri" w:cs="Calibri"/>
      <w:kern w:val="0"/>
      <w:lang w:eastAsia="en-AU"/>
      <w14:ligatures w14:val="none"/>
    </w:rPr>
  </w:style>
  <w:style w:type="paragraph" w:styleId="Revision">
    <w:name w:val="Revision"/>
    <w:hidden/>
    <w:uiPriority w:val="99"/>
    <w:semiHidden/>
    <w:rsid w:val="00C2789C"/>
    <w:pPr>
      <w:spacing w:after="0" w:line="240" w:lineRule="auto"/>
    </w:pPr>
    <w:rPr>
      <w:rFonts w:ascii="Calibri" w:eastAsia="Times New Roman" w:hAnsi="Calibri" w:cs="Times New Roman"/>
      <w:kern w:val="0"/>
      <w14:ligatures w14:val="none"/>
    </w:rPr>
  </w:style>
  <w:style w:type="paragraph" w:customStyle="1" w:styleId="Recommendation2">
    <w:name w:val="Recommendation 2"/>
    <w:qFormat/>
    <w:rsid w:val="00A301D8"/>
    <w:pPr>
      <w:numPr>
        <w:numId w:val="2"/>
      </w:numPr>
      <w:tabs>
        <w:tab w:val="left" w:pos="851"/>
      </w:tabs>
      <w:spacing w:before="120" w:after="0" w:line="276" w:lineRule="auto"/>
    </w:pPr>
    <w:rPr>
      <w:rFonts w:eastAsiaTheme="minorEastAsia"/>
      <w:kern w:val="0"/>
      <w:sz w:val="24"/>
      <w:szCs w:val="24"/>
      <w14:ligatures w14:val="none"/>
    </w:rPr>
  </w:style>
  <w:style w:type="paragraph" w:customStyle="1" w:styleId="Paragraphtext">
    <w:name w:val="Paragraph text"/>
    <w:basedOn w:val="Normal"/>
    <w:link w:val="ParagraphtextChar"/>
    <w:qFormat/>
    <w:rsid w:val="00F86B47"/>
    <w:pPr>
      <w:spacing w:before="120" w:after="120" w:line="240" w:lineRule="auto"/>
    </w:pPr>
    <w:rPr>
      <w:rFonts w:eastAsia="Calibri"/>
      <w:color w:val="000000" w:themeColor="text1"/>
      <w:sz w:val="24"/>
    </w:rPr>
  </w:style>
  <w:style w:type="character" w:customStyle="1" w:styleId="ParagraphtextChar">
    <w:name w:val="Paragraph text Char"/>
    <w:basedOn w:val="DefaultParagraphFont"/>
    <w:link w:val="Paragraphtext"/>
    <w:rsid w:val="00F86B47"/>
    <w:rPr>
      <w:rFonts w:ascii="Calibri" w:eastAsia="Calibri" w:hAnsi="Calibri" w:cs="Times New Roman"/>
      <w:color w:val="000000" w:themeColor="text1"/>
      <w:kern w:val="0"/>
      <w:sz w:val="24"/>
      <w14:ligatures w14:val="none"/>
    </w:rPr>
  </w:style>
  <w:style w:type="character" w:styleId="Hyperlink">
    <w:name w:val="Hyperlink"/>
    <w:basedOn w:val="DefaultParagraphFont"/>
    <w:uiPriority w:val="99"/>
    <w:semiHidden/>
    <w:rsid w:val="00F86B47"/>
    <w:rPr>
      <w:rFonts w:cs="Times New Roman"/>
      <w:color w:val="0000FF"/>
      <w:u w:val="single"/>
    </w:rPr>
  </w:style>
  <w:style w:type="paragraph" w:styleId="Header">
    <w:name w:val="header"/>
    <w:basedOn w:val="Normal"/>
    <w:link w:val="HeaderChar"/>
    <w:uiPriority w:val="99"/>
    <w:unhideWhenUsed/>
    <w:rsid w:val="00267D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DB0"/>
    <w:rPr>
      <w:rFonts w:ascii="Calibri" w:eastAsia="Times New Roman" w:hAnsi="Calibri" w:cs="Times New Roman"/>
      <w:kern w:val="0"/>
      <w14:ligatures w14:val="none"/>
    </w:rPr>
  </w:style>
  <w:style w:type="paragraph" w:customStyle="1" w:styleId="Default">
    <w:name w:val="Default"/>
    <w:basedOn w:val="Normal"/>
    <w:rsid w:val="00C725B2"/>
    <w:pPr>
      <w:autoSpaceDE w:val="0"/>
      <w:autoSpaceDN w:val="0"/>
      <w:spacing w:after="0" w:line="240" w:lineRule="auto"/>
    </w:pPr>
    <w:rPr>
      <w:rFonts w:ascii="Arial" w:eastAsiaTheme="minorHAnsi" w:hAnsi="Arial" w:cs="Arial"/>
      <w:color w:val="000000"/>
      <w:sz w:val="24"/>
      <w:szCs w:val="24"/>
      <w:lang w:eastAsia="en-AU"/>
    </w:rPr>
  </w:style>
  <w:style w:type="character" w:styleId="CommentReference">
    <w:name w:val="annotation reference"/>
    <w:basedOn w:val="DefaultParagraphFont"/>
    <w:uiPriority w:val="99"/>
    <w:semiHidden/>
    <w:unhideWhenUsed/>
    <w:rsid w:val="00D815DB"/>
    <w:rPr>
      <w:sz w:val="16"/>
      <w:szCs w:val="16"/>
    </w:rPr>
  </w:style>
  <w:style w:type="paragraph" w:styleId="CommentText">
    <w:name w:val="annotation text"/>
    <w:basedOn w:val="Normal"/>
    <w:link w:val="CommentTextChar"/>
    <w:uiPriority w:val="99"/>
    <w:unhideWhenUsed/>
    <w:rsid w:val="00D815DB"/>
    <w:pPr>
      <w:spacing w:line="240" w:lineRule="auto"/>
    </w:pPr>
    <w:rPr>
      <w:sz w:val="20"/>
      <w:szCs w:val="20"/>
    </w:rPr>
  </w:style>
  <w:style w:type="character" w:customStyle="1" w:styleId="CommentTextChar">
    <w:name w:val="Comment Text Char"/>
    <w:basedOn w:val="DefaultParagraphFont"/>
    <w:link w:val="CommentText"/>
    <w:uiPriority w:val="99"/>
    <w:rsid w:val="00D815DB"/>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15DB"/>
    <w:rPr>
      <w:b/>
      <w:bCs/>
    </w:rPr>
  </w:style>
  <w:style w:type="character" w:customStyle="1" w:styleId="CommentSubjectChar">
    <w:name w:val="Comment Subject Char"/>
    <w:basedOn w:val="CommentTextChar"/>
    <w:link w:val="CommentSubject"/>
    <w:uiPriority w:val="99"/>
    <w:semiHidden/>
    <w:rsid w:val="00D815DB"/>
    <w:rPr>
      <w:rFonts w:ascii="Calibri" w:eastAsia="Times New Roman"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7906">
      <w:bodyDiv w:val="1"/>
      <w:marLeft w:val="0"/>
      <w:marRight w:val="0"/>
      <w:marTop w:val="0"/>
      <w:marBottom w:val="0"/>
      <w:divBdr>
        <w:top w:val="none" w:sz="0" w:space="0" w:color="auto"/>
        <w:left w:val="none" w:sz="0" w:space="0" w:color="auto"/>
        <w:bottom w:val="none" w:sz="0" w:space="0" w:color="auto"/>
        <w:right w:val="none" w:sz="0" w:space="0" w:color="auto"/>
      </w:divBdr>
    </w:div>
    <w:div w:id="1349479186">
      <w:bodyDiv w:val="1"/>
      <w:marLeft w:val="0"/>
      <w:marRight w:val="0"/>
      <w:marTop w:val="0"/>
      <w:marBottom w:val="0"/>
      <w:divBdr>
        <w:top w:val="none" w:sz="0" w:space="0" w:color="auto"/>
        <w:left w:val="none" w:sz="0" w:space="0" w:color="auto"/>
        <w:bottom w:val="none" w:sz="0" w:space="0" w:color="auto"/>
        <w:right w:val="none" w:sz="0" w:space="0" w:color="auto"/>
      </w:divBdr>
    </w:div>
    <w:div w:id="1607156722">
      <w:bodyDiv w:val="1"/>
      <w:marLeft w:val="0"/>
      <w:marRight w:val="0"/>
      <w:marTop w:val="0"/>
      <w:marBottom w:val="0"/>
      <w:divBdr>
        <w:top w:val="none" w:sz="0" w:space="0" w:color="auto"/>
        <w:left w:val="none" w:sz="0" w:space="0" w:color="auto"/>
        <w:bottom w:val="none" w:sz="0" w:space="0" w:color="auto"/>
        <w:right w:val="none" w:sz="0" w:space="0" w:color="auto"/>
      </w:divBdr>
    </w:div>
    <w:div w:id="195712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7EC42DBF99942B081B07FEDFBB7D7" ma:contentTypeVersion="4" ma:contentTypeDescription="Create a new document." ma:contentTypeScope="" ma:versionID="c051a65f20065e760c9fd2d177eb4733">
  <xsd:schema xmlns:xsd="http://www.w3.org/2001/XMLSchema" xmlns:xs="http://www.w3.org/2001/XMLSchema" xmlns:p="http://schemas.microsoft.com/office/2006/metadata/properties" xmlns:ns2="fcb0175e-1ff8-4098-9e77-63d02dd12665" targetNamespace="http://schemas.microsoft.com/office/2006/metadata/properties" ma:root="true" ma:fieldsID="ad40af5ffaee15b0de234ae4a6c03703" ns2:_="">
    <xsd:import namespace="fcb0175e-1ff8-4098-9e77-63d02dd126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175e-1ff8-4098-9e77-63d02dd12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4FBDF5-4DA6-4464-BF32-BC94ED48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175e-1ff8-4098-9e77-63d02dd12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1A34D-4AD1-4ABF-91F6-290896CDED7C}">
  <ds:schemaRefs>
    <ds:schemaRef ds:uri="http://schemas.microsoft.com/sharepoint/v3/contenttype/forms"/>
  </ds:schemaRefs>
</ds:datastoreItem>
</file>

<file path=customXml/itemProps3.xml><?xml version="1.0" encoding="utf-8"?>
<ds:datastoreItem xmlns:ds="http://schemas.openxmlformats.org/officeDocument/2006/customXml" ds:itemID="{8E1B7879-FF2C-4778-9E42-586F52E0D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5157</Characters>
  <Application>Microsoft Office Word</Application>
  <DocSecurity>0</DocSecurity>
  <Lines>138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2024-08-28T07:05:00Z</dcterms:created>
  <dcterms:modified xsi:type="dcterms:W3CDTF">2024-08-28T07:05:00Z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0x0101006647EC42DBF99942B081B07FEDFBB7D7</vt:lpwstr>
  </property>
  <property fmtid="{D5CDD505-2E9C-101B-9397-08002B2CF9AE}" pid="3" name="MSIP_Label_69af8531-eb46-4968-8cb3-105d2f5ea87e_Enabled">
    <vt:lpwstr>true</vt:lpwstr>
  </property>
  <property fmtid="{D5CDD505-2E9C-101B-9397-08002B2CF9AE}" pid="4" name="MSIP_Label_69af8531-eb46-4968-8cb3-105d2f5ea87e_SetDate">
    <vt:lpwstr>2024-04-12T04:51:32Z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eaccca4d-3d48-466f-9d6b-6fc62c893545</vt:lpwstr>
  </property>
  <property fmtid="{D5CDD505-2E9C-101B-9397-08002B2CF9AE}" pid="9" name="MSIP_Label_69af8531-eb46-4968-8cb3-105d2f5ea87e_ContentBits">
    <vt:lpwstr>0</vt:lpwstr>
  </property>
</Properties>
</file>