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2655C7" w14:textId="0D685165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1141D4">
        <w:t>Significant Occupational Impact</w:t>
      </w:r>
      <w:r w:rsidR="002B0BA2">
        <w:t xml:space="preserve"> Assessment</w:t>
      </w:r>
      <w:r w:rsidR="00D23F09">
        <w:t>)</w:t>
      </w:r>
      <w:r w:rsidR="00FD75CE">
        <w:t xml:space="preserve"> </w:t>
      </w:r>
      <w:r>
        <w:t>Guidelines</w:t>
      </w:r>
      <w:r w:rsidR="00FD75CE">
        <w:t xml:space="preserve"> </w:t>
      </w:r>
      <w:r>
        <w:t>20</w:t>
      </w:r>
      <w:r w:rsidR="006E663F">
        <w:t>2</w:t>
      </w:r>
      <w:r w:rsidR="001141D4">
        <w:t>3</w:t>
      </w:r>
      <w:r w:rsidR="00FD75CE">
        <w:t xml:space="preserve"> </w:t>
      </w:r>
    </w:p>
    <w:p w14:paraId="1BB58125" w14:textId="4B75E45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6E663F">
        <w:rPr>
          <w:rFonts w:ascii="Arial" w:hAnsi="Arial" w:cs="Arial"/>
          <w:b/>
          <w:bCs/>
        </w:rPr>
        <w:t>2</w:t>
      </w:r>
      <w:r w:rsidR="002B0BA2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624C0E">
        <w:rPr>
          <w:rFonts w:ascii="Arial" w:hAnsi="Arial" w:cs="Arial"/>
          <w:b/>
          <w:bCs/>
        </w:rPr>
        <w:t>243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757179E" w14:textId="77777777" w:rsidR="00C67228" w:rsidRDefault="00C67228" w:rsidP="00C6722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2019, section 487 (MAI guidelines)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7D648775" w:rsidR="00EA7E10" w:rsidRDefault="00EA7E10" w:rsidP="00EA7E1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</w:rPr>
        <w:t xml:space="preserve">Section 487 of the </w:t>
      </w:r>
      <w:r w:rsidRPr="007700A0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7700A0">
        <w:rPr>
          <w:rFonts w:asciiTheme="minorHAnsi" w:hAnsiTheme="minorHAnsi" w:cstheme="minorHAnsi"/>
          <w:szCs w:val="24"/>
        </w:rPr>
        <w:t xml:space="preserve"> (MAI Act) enables the MAI </w:t>
      </w:r>
      <w:r w:rsidR="007700A0">
        <w:rPr>
          <w:rFonts w:asciiTheme="minorHAnsi" w:hAnsiTheme="minorHAnsi" w:cstheme="minorHAnsi"/>
          <w:szCs w:val="24"/>
        </w:rPr>
        <w:t>C</w:t>
      </w:r>
      <w:r w:rsidRPr="007700A0">
        <w:rPr>
          <w:rFonts w:asciiTheme="minorHAnsi" w:hAnsiTheme="minorHAnsi" w:cstheme="minorHAnsi"/>
          <w:szCs w:val="24"/>
        </w:rPr>
        <w:t>ommission to make guidelines (the MAI guidelines) about any matter required or permitted by the MAI Act to be included in guidelines.</w:t>
      </w:r>
    </w:p>
    <w:p w14:paraId="126440B6" w14:textId="345DC6B1" w:rsidR="001141D4" w:rsidRPr="004460F0" w:rsidRDefault="004460F0" w:rsidP="004460F0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313131"/>
          <w:szCs w:val="24"/>
          <w:lang w:eastAsia="en-AU"/>
        </w:rPr>
      </w:pPr>
      <w:r w:rsidRPr="004460F0">
        <w:rPr>
          <w:rFonts w:ascii="Calibri" w:hAnsi="Calibri" w:cs="Calibri"/>
          <w:color w:val="313131"/>
          <w:szCs w:val="24"/>
          <w:lang w:eastAsia="en-AU"/>
        </w:rPr>
        <w:t xml:space="preserve">The </w:t>
      </w:r>
      <w:r>
        <w:rPr>
          <w:rFonts w:ascii="Calibri" w:hAnsi="Calibri" w:cs="Calibri"/>
          <w:color w:val="313131"/>
          <w:szCs w:val="24"/>
          <w:lang w:eastAsia="en-AU"/>
        </w:rPr>
        <w:t>guidelines are to be used by a suitably qualified and experienced assessor to</w:t>
      </w:r>
      <w:r w:rsidRPr="004460F0">
        <w:rPr>
          <w:rFonts w:ascii="Calibri" w:hAnsi="Calibri" w:cs="Calibri"/>
          <w:color w:val="313131"/>
          <w:szCs w:val="24"/>
          <w:lang w:eastAsia="en-AU"/>
        </w:rPr>
        <w:t xml:space="preserve"> evaluate whether a person’s injuries arising from a motor accident have had a Significant Occupational Impact (SOI) on their ability to work. A report confirming a SOI can provide a pathway for an injured person to access damages in common law if they were not at-fault in a motor accident.</w:t>
      </w:r>
    </w:p>
    <w:p w14:paraId="7569AB49" w14:textId="5454CA90" w:rsidR="00184F20" w:rsidRDefault="004B46A6" w:rsidP="00184F2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  <w:szCs w:val="24"/>
        </w:rPr>
        <w:t>Specifically</w:t>
      </w:r>
      <w:r>
        <w:rPr>
          <w:rFonts w:asciiTheme="minorHAnsi" w:hAnsiTheme="minorHAnsi" w:cstheme="minorHAnsi"/>
          <w:szCs w:val="24"/>
        </w:rPr>
        <w:t xml:space="preserve">, </w:t>
      </w:r>
      <w:r w:rsidR="002B0BA2">
        <w:rPr>
          <w:rFonts w:ascii="Calibri" w:hAnsi="Calibri"/>
          <w:lang w:eastAsia="en-AU"/>
        </w:rPr>
        <w:t>the guidelines set out the</w:t>
      </w:r>
      <w:r w:rsidR="002B0BA2" w:rsidRPr="002B0BA2">
        <w:rPr>
          <w:rFonts w:ascii="Calibri" w:hAnsi="Calibri"/>
          <w:lang w:eastAsia="en-AU"/>
        </w:rPr>
        <w:t xml:space="preserve"> legal framework and principles which underpin the </w:t>
      </w:r>
      <w:r w:rsidR="002B0BA2">
        <w:rPr>
          <w:rFonts w:ascii="Calibri" w:hAnsi="Calibri"/>
          <w:lang w:eastAsia="en-AU"/>
        </w:rPr>
        <w:t>SOI</w:t>
      </w:r>
      <w:r w:rsidR="002B0BA2" w:rsidRPr="002B0BA2">
        <w:rPr>
          <w:rFonts w:ascii="Calibri" w:hAnsi="Calibri"/>
          <w:lang w:eastAsia="en-AU"/>
        </w:rPr>
        <w:t xml:space="preserve"> assessment</w:t>
      </w:r>
      <w:r w:rsidR="002B0BA2">
        <w:rPr>
          <w:rFonts w:ascii="Calibri" w:hAnsi="Calibri"/>
          <w:lang w:eastAsia="en-AU"/>
        </w:rPr>
        <w:t>,</w:t>
      </w:r>
      <w:r w:rsidR="00BC0728">
        <w:rPr>
          <w:rFonts w:ascii="Calibri" w:hAnsi="Calibri"/>
          <w:lang w:eastAsia="en-AU"/>
        </w:rPr>
        <w:t xml:space="preserve"> requirements</w:t>
      </w:r>
      <w:r w:rsidR="002B0BA2">
        <w:rPr>
          <w:rFonts w:ascii="Calibri" w:hAnsi="Calibri"/>
          <w:lang w:eastAsia="en-AU"/>
        </w:rPr>
        <w:t xml:space="preserve"> for </w:t>
      </w:r>
      <w:r w:rsidR="00BC0728">
        <w:rPr>
          <w:rFonts w:ascii="Calibri" w:hAnsi="Calibri"/>
          <w:lang w:eastAsia="en-AU"/>
        </w:rPr>
        <w:t>a SOI assessor</w:t>
      </w:r>
      <w:r w:rsidR="002B0BA2">
        <w:rPr>
          <w:rFonts w:ascii="Calibri" w:hAnsi="Calibri"/>
          <w:lang w:eastAsia="en-AU"/>
        </w:rPr>
        <w:t xml:space="preserve">, </w:t>
      </w:r>
      <w:r w:rsidR="002B0BA2" w:rsidRPr="002B0BA2">
        <w:rPr>
          <w:rFonts w:ascii="Calibri" w:hAnsi="Calibri"/>
          <w:lang w:eastAsia="en-AU"/>
        </w:rPr>
        <w:t>as well as detailing procedures to be followed</w:t>
      </w:r>
      <w:r w:rsidR="002B0BA2">
        <w:rPr>
          <w:rFonts w:ascii="Calibri" w:hAnsi="Calibri"/>
          <w:lang w:eastAsia="en-AU"/>
        </w:rPr>
        <w:t xml:space="preserve"> by a</w:t>
      </w:r>
      <w:r w:rsidR="00BC0728">
        <w:rPr>
          <w:rFonts w:ascii="Calibri" w:hAnsi="Calibri"/>
          <w:lang w:eastAsia="en-AU"/>
        </w:rPr>
        <w:t xml:space="preserve"> SOI </w:t>
      </w:r>
      <w:r w:rsidR="002B0BA2">
        <w:rPr>
          <w:rFonts w:ascii="Calibri" w:hAnsi="Calibri"/>
          <w:lang w:eastAsia="en-AU"/>
        </w:rPr>
        <w:t>assessor</w:t>
      </w:r>
      <w:r w:rsidR="002B0BA2" w:rsidRPr="002B0BA2">
        <w:rPr>
          <w:rFonts w:ascii="Calibri" w:hAnsi="Calibri"/>
          <w:lang w:eastAsia="en-AU"/>
        </w:rPr>
        <w:t xml:space="preserve"> in carrying out a</w:t>
      </w:r>
      <w:r w:rsidR="00D23F09">
        <w:rPr>
          <w:rFonts w:ascii="Calibri" w:hAnsi="Calibri"/>
          <w:lang w:eastAsia="en-AU"/>
        </w:rPr>
        <w:t>n</w:t>
      </w:r>
      <w:r w:rsidR="002B0BA2" w:rsidRPr="002B0BA2">
        <w:rPr>
          <w:rFonts w:ascii="Calibri" w:hAnsi="Calibri"/>
          <w:lang w:eastAsia="en-AU"/>
        </w:rPr>
        <w:t xml:space="preserve"> assessment</w:t>
      </w:r>
      <w:r w:rsidR="002B0BA2">
        <w:rPr>
          <w:rFonts w:ascii="Calibri" w:hAnsi="Calibri" w:cs="Calibri"/>
          <w:szCs w:val="24"/>
        </w:rPr>
        <w:t>.</w:t>
      </w:r>
      <w:r w:rsidR="007D5443">
        <w:rPr>
          <w:rFonts w:ascii="Calibri" w:hAnsi="Calibri" w:cs="Calibri"/>
          <w:szCs w:val="24"/>
        </w:rPr>
        <w:t xml:space="preserve"> </w:t>
      </w:r>
      <w:r w:rsidR="0022015F">
        <w:rPr>
          <w:rFonts w:ascii="Calibri" w:hAnsi="Calibri" w:cs="Calibri"/>
          <w:szCs w:val="24"/>
        </w:rPr>
        <w:t>The</w:t>
      </w:r>
      <w:r w:rsidR="007D5443">
        <w:rPr>
          <w:rFonts w:ascii="Calibri" w:hAnsi="Calibri" w:cs="Calibri"/>
          <w:szCs w:val="24"/>
        </w:rPr>
        <w:t xml:space="preserve"> SOI assessment can only be carried</w:t>
      </w:r>
      <w:r w:rsidR="00627E4D">
        <w:rPr>
          <w:rFonts w:ascii="Calibri" w:hAnsi="Calibri" w:cs="Calibri"/>
          <w:szCs w:val="24"/>
        </w:rPr>
        <w:t xml:space="preserve"> out</w:t>
      </w:r>
      <w:r w:rsidR="007D5443">
        <w:rPr>
          <w:rFonts w:ascii="Calibri" w:hAnsi="Calibri" w:cs="Calibri"/>
          <w:szCs w:val="24"/>
        </w:rPr>
        <w:t xml:space="preserve"> if the injured person meets the requirements of section 209 of the MAI Act and provides their consent to the insurer. Only an insurer can make a referral to the </w:t>
      </w:r>
      <w:r w:rsidR="0094232C">
        <w:rPr>
          <w:rFonts w:ascii="Calibri" w:hAnsi="Calibri" w:cs="Calibri"/>
          <w:szCs w:val="24"/>
        </w:rPr>
        <w:t xml:space="preserve">IME provider to arrange </w:t>
      </w:r>
      <w:r w:rsidR="007D5443">
        <w:rPr>
          <w:rFonts w:ascii="Calibri" w:hAnsi="Calibri" w:cs="Calibri"/>
          <w:szCs w:val="24"/>
        </w:rPr>
        <w:t xml:space="preserve">for a SOI assessment. </w:t>
      </w:r>
    </w:p>
    <w:p w14:paraId="48F8753F" w14:textId="7EB6D28A" w:rsidR="001141D4" w:rsidRDefault="001141D4" w:rsidP="00184F20">
      <w:pPr>
        <w:rPr>
          <w:rFonts w:asciiTheme="minorHAnsi" w:hAnsiTheme="minorHAnsi" w:cstheme="minorHAnsi"/>
          <w:szCs w:val="24"/>
        </w:rPr>
      </w:pPr>
    </w:p>
    <w:p w14:paraId="447608F9" w14:textId="19C0D9AA" w:rsid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  <w:r w:rsidRPr="00B900FD">
        <w:rPr>
          <w:rFonts w:asciiTheme="minorHAnsi" w:hAnsiTheme="minorHAnsi" w:cstheme="minorHAnsi"/>
          <w:i/>
          <w:iCs/>
          <w:szCs w:val="24"/>
        </w:rPr>
        <w:t>Consultation on the proposed approach</w:t>
      </w:r>
    </w:p>
    <w:p w14:paraId="5266AE4C" w14:textId="77777777" w:rsidR="00B900FD" w:rsidRP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</w:p>
    <w:p w14:paraId="4CFB1F2E" w14:textId="502D3B48" w:rsidR="00184F20" w:rsidRPr="007700A0" w:rsidRDefault="00C67228" w:rsidP="00184F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2B0BA2">
        <w:rPr>
          <w:rFonts w:asciiTheme="minorHAnsi" w:hAnsiTheme="minorHAnsi" w:cstheme="minorHAnsi"/>
          <w:szCs w:val="24"/>
        </w:rPr>
        <w:t>ublic consultation</w:t>
      </w:r>
      <w:r>
        <w:rPr>
          <w:rFonts w:asciiTheme="minorHAnsi" w:hAnsiTheme="minorHAnsi" w:cstheme="minorHAnsi"/>
          <w:szCs w:val="24"/>
        </w:rPr>
        <w:t xml:space="preserve"> </w:t>
      </w:r>
      <w:r w:rsidR="0094232C">
        <w:rPr>
          <w:rFonts w:asciiTheme="minorHAnsi" w:hAnsiTheme="minorHAnsi" w:cstheme="minorHAnsi"/>
          <w:szCs w:val="24"/>
        </w:rPr>
        <w:t xml:space="preserve">through the MAI Commission’s website </w:t>
      </w:r>
      <w:r>
        <w:rPr>
          <w:rFonts w:asciiTheme="minorHAnsi" w:hAnsiTheme="minorHAnsi" w:cstheme="minorHAnsi"/>
          <w:szCs w:val="24"/>
        </w:rPr>
        <w:t>was undertaken</w:t>
      </w:r>
      <w:r w:rsidR="00184F20" w:rsidRPr="007700A0">
        <w:rPr>
          <w:rFonts w:asciiTheme="minorHAnsi" w:hAnsiTheme="minorHAnsi" w:cstheme="minorHAnsi"/>
          <w:szCs w:val="24"/>
        </w:rPr>
        <w:t xml:space="preserve"> in preparing the guidelines</w:t>
      </w:r>
      <w:r w:rsidR="0094232C">
        <w:rPr>
          <w:rFonts w:asciiTheme="minorHAnsi" w:hAnsiTheme="minorHAnsi" w:cstheme="minorHAnsi"/>
          <w:szCs w:val="24"/>
        </w:rPr>
        <w:t xml:space="preserve">.  </w:t>
      </w:r>
      <w:r w:rsidR="00B900FD">
        <w:rPr>
          <w:rFonts w:asciiTheme="minorHAnsi" w:hAnsiTheme="minorHAnsi" w:cstheme="minorHAnsi"/>
          <w:szCs w:val="24"/>
        </w:rPr>
        <w:t>Comments were incorporated where appropriate.</w:t>
      </w:r>
    </w:p>
    <w:p w14:paraId="60EB57DA" w14:textId="51489CEC" w:rsidR="00C17FAB" w:rsidRPr="007700A0" w:rsidRDefault="00C17FAB" w:rsidP="00184F20">
      <w:pPr>
        <w:rPr>
          <w:rFonts w:asciiTheme="minorHAnsi" w:hAnsiTheme="minorHAnsi" w:cstheme="minorHAnsi"/>
          <w:b/>
          <w:bCs/>
        </w:rPr>
      </w:pPr>
    </w:p>
    <w:sectPr w:rsidR="00C17FAB" w:rsidRPr="007700A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36B" w14:textId="7B5633AF" w:rsidR="00DA3B00" w:rsidRPr="002122B7" w:rsidRDefault="002122B7" w:rsidP="002122B7">
    <w:pPr>
      <w:pStyle w:val="Footer"/>
      <w:jc w:val="center"/>
      <w:rPr>
        <w:rFonts w:cs="Arial"/>
        <w:sz w:val="14"/>
      </w:rPr>
    </w:pPr>
    <w:r w:rsidRPr="002122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F261E"/>
    <w:multiLevelType w:val="hybridMultilevel"/>
    <w:tmpl w:val="FA5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536512">
    <w:abstractNumId w:val="2"/>
  </w:num>
  <w:num w:numId="2" w16cid:durableId="1976400339">
    <w:abstractNumId w:val="0"/>
  </w:num>
  <w:num w:numId="3" w16cid:durableId="545531483">
    <w:abstractNumId w:val="3"/>
  </w:num>
  <w:num w:numId="4" w16cid:durableId="1790780371">
    <w:abstractNumId w:val="8"/>
  </w:num>
  <w:num w:numId="5" w16cid:durableId="611863776">
    <w:abstractNumId w:val="9"/>
  </w:num>
  <w:num w:numId="6" w16cid:durableId="1272543507">
    <w:abstractNumId w:val="1"/>
  </w:num>
  <w:num w:numId="7" w16cid:durableId="1825583291">
    <w:abstractNumId w:val="5"/>
  </w:num>
  <w:num w:numId="8" w16cid:durableId="1436436339">
    <w:abstractNumId w:val="7"/>
  </w:num>
  <w:num w:numId="9" w16cid:durableId="2024819602">
    <w:abstractNumId w:val="10"/>
  </w:num>
  <w:num w:numId="10" w16cid:durableId="931471315">
    <w:abstractNumId w:val="6"/>
  </w:num>
  <w:num w:numId="11" w16cid:durableId="1276134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E1DA4"/>
    <w:rsid w:val="001141D4"/>
    <w:rsid w:val="00184F20"/>
    <w:rsid w:val="001C4BC6"/>
    <w:rsid w:val="001F69A5"/>
    <w:rsid w:val="002122B7"/>
    <w:rsid w:val="0022015F"/>
    <w:rsid w:val="002B0BA2"/>
    <w:rsid w:val="002D7C60"/>
    <w:rsid w:val="003D3BDC"/>
    <w:rsid w:val="004460F0"/>
    <w:rsid w:val="0049250D"/>
    <w:rsid w:val="004B21B5"/>
    <w:rsid w:val="004B46A6"/>
    <w:rsid w:val="004E1D37"/>
    <w:rsid w:val="0055315D"/>
    <w:rsid w:val="00624C0E"/>
    <w:rsid w:val="00627E4D"/>
    <w:rsid w:val="006E663F"/>
    <w:rsid w:val="007346AC"/>
    <w:rsid w:val="007700A0"/>
    <w:rsid w:val="00773800"/>
    <w:rsid w:val="007D5443"/>
    <w:rsid w:val="008871AF"/>
    <w:rsid w:val="00890BE1"/>
    <w:rsid w:val="008C4E5B"/>
    <w:rsid w:val="0094232C"/>
    <w:rsid w:val="009508A5"/>
    <w:rsid w:val="00B900FD"/>
    <w:rsid w:val="00BC0728"/>
    <w:rsid w:val="00BE7A68"/>
    <w:rsid w:val="00C17FAB"/>
    <w:rsid w:val="00C67228"/>
    <w:rsid w:val="00CE599C"/>
    <w:rsid w:val="00D23F09"/>
    <w:rsid w:val="00D30481"/>
    <w:rsid w:val="00D570BD"/>
    <w:rsid w:val="00D95B11"/>
    <w:rsid w:val="00DA3B00"/>
    <w:rsid w:val="00DB02EB"/>
    <w:rsid w:val="00E0220C"/>
    <w:rsid w:val="00E90C2D"/>
    <w:rsid w:val="00EA7E10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1271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2023-11-03T01:19:00Z</dcterms:created>
  <dcterms:modified xsi:type="dcterms:W3CDTF">2023-11-03T01:19:00Z</dcterms:modified>
</cp:coreProperties>
</file>