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E6958" w14:textId="65D79A37" w:rsidR="00D12B3F" w:rsidRDefault="00D12B3F" w:rsidP="00D12B3F">
      <w:pPr>
        <w:pStyle w:val="billname"/>
        <w:shd w:val="clear" w:color="auto" w:fill="FFFFFF"/>
        <w:spacing w:before="700" w:beforeAutospacing="0" w:afterAutospacing="0"/>
        <w:rPr>
          <w:rFonts w:ascii="Arial" w:hAnsi="Arial" w:cs="Arial"/>
          <w:b/>
          <w:bCs/>
          <w:color w:val="000000"/>
          <w:sz w:val="40"/>
          <w:szCs w:val="40"/>
        </w:rPr>
      </w:pPr>
      <w:r>
        <w:rPr>
          <w:rFonts w:ascii="Arial" w:hAnsi="Arial" w:cs="Arial"/>
          <w:b/>
          <w:bCs/>
          <w:color w:val="000000"/>
          <w:sz w:val="40"/>
          <w:szCs w:val="40"/>
        </w:rPr>
        <w:t>Magistrates Court (Urban Forest Infringement Notices) Regulation 2023</w:t>
      </w:r>
    </w:p>
    <w:p w14:paraId="119C4151" w14:textId="36322B45" w:rsidR="00D12B3F" w:rsidRDefault="00D12B3F" w:rsidP="00D12B3F">
      <w:pPr>
        <w:pStyle w:val="NormalWeb"/>
        <w:shd w:val="clear" w:color="auto" w:fill="FFFFFF"/>
        <w:spacing w:before="340" w:beforeAutospacing="0" w:after="200" w:afterAutospacing="0"/>
        <w:rPr>
          <w:rFonts w:ascii="Calibri" w:hAnsi="Calibri" w:cs="Calibri"/>
          <w:color w:val="000000"/>
          <w:sz w:val="22"/>
          <w:szCs w:val="22"/>
        </w:rPr>
      </w:pPr>
      <w:r>
        <w:rPr>
          <w:rFonts w:ascii="Arial" w:hAnsi="Arial" w:cs="Arial"/>
          <w:b/>
          <w:bCs/>
          <w:color w:val="000000"/>
          <w:sz w:val="22"/>
          <w:szCs w:val="22"/>
        </w:rPr>
        <w:t>Subordinate law SL2023–</w:t>
      </w:r>
      <w:r w:rsidR="00943DA0">
        <w:rPr>
          <w:rFonts w:ascii="Arial" w:hAnsi="Arial" w:cs="Arial"/>
          <w:b/>
          <w:bCs/>
          <w:color w:val="000000"/>
          <w:sz w:val="22"/>
          <w:szCs w:val="22"/>
        </w:rPr>
        <w:t>28</w:t>
      </w:r>
    </w:p>
    <w:p w14:paraId="32828CEE" w14:textId="77777777" w:rsidR="00D12B3F" w:rsidRDefault="00D12B3F" w:rsidP="00D12B3F">
      <w:pPr>
        <w:pStyle w:val="madeunder"/>
        <w:shd w:val="clear" w:color="auto" w:fill="FFFFFF"/>
        <w:spacing w:before="300" w:beforeAutospacing="0" w:after="0" w:afterAutospacing="0"/>
        <w:jc w:val="both"/>
        <w:rPr>
          <w:color w:val="000000"/>
        </w:rPr>
      </w:pPr>
      <w:r>
        <w:rPr>
          <w:color w:val="000000"/>
        </w:rPr>
        <w:t>made under the </w:t>
      </w:r>
    </w:p>
    <w:p w14:paraId="55654B65" w14:textId="37D3CBEA" w:rsidR="00D12B3F" w:rsidRDefault="00D12B3F" w:rsidP="00D12B3F">
      <w:pPr>
        <w:pStyle w:val="coveractname"/>
        <w:shd w:val="clear" w:color="auto" w:fill="FFFFFF"/>
        <w:spacing w:before="320" w:beforeAutospacing="0" w:after="0" w:afterAutospacing="0"/>
        <w:jc w:val="both"/>
        <w:rPr>
          <w:rFonts w:ascii="Arial" w:hAnsi="Arial" w:cs="Arial"/>
          <w:b/>
          <w:bCs/>
          <w:color w:val="000000"/>
          <w:sz w:val="20"/>
          <w:szCs w:val="20"/>
        </w:rPr>
      </w:pPr>
      <w:r>
        <w:rPr>
          <w:rFonts w:ascii="Arial" w:hAnsi="Arial" w:cs="Arial"/>
          <w:b/>
          <w:bCs/>
          <w:i/>
          <w:iCs/>
          <w:color w:val="000000"/>
          <w:sz w:val="20"/>
          <w:szCs w:val="20"/>
        </w:rPr>
        <w:t xml:space="preserve">Magistrates Court Act 1930, section </w:t>
      </w:r>
      <w:r w:rsidR="00E70DAC">
        <w:rPr>
          <w:rFonts w:ascii="Arial" w:hAnsi="Arial" w:cs="Arial"/>
          <w:b/>
          <w:bCs/>
          <w:i/>
          <w:iCs/>
          <w:color w:val="000000"/>
          <w:sz w:val="20"/>
          <w:szCs w:val="20"/>
        </w:rPr>
        <w:t>321</w:t>
      </w:r>
      <w:r w:rsidR="005153F0">
        <w:rPr>
          <w:rFonts w:ascii="Arial" w:hAnsi="Arial" w:cs="Arial"/>
          <w:b/>
          <w:bCs/>
          <w:i/>
          <w:iCs/>
          <w:color w:val="000000"/>
          <w:sz w:val="20"/>
          <w:szCs w:val="20"/>
        </w:rPr>
        <w:t xml:space="preserve"> </w:t>
      </w:r>
      <w:r>
        <w:rPr>
          <w:rFonts w:ascii="Arial" w:hAnsi="Arial" w:cs="Arial"/>
          <w:b/>
          <w:bCs/>
          <w:i/>
          <w:iCs/>
          <w:color w:val="000000"/>
          <w:sz w:val="20"/>
          <w:szCs w:val="20"/>
        </w:rPr>
        <w:t>(Regulation-making power)</w:t>
      </w:r>
      <w:r w:rsidR="00E70DAC">
        <w:rPr>
          <w:rFonts w:ascii="Arial" w:hAnsi="Arial" w:cs="Arial"/>
          <w:b/>
          <w:bCs/>
          <w:i/>
          <w:iCs/>
          <w:color w:val="000000"/>
          <w:sz w:val="20"/>
          <w:szCs w:val="20"/>
        </w:rPr>
        <w:t xml:space="preserve"> </w:t>
      </w:r>
    </w:p>
    <w:p w14:paraId="2A0A3FBA" w14:textId="77777777" w:rsidR="00D12B3F" w:rsidRDefault="00D12B3F" w:rsidP="00D12B3F">
      <w:pPr>
        <w:pStyle w:val="NormalWeb"/>
        <w:shd w:val="clear" w:color="auto" w:fill="FFFFFF"/>
        <w:spacing w:before="360" w:beforeAutospacing="0" w:after="200" w:afterAutospacing="0" w:line="322" w:lineRule="atLeast"/>
        <w:ind w:right="565"/>
        <w:rPr>
          <w:rFonts w:ascii="Calibri" w:hAnsi="Calibri" w:cs="Calibri"/>
          <w:color w:val="000000"/>
          <w:sz w:val="28"/>
          <w:szCs w:val="28"/>
        </w:rPr>
      </w:pPr>
      <w:r>
        <w:rPr>
          <w:rFonts w:ascii="Arial" w:hAnsi="Arial" w:cs="Arial"/>
          <w:b/>
          <w:bCs/>
          <w:color w:val="000000"/>
          <w:sz w:val="28"/>
          <w:szCs w:val="28"/>
        </w:rPr>
        <w:t>EXPLANATORY STATEMENT</w:t>
      </w:r>
    </w:p>
    <w:p w14:paraId="663B9AD5" w14:textId="77777777" w:rsidR="00D12B3F" w:rsidRDefault="00D12B3F" w:rsidP="00D12B3F">
      <w:pPr>
        <w:pStyle w:val="n-line3"/>
        <w:shd w:val="clear" w:color="auto" w:fill="FFFFFF"/>
        <w:spacing w:before="0" w:beforeAutospacing="0" w:after="0" w:afterAutospacing="0"/>
        <w:jc w:val="both"/>
        <w:rPr>
          <w:color w:val="000000"/>
        </w:rPr>
      </w:pPr>
      <w:r>
        <w:rPr>
          <w:color w:val="000000"/>
        </w:rPr>
        <w:t> </w:t>
      </w:r>
    </w:p>
    <w:p w14:paraId="17AFDC89" w14:textId="77777777" w:rsidR="00D12B3F" w:rsidRDefault="00D12B3F" w:rsidP="00D12B3F">
      <w:pPr>
        <w:pStyle w:val="n-line3"/>
        <w:pBdr>
          <w:top w:val="single" w:sz="12" w:space="1" w:color="000000"/>
        </w:pBdr>
        <w:shd w:val="clear" w:color="auto" w:fill="FFFFFF"/>
        <w:spacing w:before="0" w:beforeAutospacing="0" w:after="0" w:afterAutospacing="0"/>
        <w:jc w:val="both"/>
        <w:rPr>
          <w:color w:val="000000"/>
        </w:rPr>
      </w:pPr>
      <w:r>
        <w:rPr>
          <w:color w:val="000000"/>
        </w:rPr>
        <w:t> </w:t>
      </w:r>
    </w:p>
    <w:p w14:paraId="03BE920F" w14:textId="77777777" w:rsidR="00D14F2C" w:rsidRDefault="00D14F2C" w:rsidP="00D14F2C">
      <w:pPr>
        <w:rPr>
          <w:rFonts w:ascii="Arial" w:hAnsi="Arial" w:cs="Arial"/>
          <w:b/>
          <w:bCs/>
          <w:color w:val="000000" w:themeColor="text1"/>
          <w:sz w:val="24"/>
          <w:szCs w:val="24"/>
        </w:rPr>
      </w:pPr>
    </w:p>
    <w:p w14:paraId="40F5FBCD" w14:textId="77777777" w:rsidR="00D14F2C" w:rsidRDefault="00D14F2C" w:rsidP="00D14F2C">
      <w:pPr>
        <w:rPr>
          <w:rFonts w:ascii="Arial" w:hAnsi="Arial" w:cs="Arial"/>
          <w:b/>
          <w:bCs/>
          <w:color w:val="000000" w:themeColor="text1"/>
          <w:sz w:val="24"/>
          <w:szCs w:val="24"/>
        </w:rPr>
      </w:pPr>
      <w:r w:rsidRPr="00AE3B86">
        <w:rPr>
          <w:rFonts w:ascii="Arial" w:hAnsi="Arial" w:cs="Arial"/>
          <w:b/>
          <w:bCs/>
          <w:color w:val="000000" w:themeColor="text1"/>
          <w:sz w:val="24"/>
          <w:szCs w:val="24"/>
        </w:rPr>
        <w:t>OVERVIEW</w:t>
      </w:r>
    </w:p>
    <w:p w14:paraId="42B8A402" w14:textId="5DD1C519" w:rsidR="003F2AE6" w:rsidRDefault="00D14F2C" w:rsidP="00D14F2C">
      <w:pPr>
        <w:spacing w:after="120"/>
        <w:ind w:right="-45"/>
        <w:rPr>
          <w:rFonts w:ascii="Arial" w:hAnsi="Arial" w:cs="Arial"/>
          <w:iCs/>
          <w:sz w:val="24"/>
          <w:szCs w:val="24"/>
        </w:rPr>
      </w:pPr>
      <w:r>
        <w:rPr>
          <w:rFonts w:ascii="Arial" w:hAnsi="Arial" w:cs="Arial"/>
          <w:iCs/>
          <w:sz w:val="24"/>
          <w:szCs w:val="24"/>
        </w:rPr>
        <w:t xml:space="preserve">The Magistrates Court (Urban Forest Infringement Notices) Regulation 2023 (the Regulation) is being made </w:t>
      </w:r>
      <w:r w:rsidR="00E70DAC">
        <w:rPr>
          <w:rFonts w:ascii="Arial" w:hAnsi="Arial" w:cs="Arial"/>
          <w:iCs/>
          <w:sz w:val="24"/>
          <w:szCs w:val="24"/>
        </w:rPr>
        <w:t xml:space="preserve">in accordance with </w:t>
      </w:r>
      <w:r>
        <w:rPr>
          <w:rFonts w:ascii="Arial" w:hAnsi="Arial" w:cs="Arial"/>
          <w:iCs/>
          <w:sz w:val="24"/>
          <w:szCs w:val="24"/>
        </w:rPr>
        <w:t xml:space="preserve">part 3.8 of the </w:t>
      </w:r>
      <w:r>
        <w:rPr>
          <w:rFonts w:ascii="Arial" w:hAnsi="Arial" w:cs="Arial"/>
          <w:i/>
          <w:sz w:val="24"/>
          <w:szCs w:val="24"/>
        </w:rPr>
        <w:t>Magistrates Court Act</w:t>
      </w:r>
      <w:r w:rsidR="00714262">
        <w:rPr>
          <w:rFonts w:ascii="Arial" w:hAnsi="Arial" w:cs="Arial"/>
          <w:i/>
          <w:sz w:val="24"/>
          <w:szCs w:val="24"/>
        </w:rPr>
        <w:t> </w:t>
      </w:r>
      <w:r>
        <w:rPr>
          <w:rFonts w:ascii="Arial" w:hAnsi="Arial" w:cs="Arial"/>
          <w:i/>
          <w:sz w:val="24"/>
          <w:szCs w:val="24"/>
        </w:rPr>
        <w:t>1930</w:t>
      </w:r>
      <w:r>
        <w:rPr>
          <w:rFonts w:ascii="Arial" w:hAnsi="Arial" w:cs="Arial"/>
          <w:iCs/>
          <w:sz w:val="24"/>
          <w:szCs w:val="24"/>
        </w:rPr>
        <w:t xml:space="preserve"> and will enable infringement notices to be issued for </w:t>
      </w:r>
      <w:r w:rsidR="00F5454D">
        <w:rPr>
          <w:rFonts w:ascii="Arial" w:hAnsi="Arial" w:cs="Arial"/>
          <w:iCs/>
          <w:sz w:val="24"/>
          <w:szCs w:val="24"/>
        </w:rPr>
        <w:t xml:space="preserve">certain </w:t>
      </w:r>
      <w:r>
        <w:rPr>
          <w:rFonts w:ascii="Arial" w:hAnsi="Arial" w:cs="Arial"/>
          <w:iCs/>
          <w:sz w:val="24"/>
          <w:szCs w:val="24"/>
        </w:rPr>
        <w:t xml:space="preserve">offences against the </w:t>
      </w:r>
      <w:r>
        <w:rPr>
          <w:rFonts w:ascii="Arial" w:hAnsi="Arial" w:cs="Arial"/>
          <w:i/>
          <w:sz w:val="24"/>
          <w:szCs w:val="24"/>
        </w:rPr>
        <w:t>Urban Forest Act 2023</w:t>
      </w:r>
      <w:r>
        <w:rPr>
          <w:rFonts w:ascii="Arial" w:hAnsi="Arial" w:cs="Arial"/>
          <w:iCs/>
          <w:sz w:val="24"/>
          <w:szCs w:val="24"/>
        </w:rPr>
        <w:t xml:space="preserve">. </w:t>
      </w:r>
    </w:p>
    <w:p w14:paraId="7674F7EA" w14:textId="15FD6C5A" w:rsidR="003F2AE6" w:rsidRDefault="00D14F2C" w:rsidP="003F2AE6">
      <w:pPr>
        <w:spacing w:after="120"/>
        <w:ind w:right="-45"/>
        <w:rPr>
          <w:rFonts w:ascii="Arial" w:hAnsi="Arial" w:cs="Arial"/>
          <w:iCs/>
          <w:sz w:val="24"/>
          <w:szCs w:val="24"/>
        </w:rPr>
      </w:pPr>
      <w:r>
        <w:rPr>
          <w:rFonts w:ascii="Arial" w:hAnsi="Arial" w:cs="Arial"/>
          <w:iCs/>
          <w:sz w:val="24"/>
          <w:szCs w:val="24"/>
        </w:rPr>
        <w:t>Infringement notices are intended to provide an alternative to prosecution</w:t>
      </w:r>
      <w:r w:rsidR="003F2AE6">
        <w:rPr>
          <w:rFonts w:ascii="Arial" w:hAnsi="Arial" w:cs="Arial"/>
          <w:iCs/>
          <w:sz w:val="24"/>
          <w:szCs w:val="24"/>
        </w:rPr>
        <w:t xml:space="preserve">. </w:t>
      </w:r>
      <w:r w:rsidR="003F2AE6" w:rsidRPr="003F2AE6">
        <w:rPr>
          <w:rFonts w:ascii="Arial" w:hAnsi="Arial" w:cs="Arial"/>
          <w:iCs/>
          <w:sz w:val="24"/>
          <w:szCs w:val="24"/>
        </w:rPr>
        <w:t>The ability to issue infringement notices for offences against the </w:t>
      </w:r>
      <w:r w:rsidR="003F2AE6">
        <w:rPr>
          <w:rFonts w:ascii="Arial" w:hAnsi="Arial" w:cs="Arial"/>
          <w:iCs/>
          <w:sz w:val="24"/>
          <w:szCs w:val="24"/>
        </w:rPr>
        <w:t>Urban Forest Act</w:t>
      </w:r>
      <w:r w:rsidR="003F2AE6" w:rsidRPr="003F2AE6">
        <w:rPr>
          <w:rFonts w:ascii="Arial" w:hAnsi="Arial" w:cs="Arial"/>
          <w:iCs/>
          <w:sz w:val="24"/>
          <w:szCs w:val="24"/>
        </w:rPr>
        <w:t> will encourage compliance with the legislation and will allow for immediate action to be taken against people who are breaching the law.</w:t>
      </w:r>
    </w:p>
    <w:p w14:paraId="44891910" w14:textId="194A3968" w:rsidR="00EA20AB" w:rsidRPr="00EA20AB" w:rsidRDefault="00EA20AB" w:rsidP="00D14F2C">
      <w:pPr>
        <w:spacing w:after="120"/>
        <w:ind w:right="-45"/>
        <w:rPr>
          <w:rFonts w:ascii="Arial" w:hAnsi="Arial" w:cs="Arial"/>
          <w:iCs/>
          <w:sz w:val="24"/>
          <w:szCs w:val="24"/>
        </w:rPr>
      </w:pPr>
      <w:r>
        <w:rPr>
          <w:rFonts w:ascii="Arial" w:hAnsi="Arial" w:cs="Arial"/>
          <w:iCs/>
          <w:sz w:val="24"/>
          <w:szCs w:val="24"/>
        </w:rPr>
        <w:t xml:space="preserve">The </w:t>
      </w:r>
      <w:r w:rsidRPr="00FB1751">
        <w:rPr>
          <w:rFonts w:ascii="Arial" w:hAnsi="Arial" w:cs="Arial"/>
          <w:iCs/>
          <w:sz w:val="24"/>
          <w:szCs w:val="24"/>
        </w:rPr>
        <w:t>Urban Forest Act</w:t>
      </w:r>
      <w:r>
        <w:rPr>
          <w:rFonts w:ascii="Arial" w:hAnsi="Arial" w:cs="Arial"/>
          <w:i/>
          <w:sz w:val="24"/>
          <w:szCs w:val="24"/>
        </w:rPr>
        <w:t xml:space="preserve"> </w:t>
      </w:r>
      <w:r>
        <w:rPr>
          <w:rFonts w:ascii="Arial" w:hAnsi="Arial" w:cs="Arial"/>
          <w:iCs/>
          <w:sz w:val="24"/>
          <w:szCs w:val="24"/>
        </w:rPr>
        <w:t xml:space="preserve">repealed the </w:t>
      </w:r>
      <w:r>
        <w:rPr>
          <w:rFonts w:ascii="Arial" w:hAnsi="Arial" w:cs="Arial"/>
          <w:i/>
          <w:sz w:val="24"/>
          <w:szCs w:val="24"/>
        </w:rPr>
        <w:t>Tree Protection Act 2005</w:t>
      </w:r>
      <w:r>
        <w:rPr>
          <w:rFonts w:ascii="Arial" w:hAnsi="Arial" w:cs="Arial"/>
          <w:iCs/>
          <w:sz w:val="24"/>
          <w:szCs w:val="24"/>
        </w:rPr>
        <w:t xml:space="preserve"> and provides a more comprehensive framework for the protection of trees to support a sustainable urban forest. </w:t>
      </w:r>
    </w:p>
    <w:p w14:paraId="0E24B021" w14:textId="5C73FECA" w:rsidR="00D14F2C" w:rsidRDefault="00D14F2C" w:rsidP="00D14F2C">
      <w:pPr>
        <w:spacing w:after="120"/>
        <w:ind w:right="-45"/>
        <w:rPr>
          <w:rFonts w:ascii="Arial" w:hAnsi="Arial" w:cs="Arial"/>
          <w:iCs/>
          <w:sz w:val="24"/>
          <w:szCs w:val="24"/>
        </w:rPr>
      </w:pPr>
      <w:r>
        <w:rPr>
          <w:rFonts w:ascii="Arial" w:hAnsi="Arial" w:cs="Arial"/>
          <w:iCs/>
          <w:sz w:val="24"/>
          <w:szCs w:val="24"/>
        </w:rPr>
        <w:t xml:space="preserve">The Regulation enables authorised persons </w:t>
      </w:r>
      <w:r w:rsidRPr="00F5454D">
        <w:rPr>
          <w:rFonts w:ascii="Arial" w:hAnsi="Arial" w:cs="Arial"/>
          <w:iCs/>
          <w:sz w:val="24"/>
          <w:szCs w:val="24"/>
        </w:rPr>
        <w:t xml:space="preserve">under section </w:t>
      </w:r>
      <w:r w:rsidR="00F5454D" w:rsidRPr="00F5454D">
        <w:rPr>
          <w:rFonts w:ascii="Arial" w:hAnsi="Arial" w:cs="Arial"/>
          <w:iCs/>
          <w:sz w:val="24"/>
          <w:szCs w:val="24"/>
        </w:rPr>
        <w:t>111</w:t>
      </w:r>
      <w:r>
        <w:rPr>
          <w:rFonts w:ascii="Arial" w:hAnsi="Arial" w:cs="Arial"/>
          <w:iCs/>
          <w:sz w:val="24"/>
          <w:szCs w:val="24"/>
        </w:rPr>
        <w:t xml:space="preserve"> of the</w:t>
      </w:r>
      <w:r w:rsidRPr="00F5454D">
        <w:rPr>
          <w:rFonts w:ascii="Arial" w:hAnsi="Arial" w:cs="Arial"/>
          <w:iCs/>
          <w:sz w:val="24"/>
          <w:szCs w:val="24"/>
        </w:rPr>
        <w:t xml:space="preserve"> </w:t>
      </w:r>
      <w:r w:rsidR="00F5454D" w:rsidRPr="00F5454D">
        <w:rPr>
          <w:rFonts w:ascii="Arial" w:hAnsi="Arial" w:cs="Arial"/>
          <w:iCs/>
          <w:sz w:val="24"/>
          <w:szCs w:val="24"/>
        </w:rPr>
        <w:t>Urban Forest Act to</w:t>
      </w:r>
      <w:r w:rsidRPr="00F5454D">
        <w:rPr>
          <w:rFonts w:ascii="Arial" w:hAnsi="Arial" w:cs="Arial"/>
          <w:iCs/>
          <w:sz w:val="24"/>
          <w:szCs w:val="24"/>
        </w:rPr>
        <w:t xml:space="preserve"> </w:t>
      </w:r>
      <w:r>
        <w:rPr>
          <w:rFonts w:ascii="Arial" w:hAnsi="Arial" w:cs="Arial"/>
          <w:iCs/>
          <w:sz w:val="24"/>
          <w:szCs w:val="24"/>
        </w:rPr>
        <w:t xml:space="preserve">issue infringement notices and reminder notices. Under the </w:t>
      </w:r>
      <w:r w:rsidRPr="00F5454D">
        <w:rPr>
          <w:rFonts w:ascii="Arial" w:hAnsi="Arial" w:cs="Arial"/>
          <w:iCs/>
          <w:sz w:val="24"/>
          <w:szCs w:val="24"/>
        </w:rPr>
        <w:t>Magistrates Court Act a</w:t>
      </w:r>
      <w:r>
        <w:rPr>
          <w:rFonts w:ascii="Arial" w:hAnsi="Arial" w:cs="Arial"/>
          <w:iCs/>
          <w:sz w:val="24"/>
          <w:szCs w:val="24"/>
        </w:rPr>
        <w:t xml:space="preserve"> person authorised to issue an infringement notice for an offence has the discretion to decide whether or not to issue a notice.</w:t>
      </w:r>
    </w:p>
    <w:p w14:paraId="1131E8FA" w14:textId="42C36C74" w:rsidR="00EA20AB" w:rsidRPr="00EA20AB" w:rsidRDefault="00EA20AB" w:rsidP="00EA20AB">
      <w:pPr>
        <w:keepNext/>
        <w:keepLines/>
        <w:spacing w:before="40" w:after="120" w:line="240" w:lineRule="auto"/>
        <w:outlineLvl w:val="1"/>
        <w:rPr>
          <w:rFonts w:ascii="Arial" w:eastAsiaTheme="majorEastAsia" w:hAnsi="Arial" w:cs="Arial"/>
          <w:b/>
          <w:bCs/>
          <w:color w:val="000000" w:themeColor="text1"/>
          <w:sz w:val="24"/>
          <w:szCs w:val="24"/>
        </w:rPr>
      </w:pPr>
    </w:p>
    <w:p w14:paraId="6FC0C217" w14:textId="77777777" w:rsidR="000B1837" w:rsidRPr="007E67A5" w:rsidRDefault="000B1837" w:rsidP="000B1837">
      <w:pPr>
        <w:keepNext/>
        <w:keepLines/>
        <w:spacing w:before="40" w:after="120" w:line="240" w:lineRule="auto"/>
        <w:outlineLvl w:val="1"/>
        <w:rPr>
          <w:rFonts w:ascii="Arial" w:eastAsiaTheme="majorEastAsia" w:hAnsi="Arial" w:cs="Arial"/>
          <w:b/>
          <w:bCs/>
          <w:color w:val="000000" w:themeColor="text1"/>
          <w:sz w:val="24"/>
          <w:szCs w:val="24"/>
        </w:rPr>
      </w:pPr>
      <w:r w:rsidRPr="007E67A5">
        <w:rPr>
          <w:rFonts w:ascii="Arial" w:eastAsiaTheme="majorEastAsia" w:hAnsi="Arial" w:cs="Arial"/>
          <w:b/>
          <w:bCs/>
          <w:color w:val="000000" w:themeColor="text1"/>
          <w:sz w:val="24"/>
          <w:szCs w:val="24"/>
        </w:rPr>
        <w:t>CONSISTENCY WITH HUMAN RIGHTS</w:t>
      </w:r>
    </w:p>
    <w:p w14:paraId="50E2E776" w14:textId="4F891A0E" w:rsidR="000B1837" w:rsidRPr="007E67A5" w:rsidRDefault="000B1837" w:rsidP="000B1837">
      <w:pPr>
        <w:shd w:val="clear" w:color="auto" w:fill="FFFFFF"/>
        <w:rPr>
          <w:rFonts w:ascii="Arial" w:hAnsi="Arial" w:cs="Arial"/>
          <w:color w:val="000000" w:themeColor="text1"/>
          <w:sz w:val="24"/>
          <w:szCs w:val="24"/>
        </w:rPr>
      </w:pPr>
      <w:r w:rsidRPr="007E67A5">
        <w:rPr>
          <w:rFonts w:ascii="Arial" w:hAnsi="Arial" w:cs="Arial"/>
          <w:color w:val="000000" w:themeColor="text1"/>
          <w:sz w:val="24"/>
          <w:szCs w:val="24"/>
        </w:rPr>
        <w:t>During the development of the</w:t>
      </w:r>
      <w:r>
        <w:rPr>
          <w:rFonts w:ascii="Arial" w:hAnsi="Arial" w:cs="Arial"/>
          <w:color w:val="000000" w:themeColor="text1"/>
          <w:sz w:val="24"/>
          <w:szCs w:val="24"/>
        </w:rPr>
        <w:t xml:space="preserve"> Regulation</w:t>
      </w:r>
      <w:r w:rsidRPr="007E67A5">
        <w:rPr>
          <w:rFonts w:ascii="Arial" w:hAnsi="Arial" w:cs="Arial"/>
          <w:color w:val="000000" w:themeColor="text1"/>
          <w:sz w:val="24"/>
          <w:szCs w:val="24"/>
        </w:rPr>
        <w:t xml:space="preserve"> due regard was given to its compatibility with human rights as set out in the </w:t>
      </w:r>
      <w:r w:rsidRPr="00FB1751">
        <w:rPr>
          <w:rFonts w:ascii="Arial" w:hAnsi="Arial" w:cs="Arial"/>
          <w:i/>
          <w:iCs/>
          <w:color w:val="000000" w:themeColor="text1"/>
          <w:sz w:val="24"/>
          <w:szCs w:val="24"/>
        </w:rPr>
        <w:t>Human Rights Act 2004</w:t>
      </w:r>
      <w:r w:rsidRPr="007E67A5">
        <w:rPr>
          <w:rFonts w:ascii="Arial" w:hAnsi="Arial" w:cs="Arial"/>
          <w:color w:val="000000" w:themeColor="text1"/>
          <w:sz w:val="24"/>
          <w:szCs w:val="24"/>
        </w:rPr>
        <w:t>.</w:t>
      </w:r>
    </w:p>
    <w:p w14:paraId="5FA59B75" w14:textId="77777777" w:rsidR="000B1837" w:rsidRPr="007E67A5" w:rsidRDefault="000B1837" w:rsidP="000B1837">
      <w:pPr>
        <w:rPr>
          <w:rFonts w:ascii="Arial" w:hAnsi="Arial" w:cs="Arial"/>
          <w:b/>
          <w:bCs/>
          <w:iCs/>
          <w:sz w:val="24"/>
          <w:szCs w:val="24"/>
        </w:rPr>
      </w:pPr>
      <w:r w:rsidRPr="007E67A5">
        <w:rPr>
          <w:rFonts w:ascii="Arial" w:hAnsi="Arial" w:cs="Arial"/>
          <w:b/>
          <w:bCs/>
          <w:iCs/>
          <w:sz w:val="24"/>
          <w:szCs w:val="24"/>
        </w:rPr>
        <w:t>Rights engaged</w:t>
      </w:r>
    </w:p>
    <w:p w14:paraId="6F49AE7E" w14:textId="59B96BAB" w:rsidR="000B1837" w:rsidRPr="007E67A5" w:rsidRDefault="000B1837" w:rsidP="000B1837">
      <w:pPr>
        <w:rPr>
          <w:rFonts w:ascii="Arial" w:hAnsi="Arial" w:cs="Arial"/>
          <w:iCs/>
          <w:sz w:val="24"/>
          <w:szCs w:val="24"/>
        </w:rPr>
      </w:pPr>
      <w:r w:rsidRPr="007E67A5">
        <w:rPr>
          <w:rFonts w:ascii="Arial" w:hAnsi="Arial" w:cs="Arial"/>
          <w:iCs/>
          <w:sz w:val="24"/>
          <w:szCs w:val="24"/>
        </w:rPr>
        <w:t xml:space="preserve">The Bill engages the following sections of the Human Rights Act: </w:t>
      </w:r>
    </w:p>
    <w:p w14:paraId="5806A4F9" w14:textId="4469772F" w:rsidR="00E35294" w:rsidRPr="00BA15A8" w:rsidRDefault="00E35294" w:rsidP="00E35294">
      <w:pPr>
        <w:pStyle w:val="ListParagraph"/>
        <w:numPr>
          <w:ilvl w:val="0"/>
          <w:numId w:val="1"/>
        </w:numPr>
        <w:rPr>
          <w:rFonts w:ascii="Arial" w:hAnsi="Arial" w:cs="Arial"/>
          <w:iCs/>
          <w:sz w:val="24"/>
          <w:szCs w:val="24"/>
        </w:rPr>
      </w:pPr>
      <w:r>
        <w:rPr>
          <w:rFonts w:ascii="Arial" w:hAnsi="Arial" w:cs="Arial"/>
          <w:iCs/>
          <w:sz w:val="24"/>
          <w:szCs w:val="24"/>
        </w:rPr>
        <w:t xml:space="preserve">section 22 </w:t>
      </w:r>
      <w:r w:rsidRPr="007E67A5">
        <w:rPr>
          <w:rFonts w:ascii="Arial" w:hAnsi="Arial" w:cs="Arial"/>
          <w:iCs/>
          <w:sz w:val="24"/>
          <w:szCs w:val="24"/>
        </w:rPr>
        <w:t xml:space="preserve">– </w:t>
      </w:r>
      <w:r w:rsidRPr="00BA15A8">
        <w:rPr>
          <w:rFonts w:ascii="Arial" w:hAnsi="Arial" w:cs="Arial"/>
          <w:iCs/>
          <w:sz w:val="24"/>
          <w:szCs w:val="24"/>
        </w:rPr>
        <w:t xml:space="preserve">Right to be presumed innocent until proven guilty </w:t>
      </w:r>
      <w:r>
        <w:rPr>
          <w:rFonts w:ascii="Arial" w:hAnsi="Arial" w:cs="Arial"/>
          <w:iCs/>
          <w:sz w:val="24"/>
          <w:szCs w:val="24"/>
        </w:rPr>
        <w:t>(limited)</w:t>
      </w:r>
      <w:r w:rsidR="00733E55">
        <w:rPr>
          <w:rFonts w:ascii="Arial" w:hAnsi="Arial" w:cs="Arial"/>
          <w:iCs/>
          <w:sz w:val="24"/>
          <w:szCs w:val="24"/>
        </w:rPr>
        <w:t>.</w:t>
      </w:r>
    </w:p>
    <w:p w14:paraId="43E9E996" w14:textId="77777777" w:rsidR="000B1837" w:rsidRPr="00747927" w:rsidRDefault="000B1837" w:rsidP="00C90C12">
      <w:pPr>
        <w:keepNext/>
        <w:rPr>
          <w:rFonts w:ascii="Arial" w:hAnsi="Arial" w:cs="Arial"/>
          <w:b/>
          <w:bCs/>
          <w:i/>
          <w:sz w:val="24"/>
          <w:szCs w:val="24"/>
        </w:rPr>
      </w:pPr>
      <w:r w:rsidRPr="00747927">
        <w:rPr>
          <w:rFonts w:ascii="Arial" w:hAnsi="Arial" w:cs="Arial"/>
          <w:b/>
          <w:bCs/>
          <w:i/>
          <w:sz w:val="24"/>
          <w:szCs w:val="24"/>
        </w:rPr>
        <w:lastRenderedPageBreak/>
        <w:t>Rights Limited</w:t>
      </w:r>
    </w:p>
    <w:p w14:paraId="7FB304B7" w14:textId="4EFF43AE" w:rsidR="000B1837" w:rsidRPr="00747927" w:rsidRDefault="000B1837" w:rsidP="000B1837">
      <w:pPr>
        <w:rPr>
          <w:rFonts w:ascii="Arial" w:hAnsi="Arial" w:cs="Arial"/>
          <w:iCs/>
          <w:sz w:val="24"/>
          <w:szCs w:val="24"/>
          <w:u w:val="single"/>
        </w:rPr>
      </w:pPr>
      <w:bookmarkStart w:id="0" w:name="_Hlk145502925"/>
      <w:r w:rsidRPr="00747927">
        <w:rPr>
          <w:rFonts w:ascii="Arial" w:hAnsi="Arial" w:cs="Arial"/>
          <w:iCs/>
          <w:sz w:val="24"/>
          <w:szCs w:val="24"/>
          <w:u w:val="single"/>
        </w:rPr>
        <w:t xml:space="preserve">Right to </w:t>
      </w:r>
      <w:r w:rsidR="00E35294">
        <w:rPr>
          <w:rFonts w:ascii="Arial" w:hAnsi="Arial" w:cs="Arial"/>
          <w:iCs/>
          <w:sz w:val="24"/>
          <w:szCs w:val="24"/>
          <w:u w:val="single"/>
        </w:rPr>
        <w:t>be presumed innocent until proven guilty</w:t>
      </w:r>
    </w:p>
    <w:p w14:paraId="11C8EFE5" w14:textId="77777777" w:rsidR="000B1837" w:rsidRPr="00747927" w:rsidRDefault="000B1837" w:rsidP="000B1837">
      <w:pPr>
        <w:rPr>
          <w:rFonts w:ascii="Arial" w:hAnsi="Arial" w:cs="Arial"/>
          <w:iCs/>
          <w:sz w:val="24"/>
          <w:szCs w:val="24"/>
        </w:rPr>
      </w:pPr>
      <w:bookmarkStart w:id="1" w:name="_Hlk145502929"/>
      <w:bookmarkEnd w:id="0"/>
      <w:r w:rsidRPr="00747927">
        <w:rPr>
          <w:rFonts w:ascii="Arial" w:hAnsi="Arial" w:cs="Arial"/>
          <w:i/>
          <w:sz w:val="24"/>
          <w:szCs w:val="24"/>
        </w:rPr>
        <w:t>Nature of the right and the limitation</w:t>
      </w:r>
    </w:p>
    <w:p w14:paraId="4C459671" w14:textId="15EEE2E2" w:rsidR="00E35294" w:rsidRDefault="00E35294" w:rsidP="000B1837">
      <w:pPr>
        <w:rPr>
          <w:rFonts w:ascii="Arial" w:hAnsi="Arial" w:cs="Arial"/>
          <w:iCs/>
          <w:sz w:val="24"/>
          <w:szCs w:val="24"/>
        </w:rPr>
      </w:pPr>
      <w:bookmarkStart w:id="2" w:name="_Hlk145503110"/>
      <w:bookmarkEnd w:id="1"/>
      <w:r w:rsidRPr="00747927">
        <w:rPr>
          <w:rFonts w:ascii="Arial" w:hAnsi="Arial" w:cs="Arial"/>
          <w:iCs/>
          <w:sz w:val="24"/>
          <w:szCs w:val="24"/>
        </w:rPr>
        <w:t xml:space="preserve">The infringement notices progressed by the Regulation </w:t>
      </w:r>
      <w:r>
        <w:rPr>
          <w:rFonts w:ascii="Arial" w:hAnsi="Arial" w:cs="Arial"/>
          <w:iCs/>
          <w:sz w:val="24"/>
          <w:szCs w:val="24"/>
        </w:rPr>
        <w:t xml:space="preserve">limit </w:t>
      </w:r>
      <w:r w:rsidRPr="00BA15A8">
        <w:rPr>
          <w:rFonts w:ascii="Arial" w:hAnsi="Arial" w:cs="Arial"/>
          <w:sz w:val="24"/>
          <w:szCs w:val="24"/>
        </w:rPr>
        <w:t>the right to be presumed innocent until proven guilty under s 22(1) of the H</w:t>
      </w:r>
      <w:r>
        <w:rPr>
          <w:rFonts w:ascii="Arial" w:hAnsi="Arial" w:cs="Arial"/>
          <w:sz w:val="24"/>
          <w:szCs w:val="24"/>
        </w:rPr>
        <w:t xml:space="preserve">uman </w:t>
      </w:r>
      <w:r w:rsidRPr="00BA15A8">
        <w:rPr>
          <w:rFonts w:ascii="Arial" w:hAnsi="Arial" w:cs="Arial"/>
          <w:sz w:val="24"/>
          <w:szCs w:val="24"/>
        </w:rPr>
        <w:t>R</w:t>
      </w:r>
      <w:r>
        <w:rPr>
          <w:rFonts w:ascii="Arial" w:hAnsi="Arial" w:cs="Arial"/>
          <w:sz w:val="24"/>
          <w:szCs w:val="24"/>
        </w:rPr>
        <w:t>ights</w:t>
      </w:r>
      <w:r w:rsidRPr="00BA15A8">
        <w:rPr>
          <w:rFonts w:ascii="Arial" w:hAnsi="Arial" w:cs="Arial"/>
          <w:sz w:val="24"/>
          <w:szCs w:val="24"/>
        </w:rPr>
        <w:t xml:space="preserve"> Act.</w:t>
      </w:r>
      <w:bookmarkStart w:id="3" w:name="_Hlk145503047"/>
      <w:bookmarkEnd w:id="2"/>
      <w:r w:rsidR="008934FF">
        <w:rPr>
          <w:rFonts w:ascii="Arial" w:hAnsi="Arial" w:cs="Arial"/>
          <w:sz w:val="24"/>
          <w:szCs w:val="24"/>
        </w:rPr>
        <w:t xml:space="preserve"> </w:t>
      </w:r>
      <w:r w:rsidR="00747927" w:rsidRPr="00747927">
        <w:rPr>
          <w:rFonts w:ascii="Arial" w:hAnsi="Arial" w:cs="Arial"/>
          <w:iCs/>
          <w:sz w:val="24"/>
          <w:szCs w:val="24"/>
        </w:rPr>
        <w:t xml:space="preserve">This right is limited </w:t>
      </w:r>
      <w:r w:rsidR="000B1837" w:rsidRPr="00747927">
        <w:rPr>
          <w:rFonts w:ascii="Arial" w:hAnsi="Arial" w:cs="Arial"/>
          <w:iCs/>
          <w:sz w:val="24"/>
          <w:szCs w:val="24"/>
        </w:rPr>
        <w:t>as there is no requirement for the defendant to prove a fault element, such as intention or recklessness and the prosecution need only show that the defendant did the prohibited act</w:t>
      </w:r>
      <w:bookmarkEnd w:id="3"/>
      <w:r w:rsidR="000B1837" w:rsidRPr="00747927">
        <w:rPr>
          <w:rFonts w:ascii="Arial" w:hAnsi="Arial" w:cs="Arial"/>
          <w:iCs/>
          <w:sz w:val="24"/>
          <w:szCs w:val="24"/>
        </w:rPr>
        <w:t xml:space="preserve">. </w:t>
      </w:r>
    </w:p>
    <w:p w14:paraId="09B3DFD2" w14:textId="18F6C666" w:rsidR="00E35294" w:rsidRPr="00E35294" w:rsidRDefault="00E35294" w:rsidP="00E35294">
      <w:pPr>
        <w:rPr>
          <w:rFonts w:ascii="Arial" w:hAnsi="Arial" w:cs="Arial"/>
          <w:sz w:val="24"/>
          <w:szCs w:val="24"/>
        </w:rPr>
      </w:pPr>
      <w:r w:rsidRPr="00E35294">
        <w:rPr>
          <w:rFonts w:ascii="Arial" w:hAnsi="Arial" w:cs="Arial"/>
          <w:sz w:val="24"/>
          <w:szCs w:val="24"/>
        </w:rPr>
        <w:t xml:space="preserve">This </w:t>
      </w:r>
      <w:r w:rsidR="00733E55">
        <w:rPr>
          <w:rFonts w:ascii="Arial" w:hAnsi="Arial" w:cs="Arial"/>
          <w:sz w:val="24"/>
          <w:szCs w:val="24"/>
        </w:rPr>
        <w:t>R</w:t>
      </w:r>
      <w:r w:rsidRPr="00E35294">
        <w:rPr>
          <w:rFonts w:ascii="Arial" w:hAnsi="Arial" w:cs="Arial"/>
          <w:sz w:val="24"/>
          <w:szCs w:val="24"/>
        </w:rPr>
        <w:t xml:space="preserve">egulation introduces infringement notices for the following offences in the </w:t>
      </w:r>
      <w:r w:rsidRPr="00FB1751">
        <w:rPr>
          <w:rFonts w:ascii="Arial" w:hAnsi="Arial" w:cs="Arial"/>
          <w:sz w:val="24"/>
          <w:szCs w:val="24"/>
        </w:rPr>
        <w:t>Urban Forest Act</w:t>
      </w:r>
      <w:r w:rsidRPr="00E35294">
        <w:rPr>
          <w:rFonts w:ascii="Arial" w:hAnsi="Arial" w:cs="Arial"/>
          <w:i/>
          <w:iCs/>
          <w:sz w:val="24"/>
          <w:szCs w:val="24"/>
        </w:rPr>
        <w:t xml:space="preserve">, </w:t>
      </w:r>
      <w:r w:rsidRPr="00E35294">
        <w:rPr>
          <w:rFonts w:ascii="Arial" w:hAnsi="Arial" w:cs="Arial"/>
          <w:sz w:val="24"/>
          <w:szCs w:val="24"/>
        </w:rPr>
        <w:t>which have</w:t>
      </w:r>
      <w:r w:rsidRPr="00E35294">
        <w:rPr>
          <w:rFonts w:ascii="Arial" w:hAnsi="Arial" w:cs="Arial"/>
          <w:i/>
          <w:iCs/>
          <w:sz w:val="24"/>
          <w:szCs w:val="24"/>
        </w:rPr>
        <w:t xml:space="preserve"> </w:t>
      </w:r>
      <w:r w:rsidRPr="00E35294">
        <w:rPr>
          <w:rFonts w:ascii="Arial" w:hAnsi="Arial" w:cs="Arial"/>
          <w:sz w:val="24"/>
          <w:szCs w:val="24"/>
        </w:rPr>
        <w:t xml:space="preserve">been carried over from the </w:t>
      </w:r>
      <w:r w:rsidRPr="00FB1751">
        <w:rPr>
          <w:rFonts w:ascii="Arial" w:hAnsi="Arial" w:cs="Arial"/>
          <w:sz w:val="24"/>
          <w:szCs w:val="24"/>
        </w:rPr>
        <w:t>Tree Protection Act</w:t>
      </w:r>
      <w:r w:rsidRPr="00E35294">
        <w:rPr>
          <w:rFonts w:ascii="Arial" w:hAnsi="Arial" w:cs="Arial"/>
          <w:i/>
          <w:iCs/>
          <w:sz w:val="24"/>
          <w:szCs w:val="24"/>
        </w:rPr>
        <w:t xml:space="preserve"> </w:t>
      </w:r>
      <w:r w:rsidRPr="00E35294">
        <w:rPr>
          <w:rFonts w:ascii="Arial" w:hAnsi="Arial" w:cs="Arial"/>
          <w:sz w:val="24"/>
          <w:szCs w:val="24"/>
        </w:rPr>
        <w:t>with</w:t>
      </w:r>
      <w:r>
        <w:rPr>
          <w:rFonts w:ascii="Arial" w:hAnsi="Arial" w:cs="Arial"/>
          <w:sz w:val="24"/>
          <w:szCs w:val="24"/>
        </w:rPr>
        <w:t xml:space="preserve"> some additional offences added relating to new provisions of the Urban Forest Act</w:t>
      </w:r>
      <w:r w:rsidRPr="00E35294">
        <w:rPr>
          <w:rFonts w:ascii="Arial" w:hAnsi="Arial" w:cs="Arial"/>
          <w:sz w:val="24"/>
          <w:szCs w:val="24"/>
        </w:rPr>
        <w:t>:</w:t>
      </w:r>
    </w:p>
    <w:p w14:paraId="26D83C9D" w14:textId="0CBC365B" w:rsidR="000B1837" w:rsidRPr="0082376E" w:rsidRDefault="000B1837" w:rsidP="000B1837">
      <w:pPr>
        <w:numPr>
          <w:ilvl w:val="0"/>
          <w:numId w:val="3"/>
        </w:numPr>
        <w:contextualSpacing/>
        <w:rPr>
          <w:rFonts w:ascii="Arial" w:hAnsi="Arial" w:cs="Arial"/>
          <w:iCs/>
          <w:sz w:val="24"/>
          <w:szCs w:val="24"/>
        </w:rPr>
      </w:pPr>
      <w:r w:rsidRPr="0082376E">
        <w:rPr>
          <w:rFonts w:ascii="Arial" w:hAnsi="Arial" w:cs="Arial"/>
          <w:iCs/>
          <w:sz w:val="24"/>
          <w:szCs w:val="24"/>
        </w:rPr>
        <w:t>engaging in conduct that damages or is likely to damage a protected tree (s 16(5)),</w:t>
      </w:r>
    </w:p>
    <w:p w14:paraId="509A0D1B" w14:textId="22D8FF48" w:rsidR="000B1837" w:rsidRPr="0082376E" w:rsidRDefault="000B1837" w:rsidP="000B1837">
      <w:pPr>
        <w:numPr>
          <w:ilvl w:val="0"/>
          <w:numId w:val="3"/>
        </w:numPr>
        <w:contextualSpacing/>
        <w:rPr>
          <w:rFonts w:ascii="Arial" w:hAnsi="Arial" w:cs="Arial"/>
          <w:iCs/>
          <w:sz w:val="24"/>
          <w:szCs w:val="24"/>
        </w:rPr>
      </w:pPr>
      <w:r w:rsidRPr="0082376E">
        <w:rPr>
          <w:rFonts w:ascii="Arial" w:hAnsi="Arial" w:cs="Arial"/>
          <w:iCs/>
          <w:sz w:val="24"/>
          <w:szCs w:val="24"/>
        </w:rPr>
        <w:t>doing prohibited groundwork in (a) the protection zone for a protected tree; or (b) a declared site</w:t>
      </w:r>
      <w:r w:rsidR="0082376E" w:rsidRPr="0082376E">
        <w:rPr>
          <w:rFonts w:ascii="Arial" w:hAnsi="Arial" w:cs="Arial"/>
          <w:iCs/>
          <w:sz w:val="24"/>
          <w:szCs w:val="24"/>
        </w:rPr>
        <w:t xml:space="preserve"> (s 17(4))</w:t>
      </w:r>
      <w:r w:rsidR="00C60E17">
        <w:rPr>
          <w:rFonts w:ascii="Arial" w:hAnsi="Arial" w:cs="Arial"/>
          <w:iCs/>
          <w:sz w:val="24"/>
          <w:szCs w:val="24"/>
        </w:rPr>
        <w:t>,</w:t>
      </w:r>
    </w:p>
    <w:p w14:paraId="40F595E2" w14:textId="443FF199" w:rsidR="000B1837" w:rsidRPr="0082376E" w:rsidRDefault="000B1837" w:rsidP="000B1837">
      <w:pPr>
        <w:numPr>
          <w:ilvl w:val="0"/>
          <w:numId w:val="3"/>
        </w:numPr>
        <w:contextualSpacing/>
        <w:rPr>
          <w:rFonts w:ascii="Arial" w:hAnsi="Arial" w:cs="Arial"/>
          <w:iCs/>
          <w:sz w:val="24"/>
          <w:szCs w:val="24"/>
        </w:rPr>
      </w:pPr>
      <w:r w:rsidRPr="0082376E">
        <w:rPr>
          <w:rFonts w:ascii="Arial" w:hAnsi="Arial" w:cs="Arial"/>
          <w:iCs/>
          <w:sz w:val="24"/>
          <w:szCs w:val="24"/>
        </w:rPr>
        <w:t>contravening a condition of an application for approval of tree damaging activity (s 33</w:t>
      </w:r>
      <w:r w:rsidR="00C60E17">
        <w:rPr>
          <w:rFonts w:ascii="Arial" w:hAnsi="Arial" w:cs="Arial"/>
          <w:iCs/>
          <w:sz w:val="24"/>
          <w:szCs w:val="24"/>
        </w:rPr>
        <w:t xml:space="preserve"> (1</w:t>
      </w:r>
      <w:r w:rsidRPr="0082376E">
        <w:rPr>
          <w:rFonts w:ascii="Arial" w:hAnsi="Arial" w:cs="Arial"/>
          <w:iCs/>
          <w:sz w:val="24"/>
          <w:szCs w:val="24"/>
        </w:rPr>
        <w:t>)</w:t>
      </w:r>
      <w:r w:rsidR="00C60E17">
        <w:rPr>
          <w:rFonts w:ascii="Arial" w:hAnsi="Arial" w:cs="Arial"/>
          <w:iCs/>
          <w:sz w:val="24"/>
          <w:szCs w:val="24"/>
        </w:rPr>
        <w:t>)</w:t>
      </w:r>
      <w:r w:rsidRPr="0082376E">
        <w:rPr>
          <w:rFonts w:ascii="Arial" w:hAnsi="Arial" w:cs="Arial"/>
          <w:iCs/>
          <w:sz w:val="24"/>
          <w:szCs w:val="24"/>
        </w:rPr>
        <w:t>,</w:t>
      </w:r>
    </w:p>
    <w:p w14:paraId="2883C71C" w14:textId="5ECD9BAA" w:rsidR="000B1837" w:rsidRPr="0082376E" w:rsidRDefault="000B1837" w:rsidP="000B1837">
      <w:pPr>
        <w:numPr>
          <w:ilvl w:val="0"/>
          <w:numId w:val="3"/>
        </w:numPr>
        <w:contextualSpacing/>
        <w:rPr>
          <w:rFonts w:ascii="Arial" w:hAnsi="Arial" w:cs="Arial"/>
          <w:iCs/>
          <w:sz w:val="24"/>
          <w:szCs w:val="24"/>
        </w:rPr>
      </w:pPr>
      <w:r w:rsidRPr="0082376E">
        <w:rPr>
          <w:rFonts w:ascii="Arial" w:hAnsi="Arial" w:cs="Arial"/>
          <w:iCs/>
          <w:sz w:val="24"/>
          <w:szCs w:val="24"/>
        </w:rPr>
        <w:t>failure to comply with a tree reparation direction (s 49</w:t>
      </w:r>
      <w:r w:rsidR="00C60E17">
        <w:rPr>
          <w:rFonts w:ascii="Arial" w:hAnsi="Arial" w:cs="Arial"/>
          <w:iCs/>
          <w:sz w:val="24"/>
          <w:szCs w:val="24"/>
        </w:rPr>
        <w:t xml:space="preserve"> (1</w:t>
      </w:r>
      <w:r w:rsidRPr="0082376E">
        <w:rPr>
          <w:rFonts w:ascii="Arial" w:hAnsi="Arial" w:cs="Arial"/>
          <w:iCs/>
          <w:sz w:val="24"/>
          <w:szCs w:val="24"/>
        </w:rPr>
        <w:t>)</w:t>
      </w:r>
      <w:r w:rsidR="00C60E17">
        <w:rPr>
          <w:rFonts w:ascii="Arial" w:hAnsi="Arial" w:cs="Arial"/>
          <w:iCs/>
          <w:sz w:val="24"/>
          <w:szCs w:val="24"/>
        </w:rPr>
        <w:t>)</w:t>
      </w:r>
      <w:r w:rsidRPr="0082376E">
        <w:rPr>
          <w:rFonts w:ascii="Arial" w:hAnsi="Arial" w:cs="Arial"/>
          <w:iCs/>
          <w:sz w:val="24"/>
          <w:szCs w:val="24"/>
        </w:rPr>
        <w:t xml:space="preserve">, </w:t>
      </w:r>
    </w:p>
    <w:p w14:paraId="627A4600" w14:textId="0D641E07" w:rsidR="000B1837" w:rsidRPr="0082376E" w:rsidRDefault="000B1837" w:rsidP="000B1837">
      <w:pPr>
        <w:numPr>
          <w:ilvl w:val="0"/>
          <w:numId w:val="3"/>
        </w:numPr>
        <w:contextualSpacing/>
        <w:rPr>
          <w:rFonts w:ascii="Arial" w:hAnsi="Arial" w:cs="Arial"/>
          <w:iCs/>
          <w:sz w:val="24"/>
          <w:szCs w:val="24"/>
        </w:rPr>
      </w:pPr>
      <w:r w:rsidRPr="0082376E">
        <w:rPr>
          <w:rFonts w:ascii="Arial" w:hAnsi="Arial" w:cs="Arial"/>
          <w:iCs/>
          <w:sz w:val="24"/>
          <w:szCs w:val="24"/>
        </w:rPr>
        <w:t>contravening a tree management plan (s 90</w:t>
      </w:r>
      <w:r w:rsidR="00C60E17">
        <w:rPr>
          <w:rFonts w:ascii="Arial" w:hAnsi="Arial" w:cs="Arial"/>
          <w:iCs/>
          <w:sz w:val="24"/>
          <w:szCs w:val="24"/>
        </w:rPr>
        <w:t xml:space="preserve"> (1</w:t>
      </w:r>
      <w:r w:rsidRPr="0082376E">
        <w:rPr>
          <w:rFonts w:ascii="Arial" w:hAnsi="Arial" w:cs="Arial"/>
          <w:iCs/>
          <w:sz w:val="24"/>
          <w:szCs w:val="24"/>
        </w:rPr>
        <w:t>)</w:t>
      </w:r>
      <w:r w:rsidR="00C60E17">
        <w:rPr>
          <w:rFonts w:ascii="Arial" w:hAnsi="Arial" w:cs="Arial"/>
          <w:iCs/>
          <w:sz w:val="24"/>
          <w:szCs w:val="24"/>
        </w:rPr>
        <w:t>)</w:t>
      </w:r>
      <w:r w:rsidRPr="0082376E">
        <w:rPr>
          <w:rFonts w:ascii="Arial" w:hAnsi="Arial" w:cs="Arial"/>
          <w:iCs/>
          <w:sz w:val="24"/>
          <w:szCs w:val="24"/>
        </w:rPr>
        <w:t>,</w:t>
      </w:r>
    </w:p>
    <w:p w14:paraId="07DC5D1F" w14:textId="48176D75" w:rsidR="000B1837" w:rsidRPr="0082376E" w:rsidRDefault="000B1837" w:rsidP="000B1837">
      <w:pPr>
        <w:numPr>
          <w:ilvl w:val="0"/>
          <w:numId w:val="3"/>
        </w:numPr>
        <w:contextualSpacing/>
        <w:rPr>
          <w:rFonts w:ascii="Arial" w:hAnsi="Arial" w:cs="Arial"/>
          <w:iCs/>
          <w:sz w:val="24"/>
          <w:szCs w:val="24"/>
        </w:rPr>
      </w:pPr>
      <w:r w:rsidRPr="0082376E">
        <w:rPr>
          <w:rFonts w:ascii="Arial" w:hAnsi="Arial" w:cs="Arial"/>
          <w:iCs/>
          <w:sz w:val="24"/>
          <w:szCs w:val="24"/>
        </w:rPr>
        <w:t>contravening a tree protection condition of development approval (s 109</w:t>
      </w:r>
      <w:r w:rsidR="0082376E" w:rsidRPr="0082376E">
        <w:rPr>
          <w:rFonts w:ascii="Arial" w:hAnsi="Arial" w:cs="Arial"/>
          <w:iCs/>
          <w:sz w:val="24"/>
          <w:szCs w:val="24"/>
        </w:rPr>
        <w:t xml:space="preserve"> (2)</w:t>
      </w:r>
      <w:r w:rsidRPr="0082376E">
        <w:rPr>
          <w:rFonts w:ascii="Arial" w:hAnsi="Arial" w:cs="Arial"/>
          <w:iCs/>
          <w:sz w:val="24"/>
          <w:szCs w:val="24"/>
        </w:rPr>
        <w:t>).</w:t>
      </w:r>
    </w:p>
    <w:p w14:paraId="74766138" w14:textId="7C8319BC" w:rsidR="0082376E" w:rsidRPr="0082376E" w:rsidRDefault="00733E55" w:rsidP="000B1837">
      <w:pPr>
        <w:numPr>
          <w:ilvl w:val="0"/>
          <w:numId w:val="3"/>
        </w:numPr>
        <w:contextualSpacing/>
        <w:rPr>
          <w:rFonts w:ascii="Arial" w:hAnsi="Arial" w:cs="Arial"/>
          <w:iCs/>
          <w:sz w:val="24"/>
          <w:szCs w:val="24"/>
        </w:rPr>
      </w:pPr>
      <w:r>
        <w:rPr>
          <w:rFonts w:ascii="Arial" w:hAnsi="Arial" w:cs="Arial"/>
          <w:iCs/>
          <w:sz w:val="24"/>
          <w:szCs w:val="24"/>
        </w:rPr>
        <w:t>i</w:t>
      </w:r>
      <w:r w:rsidR="0082376E" w:rsidRPr="0082376E">
        <w:rPr>
          <w:rFonts w:ascii="Arial" w:hAnsi="Arial" w:cs="Arial"/>
          <w:iCs/>
          <w:sz w:val="24"/>
          <w:szCs w:val="24"/>
        </w:rPr>
        <w:t>nterfering with a seized thing to which access has been restricted (s 118 (5))</w:t>
      </w:r>
    </w:p>
    <w:p w14:paraId="7ED43685" w14:textId="66F65346" w:rsidR="0082376E" w:rsidRPr="0082376E" w:rsidRDefault="00733E55" w:rsidP="00C60E17">
      <w:pPr>
        <w:numPr>
          <w:ilvl w:val="0"/>
          <w:numId w:val="3"/>
        </w:numPr>
        <w:ind w:left="714" w:hanging="357"/>
        <w:rPr>
          <w:rFonts w:ascii="Arial" w:hAnsi="Arial" w:cs="Arial"/>
          <w:iCs/>
          <w:sz w:val="24"/>
          <w:szCs w:val="24"/>
        </w:rPr>
      </w:pPr>
      <w:r>
        <w:rPr>
          <w:rFonts w:ascii="Arial" w:hAnsi="Arial" w:cs="Arial"/>
          <w:iCs/>
          <w:sz w:val="24"/>
          <w:szCs w:val="24"/>
        </w:rPr>
        <w:t>f</w:t>
      </w:r>
      <w:r w:rsidR="0082376E" w:rsidRPr="0082376E">
        <w:rPr>
          <w:rFonts w:ascii="Arial" w:hAnsi="Arial" w:cs="Arial"/>
          <w:iCs/>
          <w:sz w:val="24"/>
          <w:szCs w:val="24"/>
        </w:rPr>
        <w:t>ailure to comply with a direction to give personal details (s 120 (1)).</w:t>
      </w:r>
    </w:p>
    <w:p w14:paraId="3273C2A3" w14:textId="77777777" w:rsidR="00E35294" w:rsidRDefault="00E35294" w:rsidP="00E35294">
      <w:pPr>
        <w:rPr>
          <w:rFonts w:ascii="Arial" w:hAnsi="Arial" w:cs="Arial"/>
          <w:sz w:val="24"/>
          <w:szCs w:val="24"/>
        </w:rPr>
      </w:pPr>
      <w:bookmarkStart w:id="4" w:name="_Hlk145502935"/>
      <w:r w:rsidRPr="00E35294">
        <w:rPr>
          <w:rFonts w:ascii="Arial" w:hAnsi="Arial" w:cs="Arial"/>
          <w:sz w:val="24"/>
          <w:szCs w:val="24"/>
        </w:rPr>
        <w:t xml:space="preserve">The use of strict liability offences is an established and common approach to enforcing offences in regulatory contexts. While this does limit rights in criminal proceedings, strict liability offences and corresponding infringement notices exist within the constraints of the education-focused compliance framework in the Act and the general protections of criminal law. </w:t>
      </w:r>
    </w:p>
    <w:p w14:paraId="18D9D358" w14:textId="77777777" w:rsidR="008934FF" w:rsidRPr="00E35294" w:rsidRDefault="008934FF" w:rsidP="008934FF">
      <w:pPr>
        <w:rPr>
          <w:rFonts w:ascii="Arial" w:hAnsi="Arial" w:cs="Arial"/>
          <w:sz w:val="24"/>
          <w:szCs w:val="24"/>
        </w:rPr>
      </w:pPr>
      <w:r w:rsidRPr="00E35294">
        <w:rPr>
          <w:rFonts w:ascii="Arial" w:hAnsi="Arial" w:cs="Arial"/>
          <w:sz w:val="24"/>
          <w:szCs w:val="24"/>
        </w:rPr>
        <w:t xml:space="preserve">While an infringement notice scheme offers the opportunity for a person to pay the infringement notice rather than face prosecution, it does not prevent them from choosing to challenge the notice and instead face prosecution in court, so the minimum guarantees in criminal proceedings under s 22(2) and rights to a fair trial under s 21 of the Human Rights Act remain available and are not undermined by the possibility of an infringement notice scheme. </w:t>
      </w:r>
    </w:p>
    <w:p w14:paraId="2BED300D" w14:textId="25C957E8" w:rsidR="000B1837" w:rsidRPr="00747927" w:rsidRDefault="000B1837" w:rsidP="000B1837">
      <w:pPr>
        <w:rPr>
          <w:rFonts w:ascii="Arial" w:hAnsi="Arial" w:cs="Arial"/>
          <w:i/>
          <w:sz w:val="24"/>
          <w:szCs w:val="24"/>
        </w:rPr>
      </w:pPr>
      <w:r w:rsidRPr="00747927">
        <w:rPr>
          <w:rFonts w:ascii="Arial" w:hAnsi="Arial" w:cs="Arial"/>
          <w:i/>
          <w:sz w:val="24"/>
          <w:szCs w:val="24"/>
        </w:rPr>
        <w:t>Legitimate purpose</w:t>
      </w:r>
      <w:r w:rsidR="00E965EB">
        <w:rPr>
          <w:rFonts w:ascii="Arial" w:hAnsi="Arial" w:cs="Arial"/>
          <w:i/>
          <w:sz w:val="24"/>
          <w:szCs w:val="24"/>
        </w:rPr>
        <w:t xml:space="preserve"> </w:t>
      </w:r>
    </w:p>
    <w:bookmarkEnd w:id="4"/>
    <w:p w14:paraId="43DD58A1" w14:textId="7604569D" w:rsidR="00E965EB" w:rsidRPr="005153F0" w:rsidRDefault="00E965EB" w:rsidP="000B1837">
      <w:pPr>
        <w:rPr>
          <w:rFonts w:ascii="Arial" w:hAnsi="Arial" w:cs="Arial"/>
          <w:iCs/>
          <w:sz w:val="24"/>
          <w:szCs w:val="24"/>
        </w:rPr>
      </w:pPr>
      <w:r w:rsidRPr="00747927">
        <w:rPr>
          <w:rFonts w:ascii="Arial" w:hAnsi="Arial" w:cs="Arial"/>
          <w:iCs/>
          <w:sz w:val="24"/>
          <w:szCs w:val="24"/>
        </w:rPr>
        <w:t xml:space="preserve">The objective sought to be achieved by the Regulation is enhanced compliance with the Urban Forest Act. </w:t>
      </w:r>
      <w:r w:rsidRPr="005153F0">
        <w:rPr>
          <w:rFonts w:ascii="Arial" w:hAnsi="Arial" w:cs="Arial"/>
          <w:iCs/>
          <w:sz w:val="24"/>
          <w:szCs w:val="24"/>
        </w:rPr>
        <w:t>The Urban Forest Act</w:t>
      </w:r>
      <w:r w:rsidR="00B27108">
        <w:rPr>
          <w:rFonts w:ascii="Arial" w:hAnsi="Arial" w:cs="Arial"/>
          <w:iCs/>
          <w:sz w:val="24"/>
          <w:szCs w:val="24"/>
        </w:rPr>
        <w:t xml:space="preserve"> seeks to </w:t>
      </w:r>
      <w:r>
        <w:rPr>
          <w:rFonts w:ascii="Arial" w:hAnsi="Arial" w:cs="Arial"/>
          <w:iCs/>
          <w:sz w:val="24"/>
          <w:szCs w:val="24"/>
        </w:rPr>
        <w:t>give</w:t>
      </w:r>
      <w:r w:rsidRPr="005153F0">
        <w:rPr>
          <w:rFonts w:ascii="Arial" w:hAnsi="Arial" w:cs="Arial"/>
          <w:iCs/>
          <w:sz w:val="24"/>
          <w:szCs w:val="24"/>
        </w:rPr>
        <w:t xml:space="preserve"> effect to actions in the Urban Forest Strategy 2021-2045 (the Strategy) and</w:t>
      </w:r>
      <w:r w:rsidR="00B27108">
        <w:rPr>
          <w:rFonts w:ascii="Arial" w:hAnsi="Arial" w:cs="Arial"/>
          <w:iCs/>
          <w:sz w:val="24"/>
          <w:szCs w:val="24"/>
        </w:rPr>
        <w:t xml:space="preserve"> to</w:t>
      </w:r>
      <w:r w:rsidRPr="005153F0">
        <w:rPr>
          <w:rFonts w:ascii="Arial" w:hAnsi="Arial" w:cs="Arial"/>
          <w:iCs/>
          <w:sz w:val="24"/>
          <w:szCs w:val="24"/>
        </w:rPr>
        <w:t xml:space="preserve"> provide a legislative framework for managing trees on private and public land in line with the objective of enhancing Canberra’s tree canopy to reach a target of 30 per cent canopy coverage by 2045. This target was set out in the Strategy, ACT Climate Change Strategy 2019-2045 and the Living Infrastructure Plan. The Urban Forest Act seeks </w:t>
      </w:r>
      <w:r w:rsidRPr="005153F0">
        <w:rPr>
          <w:rFonts w:ascii="Arial" w:hAnsi="Arial" w:cs="Arial"/>
          <w:iCs/>
          <w:sz w:val="24"/>
          <w:szCs w:val="24"/>
        </w:rPr>
        <w:lastRenderedPageBreak/>
        <w:t>to strengthen the management of the ACT’s urban forest so that government, business and the community work together to protect trees</w:t>
      </w:r>
      <w:r w:rsidR="00B27108">
        <w:rPr>
          <w:rFonts w:ascii="Arial" w:hAnsi="Arial" w:cs="Arial"/>
          <w:iCs/>
          <w:sz w:val="24"/>
          <w:szCs w:val="24"/>
        </w:rPr>
        <w:t xml:space="preserve"> in their general conduct and in their design and development decisions</w:t>
      </w:r>
      <w:r w:rsidRPr="005153F0">
        <w:rPr>
          <w:rFonts w:ascii="Arial" w:hAnsi="Arial" w:cs="Arial"/>
          <w:iCs/>
          <w:sz w:val="24"/>
          <w:szCs w:val="24"/>
        </w:rPr>
        <w:t xml:space="preserve">. This in turn will contribute towards having a resilient and sustainable urban forest with good canopy cover. </w:t>
      </w:r>
    </w:p>
    <w:p w14:paraId="08789464" w14:textId="0ED4454F" w:rsidR="000B1837" w:rsidRPr="0082376E" w:rsidRDefault="000B1837" w:rsidP="000B1837">
      <w:pPr>
        <w:rPr>
          <w:rFonts w:ascii="Arial" w:hAnsi="Arial" w:cs="Arial"/>
          <w:iCs/>
          <w:sz w:val="24"/>
          <w:szCs w:val="24"/>
        </w:rPr>
      </w:pPr>
      <w:bookmarkStart w:id="5" w:name="_Hlk145502942"/>
      <w:r w:rsidRPr="0082376E">
        <w:rPr>
          <w:rFonts w:ascii="Arial" w:hAnsi="Arial" w:cs="Arial"/>
          <w:i/>
          <w:sz w:val="24"/>
          <w:szCs w:val="24"/>
        </w:rPr>
        <w:t>Rational connection between the limitation and the purpose</w:t>
      </w:r>
    </w:p>
    <w:p w14:paraId="4788CBEA" w14:textId="21433A89" w:rsidR="00E965EB" w:rsidRDefault="00E965EB" w:rsidP="00E965EB">
      <w:pPr>
        <w:rPr>
          <w:rFonts w:ascii="Arial" w:hAnsi="Arial" w:cs="Arial"/>
          <w:iCs/>
          <w:sz w:val="24"/>
          <w:szCs w:val="24"/>
        </w:rPr>
      </w:pPr>
      <w:bookmarkStart w:id="6" w:name="_Hlk145503356"/>
      <w:bookmarkEnd w:id="5"/>
      <w:r w:rsidRPr="00747927">
        <w:rPr>
          <w:rFonts w:ascii="Arial" w:hAnsi="Arial" w:cs="Arial"/>
          <w:iCs/>
          <w:sz w:val="24"/>
          <w:szCs w:val="24"/>
        </w:rPr>
        <w:t>The means proposed to achieve this objective is to introduce offences to discourage prohibited behaviours that cause damage to trees and reduce the canopy coverage. Th</w:t>
      </w:r>
      <w:r w:rsidR="00B27108">
        <w:rPr>
          <w:rFonts w:ascii="Arial" w:hAnsi="Arial" w:cs="Arial"/>
          <w:iCs/>
          <w:sz w:val="24"/>
          <w:szCs w:val="24"/>
        </w:rPr>
        <w:t>ese</w:t>
      </w:r>
      <w:r w:rsidRPr="00747927">
        <w:rPr>
          <w:rFonts w:ascii="Arial" w:hAnsi="Arial" w:cs="Arial"/>
          <w:iCs/>
          <w:sz w:val="24"/>
          <w:szCs w:val="24"/>
        </w:rPr>
        <w:t xml:space="preserve"> include strict liability offences</w:t>
      </w:r>
      <w:r w:rsidR="00B27108" w:rsidRPr="00B27108">
        <w:rPr>
          <w:rFonts w:ascii="Arial" w:hAnsi="Arial" w:cs="Arial"/>
          <w:iCs/>
          <w:sz w:val="24"/>
          <w:szCs w:val="24"/>
        </w:rPr>
        <w:t xml:space="preserve"> </w:t>
      </w:r>
      <w:r w:rsidR="00B27108">
        <w:rPr>
          <w:rFonts w:ascii="Arial" w:hAnsi="Arial" w:cs="Arial"/>
          <w:iCs/>
          <w:sz w:val="24"/>
          <w:szCs w:val="24"/>
        </w:rPr>
        <w:t xml:space="preserve">to </w:t>
      </w:r>
      <w:r w:rsidR="00B27108" w:rsidRPr="00747927">
        <w:rPr>
          <w:rFonts w:ascii="Arial" w:hAnsi="Arial" w:cs="Arial"/>
          <w:iCs/>
          <w:sz w:val="24"/>
          <w:szCs w:val="24"/>
        </w:rPr>
        <w:t>facilitate enforcement of that prohibition</w:t>
      </w:r>
      <w:r w:rsidRPr="00747927">
        <w:rPr>
          <w:rFonts w:ascii="Arial" w:hAnsi="Arial" w:cs="Arial"/>
          <w:iCs/>
          <w:sz w:val="24"/>
          <w:szCs w:val="24"/>
        </w:rPr>
        <w:t>, for which the infringement notices penalties are set out in the Regulation.</w:t>
      </w:r>
    </w:p>
    <w:bookmarkEnd w:id="6"/>
    <w:p w14:paraId="1BB8234A" w14:textId="5498A074" w:rsidR="00E965EB" w:rsidRPr="0082376E" w:rsidRDefault="00E965EB" w:rsidP="000B1837">
      <w:pPr>
        <w:rPr>
          <w:rFonts w:ascii="Arial" w:hAnsi="Arial" w:cs="Arial"/>
          <w:iCs/>
          <w:sz w:val="24"/>
          <w:szCs w:val="24"/>
        </w:rPr>
      </w:pPr>
      <w:r>
        <w:rPr>
          <w:rFonts w:ascii="Arial" w:hAnsi="Arial" w:cs="Arial"/>
          <w:iCs/>
          <w:sz w:val="24"/>
          <w:szCs w:val="24"/>
        </w:rPr>
        <w:t>In particular, the strict liability offences listed in this Regulation are appropriate for infringement notices as they relate to damage to trees (either directly or via prohibited groundworks in their protection zone), contravening approval conditions, tree management plans or tree reparation directions, and non-compliance with enforcement (either via interfering with a seized thing or failing to provide personal details when directed). These offences relate directly to tree harm, commitments to avoid, minimise or, where possible, repair tree harm, and efforts to enforce breaches of the legislation. As infringement notices may be issued in a timely manner, they are an important tool in deterring and stopping such harms from continuing once they are identified. This is particularly valuable for tree protection as actions that breach these offences may cause long-term irreparable adverse impacts to trees which contribute to an overall decline of the urban forest.</w:t>
      </w:r>
    </w:p>
    <w:p w14:paraId="25A0947B" w14:textId="77777777" w:rsidR="000B1837" w:rsidRPr="0082376E" w:rsidRDefault="000B1837" w:rsidP="000B1837">
      <w:pPr>
        <w:rPr>
          <w:rFonts w:ascii="Arial" w:hAnsi="Arial" w:cs="Arial"/>
          <w:i/>
          <w:sz w:val="24"/>
          <w:szCs w:val="24"/>
        </w:rPr>
      </w:pPr>
      <w:bookmarkStart w:id="7" w:name="_Hlk145502949"/>
      <w:r w:rsidRPr="0082376E">
        <w:rPr>
          <w:rFonts w:ascii="Arial" w:hAnsi="Arial" w:cs="Arial"/>
          <w:i/>
          <w:sz w:val="24"/>
          <w:szCs w:val="24"/>
        </w:rPr>
        <w:t>Proportionality</w:t>
      </w:r>
    </w:p>
    <w:bookmarkEnd w:id="7"/>
    <w:p w14:paraId="71AAB93B" w14:textId="47526DDC" w:rsidR="00E35294" w:rsidRPr="008934FF" w:rsidRDefault="000B1837" w:rsidP="008934FF">
      <w:pPr>
        <w:rPr>
          <w:rFonts w:ascii="Arial" w:hAnsi="Arial" w:cs="Arial"/>
          <w:iCs/>
          <w:sz w:val="24"/>
          <w:szCs w:val="24"/>
        </w:rPr>
      </w:pPr>
      <w:r w:rsidRPr="0082376E">
        <w:rPr>
          <w:rFonts w:ascii="Arial" w:hAnsi="Arial" w:cs="Arial"/>
          <w:iCs/>
          <w:sz w:val="24"/>
          <w:szCs w:val="24"/>
        </w:rPr>
        <w:t>Human rights may be subject only to reasonable limits set by laws that can be demonstrably justified in a free and democratic society.</w:t>
      </w:r>
      <w:r w:rsidR="008934FF">
        <w:rPr>
          <w:rFonts w:ascii="Arial" w:hAnsi="Arial" w:cs="Arial"/>
          <w:iCs/>
          <w:sz w:val="24"/>
          <w:szCs w:val="24"/>
        </w:rPr>
        <w:t xml:space="preserve"> </w:t>
      </w:r>
      <w:r w:rsidR="00E35294" w:rsidRPr="008934FF">
        <w:rPr>
          <w:rFonts w:ascii="Arial" w:hAnsi="Arial" w:cs="Arial"/>
          <w:iCs/>
          <w:sz w:val="24"/>
          <w:szCs w:val="24"/>
        </w:rPr>
        <w:t>Strict liability offences arise in a regulatory context where reasons such as public standards, environmental protection, safety, community wellbeing and the public interest in ensuring that regulatory schemes are observed require the sanction of criminal penalties. In particular, where a defendant can reasonably be expected to know what the requirements of the law are, the mental, or fault element can justifiably be excluded.</w:t>
      </w:r>
    </w:p>
    <w:p w14:paraId="4D9BB608" w14:textId="04A37689" w:rsidR="0002256E" w:rsidRDefault="00E35294" w:rsidP="00E35294">
      <w:pPr>
        <w:rPr>
          <w:rFonts w:ascii="Arial" w:hAnsi="Arial" w:cs="Arial"/>
          <w:sz w:val="24"/>
          <w:szCs w:val="24"/>
        </w:rPr>
      </w:pPr>
      <w:r w:rsidRPr="00BA15A8">
        <w:rPr>
          <w:rFonts w:ascii="Arial" w:hAnsi="Arial" w:cs="Arial"/>
          <w:sz w:val="24"/>
          <w:szCs w:val="24"/>
        </w:rPr>
        <w:t xml:space="preserve">A less restrictive approach (namely, </w:t>
      </w:r>
      <w:r>
        <w:rPr>
          <w:rFonts w:ascii="Arial" w:hAnsi="Arial" w:cs="Arial"/>
          <w:sz w:val="24"/>
          <w:szCs w:val="24"/>
        </w:rPr>
        <w:t>not creating infringement notices for these offences</w:t>
      </w:r>
      <w:r w:rsidRPr="00BA15A8">
        <w:rPr>
          <w:rFonts w:ascii="Arial" w:hAnsi="Arial" w:cs="Arial"/>
          <w:sz w:val="24"/>
          <w:szCs w:val="24"/>
        </w:rPr>
        <w:t xml:space="preserve">) would still enable enforcement but </w:t>
      </w:r>
      <w:r>
        <w:rPr>
          <w:rFonts w:ascii="Arial" w:hAnsi="Arial" w:cs="Arial"/>
          <w:sz w:val="24"/>
          <w:szCs w:val="24"/>
        </w:rPr>
        <w:t xml:space="preserve">would not be as effective as a deterrent and </w:t>
      </w:r>
      <w:r w:rsidRPr="00BA15A8">
        <w:rPr>
          <w:rFonts w:ascii="Arial" w:hAnsi="Arial" w:cs="Arial"/>
          <w:sz w:val="24"/>
          <w:szCs w:val="24"/>
        </w:rPr>
        <w:t>would only be feasible</w:t>
      </w:r>
      <w:r>
        <w:rPr>
          <w:rFonts w:ascii="Arial" w:hAnsi="Arial" w:cs="Arial"/>
          <w:sz w:val="24"/>
          <w:szCs w:val="24"/>
        </w:rPr>
        <w:t xml:space="preserve"> to enforce</w:t>
      </w:r>
      <w:r w:rsidRPr="00BA15A8">
        <w:rPr>
          <w:rFonts w:ascii="Arial" w:hAnsi="Arial" w:cs="Arial"/>
          <w:sz w:val="24"/>
          <w:szCs w:val="24"/>
        </w:rPr>
        <w:t xml:space="preserve"> for larger-scale breaches. </w:t>
      </w:r>
      <w:r w:rsidR="0002256E">
        <w:rPr>
          <w:rFonts w:ascii="Arial" w:hAnsi="Arial" w:cs="Arial"/>
          <w:sz w:val="24"/>
          <w:szCs w:val="24"/>
        </w:rPr>
        <w:t xml:space="preserve">Deterrence is the most effective solution as environmental harms often occur on </w:t>
      </w:r>
      <w:r w:rsidR="00020051">
        <w:rPr>
          <w:rFonts w:ascii="Arial" w:hAnsi="Arial" w:cs="Arial"/>
          <w:sz w:val="24"/>
          <w:szCs w:val="24"/>
        </w:rPr>
        <w:t xml:space="preserve">a </w:t>
      </w:r>
      <w:r w:rsidR="0002256E">
        <w:rPr>
          <w:rFonts w:ascii="Arial" w:hAnsi="Arial" w:cs="Arial"/>
          <w:sz w:val="24"/>
          <w:szCs w:val="24"/>
        </w:rPr>
        <w:t xml:space="preserve">long-term ecological systems level where local action to reverse or repair them is not possible or practicable. </w:t>
      </w:r>
      <w:r>
        <w:rPr>
          <w:rFonts w:ascii="Arial" w:hAnsi="Arial" w:cs="Arial"/>
          <w:sz w:val="24"/>
          <w:szCs w:val="24"/>
        </w:rPr>
        <w:t xml:space="preserve">A less restrictive approach </w:t>
      </w:r>
      <w:r w:rsidRPr="00BA15A8">
        <w:rPr>
          <w:rFonts w:ascii="Arial" w:hAnsi="Arial" w:cs="Arial"/>
          <w:sz w:val="24"/>
          <w:szCs w:val="24"/>
        </w:rPr>
        <w:t xml:space="preserve">would not </w:t>
      </w:r>
      <w:r>
        <w:rPr>
          <w:rFonts w:ascii="Arial" w:hAnsi="Arial" w:cs="Arial"/>
          <w:sz w:val="24"/>
          <w:szCs w:val="24"/>
        </w:rPr>
        <w:t>induce the</w:t>
      </w:r>
      <w:r w:rsidR="0002256E">
        <w:rPr>
          <w:rFonts w:ascii="Arial" w:hAnsi="Arial" w:cs="Arial"/>
          <w:sz w:val="24"/>
          <w:szCs w:val="24"/>
        </w:rPr>
        <w:t xml:space="preserve"> wide-scale behavioural change </w:t>
      </w:r>
      <w:r>
        <w:rPr>
          <w:rFonts w:ascii="Arial" w:hAnsi="Arial" w:cs="Arial"/>
          <w:sz w:val="24"/>
          <w:szCs w:val="24"/>
        </w:rPr>
        <w:t xml:space="preserve">that </w:t>
      </w:r>
      <w:r w:rsidR="0002256E">
        <w:rPr>
          <w:rFonts w:ascii="Arial" w:hAnsi="Arial" w:cs="Arial"/>
          <w:sz w:val="24"/>
          <w:szCs w:val="24"/>
        </w:rPr>
        <w:t>is</w:t>
      </w:r>
      <w:r>
        <w:rPr>
          <w:rFonts w:ascii="Arial" w:hAnsi="Arial" w:cs="Arial"/>
          <w:sz w:val="24"/>
          <w:szCs w:val="24"/>
        </w:rPr>
        <w:t xml:space="preserve"> n</w:t>
      </w:r>
      <w:r w:rsidRPr="00BA15A8">
        <w:rPr>
          <w:rFonts w:ascii="Arial" w:hAnsi="Arial" w:cs="Arial"/>
          <w:sz w:val="24"/>
          <w:szCs w:val="24"/>
        </w:rPr>
        <w:t xml:space="preserve">eeded to </w:t>
      </w:r>
      <w:r w:rsidR="0002256E">
        <w:rPr>
          <w:rFonts w:ascii="Arial" w:hAnsi="Arial" w:cs="Arial"/>
          <w:sz w:val="24"/>
          <w:szCs w:val="24"/>
        </w:rPr>
        <w:t>protect and promote a sustainable ACT urban forest.</w:t>
      </w:r>
    </w:p>
    <w:p w14:paraId="03CC94C5" w14:textId="7EB0A777" w:rsidR="000B1837" w:rsidRPr="0082376E" w:rsidRDefault="0082376E" w:rsidP="000B1837">
      <w:pPr>
        <w:rPr>
          <w:rFonts w:ascii="Arial" w:hAnsi="Arial" w:cs="Arial"/>
          <w:iCs/>
          <w:sz w:val="24"/>
          <w:szCs w:val="24"/>
        </w:rPr>
      </w:pPr>
      <w:r>
        <w:rPr>
          <w:rFonts w:ascii="Arial" w:hAnsi="Arial" w:cs="Arial"/>
          <w:iCs/>
          <w:sz w:val="24"/>
          <w:szCs w:val="24"/>
        </w:rPr>
        <w:t xml:space="preserve">The infringement notice offences and penalties in </w:t>
      </w:r>
      <w:r w:rsidRPr="0082376E">
        <w:rPr>
          <w:rFonts w:ascii="Arial" w:hAnsi="Arial" w:cs="Arial"/>
          <w:iCs/>
          <w:sz w:val="24"/>
          <w:szCs w:val="24"/>
        </w:rPr>
        <w:t xml:space="preserve">the Regulation are </w:t>
      </w:r>
      <w:r w:rsidR="000B1837" w:rsidRPr="0082376E">
        <w:rPr>
          <w:rFonts w:ascii="Arial" w:hAnsi="Arial" w:cs="Arial"/>
          <w:iCs/>
          <w:sz w:val="24"/>
          <w:szCs w:val="24"/>
        </w:rPr>
        <w:t>considered reasonable and proportionate for the following reasons.</w:t>
      </w:r>
    </w:p>
    <w:p w14:paraId="2F775D92" w14:textId="10D5A9CA" w:rsidR="00B77D97" w:rsidRDefault="00A2462D" w:rsidP="00B77D97">
      <w:pPr>
        <w:rPr>
          <w:rFonts w:ascii="Arial" w:hAnsi="Arial" w:cs="Arial"/>
          <w:iCs/>
          <w:sz w:val="24"/>
          <w:szCs w:val="24"/>
        </w:rPr>
      </w:pPr>
      <w:r>
        <w:rPr>
          <w:rFonts w:ascii="Arial" w:hAnsi="Arial" w:cs="Arial"/>
          <w:iCs/>
          <w:sz w:val="24"/>
          <w:szCs w:val="24"/>
        </w:rPr>
        <w:t>W</w:t>
      </w:r>
      <w:r w:rsidR="000B1837" w:rsidRPr="0082376E">
        <w:rPr>
          <w:rFonts w:ascii="Arial" w:hAnsi="Arial" w:cs="Arial"/>
          <w:iCs/>
          <w:sz w:val="24"/>
          <w:szCs w:val="24"/>
        </w:rPr>
        <w:t xml:space="preserve">here the </w:t>
      </w:r>
      <w:r w:rsidR="0082376E" w:rsidRPr="0082376E">
        <w:rPr>
          <w:rFonts w:ascii="Arial" w:hAnsi="Arial" w:cs="Arial"/>
          <w:iCs/>
          <w:sz w:val="24"/>
          <w:szCs w:val="24"/>
        </w:rPr>
        <w:t xml:space="preserve">Urban Forest </w:t>
      </w:r>
      <w:r w:rsidR="000B1837" w:rsidRPr="0082376E">
        <w:rPr>
          <w:rFonts w:ascii="Arial" w:hAnsi="Arial" w:cs="Arial"/>
          <w:iCs/>
          <w:sz w:val="24"/>
          <w:szCs w:val="24"/>
        </w:rPr>
        <w:t xml:space="preserve">Act makes it a strict liability offence to contravene a condition of an application for approval of tree damaging activity (s 33), </w:t>
      </w:r>
      <w:r>
        <w:rPr>
          <w:rFonts w:ascii="Arial" w:hAnsi="Arial" w:cs="Arial"/>
          <w:iCs/>
          <w:sz w:val="24"/>
          <w:szCs w:val="24"/>
        </w:rPr>
        <w:t xml:space="preserve">to </w:t>
      </w:r>
      <w:r w:rsidR="000B1837" w:rsidRPr="0082376E">
        <w:rPr>
          <w:rFonts w:ascii="Arial" w:hAnsi="Arial" w:cs="Arial"/>
          <w:iCs/>
          <w:sz w:val="24"/>
          <w:szCs w:val="24"/>
        </w:rPr>
        <w:t xml:space="preserve">fail to comply with a tree reparation direction (s 49), </w:t>
      </w:r>
      <w:r>
        <w:rPr>
          <w:rFonts w:ascii="Arial" w:hAnsi="Arial" w:cs="Arial"/>
          <w:iCs/>
          <w:sz w:val="24"/>
          <w:szCs w:val="24"/>
        </w:rPr>
        <w:t xml:space="preserve">to </w:t>
      </w:r>
      <w:r w:rsidR="000B1837" w:rsidRPr="0082376E">
        <w:rPr>
          <w:rFonts w:ascii="Arial" w:hAnsi="Arial" w:cs="Arial"/>
          <w:iCs/>
          <w:sz w:val="24"/>
          <w:szCs w:val="24"/>
        </w:rPr>
        <w:t xml:space="preserve">contravene a tree management plan (s 90), or </w:t>
      </w:r>
      <w:r>
        <w:rPr>
          <w:rFonts w:ascii="Arial" w:hAnsi="Arial" w:cs="Arial"/>
          <w:iCs/>
          <w:sz w:val="24"/>
          <w:szCs w:val="24"/>
        </w:rPr>
        <w:t xml:space="preserve">to </w:t>
      </w:r>
      <w:r w:rsidR="000B1837" w:rsidRPr="0082376E">
        <w:rPr>
          <w:rFonts w:ascii="Arial" w:hAnsi="Arial" w:cs="Arial"/>
          <w:iCs/>
          <w:sz w:val="24"/>
          <w:szCs w:val="24"/>
        </w:rPr>
        <w:t>contravene a tree protection condition of development approval (s 109),</w:t>
      </w:r>
      <w:r w:rsidR="00B77D97">
        <w:rPr>
          <w:rFonts w:ascii="Arial" w:hAnsi="Arial" w:cs="Arial"/>
          <w:iCs/>
          <w:sz w:val="24"/>
          <w:szCs w:val="24"/>
        </w:rPr>
        <w:t xml:space="preserve"> </w:t>
      </w:r>
      <w:r w:rsidR="00B77D97">
        <w:rPr>
          <w:rFonts w:ascii="Arial" w:hAnsi="Arial" w:cs="Arial"/>
          <w:iCs/>
          <w:sz w:val="24"/>
          <w:szCs w:val="24"/>
        </w:rPr>
        <w:lastRenderedPageBreak/>
        <w:t>the person this approval or direction is issued to is made aware of their obligations</w:t>
      </w:r>
      <w:r>
        <w:rPr>
          <w:rFonts w:ascii="Arial" w:hAnsi="Arial" w:cs="Arial"/>
          <w:iCs/>
          <w:sz w:val="24"/>
          <w:szCs w:val="24"/>
        </w:rPr>
        <w:t xml:space="preserve"> by the approval or direction</w:t>
      </w:r>
      <w:r w:rsidR="00B77D97">
        <w:rPr>
          <w:rFonts w:ascii="Arial" w:hAnsi="Arial" w:cs="Arial"/>
          <w:iCs/>
          <w:sz w:val="24"/>
          <w:szCs w:val="24"/>
        </w:rPr>
        <w:t>. The conditional tree damaging activity, conditional development approval, approved tree management plan or issued tree reparation direction would outline what activities are not permitted in relation to the protected tree in question.</w:t>
      </w:r>
      <w:r>
        <w:rPr>
          <w:rFonts w:ascii="Arial" w:hAnsi="Arial" w:cs="Arial"/>
          <w:iCs/>
          <w:sz w:val="24"/>
          <w:szCs w:val="24"/>
        </w:rPr>
        <w:t xml:space="preserve"> It would also oblige the recipient of the</w:t>
      </w:r>
      <w:r w:rsidR="00B77D97">
        <w:rPr>
          <w:rFonts w:ascii="Arial" w:hAnsi="Arial" w:cs="Arial"/>
          <w:iCs/>
          <w:sz w:val="24"/>
          <w:szCs w:val="24"/>
        </w:rPr>
        <w:t xml:space="preserve"> direction or conditional approval to make </w:t>
      </w:r>
      <w:r>
        <w:rPr>
          <w:rFonts w:ascii="Arial" w:hAnsi="Arial" w:cs="Arial"/>
          <w:iCs/>
          <w:sz w:val="24"/>
          <w:szCs w:val="24"/>
        </w:rPr>
        <w:t>any person they engage to work on or near the tree, such as a tradesperson,</w:t>
      </w:r>
      <w:r w:rsidR="00B77D97">
        <w:rPr>
          <w:rFonts w:ascii="Arial" w:hAnsi="Arial" w:cs="Arial"/>
          <w:iCs/>
          <w:sz w:val="24"/>
          <w:szCs w:val="24"/>
        </w:rPr>
        <w:t xml:space="preserve"> aware of </w:t>
      </w:r>
      <w:r w:rsidR="00B77D97" w:rsidRPr="0082376E">
        <w:rPr>
          <w:rFonts w:ascii="Arial" w:hAnsi="Arial" w:cs="Arial"/>
          <w:iCs/>
          <w:sz w:val="24"/>
          <w:szCs w:val="24"/>
        </w:rPr>
        <w:t xml:space="preserve">what conduct is prohibited or required in relation to the tree. </w:t>
      </w:r>
      <w:r>
        <w:rPr>
          <w:rFonts w:ascii="Arial" w:hAnsi="Arial" w:cs="Arial"/>
          <w:iCs/>
          <w:sz w:val="24"/>
          <w:szCs w:val="24"/>
        </w:rPr>
        <w:t xml:space="preserve"> </w:t>
      </w:r>
      <w:r w:rsidR="00B77D97" w:rsidRPr="0082376E">
        <w:rPr>
          <w:rFonts w:ascii="Arial" w:hAnsi="Arial" w:cs="Arial"/>
          <w:iCs/>
          <w:sz w:val="24"/>
          <w:szCs w:val="24"/>
        </w:rPr>
        <w:t>An additional safeguard is that the offences against ss 49, 90 and 109 do not apply if the person has a reasonable excuse</w:t>
      </w:r>
      <w:r>
        <w:rPr>
          <w:rFonts w:ascii="Arial" w:hAnsi="Arial" w:cs="Arial"/>
          <w:iCs/>
          <w:sz w:val="24"/>
          <w:szCs w:val="24"/>
        </w:rPr>
        <w:t>, for example, if the person directed to do an activity in relation to the tree lost access to the tree and was th</w:t>
      </w:r>
      <w:r w:rsidR="008934FF">
        <w:rPr>
          <w:rFonts w:ascii="Arial" w:hAnsi="Arial" w:cs="Arial"/>
          <w:iCs/>
          <w:sz w:val="24"/>
          <w:szCs w:val="24"/>
        </w:rPr>
        <w:t>us</w:t>
      </w:r>
      <w:r>
        <w:rPr>
          <w:rFonts w:ascii="Arial" w:hAnsi="Arial" w:cs="Arial"/>
          <w:iCs/>
          <w:sz w:val="24"/>
          <w:szCs w:val="24"/>
        </w:rPr>
        <w:t xml:space="preserve"> unable to </w:t>
      </w:r>
      <w:r w:rsidR="008934FF">
        <w:rPr>
          <w:rFonts w:ascii="Arial" w:hAnsi="Arial" w:cs="Arial"/>
          <w:iCs/>
          <w:sz w:val="24"/>
          <w:szCs w:val="24"/>
        </w:rPr>
        <w:t>comply</w:t>
      </w:r>
      <w:r>
        <w:rPr>
          <w:rFonts w:ascii="Arial" w:hAnsi="Arial" w:cs="Arial"/>
          <w:iCs/>
          <w:sz w:val="24"/>
          <w:szCs w:val="24"/>
        </w:rPr>
        <w:t>.</w:t>
      </w:r>
      <w:r w:rsidR="00B77D97" w:rsidRPr="0082376E">
        <w:rPr>
          <w:rFonts w:ascii="Arial" w:hAnsi="Arial" w:cs="Arial"/>
          <w:iCs/>
          <w:sz w:val="24"/>
          <w:szCs w:val="24"/>
        </w:rPr>
        <w:t xml:space="preserve"> </w:t>
      </w:r>
    </w:p>
    <w:p w14:paraId="2CE23623" w14:textId="5A49DB3E" w:rsidR="000B1837" w:rsidRPr="0082376E" w:rsidRDefault="000B1837" w:rsidP="000B1837">
      <w:pPr>
        <w:rPr>
          <w:rFonts w:ascii="Arial" w:hAnsi="Arial" w:cs="Arial"/>
          <w:iCs/>
          <w:sz w:val="24"/>
          <w:szCs w:val="24"/>
        </w:rPr>
      </w:pPr>
      <w:r w:rsidRPr="0082376E">
        <w:rPr>
          <w:rFonts w:ascii="Arial" w:hAnsi="Arial" w:cs="Arial"/>
          <w:iCs/>
          <w:sz w:val="24"/>
          <w:szCs w:val="24"/>
        </w:rPr>
        <w:t xml:space="preserve">There are additional strict liability offences in ss 16(5) and 17(4) for engaging in conduct that damages or is likely to damage a protected tree and doing prohibited groundwork in the protection zone for a protected tree or a declared site. The </w:t>
      </w:r>
      <w:r w:rsidR="0082376E" w:rsidRPr="0082376E">
        <w:rPr>
          <w:rFonts w:ascii="Arial" w:hAnsi="Arial" w:cs="Arial"/>
          <w:iCs/>
          <w:sz w:val="24"/>
          <w:szCs w:val="24"/>
        </w:rPr>
        <w:t>infringement</w:t>
      </w:r>
      <w:r w:rsidRPr="0082376E">
        <w:rPr>
          <w:rFonts w:ascii="Arial" w:hAnsi="Arial" w:cs="Arial"/>
          <w:iCs/>
          <w:sz w:val="24"/>
          <w:szCs w:val="24"/>
        </w:rPr>
        <w:t xml:space="preserve"> penalt</w:t>
      </w:r>
      <w:r w:rsidR="0082376E" w:rsidRPr="0082376E">
        <w:rPr>
          <w:rFonts w:ascii="Arial" w:hAnsi="Arial" w:cs="Arial"/>
          <w:iCs/>
          <w:sz w:val="24"/>
          <w:szCs w:val="24"/>
        </w:rPr>
        <w:t>ies</w:t>
      </w:r>
      <w:r w:rsidRPr="0082376E">
        <w:rPr>
          <w:rFonts w:ascii="Arial" w:hAnsi="Arial" w:cs="Arial"/>
          <w:iCs/>
          <w:sz w:val="24"/>
          <w:szCs w:val="24"/>
        </w:rPr>
        <w:t xml:space="preserve"> for these offences ha</w:t>
      </w:r>
      <w:r w:rsidR="0082376E" w:rsidRPr="0082376E">
        <w:rPr>
          <w:rFonts w:ascii="Arial" w:hAnsi="Arial" w:cs="Arial"/>
          <w:iCs/>
          <w:sz w:val="24"/>
          <w:szCs w:val="24"/>
        </w:rPr>
        <w:t xml:space="preserve">ve been set at $1600 for registered and remnant trees and $1200 for public or regulated trees. These are 20% and 15% of the </w:t>
      </w:r>
      <w:r w:rsidRPr="0082376E">
        <w:rPr>
          <w:rFonts w:ascii="Arial" w:hAnsi="Arial" w:cs="Arial"/>
          <w:iCs/>
          <w:sz w:val="24"/>
          <w:szCs w:val="24"/>
        </w:rPr>
        <w:t>50 penalty units</w:t>
      </w:r>
      <w:r w:rsidR="0082376E" w:rsidRPr="0082376E">
        <w:rPr>
          <w:rFonts w:ascii="Arial" w:hAnsi="Arial" w:cs="Arial"/>
          <w:iCs/>
          <w:sz w:val="24"/>
          <w:szCs w:val="24"/>
        </w:rPr>
        <w:t xml:space="preserve"> for these offences in the Urban Forest Act</w:t>
      </w:r>
      <w:r w:rsidRPr="0082376E">
        <w:rPr>
          <w:rFonts w:ascii="Arial" w:hAnsi="Arial" w:cs="Arial"/>
          <w:iCs/>
          <w:sz w:val="24"/>
          <w:szCs w:val="24"/>
        </w:rPr>
        <w:t>, which is in line with the Guide to Framing Offences</w:t>
      </w:r>
      <w:r w:rsidR="0082376E" w:rsidRPr="0082376E">
        <w:rPr>
          <w:rFonts w:ascii="Arial" w:hAnsi="Arial" w:cs="Arial"/>
          <w:iCs/>
          <w:sz w:val="24"/>
          <w:szCs w:val="24"/>
        </w:rPr>
        <w:t xml:space="preserve"> and which is set at two staggered amounts to reflect the different levels of environmental harm of these offences</w:t>
      </w:r>
      <w:r w:rsidRPr="0082376E">
        <w:rPr>
          <w:rFonts w:ascii="Arial" w:hAnsi="Arial" w:cs="Arial"/>
          <w:iCs/>
          <w:sz w:val="24"/>
          <w:szCs w:val="24"/>
        </w:rPr>
        <w:t>.</w:t>
      </w:r>
    </w:p>
    <w:p w14:paraId="7D43AFA8" w14:textId="445AE342" w:rsidR="000B1837" w:rsidRDefault="000B1837" w:rsidP="000B1837">
      <w:pPr>
        <w:rPr>
          <w:rFonts w:ascii="Arial" w:hAnsi="Arial" w:cs="Arial"/>
          <w:iCs/>
          <w:sz w:val="24"/>
          <w:szCs w:val="24"/>
        </w:rPr>
      </w:pPr>
      <w:r w:rsidRPr="0082376E">
        <w:rPr>
          <w:rFonts w:ascii="Arial" w:hAnsi="Arial" w:cs="Arial"/>
          <w:iCs/>
          <w:sz w:val="24"/>
          <w:szCs w:val="24"/>
        </w:rPr>
        <w:t>An inherent safeguard against the limitation on the right to the presumption of innocence is the availability of the defence of mistake of fact. This would allow anyone charged with an offence under ss 16(5) and 17(4) to challenge the assertion that tree damage or prohibited groundwork had occurred. Th</w:t>
      </w:r>
      <w:r w:rsidR="00807395">
        <w:rPr>
          <w:rFonts w:ascii="Arial" w:hAnsi="Arial" w:cs="Arial"/>
          <w:iCs/>
          <w:sz w:val="24"/>
          <w:szCs w:val="24"/>
        </w:rPr>
        <w:t>is</w:t>
      </w:r>
      <w:r w:rsidRPr="0082376E">
        <w:rPr>
          <w:rFonts w:ascii="Arial" w:hAnsi="Arial" w:cs="Arial"/>
          <w:iCs/>
          <w:sz w:val="24"/>
          <w:szCs w:val="24"/>
        </w:rPr>
        <w:t xml:space="preserve"> </w:t>
      </w:r>
      <w:r w:rsidR="00807395">
        <w:rPr>
          <w:rFonts w:ascii="Arial" w:hAnsi="Arial" w:cs="Arial"/>
          <w:iCs/>
          <w:sz w:val="24"/>
          <w:szCs w:val="24"/>
        </w:rPr>
        <w:t xml:space="preserve">defence </w:t>
      </w:r>
      <w:r w:rsidRPr="0082376E">
        <w:rPr>
          <w:rFonts w:ascii="Arial" w:hAnsi="Arial" w:cs="Arial"/>
          <w:iCs/>
          <w:sz w:val="24"/>
          <w:szCs w:val="24"/>
        </w:rPr>
        <w:t xml:space="preserve">would be a safeguard for third parties like tradespeople or visitors who may be lawfully on the property and inadvertently breach offence provisions because they are not aware, for example, that the tree is protected by virtue of it being planted under a Canopy Contribution Agreement. </w:t>
      </w:r>
    </w:p>
    <w:p w14:paraId="7AA66C89" w14:textId="070F1432" w:rsidR="00615C91" w:rsidRDefault="00615C91" w:rsidP="000B1837">
      <w:pPr>
        <w:rPr>
          <w:rFonts w:ascii="Arial" w:hAnsi="Arial" w:cs="Arial"/>
          <w:iCs/>
          <w:sz w:val="24"/>
          <w:szCs w:val="24"/>
        </w:rPr>
      </w:pPr>
      <w:r>
        <w:rPr>
          <w:rFonts w:ascii="Arial" w:hAnsi="Arial" w:cs="Arial"/>
          <w:iCs/>
          <w:sz w:val="24"/>
          <w:szCs w:val="24"/>
        </w:rPr>
        <w:t>For the majority of protected trees, their status as protected trees will be publicly available information</w:t>
      </w:r>
      <w:r w:rsidR="00020051">
        <w:rPr>
          <w:rFonts w:ascii="Arial" w:hAnsi="Arial" w:cs="Arial"/>
          <w:iCs/>
          <w:sz w:val="24"/>
          <w:szCs w:val="24"/>
        </w:rPr>
        <w:t>,</w:t>
      </w:r>
      <w:r w:rsidR="003E55AD">
        <w:rPr>
          <w:rFonts w:ascii="Arial" w:hAnsi="Arial" w:cs="Arial"/>
          <w:iCs/>
          <w:sz w:val="24"/>
          <w:szCs w:val="24"/>
        </w:rPr>
        <w:t xml:space="preserve"> so the risk of inadvertent breach is very low. W</w:t>
      </w:r>
      <w:r>
        <w:rPr>
          <w:rFonts w:ascii="Arial" w:hAnsi="Arial" w:cs="Arial"/>
          <w:iCs/>
          <w:sz w:val="24"/>
          <w:szCs w:val="24"/>
        </w:rPr>
        <w:t xml:space="preserve">ithin the built-up urban area protected trees </w:t>
      </w:r>
      <w:r w:rsidR="003E55AD">
        <w:rPr>
          <w:rFonts w:ascii="Arial" w:hAnsi="Arial" w:cs="Arial"/>
          <w:iCs/>
          <w:sz w:val="24"/>
          <w:szCs w:val="24"/>
        </w:rPr>
        <w:t xml:space="preserve">comprise </w:t>
      </w:r>
      <w:r>
        <w:rPr>
          <w:rFonts w:ascii="Arial" w:hAnsi="Arial" w:cs="Arial"/>
          <w:iCs/>
          <w:sz w:val="24"/>
          <w:szCs w:val="24"/>
        </w:rPr>
        <w:t>every tree on public land and any tree on private land that is over 8m in height, 8m in width</w:t>
      </w:r>
      <w:r w:rsidR="008934FF">
        <w:rPr>
          <w:rFonts w:ascii="Arial" w:hAnsi="Arial" w:cs="Arial"/>
          <w:iCs/>
          <w:sz w:val="24"/>
          <w:szCs w:val="24"/>
        </w:rPr>
        <w:t xml:space="preserve"> or</w:t>
      </w:r>
      <w:r>
        <w:rPr>
          <w:rFonts w:ascii="Arial" w:hAnsi="Arial" w:cs="Arial"/>
          <w:iCs/>
          <w:sz w:val="24"/>
          <w:szCs w:val="24"/>
        </w:rPr>
        <w:t xml:space="preserve"> 1m in trunk circumference</w:t>
      </w:r>
      <w:r w:rsidR="008934FF">
        <w:rPr>
          <w:rFonts w:ascii="Arial" w:hAnsi="Arial" w:cs="Arial"/>
          <w:iCs/>
          <w:sz w:val="24"/>
          <w:szCs w:val="24"/>
        </w:rPr>
        <w:t xml:space="preserve"> at</w:t>
      </w:r>
      <w:r>
        <w:rPr>
          <w:rFonts w:ascii="Arial" w:hAnsi="Arial" w:cs="Arial"/>
          <w:iCs/>
          <w:sz w:val="24"/>
          <w:szCs w:val="24"/>
        </w:rPr>
        <w:t xml:space="preserve"> </w:t>
      </w:r>
      <w:r w:rsidR="003E55AD">
        <w:rPr>
          <w:rFonts w:ascii="Arial" w:hAnsi="Arial" w:cs="Arial"/>
          <w:iCs/>
          <w:sz w:val="24"/>
          <w:szCs w:val="24"/>
        </w:rPr>
        <w:t>1.4m above natural ground level</w:t>
      </w:r>
      <w:r>
        <w:rPr>
          <w:rFonts w:ascii="Arial" w:hAnsi="Arial" w:cs="Arial"/>
          <w:iCs/>
          <w:sz w:val="24"/>
          <w:szCs w:val="24"/>
        </w:rPr>
        <w:t>. Within the</w:t>
      </w:r>
      <w:r w:rsidR="008934FF">
        <w:rPr>
          <w:rFonts w:ascii="Arial" w:hAnsi="Arial" w:cs="Arial"/>
          <w:iCs/>
          <w:sz w:val="24"/>
          <w:szCs w:val="24"/>
        </w:rPr>
        <w:t xml:space="preserve"> broader</w:t>
      </w:r>
      <w:r>
        <w:rPr>
          <w:rFonts w:ascii="Arial" w:hAnsi="Arial" w:cs="Arial"/>
          <w:iCs/>
          <w:sz w:val="24"/>
          <w:szCs w:val="24"/>
        </w:rPr>
        <w:t xml:space="preserve"> urban forest protected trees </w:t>
      </w:r>
      <w:r w:rsidR="008934FF">
        <w:rPr>
          <w:rFonts w:ascii="Arial" w:hAnsi="Arial" w:cs="Arial"/>
          <w:iCs/>
          <w:sz w:val="24"/>
          <w:szCs w:val="24"/>
        </w:rPr>
        <w:t>include</w:t>
      </w:r>
      <w:r>
        <w:rPr>
          <w:rFonts w:ascii="Arial" w:hAnsi="Arial" w:cs="Arial"/>
          <w:iCs/>
          <w:sz w:val="24"/>
          <w:szCs w:val="24"/>
        </w:rPr>
        <w:t xml:space="preserve"> registered trees and remnant trees. Registered trees are listed on the ACT Tree Register, which is a public webpage. Remnant trees are identifiable by </w:t>
      </w:r>
      <w:r w:rsidR="003E55AD">
        <w:rPr>
          <w:rFonts w:ascii="Arial" w:hAnsi="Arial" w:cs="Arial"/>
          <w:iCs/>
          <w:sz w:val="24"/>
          <w:szCs w:val="24"/>
        </w:rPr>
        <w:t xml:space="preserve">species and </w:t>
      </w:r>
      <w:r>
        <w:rPr>
          <w:rFonts w:ascii="Arial" w:hAnsi="Arial" w:cs="Arial"/>
          <w:iCs/>
          <w:sz w:val="24"/>
          <w:szCs w:val="24"/>
        </w:rPr>
        <w:t xml:space="preserve">size, in particular their trunk circumference. Within the urban area, these </w:t>
      </w:r>
      <w:r w:rsidR="003E55AD">
        <w:rPr>
          <w:rFonts w:ascii="Arial" w:hAnsi="Arial" w:cs="Arial"/>
          <w:iCs/>
          <w:sz w:val="24"/>
          <w:szCs w:val="24"/>
        </w:rPr>
        <w:t xml:space="preserve">trees </w:t>
      </w:r>
      <w:r>
        <w:rPr>
          <w:rFonts w:ascii="Arial" w:hAnsi="Arial" w:cs="Arial"/>
          <w:iCs/>
          <w:sz w:val="24"/>
          <w:szCs w:val="24"/>
        </w:rPr>
        <w:t xml:space="preserve">would already be protected by </w:t>
      </w:r>
      <w:r w:rsidR="008934FF">
        <w:rPr>
          <w:rFonts w:ascii="Arial" w:hAnsi="Arial" w:cs="Arial"/>
          <w:iCs/>
          <w:sz w:val="24"/>
          <w:szCs w:val="24"/>
        </w:rPr>
        <w:t>their location or their size as</w:t>
      </w:r>
      <w:r>
        <w:rPr>
          <w:rFonts w:ascii="Arial" w:hAnsi="Arial" w:cs="Arial"/>
          <w:iCs/>
          <w:sz w:val="24"/>
          <w:szCs w:val="24"/>
        </w:rPr>
        <w:t xml:space="preserve"> public </w:t>
      </w:r>
      <w:r w:rsidR="008934FF">
        <w:rPr>
          <w:rFonts w:ascii="Arial" w:hAnsi="Arial" w:cs="Arial"/>
          <w:iCs/>
          <w:sz w:val="24"/>
          <w:szCs w:val="24"/>
        </w:rPr>
        <w:t xml:space="preserve">or </w:t>
      </w:r>
      <w:r>
        <w:rPr>
          <w:rFonts w:ascii="Arial" w:hAnsi="Arial" w:cs="Arial"/>
          <w:iCs/>
          <w:sz w:val="24"/>
          <w:szCs w:val="24"/>
        </w:rPr>
        <w:t xml:space="preserve">regulated trees. Within </w:t>
      </w:r>
      <w:r w:rsidR="008934FF">
        <w:rPr>
          <w:rFonts w:ascii="Arial" w:hAnsi="Arial" w:cs="Arial"/>
          <w:iCs/>
          <w:sz w:val="24"/>
          <w:szCs w:val="24"/>
        </w:rPr>
        <w:t>future urban areas and areas subject to an estate development plan</w:t>
      </w:r>
      <w:r>
        <w:rPr>
          <w:rFonts w:ascii="Arial" w:hAnsi="Arial" w:cs="Arial"/>
          <w:iCs/>
          <w:sz w:val="24"/>
          <w:szCs w:val="24"/>
        </w:rPr>
        <w:t xml:space="preserve">, those planning </w:t>
      </w:r>
      <w:r w:rsidR="008934FF">
        <w:rPr>
          <w:rFonts w:ascii="Arial" w:hAnsi="Arial" w:cs="Arial"/>
          <w:iCs/>
          <w:sz w:val="24"/>
          <w:szCs w:val="24"/>
        </w:rPr>
        <w:t>developments</w:t>
      </w:r>
      <w:r>
        <w:rPr>
          <w:rFonts w:ascii="Arial" w:hAnsi="Arial" w:cs="Arial"/>
          <w:iCs/>
          <w:sz w:val="24"/>
          <w:szCs w:val="24"/>
        </w:rPr>
        <w:t xml:space="preserve"> are required to </w:t>
      </w:r>
      <w:r w:rsidR="003E55AD">
        <w:rPr>
          <w:rFonts w:ascii="Arial" w:hAnsi="Arial" w:cs="Arial"/>
          <w:iCs/>
          <w:sz w:val="24"/>
          <w:szCs w:val="24"/>
        </w:rPr>
        <w:t xml:space="preserve">detail existing trees in their plans and receive approval before conducting works. Remnant trees are identifiable by government in assessing these plans through such </w:t>
      </w:r>
      <w:r w:rsidR="008934FF">
        <w:rPr>
          <w:rFonts w:ascii="Arial" w:hAnsi="Arial" w:cs="Arial"/>
          <w:iCs/>
          <w:sz w:val="24"/>
          <w:szCs w:val="24"/>
        </w:rPr>
        <w:t>factors</w:t>
      </w:r>
      <w:r w:rsidR="003E55AD">
        <w:rPr>
          <w:rFonts w:ascii="Arial" w:hAnsi="Arial" w:cs="Arial"/>
          <w:iCs/>
          <w:sz w:val="24"/>
          <w:szCs w:val="24"/>
        </w:rPr>
        <w:t xml:space="preserve"> as tree species</w:t>
      </w:r>
      <w:r w:rsidR="008934FF">
        <w:rPr>
          <w:rFonts w:ascii="Arial" w:hAnsi="Arial" w:cs="Arial"/>
          <w:iCs/>
          <w:sz w:val="24"/>
          <w:szCs w:val="24"/>
        </w:rPr>
        <w:t>, size and</w:t>
      </w:r>
      <w:r w:rsidR="003E55AD">
        <w:rPr>
          <w:rFonts w:ascii="Arial" w:hAnsi="Arial" w:cs="Arial"/>
          <w:iCs/>
          <w:sz w:val="24"/>
          <w:szCs w:val="24"/>
        </w:rPr>
        <w:t xml:space="preserve"> the history of the area</w:t>
      </w:r>
      <w:r w:rsidR="008934FF">
        <w:rPr>
          <w:rFonts w:ascii="Arial" w:hAnsi="Arial" w:cs="Arial"/>
          <w:iCs/>
          <w:sz w:val="24"/>
          <w:szCs w:val="24"/>
        </w:rPr>
        <w:t>; this</w:t>
      </w:r>
      <w:r w:rsidR="003E55AD">
        <w:rPr>
          <w:rFonts w:ascii="Arial" w:hAnsi="Arial" w:cs="Arial"/>
          <w:iCs/>
          <w:sz w:val="24"/>
          <w:szCs w:val="24"/>
        </w:rPr>
        <w:t xml:space="preserve"> would be communicated clearly in a</w:t>
      </w:r>
      <w:r w:rsidR="008934FF">
        <w:rPr>
          <w:rFonts w:ascii="Arial" w:hAnsi="Arial" w:cs="Arial"/>
          <w:iCs/>
          <w:sz w:val="24"/>
          <w:szCs w:val="24"/>
        </w:rPr>
        <w:t xml:space="preserve"> </w:t>
      </w:r>
      <w:r w:rsidR="003E55AD">
        <w:rPr>
          <w:rFonts w:ascii="Arial" w:hAnsi="Arial" w:cs="Arial"/>
          <w:iCs/>
          <w:sz w:val="24"/>
          <w:szCs w:val="24"/>
        </w:rPr>
        <w:t xml:space="preserve">tree management </w:t>
      </w:r>
      <w:r w:rsidR="008934FF">
        <w:rPr>
          <w:rFonts w:ascii="Arial" w:hAnsi="Arial" w:cs="Arial"/>
          <w:iCs/>
          <w:sz w:val="24"/>
          <w:szCs w:val="24"/>
        </w:rPr>
        <w:t>plan approval</w:t>
      </w:r>
      <w:r w:rsidR="003E55AD">
        <w:rPr>
          <w:rFonts w:ascii="Arial" w:hAnsi="Arial" w:cs="Arial"/>
          <w:iCs/>
          <w:sz w:val="24"/>
          <w:szCs w:val="24"/>
        </w:rPr>
        <w:t>.</w:t>
      </w:r>
    </w:p>
    <w:p w14:paraId="376224F3" w14:textId="67BDBFDD" w:rsidR="003E55AD" w:rsidRDefault="003E55AD" w:rsidP="000B1837">
      <w:pPr>
        <w:rPr>
          <w:rFonts w:ascii="Arial" w:hAnsi="Arial" w:cs="Arial"/>
          <w:iCs/>
          <w:sz w:val="24"/>
          <w:szCs w:val="24"/>
        </w:rPr>
      </w:pPr>
      <w:r>
        <w:rPr>
          <w:rFonts w:ascii="Arial" w:hAnsi="Arial" w:cs="Arial"/>
          <w:iCs/>
          <w:sz w:val="24"/>
          <w:szCs w:val="24"/>
        </w:rPr>
        <w:t xml:space="preserve">The highest risk of inadvertent breach of this provision would be trees that are protected under a </w:t>
      </w:r>
      <w:r w:rsidRPr="00AC3A13">
        <w:rPr>
          <w:rFonts w:ascii="Arial" w:hAnsi="Arial" w:cs="Arial"/>
          <w:iCs/>
          <w:sz w:val="24"/>
          <w:szCs w:val="24"/>
        </w:rPr>
        <w:t>Canopy Contribution Agreement</w:t>
      </w:r>
      <w:r>
        <w:rPr>
          <w:rFonts w:ascii="Arial" w:hAnsi="Arial" w:cs="Arial"/>
          <w:iCs/>
          <w:sz w:val="24"/>
          <w:szCs w:val="24"/>
        </w:rPr>
        <w:t>, as these trees would</w:t>
      </w:r>
      <w:r w:rsidRPr="003E55AD">
        <w:rPr>
          <w:rFonts w:ascii="Arial" w:hAnsi="Arial" w:cs="Arial"/>
          <w:iCs/>
          <w:sz w:val="24"/>
          <w:szCs w:val="24"/>
        </w:rPr>
        <w:t xml:space="preserve"> </w:t>
      </w:r>
      <w:r>
        <w:rPr>
          <w:rFonts w:ascii="Arial" w:hAnsi="Arial" w:cs="Arial"/>
          <w:iCs/>
          <w:sz w:val="24"/>
          <w:szCs w:val="24"/>
        </w:rPr>
        <w:t xml:space="preserve">typically be on leased land and be smaller than the minimum size </w:t>
      </w:r>
      <w:r w:rsidR="00066C48">
        <w:rPr>
          <w:rFonts w:ascii="Arial" w:hAnsi="Arial" w:cs="Arial"/>
          <w:iCs/>
          <w:sz w:val="24"/>
          <w:szCs w:val="24"/>
        </w:rPr>
        <w:t>of</w:t>
      </w:r>
      <w:r>
        <w:rPr>
          <w:rFonts w:ascii="Arial" w:hAnsi="Arial" w:cs="Arial"/>
          <w:iCs/>
          <w:sz w:val="24"/>
          <w:szCs w:val="24"/>
        </w:rPr>
        <w:t xml:space="preserve"> regulated trees. To </w:t>
      </w:r>
      <w:r w:rsidR="00066C48">
        <w:rPr>
          <w:rFonts w:ascii="Arial" w:hAnsi="Arial" w:cs="Arial"/>
          <w:iCs/>
          <w:sz w:val="24"/>
          <w:szCs w:val="24"/>
        </w:rPr>
        <w:t>limit</w:t>
      </w:r>
      <w:r>
        <w:rPr>
          <w:rFonts w:ascii="Arial" w:hAnsi="Arial" w:cs="Arial"/>
          <w:iCs/>
          <w:sz w:val="24"/>
          <w:szCs w:val="24"/>
        </w:rPr>
        <w:t xml:space="preserve"> this risk, ACT Government is implementing the following information-sharing steps.</w:t>
      </w:r>
    </w:p>
    <w:p w14:paraId="50574864" w14:textId="5B7E3998" w:rsidR="003E55AD" w:rsidRDefault="003E55AD" w:rsidP="000B1837">
      <w:pPr>
        <w:rPr>
          <w:rFonts w:ascii="Arial" w:hAnsi="Arial" w:cs="Arial"/>
          <w:iCs/>
          <w:sz w:val="24"/>
          <w:szCs w:val="24"/>
        </w:rPr>
      </w:pPr>
      <w:r>
        <w:rPr>
          <w:rFonts w:ascii="Arial" w:hAnsi="Arial" w:cs="Arial"/>
          <w:iCs/>
          <w:sz w:val="24"/>
          <w:szCs w:val="24"/>
        </w:rPr>
        <w:lastRenderedPageBreak/>
        <w:t>Firstly, the tree owner</w:t>
      </w:r>
      <w:r w:rsidRPr="003E55AD">
        <w:rPr>
          <w:rFonts w:ascii="Arial" w:hAnsi="Arial" w:cs="Arial"/>
          <w:iCs/>
          <w:sz w:val="24"/>
          <w:szCs w:val="24"/>
        </w:rPr>
        <w:t xml:space="preserve"> </w:t>
      </w:r>
      <w:r>
        <w:rPr>
          <w:rFonts w:ascii="Arial" w:hAnsi="Arial" w:cs="Arial"/>
          <w:iCs/>
          <w:sz w:val="24"/>
          <w:szCs w:val="24"/>
        </w:rPr>
        <w:t xml:space="preserve">will be aware that the tree is protected as they will be a signatory to the </w:t>
      </w:r>
      <w:r w:rsidRPr="00AC3A13">
        <w:rPr>
          <w:rFonts w:ascii="Arial" w:hAnsi="Arial" w:cs="Arial"/>
          <w:iCs/>
          <w:sz w:val="24"/>
          <w:szCs w:val="24"/>
        </w:rPr>
        <w:t>Canopy Contribution Agreement</w:t>
      </w:r>
      <w:r>
        <w:rPr>
          <w:rFonts w:ascii="Arial" w:hAnsi="Arial" w:cs="Arial"/>
          <w:iCs/>
          <w:sz w:val="24"/>
          <w:szCs w:val="24"/>
        </w:rPr>
        <w:t xml:space="preserve">. </w:t>
      </w:r>
      <w:r w:rsidR="00B77D97">
        <w:rPr>
          <w:rFonts w:ascii="Arial" w:hAnsi="Arial" w:cs="Arial"/>
          <w:iCs/>
          <w:sz w:val="24"/>
          <w:szCs w:val="24"/>
        </w:rPr>
        <w:t xml:space="preserve">Such agreements will include a standard clause that </w:t>
      </w:r>
      <w:r>
        <w:rPr>
          <w:rFonts w:ascii="Arial" w:hAnsi="Arial" w:cs="Arial"/>
          <w:iCs/>
          <w:sz w:val="24"/>
          <w:szCs w:val="24"/>
        </w:rPr>
        <w:t xml:space="preserve">the tree owner must notify </w:t>
      </w:r>
      <w:r w:rsidR="00B77D97">
        <w:rPr>
          <w:rFonts w:ascii="Arial" w:hAnsi="Arial" w:cs="Arial"/>
          <w:iCs/>
          <w:sz w:val="24"/>
          <w:szCs w:val="24"/>
        </w:rPr>
        <w:t>pe</w:t>
      </w:r>
      <w:r w:rsidR="00B77D97" w:rsidRPr="00B77D97">
        <w:rPr>
          <w:rFonts w:ascii="Arial" w:hAnsi="Arial" w:cs="Arial"/>
          <w:iCs/>
          <w:sz w:val="24"/>
          <w:szCs w:val="24"/>
        </w:rPr>
        <w:t>ople accessing the site</w:t>
      </w:r>
      <w:r>
        <w:rPr>
          <w:rFonts w:ascii="Arial" w:hAnsi="Arial" w:cs="Arial"/>
          <w:iCs/>
          <w:sz w:val="24"/>
          <w:szCs w:val="24"/>
        </w:rPr>
        <w:t>, prior to gaining access,</w:t>
      </w:r>
      <w:r w:rsidR="00B77D97" w:rsidRPr="00B77D97">
        <w:rPr>
          <w:rFonts w:ascii="Arial" w:hAnsi="Arial" w:cs="Arial"/>
          <w:iCs/>
          <w:sz w:val="24"/>
          <w:szCs w:val="24"/>
        </w:rPr>
        <w:t xml:space="preserve"> of </w:t>
      </w:r>
      <w:r>
        <w:rPr>
          <w:rFonts w:ascii="Arial" w:hAnsi="Arial" w:cs="Arial"/>
          <w:iCs/>
          <w:sz w:val="24"/>
          <w:szCs w:val="24"/>
        </w:rPr>
        <w:t xml:space="preserve">the trees and </w:t>
      </w:r>
      <w:r w:rsidR="00B77D97" w:rsidRPr="00B77D97">
        <w:rPr>
          <w:rFonts w:ascii="Arial" w:hAnsi="Arial" w:cs="Arial"/>
          <w:iCs/>
          <w:sz w:val="24"/>
          <w:szCs w:val="24"/>
        </w:rPr>
        <w:t>their protection status</w:t>
      </w:r>
      <w:r>
        <w:rPr>
          <w:rFonts w:ascii="Arial" w:hAnsi="Arial" w:cs="Arial"/>
          <w:iCs/>
          <w:sz w:val="24"/>
          <w:szCs w:val="24"/>
        </w:rPr>
        <w:t xml:space="preserve">. This includes people such as </w:t>
      </w:r>
      <w:r w:rsidR="00B77D97" w:rsidRPr="00B77D97">
        <w:rPr>
          <w:rFonts w:ascii="Arial" w:hAnsi="Arial" w:cs="Arial"/>
          <w:iCs/>
          <w:sz w:val="24"/>
          <w:szCs w:val="24"/>
        </w:rPr>
        <w:t>trades</w:t>
      </w:r>
      <w:r>
        <w:rPr>
          <w:rFonts w:ascii="Arial" w:hAnsi="Arial" w:cs="Arial"/>
          <w:iCs/>
          <w:sz w:val="24"/>
          <w:szCs w:val="24"/>
        </w:rPr>
        <w:t>people</w:t>
      </w:r>
      <w:r w:rsidR="00B77D97" w:rsidRPr="00B77D97">
        <w:rPr>
          <w:rFonts w:ascii="Arial" w:hAnsi="Arial" w:cs="Arial"/>
          <w:iCs/>
          <w:sz w:val="24"/>
          <w:szCs w:val="24"/>
        </w:rPr>
        <w:t>, utility providers and home occupiers that are not the property owne</w:t>
      </w:r>
      <w:r w:rsidR="00B77D97">
        <w:rPr>
          <w:rFonts w:ascii="Arial" w:hAnsi="Arial" w:cs="Arial"/>
          <w:iCs/>
          <w:sz w:val="24"/>
          <w:szCs w:val="24"/>
        </w:rPr>
        <w:t xml:space="preserve">r, </w:t>
      </w:r>
      <w:r>
        <w:rPr>
          <w:rFonts w:ascii="Arial" w:hAnsi="Arial" w:cs="Arial"/>
          <w:iCs/>
          <w:sz w:val="24"/>
          <w:szCs w:val="24"/>
        </w:rPr>
        <w:t xml:space="preserve">for example, </w:t>
      </w:r>
      <w:r w:rsidR="00B77D97">
        <w:rPr>
          <w:rFonts w:ascii="Arial" w:hAnsi="Arial" w:cs="Arial"/>
          <w:iCs/>
          <w:sz w:val="24"/>
          <w:szCs w:val="24"/>
        </w:rPr>
        <w:t>tenants</w:t>
      </w:r>
      <w:r w:rsidR="00B77D97" w:rsidRPr="00B77D97">
        <w:rPr>
          <w:rFonts w:ascii="Arial" w:hAnsi="Arial" w:cs="Arial"/>
          <w:iCs/>
          <w:sz w:val="24"/>
          <w:szCs w:val="24"/>
        </w:rPr>
        <w:t>.</w:t>
      </w:r>
      <w:r w:rsidR="00B77D97">
        <w:rPr>
          <w:rFonts w:ascii="Arial" w:hAnsi="Arial" w:cs="Arial"/>
          <w:iCs/>
          <w:sz w:val="24"/>
          <w:szCs w:val="24"/>
        </w:rPr>
        <w:t xml:space="preserve"> </w:t>
      </w:r>
    </w:p>
    <w:p w14:paraId="3BFE2C2D" w14:textId="499FC498" w:rsidR="00B77D97" w:rsidRDefault="003E55AD" w:rsidP="000B1837">
      <w:pPr>
        <w:rPr>
          <w:rFonts w:ascii="Arial" w:hAnsi="Arial" w:cs="Arial"/>
          <w:iCs/>
          <w:sz w:val="24"/>
          <w:szCs w:val="24"/>
        </w:rPr>
      </w:pPr>
      <w:r>
        <w:rPr>
          <w:rFonts w:ascii="Arial" w:hAnsi="Arial" w:cs="Arial"/>
          <w:iCs/>
          <w:sz w:val="24"/>
          <w:szCs w:val="24"/>
        </w:rPr>
        <w:t xml:space="preserve">Secondly, </w:t>
      </w:r>
      <w:r w:rsidR="00615C91" w:rsidRPr="0082376E">
        <w:rPr>
          <w:rFonts w:ascii="Arial" w:hAnsi="Arial" w:cs="Arial"/>
          <w:iCs/>
          <w:sz w:val="24"/>
          <w:szCs w:val="24"/>
        </w:rPr>
        <w:t>Canopy Contribution Agreement</w:t>
      </w:r>
      <w:r w:rsidR="00615C91">
        <w:rPr>
          <w:rFonts w:ascii="Arial" w:hAnsi="Arial" w:cs="Arial"/>
          <w:iCs/>
          <w:sz w:val="24"/>
          <w:szCs w:val="24"/>
        </w:rPr>
        <w:t xml:space="preserve">s </w:t>
      </w:r>
      <w:r w:rsidR="00B77D97">
        <w:rPr>
          <w:rFonts w:ascii="Arial" w:hAnsi="Arial" w:cs="Arial"/>
          <w:iCs/>
          <w:sz w:val="24"/>
          <w:szCs w:val="24"/>
        </w:rPr>
        <w:t>may</w:t>
      </w:r>
      <w:r w:rsidR="00615C91">
        <w:rPr>
          <w:rFonts w:ascii="Arial" w:hAnsi="Arial" w:cs="Arial"/>
          <w:iCs/>
          <w:sz w:val="24"/>
          <w:szCs w:val="24"/>
        </w:rPr>
        <w:t>, where appropriate,</w:t>
      </w:r>
      <w:r w:rsidR="00B77D97">
        <w:rPr>
          <w:rFonts w:ascii="Arial" w:hAnsi="Arial" w:cs="Arial"/>
          <w:iCs/>
          <w:sz w:val="24"/>
          <w:szCs w:val="24"/>
        </w:rPr>
        <w:t xml:space="preserve"> be issued with additional conditions</w:t>
      </w:r>
      <w:r w:rsidR="00615C91">
        <w:rPr>
          <w:rFonts w:ascii="Arial" w:hAnsi="Arial" w:cs="Arial"/>
          <w:iCs/>
          <w:sz w:val="24"/>
          <w:szCs w:val="24"/>
        </w:rPr>
        <w:t xml:space="preserve">. Such conditions </w:t>
      </w:r>
      <w:r>
        <w:rPr>
          <w:rFonts w:ascii="Arial" w:hAnsi="Arial" w:cs="Arial"/>
          <w:iCs/>
          <w:sz w:val="24"/>
          <w:szCs w:val="24"/>
        </w:rPr>
        <w:t>may</w:t>
      </w:r>
      <w:r w:rsidR="00615C91">
        <w:rPr>
          <w:rFonts w:ascii="Arial" w:hAnsi="Arial" w:cs="Arial"/>
          <w:iCs/>
          <w:sz w:val="24"/>
          <w:szCs w:val="24"/>
        </w:rPr>
        <w:t xml:space="preserve"> include</w:t>
      </w:r>
      <w:r w:rsidR="00B77D97">
        <w:rPr>
          <w:rFonts w:ascii="Arial" w:hAnsi="Arial" w:cs="Arial"/>
          <w:iCs/>
          <w:sz w:val="24"/>
          <w:szCs w:val="24"/>
        </w:rPr>
        <w:t xml:space="preserve"> for signage to be erected near the tree or for representatives of a multi-unit dwelling or commercial site to notify all lot owners at the time of tree planting</w:t>
      </w:r>
      <w:r w:rsidR="00615C91">
        <w:rPr>
          <w:rFonts w:ascii="Arial" w:hAnsi="Arial" w:cs="Arial"/>
          <w:iCs/>
          <w:sz w:val="24"/>
          <w:szCs w:val="24"/>
        </w:rPr>
        <w:t xml:space="preserve"> and to provide continually accessible information such as common property signage or information accessible to owners and tenants</w:t>
      </w:r>
      <w:r>
        <w:rPr>
          <w:rFonts w:ascii="Arial" w:hAnsi="Arial" w:cs="Arial"/>
          <w:iCs/>
          <w:sz w:val="24"/>
          <w:szCs w:val="24"/>
        </w:rPr>
        <w:t>, such as on a resident portal,</w:t>
      </w:r>
      <w:r w:rsidR="00615C91">
        <w:rPr>
          <w:rFonts w:ascii="Arial" w:hAnsi="Arial" w:cs="Arial"/>
          <w:iCs/>
          <w:sz w:val="24"/>
          <w:szCs w:val="24"/>
        </w:rPr>
        <w:t xml:space="preserve"> for the direction of the protection period.</w:t>
      </w:r>
    </w:p>
    <w:p w14:paraId="41E196EB" w14:textId="6634E135" w:rsidR="00615C91" w:rsidRDefault="003E55AD" w:rsidP="00615C91">
      <w:pPr>
        <w:rPr>
          <w:rFonts w:ascii="Arial" w:hAnsi="Arial" w:cs="Arial"/>
          <w:iCs/>
          <w:sz w:val="24"/>
          <w:szCs w:val="24"/>
        </w:rPr>
      </w:pPr>
      <w:r>
        <w:rPr>
          <w:rFonts w:ascii="Arial" w:hAnsi="Arial" w:cs="Arial"/>
          <w:iCs/>
          <w:sz w:val="24"/>
          <w:szCs w:val="24"/>
        </w:rPr>
        <w:t>Thirdly, w</w:t>
      </w:r>
      <w:r w:rsidR="00615C91" w:rsidRPr="00FB1751">
        <w:rPr>
          <w:rFonts w:ascii="Arial" w:hAnsi="Arial" w:cs="Arial"/>
          <w:iCs/>
          <w:sz w:val="24"/>
          <w:szCs w:val="24"/>
        </w:rPr>
        <w:t>here trees that are protected under a Canopy Contribution Agreement change ownership</w:t>
      </w:r>
      <w:r>
        <w:rPr>
          <w:rFonts w:ascii="Arial" w:hAnsi="Arial" w:cs="Arial"/>
          <w:iCs/>
          <w:sz w:val="24"/>
          <w:szCs w:val="24"/>
        </w:rPr>
        <w:t xml:space="preserve"> before the</w:t>
      </w:r>
      <w:r w:rsidR="00615C91" w:rsidRPr="00FB1751">
        <w:rPr>
          <w:rFonts w:ascii="Arial" w:hAnsi="Arial" w:cs="Arial"/>
          <w:iCs/>
          <w:sz w:val="24"/>
          <w:szCs w:val="24"/>
        </w:rPr>
        <w:t xml:space="preserve"> protection obligations </w:t>
      </w:r>
      <w:r>
        <w:rPr>
          <w:rFonts w:ascii="Arial" w:hAnsi="Arial" w:cs="Arial"/>
          <w:iCs/>
          <w:sz w:val="24"/>
          <w:szCs w:val="24"/>
        </w:rPr>
        <w:t>expire,</w:t>
      </w:r>
      <w:r w:rsidR="00615C91" w:rsidRPr="00FB1751">
        <w:rPr>
          <w:rFonts w:ascii="Arial" w:hAnsi="Arial" w:cs="Arial"/>
          <w:iCs/>
          <w:sz w:val="24"/>
          <w:szCs w:val="24"/>
        </w:rPr>
        <w:t xml:space="preserve"> </w:t>
      </w:r>
      <w:r>
        <w:rPr>
          <w:rFonts w:ascii="Arial" w:hAnsi="Arial" w:cs="Arial"/>
          <w:iCs/>
          <w:sz w:val="24"/>
          <w:szCs w:val="24"/>
        </w:rPr>
        <w:t>n</w:t>
      </w:r>
      <w:r w:rsidR="00615C91" w:rsidRPr="00FB1751">
        <w:rPr>
          <w:rFonts w:ascii="Arial" w:hAnsi="Arial" w:cs="Arial"/>
          <w:iCs/>
          <w:sz w:val="24"/>
          <w:szCs w:val="24"/>
        </w:rPr>
        <w:t>ew owners will be made aware of this agreement</w:t>
      </w:r>
      <w:r>
        <w:rPr>
          <w:rFonts w:ascii="Arial" w:hAnsi="Arial" w:cs="Arial"/>
          <w:iCs/>
          <w:sz w:val="24"/>
          <w:szCs w:val="24"/>
        </w:rPr>
        <w:t xml:space="preserve"> and the remaining duration of the tree’s protection</w:t>
      </w:r>
      <w:r w:rsidR="00615C91" w:rsidRPr="00FB1751">
        <w:rPr>
          <w:rFonts w:ascii="Arial" w:hAnsi="Arial" w:cs="Arial"/>
          <w:iCs/>
          <w:sz w:val="24"/>
          <w:szCs w:val="24"/>
        </w:rPr>
        <w:t xml:space="preserve"> via details on the lease</w:t>
      </w:r>
      <w:r>
        <w:rPr>
          <w:rFonts w:ascii="Arial" w:hAnsi="Arial" w:cs="Arial"/>
          <w:iCs/>
          <w:sz w:val="24"/>
          <w:szCs w:val="24"/>
        </w:rPr>
        <w:t xml:space="preserve">. </w:t>
      </w:r>
      <w:r w:rsidR="00615C91" w:rsidRPr="00FB1751">
        <w:rPr>
          <w:rFonts w:ascii="Arial" w:hAnsi="Arial" w:cs="Arial"/>
          <w:color w:val="000000"/>
          <w:sz w:val="24"/>
          <w:szCs w:val="24"/>
        </w:rPr>
        <w:t xml:space="preserve">For multi-unit and commercial sites, </w:t>
      </w:r>
      <w:r w:rsidR="00615C91">
        <w:rPr>
          <w:rFonts w:ascii="Arial" w:hAnsi="Arial" w:cs="Arial"/>
          <w:color w:val="000000"/>
          <w:sz w:val="24"/>
          <w:szCs w:val="24"/>
        </w:rPr>
        <w:t>the</w:t>
      </w:r>
      <w:r w:rsidR="00615C91" w:rsidRPr="00615C91">
        <w:rPr>
          <w:rFonts w:ascii="Arial" w:hAnsi="Arial" w:cs="Arial"/>
          <w:iCs/>
          <w:sz w:val="24"/>
          <w:szCs w:val="24"/>
        </w:rPr>
        <w:t xml:space="preserve"> </w:t>
      </w:r>
      <w:r w:rsidR="00615C91" w:rsidRPr="00AC3A13">
        <w:rPr>
          <w:rFonts w:ascii="Arial" w:hAnsi="Arial" w:cs="Arial"/>
          <w:iCs/>
          <w:sz w:val="24"/>
          <w:szCs w:val="24"/>
        </w:rPr>
        <w:t>Canopy Contribution Agreement</w:t>
      </w:r>
      <w:r w:rsidR="00615C91">
        <w:rPr>
          <w:rFonts w:ascii="Arial" w:hAnsi="Arial" w:cs="Arial"/>
          <w:iCs/>
          <w:sz w:val="24"/>
          <w:szCs w:val="24"/>
        </w:rPr>
        <w:t xml:space="preserve"> will require </w:t>
      </w:r>
      <w:r w:rsidR="00615C91" w:rsidRPr="00FB1751">
        <w:rPr>
          <w:rFonts w:ascii="Arial" w:hAnsi="Arial" w:cs="Arial"/>
          <w:color w:val="000000"/>
          <w:sz w:val="24"/>
          <w:szCs w:val="24"/>
        </w:rPr>
        <w:t>that the protection period be noted in the Unit or Commercial Title Rules</w:t>
      </w:r>
      <w:r w:rsidR="00615C91">
        <w:rPr>
          <w:rFonts w:ascii="Arial" w:hAnsi="Arial" w:cs="Arial"/>
          <w:color w:val="000000"/>
          <w:sz w:val="24"/>
          <w:szCs w:val="24"/>
        </w:rPr>
        <w:t xml:space="preserve">, </w:t>
      </w:r>
      <w:r w:rsidR="00615C91" w:rsidRPr="00FB1751">
        <w:rPr>
          <w:rFonts w:ascii="Arial" w:hAnsi="Arial" w:cs="Arial"/>
          <w:color w:val="000000"/>
          <w:sz w:val="24"/>
          <w:szCs w:val="24"/>
        </w:rPr>
        <w:t>as these are included with each contract for sale and for new tenants/occupants</w:t>
      </w:r>
      <w:r w:rsidR="00615C91">
        <w:rPr>
          <w:rFonts w:ascii="Arial" w:hAnsi="Arial" w:cs="Arial"/>
          <w:color w:val="000000"/>
          <w:sz w:val="24"/>
          <w:szCs w:val="24"/>
        </w:rPr>
        <w:t>.</w:t>
      </w:r>
      <w:r w:rsidR="00615C91">
        <w:rPr>
          <w:rFonts w:ascii="Arial" w:hAnsi="Arial" w:cs="Arial"/>
          <w:i/>
          <w:iCs/>
          <w:color w:val="000000"/>
          <w:sz w:val="24"/>
          <w:szCs w:val="24"/>
        </w:rPr>
        <w:t xml:space="preserve"> </w:t>
      </w:r>
      <w:r w:rsidR="00615C91">
        <w:rPr>
          <w:rFonts w:ascii="Arial" w:hAnsi="Arial" w:cs="Arial"/>
          <w:color w:val="000000"/>
          <w:sz w:val="24"/>
          <w:szCs w:val="24"/>
        </w:rPr>
        <w:t xml:space="preserve">These conditions will ensure that information about a </w:t>
      </w:r>
      <w:r w:rsidR="00066C48">
        <w:rPr>
          <w:rFonts w:ascii="Arial" w:hAnsi="Arial" w:cs="Arial"/>
          <w:color w:val="000000"/>
          <w:sz w:val="24"/>
          <w:szCs w:val="24"/>
        </w:rPr>
        <w:t>protected tree</w:t>
      </w:r>
      <w:r w:rsidR="00615C91">
        <w:rPr>
          <w:rFonts w:ascii="Arial" w:hAnsi="Arial" w:cs="Arial"/>
          <w:color w:val="000000"/>
          <w:sz w:val="24"/>
          <w:szCs w:val="24"/>
        </w:rPr>
        <w:t xml:space="preserve"> must be provided to the people most likely to conduct or authorise works to or near the tree so that they are on </w:t>
      </w:r>
      <w:r w:rsidR="00615C91">
        <w:rPr>
          <w:rFonts w:ascii="Arial" w:hAnsi="Arial" w:cs="Arial"/>
          <w:iCs/>
          <w:sz w:val="24"/>
          <w:szCs w:val="24"/>
        </w:rPr>
        <w:t>notice of</w:t>
      </w:r>
      <w:r w:rsidR="00615C91" w:rsidRPr="0082376E">
        <w:rPr>
          <w:rFonts w:ascii="Arial" w:hAnsi="Arial" w:cs="Arial"/>
          <w:iCs/>
          <w:sz w:val="24"/>
          <w:szCs w:val="24"/>
        </w:rPr>
        <w:t xml:space="preserve"> their obligations </w:t>
      </w:r>
      <w:r w:rsidR="00066C48">
        <w:rPr>
          <w:rFonts w:ascii="Arial" w:hAnsi="Arial" w:cs="Arial"/>
          <w:iCs/>
          <w:sz w:val="24"/>
          <w:szCs w:val="24"/>
        </w:rPr>
        <w:t>around the protected</w:t>
      </w:r>
      <w:r w:rsidR="00615C91" w:rsidRPr="0082376E">
        <w:rPr>
          <w:rFonts w:ascii="Arial" w:hAnsi="Arial" w:cs="Arial"/>
          <w:iCs/>
          <w:sz w:val="24"/>
          <w:szCs w:val="24"/>
        </w:rPr>
        <w:t xml:space="preserve"> tree</w:t>
      </w:r>
      <w:r w:rsidR="00615C91">
        <w:rPr>
          <w:rFonts w:ascii="Arial" w:hAnsi="Arial" w:cs="Arial"/>
          <w:iCs/>
          <w:sz w:val="24"/>
          <w:szCs w:val="24"/>
        </w:rPr>
        <w:t>.</w:t>
      </w:r>
    </w:p>
    <w:p w14:paraId="23739707" w14:textId="15B093A3" w:rsidR="00615C91" w:rsidRPr="00FB1751" w:rsidRDefault="00615C91" w:rsidP="00FB1751">
      <w:pPr>
        <w:rPr>
          <w:rFonts w:ascii="Arial" w:eastAsiaTheme="minorHAnsi" w:hAnsi="Arial" w:cs="Arial"/>
          <w:color w:val="000000"/>
          <w:sz w:val="24"/>
          <w:szCs w:val="24"/>
        </w:rPr>
      </w:pPr>
      <w:r>
        <w:rPr>
          <w:rFonts w:ascii="Arial" w:hAnsi="Arial" w:cs="Arial"/>
          <w:iCs/>
          <w:sz w:val="24"/>
          <w:szCs w:val="24"/>
        </w:rPr>
        <w:t>F</w:t>
      </w:r>
      <w:r w:rsidR="003E55AD">
        <w:rPr>
          <w:rFonts w:ascii="Arial" w:hAnsi="Arial" w:cs="Arial"/>
          <w:iCs/>
          <w:sz w:val="24"/>
          <w:szCs w:val="24"/>
        </w:rPr>
        <w:t>inally</w:t>
      </w:r>
      <w:r>
        <w:rPr>
          <w:rFonts w:ascii="Arial" w:hAnsi="Arial" w:cs="Arial"/>
          <w:iCs/>
          <w:sz w:val="24"/>
          <w:szCs w:val="24"/>
        </w:rPr>
        <w:t xml:space="preserve">, information on trees protected under </w:t>
      </w:r>
      <w:r w:rsidRPr="00AC3A13">
        <w:rPr>
          <w:rFonts w:ascii="Arial" w:hAnsi="Arial" w:cs="Arial"/>
          <w:iCs/>
          <w:sz w:val="24"/>
          <w:szCs w:val="24"/>
        </w:rPr>
        <w:t>Canopy Contribution Agreement</w:t>
      </w:r>
      <w:r>
        <w:rPr>
          <w:rFonts w:ascii="Arial" w:hAnsi="Arial" w:cs="Arial"/>
          <w:iCs/>
          <w:sz w:val="24"/>
          <w:szCs w:val="24"/>
        </w:rPr>
        <w:t>s will be made publicly available on ACTmapi. This information will be provided at a block and section level to protect the privacy of tree owners.</w:t>
      </w:r>
    </w:p>
    <w:p w14:paraId="0BF255A1" w14:textId="74A2E34B" w:rsidR="00E35294" w:rsidRDefault="000B1837">
      <w:pPr>
        <w:rPr>
          <w:rFonts w:ascii="Arial" w:hAnsi="Arial" w:cs="Arial"/>
          <w:iCs/>
          <w:sz w:val="24"/>
          <w:szCs w:val="24"/>
        </w:rPr>
      </w:pPr>
      <w:r w:rsidRPr="0082376E">
        <w:rPr>
          <w:rFonts w:ascii="Arial" w:hAnsi="Arial" w:cs="Arial"/>
          <w:iCs/>
          <w:sz w:val="24"/>
          <w:szCs w:val="24"/>
        </w:rPr>
        <w:t xml:space="preserve">The </w:t>
      </w:r>
      <w:r w:rsidR="0082376E" w:rsidRPr="0082376E">
        <w:rPr>
          <w:rFonts w:ascii="Arial" w:hAnsi="Arial" w:cs="Arial"/>
          <w:iCs/>
          <w:sz w:val="24"/>
          <w:szCs w:val="24"/>
        </w:rPr>
        <w:t xml:space="preserve">Urban Forest Act was notified on 11 April 2023 and is </w:t>
      </w:r>
      <w:r w:rsidRPr="0082376E">
        <w:rPr>
          <w:rFonts w:ascii="Arial" w:hAnsi="Arial" w:cs="Arial"/>
          <w:iCs/>
          <w:sz w:val="24"/>
          <w:szCs w:val="24"/>
        </w:rPr>
        <w:t>scheduled to commence on 1 J</w:t>
      </w:r>
      <w:r w:rsidR="0082376E" w:rsidRPr="0082376E">
        <w:rPr>
          <w:rFonts w:ascii="Arial" w:hAnsi="Arial" w:cs="Arial"/>
          <w:iCs/>
          <w:sz w:val="24"/>
          <w:szCs w:val="24"/>
        </w:rPr>
        <w:t>anuary</w:t>
      </w:r>
      <w:r w:rsidRPr="0082376E">
        <w:rPr>
          <w:rFonts w:ascii="Arial" w:hAnsi="Arial" w:cs="Arial"/>
          <w:iCs/>
          <w:sz w:val="24"/>
          <w:szCs w:val="24"/>
        </w:rPr>
        <w:t xml:space="preserve"> 202</w:t>
      </w:r>
      <w:r w:rsidR="0082376E" w:rsidRPr="0082376E">
        <w:rPr>
          <w:rFonts w:ascii="Arial" w:hAnsi="Arial" w:cs="Arial"/>
          <w:iCs/>
          <w:sz w:val="24"/>
          <w:szCs w:val="24"/>
        </w:rPr>
        <w:t>4, along with the commencement of this Regulation</w:t>
      </w:r>
      <w:r w:rsidRPr="0082376E">
        <w:rPr>
          <w:rFonts w:ascii="Arial" w:hAnsi="Arial" w:cs="Arial"/>
          <w:iCs/>
          <w:sz w:val="24"/>
          <w:szCs w:val="24"/>
        </w:rPr>
        <w:t xml:space="preserve">. </w:t>
      </w:r>
      <w:r w:rsidR="0082376E" w:rsidRPr="0082376E">
        <w:rPr>
          <w:rFonts w:ascii="Arial" w:hAnsi="Arial" w:cs="Arial"/>
          <w:iCs/>
          <w:sz w:val="24"/>
          <w:szCs w:val="24"/>
        </w:rPr>
        <w:t xml:space="preserve">Prior to the commencement date </w:t>
      </w:r>
      <w:r w:rsidRPr="0082376E">
        <w:rPr>
          <w:rFonts w:ascii="Arial" w:hAnsi="Arial" w:cs="Arial"/>
          <w:iCs/>
          <w:sz w:val="24"/>
          <w:szCs w:val="24"/>
        </w:rPr>
        <w:t>a</w:t>
      </w:r>
      <w:r w:rsidR="0082376E" w:rsidRPr="0082376E">
        <w:rPr>
          <w:rFonts w:ascii="Arial" w:hAnsi="Arial" w:cs="Arial"/>
          <w:iCs/>
          <w:sz w:val="24"/>
          <w:szCs w:val="24"/>
        </w:rPr>
        <w:t xml:space="preserve"> public</w:t>
      </w:r>
      <w:r w:rsidRPr="0082376E">
        <w:rPr>
          <w:rFonts w:ascii="Arial" w:hAnsi="Arial" w:cs="Arial"/>
          <w:iCs/>
          <w:sz w:val="24"/>
          <w:szCs w:val="24"/>
        </w:rPr>
        <w:t xml:space="preserve"> education program wi</w:t>
      </w:r>
      <w:r w:rsidR="0082376E" w:rsidRPr="0082376E">
        <w:rPr>
          <w:rFonts w:ascii="Arial" w:hAnsi="Arial" w:cs="Arial"/>
          <w:iCs/>
          <w:sz w:val="24"/>
          <w:szCs w:val="24"/>
        </w:rPr>
        <w:t>ll</w:t>
      </w:r>
      <w:r w:rsidRPr="0082376E">
        <w:rPr>
          <w:rFonts w:ascii="Arial" w:hAnsi="Arial" w:cs="Arial"/>
          <w:iCs/>
          <w:sz w:val="24"/>
          <w:szCs w:val="24"/>
        </w:rPr>
        <w:t xml:space="preserve"> be undertaken to alert the community and businesses, such as arborists, about the new laws to ensure they are aware </w:t>
      </w:r>
      <w:r w:rsidR="00494C33">
        <w:rPr>
          <w:rFonts w:ascii="Arial" w:hAnsi="Arial" w:cs="Arial"/>
          <w:iCs/>
          <w:sz w:val="24"/>
          <w:szCs w:val="24"/>
        </w:rPr>
        <w:t xml:space="preserve">of </w:t>
      </w:r>
      <w:r w:rsidRPr="0082376E">
        <w:rPr>
          <w:rFonts w:ascii="Arial" w:hAnsi="Arial" w:cs="Arial"/>
          <w:iCs/>
          <w:sz w:val="24"/>
          <w:szCs w:val="24"/>
        </w:rPr>
        <w:t>their obligations.</w:t>
      </w:r>
      <w:r w:rsidRPr="0082376E">
        <w:rPr>
          <w:rFonts w:eastAsia="Times New Roman"/>
        </w:rPr>
        <w:t xml:space="preserve"> </w:t>
      </w:r>
      <w:r w:rsidRPr="0082376E">
        <w:rPr>
          <w:rFonts w:ascii="Arial" w:hAnsi="Arial" w:cs="Arial"/>
          <w:iCs/>
          <w:sz w:val="24"/>
          <w:szCs w:val="24"/>
        </w:rPr>
        <w:t>Appropriate safeguards, such as mail-outs to third parties</w:t>
      </w:r>
      <w:r w:rsidR="00494C33">
        <w:rPr>
          <w:rFonts w:ascii="Arial" w:hAnsi="Arial" w:cs="Arial"/>
          <w:iCs/>
          <w:sz w:val="24"/>
          <w:szCs w:val="24"/>
        </w:rPr>
        <w:t xml:space="preserve"> e.g.</w:t>
      </w:r>
      <w:r w:rsidRPr="0082376E">
        <w:rPr>
          <w:rFonts w:ascii="Arial" w:hAnsi="Arial" w:cs="Arial"/>
          <w:iCs/>
          <w:sz w:val="24"/>
          <w:szCs w:val="24"/>
        </w:rPr>
        <w:t xml:space="preserve"> new property owners, will be implemented to ensure people likely to have the most regular dealings with protected trees are aware of their status so they do not inadvertently breach provisions of the Bill. </w:t>
      </w:r>
    </w:p>
    <w:p w14:paraId="21D0B197" w14:textId="77777777" w:rsidR="00E35294" w:rsidRDefault="00E35294">
      <w:pPr>
        <w:rPr>
          <w:rFonts w:ascii="Arial" w:hAnsi="Arial" w:cs="Arial"/>
          <w:iCs/>
          <w:sz w:val="24"/>
          <w:szCs w:val="24"/>
        </w:rPr>
      </w:pPr>
    </w:p>
    <w:p w14:paraId="48EDD454" w14:textId="6ACBA6F3" w:rsidR="003F2AE6" w:rsidRDefault="003F2AE6">
      <w:pPr>
        <w:rPr>
          <w:rFonts w:ascii="Arial" w:eastAsiaTheme="majorEastAsia" w:hAnsi="Arial" w:cs="Arial"/>
          <w:b/>
          <w:bCs/>
          <w:color w:val="000000" w:themeColor="text1"/>
          <w:sz w:val="24"/>
          <w:szCs w:val="24"/>
        </w:rPr>
      </w:pPr>
      <w:r>
        <w:rPr>
          <w:rFonts w:ascii="Arial" w:eastAsiaTheme="majorEastAsia" w:hAnsi="Arial" w:cs="Arial"/>
          <w:b/>
          <w:bCs/>
          <w:color w:val="000000" w:themeColor="text1"/>
          <w:sz w:val="24"/>
          <w:szCs w:val="24"/>
        </w:rPr>
        <w:br w:type="page"/>
      </w:r>
    </w:p>
    <w:p w14:paraId="042BF2A5" w14:textId="36327636" w:rsidR="00D14F2C" w:rsidRDefault="00EA20AB" w:rsidP="00EA20AB">
      <w:pPr>
        <w:rPr>
          <w:rFonts w:ascii="Arial" w:eastAsiaTheme="majorEastAsia" w:hAnsi="Arial" w:cs="Arial"/>
          <w:b/>
          <w:bCs/>
          <w:color w:val="000000" w:themeColor="text1"/>
          <w:sz w:val="24"/>
          <w:szCs w:val="24"/>
        </w:rPr>
      </w:pPr>
      <w:r>
        <w:rPr>
          <w:rFonts w:ascii="Arial" w:eastAsiaTheme="majorEastAsia" w:hAnsi="Arial" w:cs="Arial"/>
          <w:b/>
          <w:bCs/>
          <w:color w:val="000000" w:themeColor="text1"/>
          <w:sz w:val="24"/>
          <w:szCs w:val="24"/>
        </w:rPr>
        <w:lastRenderedPageBreak/>
        <w:t>SUMMARY OF CLAUSES</w:t>
      </w:r>
    </w:p>
    <w:p w14:paraId="65A3C3FD" w14:textId="65DDC4C5" w:rsidR="00EA20AB" w:rsidRPr="00F5454D" w:rsidRDefault="00EA20AB" w:rsidP="00F5454D">
      <w:pPr>
        <w:pStyle w:val="NormalWeb"/>
        <w:shd w:val="clear" w:color="auto" w:fill="FFFFFF"/>
        <w:spacing w:before="360" w:beforeAutospacing="0" w:after="120" w:afterAutospacing="0"/>
        <w:rPr>
          <w:rFonts w:ascii="Arial" w:hAnsi="Arial" w:cs="Arial"/>
          <w:b/>
          <w:bCs/>
          <w:color w:val="000000"/>
        </w:rPr>
      </w:pPr>
      <w:r>
        <w:rPr>
          <w:rFonts w:ascii="Arial" w:hAnsi="Arial" w:cs="Arial"/>
          <w:b/>
          <w:bCs/>
          <w:color w:val="000000"/>
        </w:rPr>
        <w:t>Clause 1</w:t>
      </w:r>
      <w:r w:rsidRPr="00F5454D">
        <w:rPr>
          <w:rFonts w:ascii="Arial" w:hAnsi="Arial" w:cs="Arial"/>
          <w:b/>
          <w:bCs/>
          <w:color w:val="000000"/>
        </w:rPr>
        <w:t> </w:t>
      </w:r>
      <w:r w:rsidRPr="00F5454D">
        <w:rPr>
          <w:rFonts w:ascii="Arial" w:hAnsi="Arial" w:cs="Arial"/>
          <w:b/>
          <w:bCs/>
          <w:color w:val="000000"/>
        </w:rPr>
        <w:tab/>
      </w:r>
      <w:r>
        <w:rPr>
          <w:rFonts w:ascii="Arial" w:hAnsi="Arial" w:cs="Arial"/>
          <w:b/>
          <w:bCs/>
          <w:color w:val="000000"/>
        </w:rPr>
        <w:t>Name of regulation</w:t>
      </w:r>
    </w:p>
    <w:p w14:paraId="56A2A5EA" w14:textId="50A048D9" w:rsidR="00EA20AB" w:rsidRDefault="00EA20AB" w:rsidP="00EA20AB">
      <w:pPr>
        <w:pStyle w:val="NormalWeb"/>
        <w:shd w:val="clear" w:color="auto" w:fill="FFFFFF"/>
        <w:spacing w:before="0" w:beforeAutospacing="0" w:after="240" w:afterAutospacing="0"/>
        <w:rPr>
          <w:rFonts w:ascii="Calibri" w:hAnsi="Calibri" w:cs="Calibri"/>
          <w:color w:val="000000"/>
        </w:rPr>
      </w:pPr>
      <w:r>
        <w:rPr>
          <w:rFonts w:ascii="Arial" w:hAnsi="Arial" w:cs="Arial"/>
          <w:color w:val="000000"/>
        </w:rPr>
        <w:t>This clause provides that the name of the regulation is the </w:t>
      </w:r>
      <w:r w:rsidRPr="00FB1751">
        <w:rPr>
          <w:rFonts w:ascii="Arial" w:hAnsi="Arial" w:cs="Arial"/>
          <w:color w:val="000000"/>
        </w:rPr>
        <w:t>Magistrates Court (Urban Forest Infringement Notices) Regulation 2023</w:t>
      </w:r>
      <w:r>
        <w:rPr>
          <w:rFonts w:ascii="Arial" w:hAnsi="Arial" w:cs="Arial"/>
          <w:color w:val="000000"/>
        </w:rPr>
        <w:t>.</w:t>
      </w:r>
    </w:p>
    <w:p w14:paraId="38C3D627" w14:textId="07D29549" w:rsidR="00EA20AB" w:rsidRDefault="00EA20AB" w:rsidP="00F5454D">
      <w:pPr>
        <w:pStyle w:val="NormalWeb"/>
        <w:shd w:val="clear" w:color="auto" w:fill="FFFFFF"/>
        <w:spacing w:before="360" w:beforeAutospacing="0" w:after="120" w:afterAutospacing="0"/>
        <w:rPr>
          <w:rFonts w:ascii="Calibri" w:hAnsi="Calibri" w:cs="Calibri"/>
          <w:color w:val="000000"/>
        </w:rPr>
      </w:pPr>
      <w:r>
        <w:rPr>
          <w:rFonts w:ascii="Arial" w:hAnsi="Arial" w:cs="Arial"/>
          <w:b/>
          <w:bCs/>
          <w:color w:val="000000"/>
        </w:rPr>
        <w:t>Clause 2</w:t>
      </w:r>
      <w:r>
        <w:rPr>
          <w:rFonts w:ascii="Calibri" w:hAnsi="Calibri" w:cs="Calibri"/>
          <w:color w:val="000000"/>
        </w:rPr>
        <w:t> </w:t>
      </w:r>
      <w:r>
        <w:rPr>
          <w:rFonts w:ascii="Calibri" w:hAnsi="Calibri" w:cs="Calibri"/>
          <w:color w:val="000000"/>
        </w:rPr>
        <w:tab/>
      </w:r>
      <w:r>
        <w:rPr>
          <w:rFonts w:ascii="Arial" w:hAnsi="Arial" w:cs="Arial"/>
          <w:b/>
          <w:bCs/>
          <w:color w:val="000000"/>
        </w:rPr>
        <w:t>Commencement</w:t>
      </w:r>
    </w:p>
    <w:p w14:paraId="4BFB6F55" w14:textId="29E6A95E" w:rsidR="00EA20AB" w:rsidRPr="00EA20AB" w:rsidRDefault="00EA20AB" w:rsidP="00EA20AB">
      <w:pPr>
        <w:pStyle w:val="NormalWeb"/>
        <w:shd w:val="clear" w:color="auto" w:fill="FFFFFF"/>
        <w:spacing w:before="0" w:beforeAutospacing="0" w:after="240" w:afterAutospacing="0"/>
        <w:rPr>
          <w:rFonts w:ascii="Calibri" w:hAnsi="Calibri" w:cs="Calibri"/>
          <w:i/>
          <w:iCs/>
          <w:color w:val="000000"/>
        </w:rPr>
      </w:pPr>
      <w:r>
        <w:rPr>
          <w:rFonts w:ascii="Arial" w:hAnsi="Arial" w:cs="Arial"/>
          <w:color w:val="000000"/>
        </w:rPr>
        <w:t xml:space="preserve">This clause provides for the commencement of the regulation on the commencement of the </w:t>
      </w:r>
      <w:r w:rsidR="00F5454D">
        <w:rPr>
          <w:rFonts w:ascii="Arial" w:hAnsi="Arial" w:cs="Arial"/>
          <w:color w:val="000000"/>
        </w:rPr>
        <w:t>Urban Forest Act</w:t>
      </w:r>
      <w:r>
        <w:rPr>
          <w:rFonts w:ascii="Arial" w:hAnsi="Arial" w:cs="Arial"/>
          <w:i/>
          <w:iCs/>
          <w:color w:val="000000"/>
        </w:rPr>
        <w:t>.</w:t>
      </w:r>
    </w:p>
    <w:p w14:paraId="07EAEF91" w14:textId="34B5C239" w:rsidR="00EA20AB" w:rsidRPr="00F5454D" w:rsidRDefault="00EA20AB" w:rsidP="00F5454D">
      <w:pPr>
        <w:pStyle w:val="NormalWeb"/>
        <w:shd w:val="clear" w:color="auto" w:fill="FFFFFF"/>
        <w:spacing w:before="360" w:beforeAutospacing="0" w:after="120" w:afterAutospacing="0"/>
        <w:rPr>
          <w:rFonts w:ascii="Arial" w:hAnsi="Arial" w:cs="Arial"/>
          <w:b/>
          <w:bCs/>
          <w:color w:val="000000"/>
        </w:rPr>
      </w:pPr>
      <w:r>
        <w:rPr>
          <w:rFonts w:ascii="Arial" w:hAnsi="Arial" w:cs="Arial"/>
          <w:b/>
          <w:bCs/>
          <w:color w:val="000000"/>
        </w:rPr>
        <w:t>Clause 3</w:t>
      </w:r>
      <w:r w:rsidRPr="00F5454D">
        <w:rPr>
          <w:rFonts w:ascii="Arial" w:hAnsi="Arial" w:cs="Arial"/>
          <w:b/>
          <w:bCs/>
          <w:color w:val="000000"/>
        </w:rPr>
        <w:t> </w:t>
      </w:r>
      <w:r w:rsidRPr="00F5454D">
        <w:rPr>
          <w:rFonts w:ascii="Arial" w:hAnsi="Arial" w:cs="Arial"/>
          <w:b/>
          <w:bCs/>
          <w:color w:val="000000"/>
        </w:rPr>
        <w:tab/>
      </w:r>
      <w:r>
        <w:rPr>
          <w:rFonts w:ascii="Arial" w:hAnsi="Arial" w:cs="Arial"/>
          <w:b/>
          <w:bCs/>
          <w:color w:val="000000"/>
        </w:rPr>
        <w:t>Dictionary</w:t>
      </w:r>
    </w:p>
    <w:p w14:paraId="5AF53F6D" w14:textId="16B9EEDC" w:rsidR="00EA20AB" w:rsidRDefault="00EA20AB" w:rsidP="00EA20AB">
      <w:pPr>
        <w:pStyle w:val="NormalWeb"/>
        <w:shd w:val="clear" w:color="auto" w:fill="FFFFFF"/>
        <w:spacing w:before="0" w:beforeAutospacing="0" w:after="120" w:afterAutospacing="0"/>
        <w:rPr>
          <w:rFonts w:ascii="Calibri" w:hAnsi="Calibri" w:cs="Calibri"/>
          <w:color w:val="000000"/>
        </w:rPr>
      </w:pPr>
      <w:r>
        <w:rPr>
          <w:rFonts w:ascii="Arial" w:hAnsi="Arial" w:cs="Arial"/>
          <w:color w:val="000000"/>
        </w:rPr>
        <w:t>This clause provides that the dictionary at the end of the regulation is part of the regulation. The dictionary defines certain terms used in the regulation.</w:t>
      </w:r>
    </w:p>
    <w:p w14:paraId="4843FC02" w14:textId="3BE8E118" w:rsidR="00EA20AB" w:rsidRDefault="00EA20AB" w:rsidP="00F5454D">
      <w:pPr>
        <w:pStyle w:val="NormalWeb"/>
        <w:shd w:val="clear" w:color="auto" w:fill="FFFFFF"/>
        <w:spacing w:before="360" w:beforeAutospacing="0" w:after="120" w:afterAutospacing="0"/>
        <w:rPr>
          <w:rFonts w:ascii="Arial" w:hAnsi="Arial" w:cs="Arial"/>
          <w:b/>
          <w:bCs/>
          <w:color w:val="000000"/>
        </w:rPr>
      </w:pPr>
      <w:r>
        <w:rPr>
          <w:rFonts w:ascii="Arial" w:hAnsi="Arial" w:cs="Arial"/>
          <w:b/>
          <w:bCs/>
          <w:color w:val="000000"/>
        </w:rPr>
        <w:t>Clause 4</w:t>
      </w:r>
      <w:r w:rsidRPr="00F5454D">
        <w:rPr>
          <w:rFonts w:ascii="Arial" w:hAnsi="Arial" w:cs="Arial"/>
          <w:b/>
          <w:bCs/>
          <w:color w:val="000000"/>
        </w:rPr>
        <w:t> </w:t>
      </w:r>
      <w:r w:rsidRPr="00F5454D">
        <w:rPr>
          <w:rFonts w:ascii="Arial" w:hAnsi="Arial" w:cs="Arial"/>
          <w:b/>
          <w:bCs/>
          <w:color w:val="000000"/>
        </w:rPr>
        <w:tab/>
      </w:r>
      <w:r>
        <w:rPr>
          <w:rFonts w:ascii="Arial" w:hAnsi="Arial" w:cs="Arial"/>
          <w:b/>
          <w:bCs/>
          <w:color w:val="000000"/>
        </w:rPr>
        <w:t>Notes</w:t>
      </w:r>
    </w:p>
    <w:p w14:paraId="4D22D55A" w14:textId="728F5AA7" w:rsidR="00EA20AB" w:rsidRDefault="00EA20AB" w:rsidP="00EA20AB">
      <w:pPr>
        <w:pStyle w:val="NormalWeb"/>
        <w:shd w:val="clear" w:color="auto" w:fill="FFFFFF"/>
        <w:spacing w:before="0" w:beforeAutospacing="0" w:after="120" w:afterAutospacing="0"/>
        <w:rPr>
          <w:rFonts w:ascii="Calibri" w:hAnsi="Calibri" w:cs="Calibri"/>
          <w:color w:val="000000"/>
        </w:rPr>
      </w:pPr>
      <w:r>
        <w:rPr>
          <w:rFonts w:ascii="Arial" w:hAnsi="Arial" w:cs="Arial"/>
          <w:color w:val="000000"/>
        </w:rPr>
        <w:t>This clause</w:t>
      </w:r>
      <w:r w:rsidRPr="00EA20AB">
        <w:rPr>
          <w:rFonts w:ascii="Arial" w:hAnsi="Arial" w:cs="Arial"/>
          <w:color w:val="000000"/>
        </w:rPr>
        <w:t xml:space="preserve"> provides that a note found in the regulation is explanatory and is not part of the regulation.</w:t>
      </w:r>
    </w:p>
    <w:p w14:paraId="5D1D9B4D" w14:textId="2CF42D70" w:rsidR="00EA20AB" w:rsidRDefault="00EA20AB" w:rsidP="00F5454D">
      <w:pPr>
        <w:pStyle w:val="NormalWeb"/>
        <w:shd w:val="clear" w:color="auto" w:fill="FFFFFF"/>
        <w:spacing w:before="360" w:beforeAutospacing="0" w:after="120" w:afterAutospacing="0"/>
        <w:rPr>
          <w:rFonts w:ascii="Arial" w:hAnsi="Arial" w:cs="Arial"/>
          <w:b/>
          <w:bCs/>
          <w:color w:val="000000"/>
        </w:rPr>
      </w:pPr>
      <w:r>
        <w:rPr>
          <w:rFonts w:ascii="Arial" w:hAnsi="Arial" w:cs="Arial"/>
          <w:b/>
          <w:bCs/>
          <w:color w:val="000000"/>
        </w:rPr>
        <w:t>Clause 5</w:t>
      </w:r>
      <w:r w:rsidRPr="00F5454D">
        <w:rPr>
          <w:rFonts w:ascii="Arial" w:hAnsi="Arial" w:cs="Arial"/>
          <w:b/>
          <w:bCs/>
          <w:color w:val="000000"/>
        </w:rPr>
        <w:t> </w:t>
      </w:r>
      <w:r w:rsidRPr="00F5454D">
        <w:rPr>
          <w:rFonts w:ascii="Arial" w:hAnsi="Arial" w:cs="Arial"/>
          <w:b/>
          <w:bCs/>
          <w:color w:val="000000"/>
        </w:rPr>
        <w:tab/>
      </w:r>
      <w:r>
        <w:rPr>
          <w:rFonts w:ascii="Arial" w:hAnsi="Arial" w:cs="Arial"/>
          <w:b/>
          <w:bCs/>
          <w:color w:val="000000"/>
        </w:rPr>
        <w:t>Purpose of regulation</w:t>
      </w:r>
    </w:p>
    <w:p w14:paraId="3B8E4FAA" w14:textId="1248F11B" w:rsidR="00EA20AB" w:rsidRDefault="00F5454D" w:rsidP="00EA20AB">
      <w:pPr>
        <w:pStyle w:val="NormalWeb"/>
        <w:shd w:val="clear" w:color="auto" w:fill="FFFFFF"/>
        <w:spacing w:before="0" w:beforeAutospacing="0" w:after="120" w:afterAutospacing="0"/>
        <w:rPr>
          <w:rFonts w:ascii="Arial" w:hAnsi="Arial" w:cs="Arial"/>
          <w:b/>
          <w:bCs/>
          <w:color w:val="000000"/>
        </w:rPr>
      </w:pPr>
      <w:r w:rsidRPr="00F5454D">
        <w:rPr>
          <w:rFonts w:ascii="Arial" w:hAnsi="Arial" w:cs="Arial"/>
          <w:color w:val="000000"/>
        </w:rPr>
        <w:t xml:space="preserve">This clause provides that the purpose of the regulation is to provide for infringement notices under the Magistrates Court Act, part 3.8, for certain offences against the </w:t>
      </w:r>
      <w:r>
        <w:rPr>
          <w:rFonts w:ascii="Arial" w:hAnsi="Arial" w:cs="Arial"/>
          <w:color w:val="000000"/>
        </w:rPr>
        <w:t>Urban Forest Act</w:t>
      </w:r>
      <w:r w:rsidRPr="00F5454D">
        <w:rPr>
          <w:rFonts w:ascii="Arial" w:hAnsi="Arial" w:cs="Arial"/>
          <w:color w:val="000000"/>
        </w:rPr>
        <w:t>.</w:t>
      </w:r>
    </w:p>
    <w:p w14:paraId="19F12226" w14:textId="47F576F4" w:rsidR="00EA20AB" w:rsidRDefault="00EA20AB" w:rsidP="00F5454D">
      <w:pPr>
        <w:pStyle w:val="NormalWeb"/>
        <w:shd w:val="clear" w:color="auto" w:fill="FFFFFF"/>
        <w:spacing w:before="360" w:beforeAutospacing="0" w:after="120" w:afterAutospacing="0"/>
        <w:rPr>
          <w:rFonts w:ascii="Arial" w:hAnsi="Arial" w:cs="Arial"/>
          <w:b/>
          <w:bCs/>
          <w:color w:val="000000"/>
        </w:rPr>
      </w:pPr>
      <w:r>
        <w:rPr>
          <w:rFonts w:ascii="Arial" w:hAnsi="Arial" w:cs="Arial"/>
          <w:b/>
          <w:bCs/>
          <w:color w:val="000000"/>
        </w:rPr>
        <w:t>Clause 6</w:t>
      </w:r>
      <w:r w:rsidRPr="00F5454D">
        <w:rPr>
          <w:rFonts w:ascii="Arial" w:hAnsi="Arial" w:cs="Arial"/>
          <w:b/>
          <w:bCs/>
          <w:color w:val="000000"/>
        </w:rPr>
        <w:t> </w:t>
      </w:r>
      <w:r w:rsidRPr="00F5454D">
        <w:rPr>
          <w:rFonts w:ascii="Arial" w:hAnsi="Arial" w:cs="Arial"/>
          <w:b/>
          <w:bCs/>
          <w:color w:val="000000"/>
        </w:rPr>
        <w:tab/>
      </w:r>
      <w:r>
        <w:rPr>
          <w:rFonts w:ascii="Arial" w:hAnsi="Arial" w:cs="Arial"/>
          <w:b/>
          <w:bCs/>
          <w:color w:val="000000"/>
        </w:rPr>
        <w:t>Administering authority</w:t>
      </w:r>
    </w:p>
    <w:p w14:paraId="52B7CA4B" w14:textId="7529E590" w:rsidR="00EA20AB" w:rsidRPr="00EA20AB" w:rsidRDefault="00EA20AB" w:rsidP="00EA20AB">
      <w:pPr>
        <w:pStyle w:val="NormalWeb"/>
        <w:shd w:val="clear" w:color="auto" w:fill="FFFFFF"/>
        <w:spacing w:before="0" w:beforeAutospacing="0" w:after="120" w:afterAutospacing="0"/>
        <w:rPr>
          <w:rFonts w:ascii="Arial" w:hAnsi="Arial" w:cs="Arial"/>
          <w:color w:val="000000"/>
        </w:rPr>
      </w:pPr>
      <w:r w:rsidRPr="00EA20AB">
        <w:rPr>
          <w:rFonts w:ascii="Arial" w:hAnsi="Arial" w:cs="Arial"/>
          <w:color w:val="000000"/>
        </w:rPr>
        <w:t xml:space="preserve">This clause </w:t>
      </w:r>
      <w:r w:rsidR="00F5454D" w:rsidRPr="00F5454D">
        <w:rPr>
          <w:rFonts w:ascii="Arial" w:hAnsi="Arial" w:cs="Arial"/>
          <w:color w:val="000000"/>
        </w:rPr>
        <w:t xml:space="preserve">provides that the administering authority for an infringement notice offence under the regulation is the </w:t>
      </w:r>
      <w:r w:rsidR="00F5454D">
        <w:rPr>
          <w:rFonts w:ascii="Arial" w:hAnsi="Arial" w:cs="Arial"/>
          <w:color w:val="000000"/>
        </w:rPr>
        <w:t>director-general for the Urban Forest Act</w:t>
      </w:r>
      <w:r w:rsidR="00F5454D" w:rsidRPr="00F5454D">
        <w:rPr>
          <w:rFonts w:ascii="Arial" w:hAnsi="Arial" w:cs="Arial"/>
          <w:color w:val="000000"/>
        </w:rPr>
        <w:t>.</w:t>
      </w:r>
    </w:p>
    <w:p w14:paraId="2EE15691" w14:textId="1ADBF347" w:rsidR="00EA20AB" w:rsidRDefault="00EA20AB" w:rsidP="00F5454D">
      <w:pPr>
        <w:pStyle w:val="NormalWeb"/>
        <w:shd w:val="clear" w:color="auto" w:fill="FFFFFF"/>
        <w:spacing w:before="360" w:beforeAutospacing="0" w:after="120" w:afterAutospacing="0"/>
        <w:rPr>
          <w:rFonts w:ascii="Arial" w:hAnsi="Arial" w:cs="Arial"/>
          <w:b/>
          <w:bCs/>
          <w:color w:val="000000"/>
        </w:rPr>
      </w:pPr>
      <w:r>
        <w:rPr>
          <w:rFonts w:ascii="Arial" w:hAnsi="Arial" w:cs="Arial"/>
          <w:b/>
          <w:bCs/>
          <w:color w:val="000000"/>
        </w:rPr>
        <w:t>Clause 7</w:t>
      </w:r>
      <w:r w:rsidRPr="00F5454D">
        <w:rPr>
          <w:rFonts w:ascii="Arial" w:hAnsi="Arial" w:cs="Arial"/>
          <w:b/>
          <w:bCs/>
          <w:color w:val="000000"/>
        </w:rPr>
        <w:t> </w:t>
      </w:r>
      <w:r w:rsidRPr="00F5454D">
        <w:rPr>
          <w:rFonts w:ascii="Arial" w:hAnsi="Arial" w:cs="Arial"/>
          <w:b/>
          <w:bCs/>
          <w:color w:val="000000"/>
        </w:rPr>
        <w:tab/>
      </w:r>
      <w:r>
        <w:rPr>
          <w:rFonts w:ascii="Arial" w:hAnsi="Arial" w:cs="Arial"/>
          <w:b/>
          <w:bCs/>
          <w:color w:val="000000"/>
        </w:rPr>
        <w:t>Infringement notice offences</w:t>
      </w:r>
    </w:p>
    <w:p w14:paraId="69E18ABD" w14:textId="6566AC93" w:rsidR="00EA20AB" w:rsidRDefault="00EA20AB" w:rsidP="00EA20AB">
      <w:pPr>
        <w:pStyle w:val="NormalWeb"/>
        <w:shd w:val="clear" w:color="auto" w:fill="FFFFFF"/>
        <w:spacing w:before="0" w:beforeAutospacing="0" w:after="120" w:afterAutospacing="0"/>
        <w:rPr>
          <w:rFonts w:ascii="Arial" w:hAnsi="Arial" w:cs="Arial"/>
          <w:b/>
          <w:bCs/>
          <w:color w:val="000000"/>
        </w:rPr>
      </w:pPr>
      <w:r w:rsidRPr="00EA20AB">
        <w:rPr>
          <w:rFonts w:ascii="Arial" w:hAnsi="Arial" w:cs="Arial"/>
          <w:color w:val="000000"/>
        </w:rPr>
        <w:t xml:space="preserve">This clause </w:t>
      </w:r>
      <w:r w:rsidR="00F5454D" w:rsidRPr="00F5454D">
        <w:rPr>
          <w:rFonts w:ascii="Arial" w:hAnsi="Arial" w:cs="Arial"/>
          <w:color w:val="000000"/>
        </w:rPr>
        <w:t xml:space="preserve">provides that the Magistrates Court Act, part 3.8, applies to an offence against a provision of the </w:t>
      </w:r>
      <w:r w:rsidR="00F5454D">
        <w:rPr>
          <w:rFonts w:ascii="Arial" w:hAnsi="Arial" w:cs="Arial"/>
          <w:color w:val="000000"/>
        </w:rPr>
        <w:t>Urban Forest Act</w:t>
      </w:r>
      <w:r w:rsidR="00F5454D" w:rsidRPr="00F5454D">
        <w:rPr>
          <w:rFonts w:ascii="Arial" w:hAnsi="Arial" w:cs="Arial"/>
          <w:color w:val="000000"/>
        </w:rPr>
        <w:t xml:space="preserve"> mentioned in the regulation in schedule 1, column 2.</w:t>
      </w:r>
    </w:p>
    <w:p w14:paraId="0310ACF5" w14:textId="349EED1C" w:rsidR="00EA20AB" w:rsidRDefault="00EA20AB" w:rsidP="00F5454D">
      <w:pPr>
        <w:pStyle w:val="NormalWeb"/>
        <w:shd w:val="clear" w:color="auto" w:fill="FFFFFF"/>
        <w:spacing w:before="360" w:beforeAutospacing="0" w:after="120" w:afterAutospacing="0"/>
        <w:rPr>
          <w:rFonts w:ascii="Arial" w:hAnsi="Arial" w:cs="Arial"/>
          <w:b/>
          <w:bCs/>
          <w:color w:val="000000"/>
        </w:rPr>
      </w:pPr>
      <w:r>
        <w:rPr>
          <w:rFonts w:ascii="Arial" w:hAnsi="Arial" w:cs="Arial"/>
          <w:b/>
          <w:bCs/>
          <w:color w:val="000000"/>
        </w:rPr>
        <w:t>Clause 8</w:t>
      </w:r>
      <w:r w:rsidRPr="00F5454D">
        <w:rPr>
          <w:rFonts w:ascii="Arial" w:hAnsi="Arial" w:cs="Arial"/>
          <w:b/>
          <w:bCs/>
          <w:color w:val="000000"/>
        </w:rPr>
        <w:t> </w:t>
      </w:r>
      <w:r w:rsidRPr="00F5454D">
        <w:rPr>
          <w:rFonts w:ascii="Arial" w:hAnsi="Arial" w:cs="Arial"/>
          <w:b/>
          <w:bCs/>
          <w:color w:val="000000"/>
        </w:rPr>
        <w:tab/>
      </w:r>
      <w:r>
        <w:rPr>
          <w:rFonts w:ascii="Arial" w:hAnsi="Arial" w:cs="Arial"/>
          <w:b/>
          <w:bCs/>
          <w:color w:val="000000"/>
        </w:rPr>
        <w:t>Infringement notice penalties</w:t>
      </w:r>
    </w:p>
    <w:p w14:paraId="27F08DE0" w14:textId="5E989664" w:rsidR="00F5454D" w:rsidRPr="00F5454D" w:rsidRDefault="00EA20AB" w:rsidP="00F5454D">
      <w:pPr>
        <w:pStyle w:val="NormalWeb"/>
        <w:shd w:val="clear" w:color="auto" w:fill="FFFFFF"/>
        <w:spacing w:after="120"/>
        <w:rPr>
          <w:rFonts w:ascii="Arial" w:hAnsi="Arial" w:cs="Arial"/>
          <w:color w:val="000000"/>
        </w:rPr>
      </w:pPr>
      <w:r w:rsidRPr="00EA20AB">
        <w:rPr>
          <w:rFonts w:ascii="Arial" w:hAnsi="Arial" w:cs="Arial"/>
          <w:color w:val="000000"/>
        </w:rPr>
        <w:t xml:space="preserve">This clause </w:t>
      </w:r>
      <w:r w:rsidR="00F5454D" w:rsidRPr="00F5454D">
        <w:rPr>
          <w:rFonts w:ascii="Arial" w:hAnsi="Arial" w:cs="Arial"/>
          <w:color w:val="000000"/>
        </w:rPr>
        <w:t xml:space="preserve">provides that the penalties for the offences against the </w:t>
      </w:r>
      <w:r w:rsidR="00F5454D">
        <w:rPr>
          <w:rFonts w:ascii="Arial" w:hAnsi="Arial" w:cs="Arial"/>
          <w:color w:val="000000"/>
        </w:rPr>
        <w:t>Urban Forest Act</w:t>
      </w:r>
      <w:r w:rsidR="00F5454D" w:rsidRPr="00F5454D">
        <w:rPr>
          <w:rFonts w:ascii="Arial" w:hAnsi="Arial" w:cs="Arial"/>
          <w:color w:val="000000"/>
        </w:rPr>
        <w:t xml:space="preserve"> are listed in column 4 of schedule 1.  Penalties for an offence by a corporation are five times that applicable for an individual.</w:t>
      </w:r>
    </w:p>
    <w:p w14:paraId="31C7F564" w14:textId="060F8B90" w:rsidR="00EA20AB" w:rsidRPr="00EA20AB" w:rsidRDefault="00F5454D" w:rsidP="00F5454D">
      <w:pPr>
        <w:pStyle w:val="NormalWeb"/>
        <w:shd w:val="clear" w:color="auto" w:fill="FFFFFF"/>
        <w:spacing w:after="120"/>
        <w:rPr>
          <w:rFonts w:ascii="Arial" w:hAnsi="Arial" w:cs="Arial"/>
          <w:color w:val="000000"/>
        </w:rPr>
      </w:pPr>
      <w:r w:rsidRPr="00F5454D">
        <w:rPr>
          <w:rFonts w:ascii="Arial" w:hAnsi="Arial" w:cs="Arial"/>
          <w:color w:val="000000"/>
        </w:rPr>
        <w:t>This regulation also provides that the cost for the issue of a reminder notice for an infringement notice offence is $34.</w:t>
      </w:r>
    </w:p>
    <w:p w14:paraId="4FFB2AA1" w14:textId="4147AD47" w:rsidR="00EA20AB" w:rsidRDefault="00EA20AB" w:rsidP="00F5454D">
      <w:pPr>
        <w:pStyle w:val="NormalWeb"/>
        <w:shd w:val="clear" w:color="auto" w:fill="FFFFFF"/>
        <w:spacing w:before="360" w:beforeAutospacing="0" w:after="120" w:afterAutospacing="0"/>
        <w:rPr>
          <w:rFonts w:ascii="Arial" w:hAnsi="Arial" w:cs="Arial"/>
          <w:b/>
          <w:bCs/>
          <w:color w:val="000000"/>
        </w:rPr>
      </w:pPr>
      <w:r>
        <w:rPr>
          <w:rFonts w:ascii="Arial" w:hAnsi="Arial" w:cs="Arial"/>
          <w:b/>
          <w:bCs/>
          <w:color w:val="000000"/>
        </w:rPr>
        <w:t>Clause 9</w:t>
      </w:r>
      <w:r w:rsidRPr="00F5454D">
        <w:rPr>
          <w:rFonts w:ascii="Arial" w:hAnsi="Arial" w:cs="Arial"/>
          <w:b/>
          <w:bCs/>
          <w:color w:val="000000"/>
        </w:rPr>
        <w:t> </w:t>
      </w:r>
      <w:r w:rsidRPr="00F5454D">
        <w:rPr>
          <w:rFonts w:ascii="Arial" w:hAnsi="Arial" w:cs="Arial"/>
          <w:b/>
          <w:bCs/>
          <w:color w:val="000000"/>
        </w:rPr>
        <w:tab/>
      </w:r>
      <w:r>
        <w:rPr>
          <w:rFonts w:ascii="Arial" w:hAnsi="Arial" w:cs="Arial"/>
          <w:b/>
          <w:bCs/>
          <w:color w:val="000000"/>
        </w:rPr>
        <w:t>Contents of infringement notices – identifying authorised person</w:t>
      </w:r>
    </w:p>
    <w:p w14:paraId="719F4C0F" w14:textId="38DF4EC2" w:rsidR="00EA20AB" w:rsidRPr="00EA20AB" w:rsidRDefault="00EA20AB" w:rsidP="00EA20AB">
      <w:pPr>
        <w:pStyle w:val="NormalWeb"/>
        <w:shd w:val="clear" w:color="auto" w:fill="FFFFFF"/>
        <w:spacing w:before="0" w:beforeAutospacing="0" w:after="120" w:afterAutospacing="0"/>
        <w:rPr>
          <w:rFonts w:ascii="Arial" w:hAnsi="Arial" w:cs="Arial"/>
          <w:color w:val="000000"/>
        </w:rPr>
      </w:pPr>
      <w:r w:rsidRPr="00EA20AB">
        <w:rPr>
          <w:rFonts w:ascii="Arial" w:hAnsi="Arial" w:cs="Arial"/>
          <w:color w:val="000000"/>
        </w:rPr>
        <w:t>This clause</w:t>
      </w:r>
      <w:r w:rsidR="00F5454D" w:rsidRPr="00F5454D">
        <w:rPr>
          <w:rFonts w:ascii="Arial" w:hAnsi="Arial" w:cs="Arial"/>
          <w:color w:val="000000"/>
        </w:rPr>
        <w:t xml:space="preserve"> provides that a</w:t>
      </w:r>
      <w:r w:rsidR="00F5454D">
        <w:rPr>
          <w:rFonts w:ascii="Arial" w:hAnsi="Arial" w:cs="Arial"/>
          <w:color w:val="000000"/>
        </w:rPr>
        <w:t>n infringement</w:t>
      </w:r>
      <w:r w:rsidR="00F5454D" w:rsidRPr="00F5454D">
        <w:rPr>
          <w:rFonts w:ascii="Arial" w:hAnsi="Arial" w:cs="Arial"/>
          <w:color w:val="000000"/>
        </w:rPr>
        <w:t xml:space="preserve"> notice must identify the authorised person who served the notice.  An authorised person may be identified in the notice by their </w:t>
      </w:r>
      <w:r w:rsidR="00F5454D" w:rsidRPr="00F5454D">
        <w:rPr>
          <w:rFonts w:ascii="Arial" w:hAnsi="Arial" w:cs="Arial"/>
          <w:color w:val="000000"/>
        </w:rPr>
        <w:lastRenderedPageBreak/>
        <w:t xml:space="preserve">full name, or surname and initials.  Alternatively, the </w:t>
      </w:r>
      <w:r w:rsidR="00F5454D">
        <w:rPr>
          <w:rFonts w:ascii="Arial" w:hAnsi="Arial" w:cs="Arial"/>
          <w:color w:val="000000"/>
        </w:rPr>
        <w:t xml:space="preserve">infringement </w:t>
      </w:r>
      <w:r w:rsidR="00F5454D" w:rsidRPr="00F5454D">
        <w:rPr>
          <w:rFonts w:ascii="Arial" w:hAnsi="Arial" w:cs="Arial"/>
          <w:color w:val="000000"/>
        </w:rPr>
        <w:t>notice may identify the authorised person by any unique number given to them by the administering authority.</w:t>
      </w:r>
    </w:p>
    <w:p w14:paraId="75CF5CC6" w14:textId="79BE50ED" w:rsidR="00EA20AB" w:rsidRDefault="00EA20AB" w:rsidP="00F5454D">
      <w:pPr>
        <w:pStyle w:val="NormalWeb"/>
        <w:shd w:val="clear" w:color="auto" w:fill="FFFFFF"/>
        <w:spacing w:before="360" w:beforeAutospacing="0" w:after="120" w:afterAutospacing="0"/>
        <w:rPr>
          <w:rFonts w:ascii="Arial" w:hAnsi="Arial" w:cs="Arial"/>
          <w:b/>
          <w:bCs/>
          <w:color w:val="000000"/>
        </w:rPr>
      </w:pPr>
      <w:r>
        <w:rPr>
          <w:rFonts w:ascii="Arial" w:hAnsi="Arial" w:cs="Arial"/>
          <w:b/>
          <w:bCs/>
          <w:color w:val="000000"/>
        </w:rPr>
        <w:t>Clause 10</w:t>
      </w:r>
      <w:r w:rsidRPr="00F5454D">
        <w:rPr>
          <w:rFonts w:ascii="Arial" w:hAnsi="Arial" w:cs="Arial"/>
          <w:b/>
          <w:bCs/>
          <w:color w:val="000000"/>
        </w:rPr>
        <w:t> </w:t>
      </w:r>
      <w:r w:rsidRPr="00F5454D">
        <w:rPr>
          <w:rFonts w:ascii="Arial" w:hAnsi="Arial" w:cs="Arial"/>
          <w:b/>
          <w:bCs/>
          <w:color w:val="000000"/>
        </w:rPr>
        <w:tab/>
      </w:r>
      <w:r>
        <w:rPr>
          <w:rFonts w:ascii="Arial" w:hAnsi="Arial" w:cs="Arial"/>
          <w:b/>
          <w:bCs/>
          <w:color w:val="000000"/>
        </w:rPr>
        <w:t>Contents of infringement notices – other information</w:t>
      </w:r>
    </w:p>
    <w:p w14:paraId="2F270BEC" w14:textId="6C4069C8" w:rsidR="00EA20AB" w:rsidRPr="00EA20AB" w:rsidRDefault="00EA20AB" w:rsidP="00EA20AB">
      <w:pPr>
        <w:pStyle w:val="NormalWeb"/>
        <w:shd w:val="clear" w:color="auto" w:fill="FFFFFF"/>
        <w:spacing w:before="0" w:beforeAutospacing="0" w:after="120" w:afterAutospacing="0"/>
        <w:rPr>
          <w:rFonts w:ascii="Arial" w:hAnsi="Arial" w:cs="Arial"/>
          <w:color w:val="000000"/>
        </w:rPr>
      </w:pPr>
      <w:r w:rsidRPr="00EA20AB">
        <w:rPr>
          <w:rFonts w:ascii="Arial" w:hAnsi="Arial" w:cs="Arial"/>
          <w:color w:val="000000"/>
        </w:rPr>
        <w:t>This clause specifies that infringement notices served on a company must include the company’s ACN.</w:t>
      </w:r>
    </w:p>
    <w:p w14:paraId="15338A1D" w14:textId="37188FD5" w:rsidR="00EA20AB" w:rsidRDefault="00EA20AB" w:rsidP="00F5454D">
      <w:pPr>
        <w:pStyle w:val="NormalWeb"/>
        <w:shd w:val="clear" w:color="auto" w:fill="FFFFFF"/>
        <w:spacing w:before="360" w:beforeAutospacing="0" w:after="120" w:afterAutospacing="0"/>
        <w:rPr>
          <w:rFonts w:ascii="Arial" w:hAnsi="Arial" w:cs="Arial"/>
          <w:b/>
          <w:bCs/>
          <w:color w:val="000000"/>
        </w:rPr>
      </w:pPr>
      <w:r>
        <w:rPr>
          <w:rFonts w:ascii="Arial" w:hAnsi="Arial" w:cs="Arial"/>
          <w:b/>
          <w:bCs/>
          <w:color w:val="000000"/>
        </w:rPr>
        <w:t>Clause 11</w:t>
      </w:r>
      <w:r w:rsidRPr="00F5454D">
        <w:rPr>
          <w:rFonts w:ascii="Arial" w:hAnsi="Arial" w:cs="Arial"/>
          <w:b/>
          <w:bCs/>
          <w:color w:val="000000"/>
        </w:rPr>
        <w:t> </w:t>
      </w:r>
      <w:r w:rsidRPr="00F5454D">
        <w:rPr>
          <w:rFonts w:ascii="Arial" w:hAnsi="Arial" w:cs="Arial"/>
          <w:b/>
          <w:bCs/>
          <w:color w:val="000000"/>
        </w:rPr>
        <w:tab/>
      </w:r>
      <w:r>
        <w:rPr>
          <w:rFonts w:ascii="Arial" w:hAnsi="Arial" w:cs="Arial"/>
          <w:b/>
          <w:bCs/>
          <w:color w:val="000000"/>
        </w:rPr>
        <w:t>Contents of reminder notices – identifying authorised person</w:t>
      </w:r>
    </w:p>
    <w:p w14:paraId="7546314E" w14:textId="705F9C61" w:rsidR="00EA20AB" w:rsidRPr="00EA20AB" w:rsidRDefault="00EA20AB" w:rsidP="00EA20AB">
      <w:pPr>
        <w:pStyle w:val="NormalWeb"/>
        <w:shd w:val="clear" w:color="auto" w:fill="FFFFFF"/>
        <w:spacing w:before="0" w:beforeAutospacing="0" w:after="120" w:afterAutospacing="0"/>
        <w:rPr>
          <w:rFonts w:ascii="Arial" w:hAnsi="Arial" w:cs="Arial"/>
          <w:color w:val="000000"/>
        </w:rPr>
      </w:pPr>
      <w:r w:rsidRPr="00EA20AB">
        <w:rPr>
          <w:rFonts w:ascii="Arial" w:hAnsi="Arial" w:cs="Arial"/>
          <w:color w:val="000000"/>
        </w:rPr>
        <w:t xml:space="preserve">This clause provides that </w:t>
      </w:r>
      <w:r w:rsidR="00F5454D">
        <w:rPr>
          <w:rFonts w:ascii="Arial" w:hAnsi="Arial" w:cs="Arial"/>
          <w:color w:val="000000"/>
        </w:rPr>
        <w:t>a reminder</w:t>
      </w:r>
      <w:r w:rsidRPr="00EA20AB">
        <w:rPr>
          <w:rFonts w:ascii="Arial" w:hAnsi="Arial" w:cs="Arial"/>
          <w:color w:val="000000"/>
        </w:rPr>
        <w:t xml:space="preserve"> notice must identify the authorised person who served the notice. An authorised person may be identified in the notice by their full name, or surname and initials. Alternatively, the </w:t>
      </w:r>
      <w:r w:rsidR="00F5454D">
        <w:rPr>
          <w:rFonts w:ascii="Arial" w:hAnsi="Arial" w:cs="Arial"/>
          <w:color w:val="000000"/>
        </w:rPr>
        <w:t xml:space="preserve">reminder </w:t>
      </w:r>
      <w:r w:rsidRPr="00EA20AB">
        <w:rPr>
          <w:rFonts w:ascii="Arial" w:hAnsi="Arial" w:cs="Arial"/>
          <w:color w:val="000000"/>
        </w:rPr>
        <w:t xml:space="preserve">notice may identify </w:t>
      </w:r>
      <w:r w:rsidR="00F5454D">
        <w:rPr>
          <w:rFonts w:ascii="Arial" w:hAnsi="Arial" w:cs="Arial"/>
          <w:color w:val="000000"/>
        </w:rPr>
        <w:t xml:space="preserve">the authorised person </w:t>
      </w:r>
      <w:r w:rsidRPr="00EA20AB">
        <w:rPr>
          <w:rFonts w:ascii="Arial" w:hAnsi="Arial" w:cs="Arial"/>
          <w:color w:val="000000"/>
        </w:rPr>
        <w:t>by any unique number given to them by the administering authority.</w:t>
      </w:r>
    </w:p>
    <w:p w14:paraId="44529D3E" w14:textId="4C7A7CB5" w:rsidR="00EA20AB" w:rsidRDefault="00EA20AB" w:rsidP="00F5454D">
      <w:pPr>
        <w:pStyle w:val="NormalWeb"/>
        <w:shd w:val="clear" w:color="auto" w:fill="FFFFFF"/>
        <w:spacing w:before="360" w:beforeAutospacing="0" w:after="120" w:afterAutospacing="0"/>
        <w:rPr>
          <w:rFonts w:ascii="Arial" w:hAnsi="Arial" w:cs="Arial"/>
          <w:b/>
          <w:bCs/>
          <w:color w:val="000000"/>
        </w:rPr>
      </w:pPr>
      <w:r>
        <w:rPr>
          <w:rFonts w:ascii="Arial" w:hAnsi="Arial" w:cs="Arial"/>
          <w:b/>
          <w:bCs/>
          <w:color w:val="000000"/>
        </w:rPr>
        <w:t>Clause 12</w:t>
      </w:r>
      <w:r w:rsidRPr="00F5454D">
        <w:rPr>
          <w:rFonts w:ascii="Arial" w:hAnsi="Arial" w:cs="Arial"/>
          <w:b/>
          <w:bCs/>
          <w:color w:val="000000"/>
        </w:rPr>
        <w:t> </w:t>
      </w:r>
      <w:r w:rsidRPr="00F5454D">
        <w:rPr>
          <w:rFonts w:ascii="Arial" w:hAnsi="Arial" w:cs="Arial"/>
          <w:b/>
          <w:bCs/>
          <w:color w:val="000000"/>
        </w:rPr>
        <w:tab/>
      </w:r>
      <w:r>
        <w:rPr>
          <w:rFonts w:ascii="Arial" w:hAnsi="Arial" w:cs="Arial"/>
          <w:b/>
          <w:bCs/>
          <w:color w:val="000000"/>
        </w:rPr>
        <w:t>Authorised people for infringement notice offences</w:t>
      </w:r>
    </w:p>
    <w:p w14:paraId="30673C93" w14:textId="5EB74091" w:rsidR="00EA20AB" w:rsidRPr="00EA20AB" w:rsidRDefault="00EA20AB" w:rsidP="00EA20AB">
      <w:pPr>
        <w:pStyle w:val="NormalWeb"/>
        <w:shd w:val="clear" w:color="auto" w:fill="FFFFFF"/>
        <w:spacing w:before="0" w:beforeAutospacing="0" w:after="120" w:afterAutospacing="0"/>
        <w:rPr>
          <w:rFonts w:ascii="Arial" w:hAnsi="Arial" w:cs="Arial"/>
          <w:color w:val="000000"/>
        </w:rPr>
      </w:pPr>
      <w:r w:rsidRPr="00EA20AB">
        <w:rPr>
          <w:rFonts w:ascii="Arial" w:hAnsi="Arial" w:cs="Arial"/>
          <w:color w:val="000000"/>
        </w:rPr>
        <w:t>This clause provides</w:t>
      </w:r>
      <w:r w:rsidR="00F5454D" w:rsidRPr="00F5454D">
        <w:rPr>
          <w:rFonts w:ascii="Arial" w:hAnsi="Arial" w:cs="Arial"/>
          <w:color w:val="000000"/>
        </w:rPr>
        <w:t xml:space="preserve"> that an authorised person under the </w:t>
      </w:r>
      <w:r w:rsidR="00F5454D">
        <w:rPr>
          <w:rFonts w:ascii="Arial" w:hAnsi="Arial" w:cs="Arial"/>
          <w:color w:val="000000"/>
        </w:rPr>
        <w:t>Urban Forest Act</w:t>
      </w:r>
      <w:r w:rsidR="00F5454D" w:rsidRPr="00F5454D">
        <w:rPr>
          <w:rFonts w:ascii="Arial" w:hAnsi="Arial" w:cs="Arial"/>
          <w:color w:val="000000"/>
        </w:rPr>
        <w:t>, section 111</w:t>
      </w:r>
      <w:r w:rsidR="00F5454D">
        <w:rPr>
          <w:rFonts w:ascii="Arial" w:hAnsi="Arial" w:cs="Arial"/>
          <w:color w:val="000000"/>
        </w:rPr>
        <w:t xml:space="preserve"> </w:t>
      </w:r>
      <w:r w:rsidR="00F5454D" w:rsidRPr="00F5454D">
        <w:rPr>
          <w:rFonts w:ascii="Arial" w:hAnsi="Arial" w:cs="Arial"/>
          <w:color w:val="000000"/>
        </w:rPr>
        <w:t>may serve infringement notices and reminder notices for infringement notice offences.</w:t>
      </w:r>
    </w:p>
    <w:p w14:paraId="0A0C4AE1" w14:textId="1BB9C883" w:rsidR="00F5454D" w:rsidRDefault="00EA20AB" w:rsidP="00F5454D">
      <w:pPr>
        <w:pStyle w:val="NormalWeb"/>
        <w:shd w:val="clear" w:color="auto" w:fill="FFFFFF"/>
        <w:spacing w:before="360" w:beforeAutospacing="0" w:after="120" w:afterAutospacing="0"/>
        <w:rPr>
          <w:rFonts w:ascii="Arial" w:hAnsi="Arial" w:cs="Arial"/>
          <w:b/>
          <w:bCs/>
          <w:color w:val="000000"/>
        </w:rPr>
      </w:pPr>
      <w:r w:rsidRPr="00EA20AB">
        <w:rPr>
          <w:rFonts w:ascii="Arial" w:hAnsi="Arial" w:cs="Arial"/>
          <w:b/>
          <w:bCs/>
          <w:color w:val="000000"/>
        </w:rPr>
        <w:t>Schedule 1</w:t>
      </w:r>
    </w:p>
    <w:p w14:paraId="414E1A83" w14:textId="482A7648" w:rsidR="00F5454D" w:rsidRDefault="00F5454D" w:rsidP="00F5454D">
      <w:pPr>
        <w:pStyle w:val="NormalWeb"/>
        <w:shd w:val="clear" w:color="auto" w:fill="FFFFFF"/>
        <w:spacing w:before="0" w:beforeAutospacing="0" w:after="120" w:afterAutospacing="0"/>
        <w:rPr>
          <w:rFonts w:ascii="Arial" w:hAnsi="Arial" w:cs="Arial"/>
          <w:color w:val="000000"/>
        </w:rPr>
      </w:pPr>
      <w:r w:rsidRPr="00F5454D">
        <w:rPr>
          <w:rFonts w:ascii="Arial" w:hAnsi="Arial" w:cs="Arial"/>
          <w:color w:val="000000"/>
        </w:rPr>
        <w:t>This schedule outlines the offence penalty and infringement penalties for offences under the </w:t>
      </w:r>
      <w:r>
        <w:rPr>
          <w:rFonts w:ascii="Arial" w:hAnsi="Arial" w:cs="Arial"/>
          <w:color w:val="000000"/>
        </w:rPr>
        <w:t>Urban Forest Act 2023.</w:t>
      </w:r>
    </w:p>
    <w:p w14:paraId="0079B762" w14:textId="77777777" w:rsidR="00F5454D" w:rsidRPr="00F5454D" w:rsidRDefault="00F5454D" w:rsidP="00F5454D">
      <w:pPr>
        <w:pStyle w:val="NormalWeb"/>
        <w:shd w:val="clear" w:color="auto" w:fill="FFFFFF"/>
        <w:spacing w:before="360" w:beforeAutospacing="0" w:after="120" w:afterAutospacing="0"/>
        <w:rPr>
          <w:rFonts w:ascii="Arial" w:hAnsi="Arial" w:cs="Arial"/>
          <w:b/>
          <w:bCs/>
          <w:color w:val="000000"/>
        </w:rPr>
      </w:pPr>
      <w:r w:rsidRPr="00F5454D">
        <w:rPr>
          <w:rFonts w:ascii="Arial" w:hAnsi="Arial" w:cs="Arial"/>
          <w:b/>
          <w:bCs/>
          <w:color w:val="000000"/>
        </w:rPr>
        <w:t xml:space="preserve">Dictionary </w:t>
      </w:r>
    </w:p>
    <w:p w14:paraId="200878DB" w14:textId="47B9E9F3" w:rsidR="00F5454D" w:rsidRPr="00F5454D" w:rsidRDefault="00F5454D" w:rsidP="00F5454D">
      <w:pPr>
        <w:pStyle w:val="NormalWeb"/>
        <w:shd w:val="clear" w:color="auto" w:fill="FFFFFF"/>
        <w:spacing w:before="0" w:beforeAutospacing="0" w:after="120" w:afterAutospacing="0"/>
        <w:rPr>
          <w:rFonts w:ascii="Arial" w:hAnsi="Arial" w:cs="Arial"/>
          <w:color w:val="000000"/>
        </w:rPr>
      </w:pPr>
      <w:r>
        <w:rPr>
          <w:rFonts w:ascii="Arial" w:hAnsi="Arial" w:cs="Arial"/>
          <w:color w:val="000000"/>
          <w:shd w:val="clear" w:color="auto" w:fill="FFFFFF"/>
        </w:rPr>
        <w:t>T</w:t>
      </w:r>
      <w:r w:rsidRPr="00F5454D">
        <w:rPr>
          <w:rFonts w:ascii="Arial" w:hAnsi="Arial" w:cs="Arial"/>
          <w:color w:val="000000"/>
          <w:shd w:val="clear" w:color="auto" w:fill="FFFFFF"/>
        </w:rPr>
        <w:t>his is the dictionary for the Regulation.</w:t>
      </w:r>
    </w:p>
    <w:sectPr w:rsidR="00F5454D" w:rsidRPr="00F5454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6D01" w14:textId="77777777" w:rsidR="004F0DB6" w:rsidRDefault="004F0DB6" w:rsidP="00D14F2C">
      <w:pPr>
        <w:spacing w:after="0" w:line="240" w:lineRule="auto"/>
      </w:pPr>
      <w:r>
        <w:separator/>
      </w:r>
    </w:p>
  </w:endnote>
  <w:endnote w:type="continuationSeparator" w:id="0">
    <w:p w14:paraId="1FB4421E" w14:textId="77777777" w:rsidR="004F0DB6" w:rsidRDefault="004F0DB6" w:rsidP="00D14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0927" w14:textId="77777777" w:rsidR="00C9577E" w:rsidRDefault="00C95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D14F2C" w14:paraId="37059406" w14:textId="77777777" w:rsidTr="007047B6">
      <w:tc>
        <w:tcPr>
          <w:tcW w:w="3005" w:type="dxa"/>
        </w:tcPr>
        <w:p w14:paraId="74693E8B" w14:textId="77777777" w:rsidR="00D14F2C" w:rsidRDefault="00D14F2C" w:rsidP="00D14F2C">
          <w:pPr>
            <w:pStyle w:val="Header"/>
            <w:ind w:left="-115"/>
          </w:pPr>
        </w:p>
      </w:tc>
      <w:tc>
        <w:tcPr>
          <w:tcW w:w="3005" w:type="dxa"/>
        </w:tcPr>
        <w:p w14:paraId="04916305" w14:textId="77777777" w:rsidR="00D14F2C" w:rsidRDefault="00D14F2C" w:rsidP="00D14F2C">
          <w:pPr>
            <w:pStyle w:val="Header"/>
            <w:jc w:val="center"/>
          </w:pPr>
        </w:p>
      </w:tc>
      <w:tc>
        <w:tcPr>
          <w:tcW w:w="3005" w:type="dxa"/>
        </w:tcPr>
        <w:p w14:paraId="5890687E" w14:textId="77777777" w:rsidR="00D14F2C" w:rsidRDefault="00D14F2C" w:rsidP="00D14F2C">
          <w:pPr>
            <w:pStyle w:val="Header"/>
            <w:ind w:right="-115"/>
            <w:jc w:val="right"/>
          </w:pPr>
          <w:r>
            <w:fldChar w:fldCharType="begin"/>
          </w:r>
          <w:r>
            <w:instrText>PAGE</w:instrText>
          </w:r>
          <w:r>
            <w:fldChar w:fldCharType="separate"/>
          </w:r>
          <w:r>
            <w:rPr>
              <w:noProof/>
            </w:rPr>
            <w:t>2</w:t>
          </w:r>
          <w:r>
            <w:fldChar w:fldCharType="end"/>
          </w:r>
          <w:r>
            <w:t xml:space="preserve"> of </w:t>
          </w:r>
          <w:r>
            <w:fldChar w:fldCharType="begin"/>
          </w:r>
          <w:r>
            <w:instrText>NUMPAGES</w:instrText>
          </w:r>
          <w:r>
            <w:fldChar w:fldCharType="separate"/>
          </w:r>
          <w:r>
            <w:rPr>
              <w:noProof/>
            </w:rPr>
            <w:t>3</w:t>
          </w:r>
          <w:r>
            <w:fldChar w:fldCharType="end"/>
          </w:r>
        </w:p>
      </w:tc>
    </w:tr>
  </w:tbl>
  <w:p w14:paraId="1AB61A36" w14:textId="7B1F9366" w:rsidR="00D14F2C" w:rsidRPr="00E94ECB" w:rsidRDefault="00E94ECB" w:rsidP="00E94ECB">
    <w:pPr>
      <w:pStyle w:val="Footer"/>
      <w:jc w:val="center"/>
      <w:rPr>
        <w:rFonts w:ascii="Arial" w:hAnsi="Arial" w:cs="Arial"/>
        <w:sz w:val="14"/>
      </w:rPr>
    </w:pPr>
    <w:r w:rsidRPr="00E94ECB">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D34E" w14:textId="77777777" w:rsidR="00C9577E" w:rsidRDefault="00C95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75978" w14:textId="77777777" w:rsidR="004F0DB6" w:rsidRDefault="004F0DB6" w:rsidP="00D14F2C">
      <w:pPr>
        <w:spacing w:after="0" w:line="240" w:lineRule="auto"/>
      </w:pPr>
      <w:r>
        <w:separator/>
      </w:r>
    </w:p>
  </w:footnote>
  <w:footnote w:type="continuationSeparator" w:id="0">
    <w:p w14:paraId="203D4712" w14:textId="77777777" w:rsidR="004F0DB6" w:rsidRDefault="004F0DB6" w:rsidP="00D14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9C4D" w14:textId="77777777" w:rsidR="00C9577E" w:rsidRDefault="00C95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9CD5" w14:textId="77777777" w:rsidR="00C9577E" w:rsidRDefault="00C957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F66D" w14:textId="77777777" w:rsidR="00C9577E" w:rsidRDefault="00C95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7C1B"/>
    <w:multiLevelType w:val="hybridMultilevel"/>
    <w:tmpl w:val="01D48CF6"/>
    <w:lvl w:ilvl="0" w:tplc="0C09000F">
      <w:start w:val="2"/>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 w15:restartNumberingAfterBreak="0">
    <w:nsid w:val="18756B5E"/>
    <w:multiLevelType w:val="hybridMultilevel"/>
    <w:tmpl w:val="8BDCE5E4"/>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 w15:restartNumberingAfterBreak="0">
    <w:nsid w:val="1F3331F4"/>
    <w:multiLevelType w:val="hybridMultilevel"/>
    <w:tmpl w:val="4A921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AE63E6"/>
    <w:multiLevelType w:val="hybridMultilevel"/>
    <w:tmpl w:val="749E3A9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465A3E11"/>
    <w:multiLevelType w:val="hybridMultilevel"/>
    <w:tmpl w:val="88245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4A7239"/>
    <w:multiLevelType w:val="hybridMultilevel"/>
    <w:tmpl w:val="277E7C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076828847">
    <w:abstractNumId w:val="4"/>
  </w:num>
  <w:num w:numId="2" w16cid:durableId="1345981445">
    <w:abstractNumId w:val="3"/>
  </w:num>
  <w:num w:numId="3" w16cid:durableId="1014499155">
    <w:abstractNumId w:val="2"/>
  </w:num>
  <w:num w:numId="4" w16cid:durableId="1096094207">
    <w:abstractNumId w:val="1"/>
  </w:num>
  <w:num w:numId="5" w16cid:durableId="174425960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0107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40"/>
    <w:rsid w:val="00020051"/>
    <w:rsid w:val="0002256E"/>
    <w:rsid w:val="00066C48"/>
    <w:rsid w:val="000B1837"/>
    <w:rsid w:val="001D09F9"/>
    <w:rsid w:val="001F7018"/>
    <w:rsid w:val="002653CB"/>
    <w:rsid w:val="002A13E4"/>
    <w:rsid w:val="00351C71"/>
    <w:rsid w:val="00382546"/>
    <w:rsid w:val="00386872"/>
    <w:rsid w:val="003918AE"/>
    <w:rsid w:val="003E55AD"/>
    <w:rsid w:val="003F2AE6"/>
    <w:rsid w:val="00483022"/>
    <w:rsid w:val="00494C33"/>
    <w:rsid w:val="004C0907"/>
    <w:rsid w:val="004F0DB6"/>
    <w:rsid w:val="005153F0"/>
    <w:rsid w:val="005C1D6B"/>
    <w:rsid w:val="00615C91"/>
    <w:rsid w:val="00694DE8"/>
    <w:rsid w:val="00714262"/>
    <w:rsid w:val="00733E55"/>
    <w:rsid w:val="007347B3"/>
    <w:rsid w:val="00747927"/>
    <w:rsid w:val="007A0F79"/>
    <w:rsid w:val="00807395"/>
    <w:rsid w:val="0082376E"/>
    <w:rsid w:val="008934FF"/>
    <w:rsid w:val="008A1A43"/>
    <w:rsid w:val="009275C3"/>
    <w:rsid w:val="00943DA0"/>
    <w:rsid w:val="009B34CC"/>
    <w:rsid w:val="00A2462D"/>
    <w:rsid w:val="00A259EC"/>
    <w:rsid w:val="00A80BE0"/>
    <w:rsid w:val="00B27108"/>
    <w:rsid w:val="00B64A40"/>
    <w:rsid w:val="00B73932"/>
    <w:rsid w:val="00B77D97"/>
    <w:rsid w:val="00BD5CD6"/>
    <w:rsid w:val="00C00839"/>
    <w:rsid w:val="00C60E17"/>
    <w:rsid w:val="00C90C12"/>
    <w:rsid w:val="00C9577E"/>
    <w:rsid w:val="00CA76DE"/>
    <w:rsid w:val="00CC1B39"/>
    <w:rsid w:val="00CC3EA1"/>
    <w:rsid w:val="00D12B3F"/>
    <w:rsid w:val="00D14F2C"/>
    <w:rsid w:val="00D901A9"/>
    <w:rsid w:val="00E23C6C"/>
    <w:rsid w:val="00E35294"/>
    <w:rsid w:val="00E70DAC"/>
    <w:rsid w:val="00E94ECB"/>
    <w:rsid w:val="00E965EB"/>
    <w:rsid w:val="00EA20AB"/>
    <w:rsid w:val="00EC3F2B"/>
    <w:rsid w:val="00EF393D"/>
    <w:rsid w:val="00F32D00"/>
    <w:rsid w:val="00F5404B"/>
    <w:rsid w:val="00F5454D"/>
    <w:rsid w:val="00FB1751"/>
    <w:rsid w:val="00FE6E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E227A"/>
  <w15:chartTrackingRefBased/>
  <w15:docId w15:val="{5E950EFA-161A-4230-A0F8-08C5D22F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F2C"/>
    <w:rPr>
      <w:rFonts w:eastAsiaTheme="minorEastAsia"/>
    </w:rPr>
  </w:style>
  <w:style w:type="paragraph" w:styleId="Heading1">
    <w:name w:val="heading 1"/>
    <w:basedOn w:val="Normal"/>
    <w:next w:val="Normal"/>
    <w:link w:val="Heading1Char"/>
    <w:uiPriority w:val="9"/>
    <w:qFormat/>
    <w:rsid w:val="00D14F2C"/>
    <w:pPr>
      <w:keepNext/>
      <w:keepLines/>
      <w:spacing w:before="400" w:after="40" w:line="240" w:lineRule="auto"/>
      <w:jc w:val="center"/>
      <w:outlineLvl w:val="0"/>
    </w:pPr>
    <w:rPr>
      <w:rFonts w:ascii="Arial" w:eastAsiaTheme="majorEastAsia" w:hAnsi="Arial" w:cstheme="majorBidi"/>
      <w:b/>
      <w:color w:val="000000" w:themeColor="text1"/>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F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F2C"/>
    <w:rPr>
      <w:rFonts w:eastAsiaTheme="minorEastAsia"/>
    </w:rPr>
  </w:style>
  <w:style w:type="paragraph" w:styleId="Footer">
    <w:name w:val="footer"/>
    <w:basedOn w:val="Normal"/>
    <w:link w:val="FooterChar"/>
    <w:uiPriority w:val="99"/>
    <w:unhideWhenUsed/>
    <w:rsid w:val="00D14F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F2C"/>
    <w:rPr>
      <w:rFonts w:eastAsiaTheme="minorEastAsia"/>
    </w:rPr>
  </w:style>
  <w:style w:type="character" w:customStyle="1" w:styleId="Heading1Char">
    <w:name w:val="Heading 1 Char"/>
    <w:basedOn w:val="DefaultParagraphFont"/>
    <w:link w:val="Heading1"/>
    <w:uiPriority w:val="9"/>
    <w:rsid w:val="00D14F2C"/>
    <w:rPr>
      <w:rFonts w:ascii="Arial" w:eastAsiaTheme="majorEastAsia" w:hAnsi="Arial" w:cstheme="majorBidi"/>
      <w:b/>
      <w:color w:val="000000" w:themeColor="text1"/>
      <w:sz w:val="24"/>
      <w:szCs w:val="36"/>
    </w:rPr>
  </w:style>
  <w:style w:type="character" w:styleId="CommentReference">
    <w:name w:val="annotation reference"/>
    <w:basedOn w:val="DefaultParagraphFont"/>
    <w:uiPriority w:val="99"/>
    <w:semiHidden/>
    <w:unhideWhenUsed/>
    <w:rsid w:val="00EA20AB"/>
    <w:rPr>
      <w:sz w:val="16"/>
      <w:szCs w:val="16"/>
    </w:rPr>
  </w:style>
  <w:style w:type="paragraph" w:styleId="CommentText">
    <w:name w:val="annotation text"/>
    <w:basedOn w:val="Normal"/>
    <w:link w:val="CommentTextChar"/>
    <w:uiPriority w:val="99"/>
    <w:unhideWhenUsed/>
    <w:rsid w:val="00EA20AB"/>
    <w:pPr>
      <w:spacing w:line="240" w:lineRule="auto"/>
    </w:pPr>
    <w:rPr>
      <w:sz w:val="20"/>
      <w:szCs w:val="20"/>
    </w:rPr>
  </w:style>
  <w:style w:type="character" w:customStyle="1" w:styleId="CommentTextChar">
    <w:name w:val="Comment Text Char"/>
    <w:basedOn w:val="DefaultParagraphFont"/>
    <w:link w:val="CommentText"/>
    <w:uiPriority w:val="99"/>
    <w:rsid w:val="00EA20A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A20AB"/>
    <w:rPr>
      <w:b/>
      <w:bCs/>
    </w:rPr>
  </w:style>
  <w:style w:type="character" w:customStyle="1" w:styleId="CommentSubjectChar">
    <w:name w:val="Comment Subject Char"/>
    <w:basedOn w:val="CommentTextChar"/>
    <w:link w:val="CommentSubject"/>
    <w:uiPriority w:val="99"/>
    <w:semiHidden/>
    <w:rsid w:val="00EA20AB"/>
    <w:rPr>
      <w:rFonts w:eastAsiaTheme="minorEastAsia"/>
      <w:b/>
      <w:bCs/>
      <w:sz w:val="20"/>
      <w:szCs w:val="20"/>
    </w:rPr>
  </w:style>
  <w:style w:type="paragraph" w:styleId="NormalWeb">
    <w:name w:val="Normal (Web)"/>
    <w:basedOn w:val="Normal"/>
    <w:uiPriority w:val="99"/>
    <w:unhideWhenUsed/>
    <w:rsid w:val="00EA20A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0B1837"/>
    <w:pPr>
      <w:ind w:left="720"/>
      <w:contextualSpacing/>
    </w:p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E35294"/>
    <w:rPr>
      <w:rFonts w:eastAsiaTheme="minorEastAsia"/>
    </w:rPr>
  </w:style>
  <w:style w:type="paragraph" w:styleId="Revision">
    <w:name w:val="Revision"/>
    <w:hidden/>
    <w:uiPriority w:val="99"/>
    <w:semiHidden/>
    <w:rsid w:val="00B77D97"/>
    <w:pPr>
      <w:spacing w:after="0" w:line="240" w:lineRule="auto"/>
    </w:pPr>
    <w:rPr>
      <w:rFonts w:eastAsiaTheme="minorEastAsia"/>
    </w:rPr>
  </w:style>
  <w:style w:type="paragraph" w:customStyle="1" w:styleId="billname">
    <w:name w:val="billname"/>
    <w:basedOn w:val="Normal"/>
    <w:rsid w:val="00D12B3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deunder">
    <w:name w:val="madeunder"/>
    <w:basedOn w:val="Normal"/>
    <w:rsid w:val="00D12B3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veractname">
    <w:name w:val="coveractname"/>
    <w:basedOn w:val="Normal"/>
    <w:rsid w:val="00D12B3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line3">
    <w:name w:val="n-line3"/>
    <w:basedOn w:val="Normal"/>
    <w:rsid w:val="00D12B3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03620">
      <w:bodyDiv w:val="1"/>
      <w:marLeft w:val="0"/>
      <w:marRight w:val="0"/>
      <w:marTop w:val="0"/>
      <w:marBottom w:val="0"/>
      <w:divBdr>
        <w:top w:val="none" w:sz="0" w:space="0" w:color="auto"/>
        <w:left w:val="none" w:sz="0" w:space="0" w:color="auto"/>
        <w:bottom w:val="none" w:sz="0" w:space="0" w:color="auto"/>
        <w:right w:val="none" w:sz="0" w:space="0" w:color="auto"/>
      </w:divBdr>
    </w:div>
    <w:div w:id="660159498">
      <w:bodyDiv w:val="1"/>
      <w:marLeft w:val="0"/>
      <w:marRight w:val="0"/>
      <w:marTop w:val="0"/>
      <w:marBottom w:val="0"/>
      <w:divBdr>
        <w:top w:val="none" w:sz="0" w:space="0" w:color="auto"/>
        <w:left w:val="none" w:sz="0" w:space="0" w:color="auto"/>
        <w:bottom w:val="none" w:sz="0" w:space="0" w:color="auto"/>
        <w:right w:val="none" w:sz="0" w:space="0" w:color="auto"/>
      </w:divBdr>
    </w:div>
    <w:div w:id="75898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A43222642</value>
    </field>
    <field name="Objective-Title">
      <value order="0">Explanatory Statement - Magistrates Court (Urban Forest Infringement Notices) Regulation - Final</value>
    </field>
    <field name="Objective-Description">
      <value order="0"/>
    </field>
    <field name="Objective-CreationStamp">
      <value order="0">2023-08-22T02:05:19Z</value>
    </field>
    <field name="Objective-IsApproved">
      <value order="0">false</value>
    </field>
    <field name="Objective-IsPublished">
      <value order="0">true</value>
    </field>
    <field name="Objective-DatePublished">
      <value order="0">2023-10-24T22:27:42Z</value>
    </field>
    <field name="Objective-ModificationStamp">
      <value order="0">2023-10-24T22:27:42Z</value>
    </field>
    <field name="Objective-Owner">
      <value order="0">Madelin Strupitis-Haddrick</value>
    </field>
    <field name="Objective-Path">
      <value order="0">Whole of ACT Government:TCCS STRUCTURE - Content Restriction Hierarchy:DIVISION: Transport Canberra and Business Services:0.4 BRANCH: Strategic Policy and Programs:TEAM: Policy and Legislation (Business and City Services):Projects:Urban Forest Bill:C5 - Legislation Development (Magistrates Court Reg)</value>
    </field>
    <field name="Objective-Parent">
      <value order="0">C5 - Legislation Development (Magistrates Court Reg)</value>
    </field>
    <field name="Objective-State">
      <value order="0">Published</value>
    </field>
    <field name="Objective-VersionId">
      <value order="0">vA55094733</value>
    </field>
    <field name="Objective-Version">
      <value order="0">11.0</value>
    </field>
    <field name="Objective-VersionNumber">
      <value order="0">14</value>
    </field>
    <field name="Objective-VersionComment">
      <value order="0">Updated reference to correct section of Mag Court Act</value>
    </field>
    <field name="Objective-FileNumber">
      <value order="0">1-2018/26392</value>
    </field>
    <field name="Objective-Classification">
      <value order="0">In Confidence (green file cover)</value>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2642</Words>
  <Characters>14111</Characters>
  <Application>Microsoft Office Word</Application>
  <DocSecurity>0</DocSecurity>
  <Lines>247</Lines>
  <Paragraphs>79</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Strupitis-Haddrick, Madelin</dc:creator>
  <cp:keywords>2</cp:keywords>
  <dc:description/>
  <cp:lastModifiedBy>PCODCS</cp:lastModifiedBy>
  <cp:revision>4</cp:revision>
  <dcterms:created xsi:type="dcterms:W3CDTF">2023-11-22T22:33:00Z</dcterms:created>
  <dcterms:modified xsi:type="dcterms:W3CDTF">2023-11-22T22:33:00Z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A43222642</vt:lpwstr>
  </property>
  <property fmtid="{D5CDD505-2E9C-101B-9397-08002B2CF9AE}" pid="4" name="Objective-Title">
    <vt:lpwstr>Explanatory Statement - Magistrates Court (Urban Forest Infringement Notices) Regulation - Final</vt:lpwstr>
  </property>
  <property fmtid="{D5CDD505-2E9C-101B-9397-08002B2CF9AE}" pid="5" name="Objective-Description">
    <vt:lpwstr/>
  </property>
  <property fmtid="{D5CDD505-2E9C-101B-9397-08002B2CF9AE}" pid="6" name="Objective-CreationStamp">
    <vt:filetime>2023-08-22T02:05:19Z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2023-10-24T22:27:42Z</vt:filetime>
  </property>
  <property fmtid="{D5CDD505-2E9C-101B-9397-08002B2CF9AE}" pid="10" name="Objective-ModificationStamp">
    <vt:filetime>2023-10-24T22:27:42Z</vt:filetime>
  </property>
  <property fmtid="{D5CDD505-2E9C-101B-9397-08002B2CF9AE}" pid="11" name="Objective-Owner">
    <vt:lpwstr>Madelin Strupitis-Haddrick</vt:lpwstr>
  </property>
  <property fmtid="{D5CDD505-2E9C-101B-9397-08002B2CF9AE}" pid="12" name="Objective-Path">
    <vt:lpwstr>Whole of ACT Government:TCCS STRUCTURE - Content Restriction Hierarchy:DIVISION: Transport Canberra and Business Services:0.4 BRANCH: Strategic Policy and Programs:TEAM: Policy and Legislation (Business and City Services):Projects:Urban Forest Bill:C5 - Legislation Development (Magistrates Court Reg):</vt:lpwstr>
  </property>
  <property fmtid="{D5CDD505-2E9C-101B-9397-08002B2CF9AE}" pid="13" name="Objective-Parent">
    <vt:lpwstr>C5 - Legislation Development (Magistrates Court Reg)</vt:lpwstr>
  </property>
  <property fmtid="{D5CDD505-2E9C-101B-9397-08002B2CF9AE}" pid="14" name="Objective-State">
    <vt:lpwstr>Published</vt:lpwstr>
  </property>
  <property fmtid="{D5CDD505-2E9C-101B-9397-08002B2CF9AE}" pid="15" name="Objective-VersionId">
    <vt:lpwstr>vA55094733</vt:lpwstr>
  </property>
  <property fmtid="{D5CDD505-2E9C-101B-9397-08002B2CF9AE}" pid="16" name="Objective-Version">
    <vt:lpwstr>11.0</vt:lpwstr>
  </property>
  <property fmtid="{D5CDD505-2E9C-101B-9397-08002B2CF9AE}" pid="17" name="Objective-VersionNumber">
    <vt:r8>14</vt:r8>
  </property>
  <property fmtid="{D5CDD505-2E9C-101B-9397-08002B2CF9AE}" pid="18" name="Objective-VersionComment">
    <vt:lpwstr>Updated reference to correct section of Mag Court Act</vt:lpwstr>
  </property>
  <property fmtid="{D5CDD505-2E9C-101B-9397-08002B2CF9AE}" pid="19" name="Objective-FileNumber">
    <vt:lpwstr>1-2018/26392</vt:lpwstr>
  </property>
  <property fmtid="{D5CDD505-2E9C-101B-9397-08002B2CF9AE}" pid="20" name="Objective-Classification">
    <vt:lpwstr>[Inherited - In Confidence (green file cover)]</vt:lpwstr>
  </property>
  <property fmtid="{D5CDD505-2E9C-101B-9397-08002B2CF9AE}" pid="21" name="Objective-Caveats">
    <vt:lpwstr/>
  </property>
  <property fmtid="{D5CDD505-2E9C-101B-9397-08002B2CF9AE}" pid="22" name="Objective-OM Author">
    <vt:lpwstr/>
  </property>
  <property fmtid="{D5CDD505-2E9C-101B-9397-08002B2CF9AE}" pid="23" name="Objective-OM Author Organisation">
    <vt:lpwstr/>
  </property>
  <property fmtid="{D5CDD505-2E9C-101B-9397-08002B2CF9AE}" pid="24" name="Objective-OM Author Type">
    <vt:lpwstr/>
  </property>
  <property fmtid="{D5CDD505-2E9C-101B-9397-08002B2CF9AE}" pid="25" name="Objective-OM Date Received">
    <vt:lpwstr/>
  </property>
  <property fmtid="{D5CDD505-2E9C-101B-9397-08002B2CF9AE}" pid="26" name="Objective-OM Date of Document">
    <vt:lpwstr/>
  </property>
  <property fmtid="{D5CDD505-2E9C-101B-9397-08002B2CF9AE}" pid="27" name="Objective-OM External Reference">
    <vt:lpwstr/>
  </property>
  <property fmtid="{D5CDD505-2E9C-101B-9397-08002B2CF9AE}" pid="28" name="Objective-OM Reference">
    <vt:lpwstr/>
  </property>
  <property fmtid="{D5CDD505-2E9C-101B-9397-08002B2CF9AE}" pid="29" name="Objective-OM Topic">
    <vt:lpwstr/>
  </property>
  <property fmtid="{D5CDD505-2E9C-101B-9397-08002B2CF9AE}" pid="30" name="Objective-Suburb">
    <vt:lpwstr/>
  </property>
  <property fmtid="{D5CDD505-2E9C-101B-9397-08002B2CF9AE}" pid="31" name="Objective-Comment">
    <vt:lpwstr/>
  </property>
  <property fmtid="{D5CDD505-2E9C-101B-9397-08002B2CF9AE}" pid="32" name="DMSID">
    <vt:lpwstr>11239171</vt:lpwstr>
  </property>
  <property fmtid="{D5CDD505-2E9C-101B-9397-08002B2CF9AE}" pid="33" name="CHECKEDOUTFROMJMS">
    <vt:lpwstr/>
  </property>
  <property fmtid="{D5CDD505-2E9C-101B-9397-08002B2CF9AE}" pid="34" name="JMSREQUIREDCHECKIN">
    <vt:lpwstr/>
  </property>
</Properties>
</file>