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C551" w14:textId="77777777" w:rsidR="00330D90" w:rsidRPr="0043269A" w:rsidRDefault="00330D90" w:rsidP="00A667AD">
      <w:pPr>
        <w:spacing w:before="120"/>
        <w:rPr>
          <w:rFonts w:ascii="Arial" w:hAnsi="Arial" w:cs="Arial"/>
        </w:rPr>
      </w:pPr>
      <w:smartTag w:uri="urn:schemas-microsoft-com:office:smarttags" w:element="place">
        <w:smartTag w:uri="urn:schemas-microsoft-com:office:smarttags" w:element="State">
          <w:r w:rsidRPr="0043269A">
            <w:rPr>
              <w:rFonts w:ascii="Arial" w:hAnsi="Arial" w:cs="Arial"/>
            </w:rPr>
            <w:t>Australian Capital Territory</w:t>
          </w:r>
        </w:smartTag>
      </w:smartTag>
    </w:p>
    <w:p w14:paraId="7C7ADBDD" w14:textId="77777777" w:rsidR="00330D90" w:rsidRPr="00A667AD" w:rsidRDefault="00330D90" w:rsidP="00A667AD">
      <w:pPr>
        <w:pStyle w:val="Billname"/>
        <w:spacing w:before="700"/>
      </w:pPr>
      <w:r w:rsidRPr="00A667AD">
        <w:t>Planning (</w:t>
      </w:r>
      <w:r w:rsidR="000C455F" w:rsidRPr="00A667AD">
        <w:t xml:space="preserve">Transitional </w:t>
      </w:r>
      <w:r w:rsidR="00014380" w:rsidRPr="00A667AD">
        <w:t>Provisions) Regulation</w:t>
      </w:r>
      <w:r w:rsidR="00426036" w:rsidRPr="00A667AD">
        <w:t xml:space="preserve"> </w:t>
      </w:r>
      <w:r w:rsidR="001509DB" w:rsidRPr="00A667AD">
        <w:t>2023</w:t>
      </w:r>
    </w:p>
    <w:p w14:paraId="29315DE2" w14:textId="77777777" w:rsidR="00426036" w:rsidRDefault="00426036" w:rsidP="00426036">
      <w:pPr>
        <w:spacing w:before="340"/>
        <w:rPr>
          <w:rFonts w:ascii="Arial" w:hAnsi="Arial" w:cs="Arial"/>
          <w:b/>
          <w:bCs/>
        </w:rPr>
      </w:pPr>
      <w:r>
        <w:rPr>
          <w:rFonts w:ascii="Arial" w:hAnsi="Arial" w:cs="Arial"/>
          <w:b/>
          <w:bCs/>
        </w:rPr>
        <w:t xml:space="preserve">Subordinate law </w:t>
      </w:r>
      <w:r w:rsidRPr="00EF4F3A">
        <w:rPr>
          <w:rFonts w:ascii="Arial" w:hAnsi="Arial" w:cs="Arial"/>
          <w:b/>
          <w:bCs/>
        </w:rPr>
        <w:t>SL20</w:t>
      </w:r>
      <w:r>
        <w:rPr>
          <w:rFonts w:ascii="Arial" w:hAnsi="Arial" w:cs="Arial"/>
          <w:b/>
          <w:bCs/>
        </w:rPr>
        <w:t>23-</w:t>
      </w:r>
      <w:r w:rsidR="00A05EC5">
        <w:rPr>
          <w:rFonts w:ascii="Arial" w:hAnsi="Arial" w:cs="Arial"/>
          <w:b/>
          <w:bCs/>
        </w:rPr>
        <w:t>29</w:t>
      </w:r>
    </w:p>
    <w:p w14:paraId="12B0BDEA" w14:textId="77777777" w:rsidR="00426036" w:rsidRPr="00A667AD" w:rsidRDefault="00330D90" w:rsidP="00A667AD">
      <w:pPr>
        <w:pStyle w:val="madeunder"/>
        <w:spacing w:before="300" w:after="0"/>
      </w:pPr>
      <w:r w:rsidRPr="00A667AD">
        <w:t>made under the</w:t>
      </w:r>
      <w:r w:rsidR="00426036" w:rsidRPr="00A667AD">
        <w:t xml:space="preserve"> </w:t>
      </w:r>
    </w:p>
    <w:p w14:paraId="3C88EF1C" w14:textId="77777777" w:rsidR="00330D90" w:rsidRPr="00A667AD" w:rsidRDefault="00330D90" w:rsidP="00A667AD">
      <w:pPr>
        <w:pStyle w:val="CoverActName"/>
        <w:spacing w:before="320" w:after="0"/>
        <w:rPr>
          <w:rFonts w:cs="Arial"/>
          <w:sz w:val="20"/>
        </w:rPr>
      </w:pPr>
      <w:r w:rsidRPr="00A667AD">
        <w:rPr>
          <w:rFonts w:cs="Arial"/>
          <w:sz w:val="20"/>
        </w:rPr>
        <w:t xml:space="preserve">Planning </w:t>
      </w:r>
      <w:r w:rsidR="001509DB" w:rsidRPr="00A667AD">
        <w:rPr>
          <w:rFonts w:cs="Arial"/>
          <w:sz w:val="20"/>
        </w:rPr>
        <w:t>Act</w:t>
      </w:r>
      <w:r w:rsidR="00426036" w:rsidRPr="00A667AD">
        <w:rPr>
          <w:rFonts w:cs="Arial"/>
          <w:sz w:val="20"/>
        </w:rPr>
        <w:t xml:space="preserve"> 2023,</w:t>
      </w:r>
      <w:r w:rsidR="001509DB" w:rsidRPr="00A667AD">
        <w:rPr>
          <w:rFonts w:cs="Arial"/>
          <w:sz w:val="20"/>
        </w:rPr>
        <w:t xml:space="preserve"> section </w:t>
      </w:r>
      <w:r w:rsidR="00426036" w:rsidRPr="00A667AD">
        <w:rPr>
          <w:rFonts w:cs="Arial"/>
          <w:sz w:val="20"/>
        </w:rPr>
        <w:t>601 (</w:t>
      </w:r>
      <w:r w:rsidR="00C634DF" w:rsidRPr="00A667AD">
        <w:rPr>
          <w:rFonts w:cs="Arial"/>
          <w:sz w:val="20"/>
        </w:rPr>
        <w:t>T</w:t>
      </w:r>
      <w:r w:rsidR="00426036" w:rsidRPr="00A667AD">
        <w:rPr>
          <w:rFonts w:cs="Arial"/>
          <w:sz w:val="20"/>
        </w:rPr>
        <w:t>ransitional regulations)</w:t>
      </w:r>
    </w:p>
    <w:p w14:paraId="67ACF6E4" w14:textId="77777777" w:rsidR="00330D90" w:rsidRPr="00A667AD" w:rsidRDefault="00330D90" w:rsidP="00A667AD">
      <w:pPr>
        <w:spacing w:before="360"/>
        <w:ind w:right="565"/>
        <w:rPr>
          <w:rFonts w:ascii="Arial" w:hAnsi="Arial" w:cs="Arial"/>
          <w:b/>
          <w:bCs/>
          <w:sz w:val="28"/>
          <w:szCs w:val="28"/>
        </w:rPr>
      </w:pPr>
      <w:r w:rsidRPr="0043269A">
        <w:rPr>
          <w:rFonts w:ascii="Arial" w:hAnsi="Arial" w:cs="Arial"/>
          <w:b/>
          <w:bCs/>
          <w:sz w:val="28"/>
          <w:szCs w:val="28"/>
        </w:rPr>
        <w:t>EXPLANATORY STATEMENT</w:t>
      </w:r>
    </w:p>
    <w:p w14:paraId="6722D27B" w14:textId="77777777" w:rsidR="00A667AD" w:rsidRDefault="00A667AD" w:rsidP="00A667AD">
      <w:pPr>
        <w:pStyle w:val="N-line3"/>
        <w:pBdr>
          <w:bottom w:val="none" w:sz="0" w:space="0" w:color="auto"/>
        </w:pBdr>
      </w:pPr>
    </w:p>
    <w:p w14:paraId="3DF1A6AE" w14:textId="77777777" w:rsidR="00A667AD" w:rsidRDefault="00A667AD" w:rsidP="00A667AD">
      <w:pPr>
        <w:pStyle w:val="N-line3"/>
        <w:pBdr>
          <w:top w:val="single" w:sz="12" w:space="1" w:color="auto"/>
          <w:bottom w:val="none" w:sz="0" w:space="0" w:color="auto"/>
        </w:pBdr>
      </w:pPr>
    </w:p>
    <w:p w14:paraId="520190DD" w14:textId="77777777" w:rsidR="00426036" w:rsidRPr="00574AE5" w:rsidRDefault="00426036" w:rsidP="00426036">
      <w:pPr>
        <w:pStyle w:val="Default"/>
        <w:rPr>
          <w:rFonts w:ascii="Arial" w:hAnsi="Arial" w:cs="Arial"/>
        </w:rPr>
      </w:pPr>
      <w:r w:rsidRPr="00574AE5">
        <w:rPr>
          <w:rFonts w:ascii="Arial" w:hAnsi="Arial" w:cs="Arial"/>
        </w:rPr>
        <w:t xml:space="preserve">This explanatory statement relates to the </w:t>
      </w:r>
      <w:r w:rsidR="00014380" w:rsidRPr="00014380">
        <w:rPr>
          <w:rFonts w:ascii="Arial" w:hAnsi="Arial" w:cs="Arial"/>
          <w:i/>
        </w:rPr>
        <w:t>Planning (</w:t>
      </w:r>
      <w:r w:rsidR="00014380" w:rsidRPr="00014380">
        <w:rPr>
          <w:rFonts w:ascii="Arial" w:hAnsi="Arial" w:cs="Arial"/>
          <w:i/>
          <w:iCs/>
        </w:rPr>
        <w:t>Transitional Provisions)</w:t>
      </w:r>
      <w:r w:rsidR="00014380" w:rsidRPr="00014380">
        <w:rPr>
          <w:rFonts w:ascii="Arial" w:hAnsi="Arial" w:cs="Arial"/>
          <w:i/>
        </w:rPr>
        <w:t xml:space="preserve"> Regulation 2023</w:t>
      </w:r>
      <w:r w:rsidR="00014380" w:rsidRPr="00014380" w:rsidDel="00014380">
        <w:rPr>
          <w:rFonts w:ascii="Arial" w:hAnsi="Arial" w:cs="Arial"/>
          <w:i/>
          <w:iCs/>
        </w:rPr>
        <w:t xml:space="preserve"> </w:t>
      </w:r>
      <w:r w:rsidRPr="00014380">
        <w:rPr>
          <w:rFonts w:ascii="Arial" w:hAnsi="Arial" w:cs="Arial"/>
        </w:rPr>
        <w:t>(the</w:t>
      </w:r>
      <w:r w:rsidRPr="00574AE5">
        <w:rPr>
          <w:rFonts w:ascii="Arial" w:hAnsi="Arial" w:cs="Arial"/>
        </w:rPr>
        <w:t xml:space="preserve"> regulation) as made by the Executive. It does not form part of the regulation and has not been endorsed by the Legislative Assembly. </w:t>
      </w:r>
    </w:p>
    <w:p w14:paraId="211F5AEF" w14:textId="77777777" w:rsidR="00426036" w:rsidRPr="00574AE5" w:rsidRDefault="00426036" w:rsidP="00426036">
      <w:pPr>
        <w:pStyle w:val="Default"/>
        <w:rPr>
          <w:rFonts w:ascii="Arial" w:hAnsi="Arial" w:cs="Arial"/>
        </w:rPr>
      </w:pPr>
    </w:p>
    <w:p w14:paraId="4AF044D6" w14:textId="77777777" w:rsidR="00426036" w:rsidRDefault="00426036" w:rsidP="00426036">
      <w:pPr>
        <w:pStyle w:val="Default"/>
        <w:rPr>
          <w:rFonts w:ascii="Arial" w:hAnsi="Arial" w:cs="Arial"/>
        </w:rPr>
      </w:pPr>
      <w:r w:rsidRPr="00574AE5">
        <w:rPr>
          <w:rFonts w:ascii="Arial" w:hAnsi="Arial" w:cs="Arial"/>
        </w:rPr>
        <w:t>This statement must be read in conjunction with the regulation. It is not, and is not meant to be, a comprehensive description of the regulation. What is said about a provision is not taken as an authoritative guide to the meaning of a provision, this being a task for the courts.</w:t>
      </w:r>
    </w:p>
    <w:p w14:paraId="7E8DA08D" w14:textId="77777777" w:rsidR="00426036" w:rsidRDefault="00426036" w:rsidP="00426036">
      <w:pPr>
        <w:pStyle w:val="Default"/>
        <w:rPr>
          <w:rFonts w:ascii="Arial" w:hAnsi="Arial" w:cs="Arial"/>
        </w:rPr>
      </w:pPr>
    </w:p>
    <w:p w14:paraId="1A55471F" w14:textId="77777777" w:rsidR="00426036" w:rsidRPr="00574AE5" w:rsidRDefault="00426036" w:rsidP="00426036">
      <w:pPr>
        <w:rPr>
          <w:rFonts w:ascii="Arial" w:hAnsi="Arial" w:cs="Arial"/>
          <w:szCs w:val="24"/>
        </w:rPr>
      </w:pPr>
      <w:r w:rsidRPr="00574AE5">
        <w:rPr>
          <w:rFonts w:ascii="Arial" w:hAnsi="Arial" w:cs="Arial"/>
          <w:b/>
          <w:bCs/>
          <w:szCs w:val="24"/>
        </w:rPr>
        <w:t>OVERVIEW OF THE REGULATION</w:t>
      </w:r>
    </w:p>
    <w:p w14:paraId="54963A84" w14:textId="77777777" w:rsidR="00426036" w:rsidRPr="00574AE5" w:rsidRDefault="00426036" w:rsidP="00426036">
      <w:pPr>
        <w:pStyle w:val="Default"/>
        <w:rPr>
          <w:rFonts w:ascii="Arial" w:hAnsi="Arial" w:cs="Arial"/>
        </w:rPr>
      </w:pPr>
    </w:p>
    <w:p w14:paraId="224FB405" w14:textId="77777777" w:rsidR="00426036" w:rsidRDefault="00426036" w:rsidP="00426036">
      <w:pPr>
        <w:pStyle w:val="NormalWeb"/>
        <w:shd w:val="clear" w:color="auto" w:fill="FFFFFF"/>
        <w:spacing w:before="0" w:beforeAutospacing="0" w:after="0" w:afterAutospacing="0"/>
        <w:rPr>
          <w:rFonts w:ascii="Arial" w:hAnsi="Arial" w:cs="Arial"/>
          <w:color w:val="000000"/>
        </w:rPr>
      </w:pPr>
      <w:r>
        <w:rPr>
          <w:rFonts w:ascii="Arial" w:hAnsi="Arial" w:cs="Arial"/>
          <w:color w:val="000000"/>
        </w:rPr>
        <w:t>Over the past four years, the Government has been reviewing the ACT planning system to improve and modernise the way the city’s future is planned and to create a planning system which delivers for the people of the ACT.</w:t>
      </w:r>
    </w:p>
    <w:p w14:paraId="66B9E407" w14:textId="77777777" w:rsidR="00426036" w:rsidRPr="00FE7637" w:rsidRDefault="00426036" w:rsidP="00426036">
      <w:pPr>
        <w:pStyle w:val="NormalWeb"/>
        <w:shd w:val="clear" w:color="auto" w:fill="FFFFFF"/>
        <w:spacing w:before="0" w:beforeAutospacing="0" w:after="0" w:afterAutospacing="0"/>
        <w:rPr>
          <w:rFonts w:ascii="Arial" w:hAnsi="Arial" w:cs="Arial"/>
          <w:color w:val="000000"/>
        </w:rPr>
      </w:pPr>
    </w:p>
    <w:p w14:paraId="046DD3F0" w14:textId="77777777" w:rsidR="00426036" w:rsidRDefault="00426036" w:rsidP="00426036">
      <w:pPr>
        <w:pStyle w:val="NormalWeb"/>
        <w:shd w:val="clear" w:color="auto" w:fill="FFFFFF"/>
        <w:spacing w:before="0" w:beforeAutospacing="0" w:after="0" w:afterAutospacing="0"/>
        <w:rPr>
          <w:rFonts w:ascii="Arial" w:hAnsi="Arial" w:cs="Arial"/>
          <w:color w:val="000000"/>
        </w:rPr>
      </w:pPr>
      <w:r>
        <w:rPr>
          <w:rFonts w:ascii="Arial" w:hAnsi="Arial" w:cs="Arial"/>
          <w:color w:val="000000"/>
        </w:rPr>
        <w:t>The purpose is to deliver a planning system that is clear, easy to use and facilitates the realisation of long-term aspirations for the growth and development of Canberra while maintaining its valued character.</w:t>
      </w:r>
    </w:p>
    <w:p w14:paraId="0468472D" w14:textId="77777777" w:rsidR="00980FBB" w:rsidRDefault="00980FBB" w:rsidP="00426036">
      <w:pPr>
        <w:pStyle w:val="NormalWeb"/>
        <w:shd w:val="clear" w:color="auto" w:fill="FFFFFF"/>
        <w:spacing w:before="0" w:beforeAutospacing="0" w:after="0" w:afterAutospacing="0"/>
        <w:rPr>
          <w:rFonts w:ascii="Arial" w:hAnsi="Arial" w:cs="Arial"/>
          <w:color w:val="000000"/>
        </w:rPr>
      </w:pPr>
    </w:p>
    <w:p w14:paraId="2F7F4A89" w14:textId="77777777" w:rsidR="00980FBB" w:rsidRDefault="00980FBB" w:rsidP="00426036">
      <w:pPr>
        <w:pStyle w:val="NormalWeb"/>
        <w:shd w:val="clear" w:color="auto" w:fill="FFFFFF"/>
        <w:spacing w:before="0" w:beforeAutospacing="0" w:after="0" w:afterAutospacing="0"/>
        <w:rPr>
          <w:rFonts w:ascii="Arial" w:hAnsi="Arial" w:cs="Arial"/>
        </w:rPr>
      </w:pPr>
      <w:r w:rsidRPr="00574AE5">
        <w:rPr>
          <w:rFonts w:ascii="Arial" w:hAnsi="Arial" w:cs="Arial"/>
        </w:rPr>
        <w:t xml:space="preserve">The regulation contains administrative and process provisions to support the operation of the </w:t>
      </w:r>
      <w:r w:rsidRPr="00FE7637">
        <w:rPr>
          <w:rFonts w:ascii="Arial" w:hAnsi="Arial" w:cs="Arial"/>
          <w:i/>
          <w:iCs/>
        </w:rPr>
        <w:t>Planning Act 20</w:t>
      </w:r>
      <w:r>
        <w:rPr>
          <w:rFonts w:ascii="Arial" w:hAnsi="Arial" w:cs="Arial"/>
          <w:i/>
          <w:iCs/>
        </w:rPr>
        <w:t>2</w:t>
      </w:r>
      <w:r w:rsidRPr="00FE7637">
        <w:rPr>
          <w:rFonts w:ascii="Arial" w:hAnsi="Arial" w:cs="Arial"/>
          <w:i/>
          <w:iCs/>
        </w:rPr>
        <w:t>3</w:t>
      </w:r>
      <w:r w:rsidRPr="00FE7637">
        <w:rPr>
          <w:rFonts w:ascii="Arial" w:hAnsi="Arial" w:cs="Arial"/>
        </w:rPr>
        <w:t xml:space="preserve"> </w:t>
      </w:r>
      <w:r w:rsidRPr="00574AE5">
        <w:rPr>
          <w:rFonts w:ascii="Arial" w:hAnsi="Arial" w:cs="Arial"/>
        </w:rPr>
        <w:t>(the Act)</w:t>
      </w:r>
      <w:r>
        <w:rPr>
          <w:rFonts w:ascii="Arial" w:hAnsi="Arial" w:cs="Arial"/>
        </w:rPr>
        <w:t xml:space="preserve"> in the reformed planning system</w:t>
      </w:r>
      <w:r w:rsidRPr="00574AE5">
        <w:rPr>
          <w:rFonts w:ascii="Arial" w:hAnsi="Arial" w:cs="Arial"/>
        </w:rPr>
        <w:t>.</w:t>
      </w:r>
      <w:r>
        <w:rPr>
          <w:rFonts w:ascii="Arial" w:hAnsi="Arial" w:cs="Arial"/>
        </w:rPr>
        <w:t xml:space="preserve"> This regulation amends chapter 20 of the Act</w:t>
      </w:r>
      <w:r w:rsidR="00AF206C">
        <w:rPr>
          <w:rFonts w:ascii="Arial" w:hAnsi="Arial" w:cs="Arial"/>
        </w:rPr>
        <w:t xml:space="preserve"> to clarify transitional arrangements for:</w:t>
      </w:r>
    </w:p>
    <w:p w14:paraId="415B44A8" w14:textId="77777777" w:rsidR="00AF206C" w:rsidRDefault="00AF206C" w:rsidP="00426036">
      <w:pPr>
        <w:pStyle w:val="NormalWeb"/>
        <w:shd w:val="clear" w:color="auto" w:fill="FFFFFF"/>
        <w:spacing w:before="0" w:beforeAutospacing="0" w:after="0" w:afterAutospacing="0"/>
        <w:rPr>
          <w:rFonts w:ascii="Arial" w:hAnsi="Arial" w:cs="Arial"/>
        </w:rPr>
      </w:pPr>
    </w:p>
    <w:p w14:paraId="6565C788" w14:textId="77777777" w:rsidR="00AF206C" w:rsidRDefault="00AF206C" w:rsidP="00AF206C">
      <w:pPr>
        <w:pStyle w:val="NormalWeb"/>
        <w:numPr>
          <w:ilvl w:val="0"/>
          <w:numId w:val="3"/>
        </w:numPr>
        <w:shd w:val="clear" w:color="auto" w:fill="FFFFFF"/>
        <w:spacing w:before="0" w:beforeAutospacing="0" w:after="0" w:afterAutospacing="0"/>
        <w:rPr>
          <w:rFonts w:ascii="Arial" w:hAnsi="Arial" w:cs="Arial"/>
          <w:color w:val="000000"/>
        </w:rPr>
      </w:pPr>
      <w:r>
        <w:rPr>
          <w:rFonts w:ascii="Arial" w:hAnsi="Arial" w:cs="Arial"/>
          <w:color w:val="000000"/>
        </w:rPr>
        <w:t xml:space="preserve">Minor plan amendments during the period of the interim Territory Plan </w:t>
      </w:r>
    </w:p>
    <w:p w14:paraId="0CA498D5" w14:textId="77777777" w:rsidR="00AF206C" w:rsidRDefault="00AF206C" w:rsidP="00AF206C">
      <w:pPr>
        <w:pStyle w:val="NormalWeb"/>
        <w:numPr>
          <w:ilvl w:val="0"/>
          <w:numId w:val="3"/>
        </w:numPr>
        <w:shd w:val="clear" w:color="auto" w:fill="FFFFFF"/>
        <w:spacing w:before="0" w:beforeAutospacing="0" w:after="0" w:afterAutospacing="0"/>
        <w:rPr>
          <w:rFonts w:ascii="Arial" w:hAnsi="Arial" w:cs="Arial"/>
          <w:color w:val="000000"/>
        </w:rPr>
      </w:pPr>
      <w:r>
        <w:rPr>
          <w:rFonts w:ascii="Arial" w:hAnsi="Arial" w:cs="Arial"/>
          <w:color w:val="000000"/>
        </w:rPr>
        <w:t xml:space="preserve">Major plan amendments during the period of the interim Territory Plan </w:t>
      </w:r>
    </w:p>
    <w:p w14:paraId="2187D07D" w14:textId="77777777" w:rsidR="00AF206C" w:rsidRPr="00AF206C" w:rsidRDefault="00AF206C" w:rsidP="00AF206C">
      <w:pPr>
        <w:pStyle w:val="NormalWeb"/>
        <w:numPr>
          <w:ilvl w:val="0"/>
          <w:numId w:val="3"/>
        </w:numPr>
        <w:shd w:val="clear" w:color="auto" w:fill="FFFFFF"/>
        <w:spacing w:before="0" w:beforeAutospacing="0" w:after="0" w:afterAutospacing="0"/>
        <w:rPr>
          <w:rFonts w:ascii="Arial" w:hAnsi="Arial" w:cs="Arial"/>
          <w:color w:val="000000"/>
        </w:rPr>
      </w:pPr>
      <w:r w:rsidRPr="00AF206C">
        <w:rPr>
          <w:rFonts w:ascii="Arial" w:hAnsi="Arial" w:cs="Arial"/>
          <w:color w:val="000000"/>
        </w:rPr>
        <w:t>lease</w:t>
      </w:r>
      <w:r>
        <w:rPr>
          <w:rFonts w:ascii="Arial" w:hAnsi="Arial" w:cs="Arial"/>
          <w:color w:val="000000"/>
        </w:rPr>
        <w:t xml:space="preserve"> processes</w:t>
      </w:r>
      <w:r w:rsidRPr="00AF206C">
        <w:rPr>
          <w:rFonts w:ascii="Arial" w:hAnsi="Arial" w:cs="Arial"/>
          <w:color w:val="000000"/>
        </w:rPr>
        <w:t xml:space="preserve"> commenced but not completed prior to the commencement of the Act.</w:t>
      </w:r>
    </w:p>
    <w:p w14:paraId="72560C38" w14:textId="77777777" w:rsidR="00AF206C" w:rsidRDefault="00AF206C" w:rsidP="00AF206C">
      <w:pPr>
        <w:pStyle w:val="NormalWeb"/>
        <w:numPr>
          <w:ilvl w:val="0"/>
          <w:numId w:val="3"/>
        </w:numPr>
        <w:shd w:val="clear" w:color="auto" w:fill="FFFFFF"/>
        <w:spacing w:before="0" w:beforeAutospacing="0" w:after="0" w:afterAutospacing="0"/>
        <w:rPr>
          <w:rFonts w:ascii="Arial" w:hAnsi="Arial" w:cs="Arial"/>
          <w:color w:val="000000"/>
        </w:rPr>
      </w:pPr>
      <w:r>
        <w:rPr>
          <w:rFonts w:ascii="Arial" w:hAnsi="Arial" w:cs="Arial"/>
          <w:color w:val="000000"/>
        </w:rPr>
        <w:t xml:space="preserve">Applications for further leases made prior to commencement of the </w:t>
      </w:r>
      <w:r w:rsidR="00E74148">
        <w:rPr>
          <w:rFonts w:ascii="Arial" w:hAnsi="Arial" w:cs="Arial"/>
          <w:color w:val="000000"/>
        </w:rPr>
        <w:t>A</w:t>
      </w:r>
      <w:r>
        <w:rPr>
          <w:rFonts w:ascii="Arial" w:hAnsi="Arial" w:cs="Arial"/>
          <w:color w:val="000000"/>
        </w:rPr>
        <w:t xml:space="preserve">ct, or where a lease expired no more than 6 months prior to the commencement of the Act.  </w:t>
      </w:r>
    </w:p>
    <w:p w14:paraId="6A1FC51D" w14:textId="77777777" w:rsidR="00426036" w:rsidRDefault="00426036" w:rsidP="00426036">
      <w:pPr>
        <w:pStyle w:val="Default"/>
        <w:rPr>
          <w:rFonts w:ascii="Arial" w:hAnsi="Arial" w:cs="Arial"/>
        </w:rPr>
      </w:pPr>
    </w:p>
    <w:p w14:paraId="5FD9E4A4" w14:textId="77777777" w:rsidR="00980FBB" w:rsidRDefault="00980FBB" w:rsidP="00426036">
      <w:pPr>
        <w:pStyle w:val="Default"/>
        <w:rPr>
          <w:rFonts w:ascii="Arial" w:hAnsi="Arial" w:cs="Arial"/>
        </w:rPr>
      </w:pPr>
    </w:p>
    <w:p w14:paraId="45255220" w14:textId="77777777" w:rsidR="00980FBB" w:rsidRDefault="00980FBB" w:rsidP="00980FBB">
      <w:pPr>
        <w:autoSpaceDE w:val="0"/>
        <w:autoSpaceDN w:val="0"/>
        <w:adjustRightInd w:val="0"/>
        <w:rPr>
          <w:rFonts w:ascii="Arial" w:hAnsi="Arial" w:cs="Arial"/>
          <w:b/>
          <w:bCs/>
          <w:sz w:val="23"/>
          <w:szCs w:val="23"/>
          <w:lang w:eastAsia="en-AU"/>
        </w:rPr>
      </w:pPr>
      <w:r>
        <w:rPr>
          <w:rFonts w:ascii="Arial" w:hAnsi="Arial" w:cs="Arial"/>
          <w:b/>
          <w:bCs/>
          <w:sz w:val="23"/>
          <w:szCs w:val="23"/>
          <w:lang w:eastAsia="en-AU"/>
        </w:rPr>
        <w:t>SCRUTINY OF BILLS COMMITTEE PRINCIPLES AND HUMAN RIGHTS</w:t>
      </w:r>
    </w:p>
    <w:p w14:paraId="43CC7AB4" w14:textId="77777777" w:rsidR="00980FBB" w:rsidRDefault="00980FBB" w:rsidP="00980FBB">
      <w:pPr>
        <w:autoSpaceDE w:val="0"/>
        <w:autoSpaceDN w:val="0"/>
        <w:adjustRightInd w:val="0"/>
        <w:rPr>
          <w:rFonts w:ascii="Arial" w:hAnsi="Arial" w:cs="Arial"/>
          <w:b/>
          <w:bCs/>
          <w:szCs w:val="24"/>
          <w:lang w:eastAsia="en-AU"/>
        </w:rPr>
      </w:pPr>
    </w:p>
    <w:p w14:paraId="168C2682" w14:textId="77777777" w:rsidR="00980FBB" w:rsidRDefault="00980FBB" w:rsidP="00980FBB">
      <w:pPr>
        <w:pStyle w:val="NormalWeb"/>
        <w:shd w:val="clear" w:color="auto" w:fill="FFFFFF"/>
        <w:spacing w:before="0" w:beforeAutospacing="0" w:after="0" w:afterAutospacing="0"/>
        <w:rPr>
          <w:rFonts w:ascii="Arial" w:hAnsi="Arial" w:cs="Arial"/>
          <w:color w:val="000000"/>
        </w:rPr>
      </w:pPr>
      <w:r>
        <w:rPr>
          <w:rFonts w:ascii="Arial" w:hAnsi="Arial" w:cs="Arial"/>
          <w:color w:val="000000"/>
        </w:rPr>
        <w:t>During the development of the regulation due regard was given to its compatibility with human rights as set out in the </w:t>
      </w:r>
      <w:r w:rsidRPr="00730372">
        <w:rPr>
          <w:rFonts w:ascii="Arial" w:hAnsi="Arial" w:cs="Arial"/>
          <w:i/>
          <w:iCs/>
          <w:color w:val="000000"/>
        </w:rPr>
        <w:t>Human Rights Act 2004</w:t>
      </w:r>
      <w:r>
        <w:rPr>
          <w:rFonts w:ascii="Arial" w:hAnsi="Arial" w:cs="Arial"/>
          <w:color w:val="000000"/>
        </w:rPr>
        <w:t> (the HR Act).</w:t>
      </w:r>
    </w:p>
    <w:p w14:paraId="19ADF7E9" w14:textId="77777777" w:rsidR="007536D9" w:rsidRPr="004D7D31" w:rsidRDefault="007536D9" w:rsidP="007536D9">
      <w:pPr>
        <w:rPr>
          <w:rFonts w:ascii="Arial" w:hAnsi="Arial" w:cs="Arial"/>
          <w:iCs/>
          <w:szCs w:val="24"/>
          <w:u w:val="single"/>
        </w:rPr>
      </w:pPr>
    </w:p>
    <w:p w14:paraId="420C5F57" w14:textId="77777777" w:rsidR="00F46488" w:rsidRPr="00F46488" w:rsidRDefault="007536D9" w:rsidP="007536D9">
      <w:pPr>
        <w:autoSpaceDE w:val="0"/>
        <w:autoSpaceDN w:val="0"/>
        <w:adjustRightInd w:val="0"/>
        <w:rPr>
          <w:rFonts w:ascii="Arial" w:hAnsi="Arial" w:cs="Arial"/>
          <w:szCs w:val="24"/>
          <w:u w:val="single"/>
        </w:rPr>
      </w:pPr>
      <w:r w:rsidRPr="00F46488">
        <w:rPr>
          <w:rFonts w:ascii="Arial" w:hAnsi="Arial" w:cs="Arial"/>
          <w:szCs w:val="24"/>
          <w:u w:val="single"/>
        </w:rPr>
        <w:t xml:space="preserve">The </w:t>
      </w:r>
      <w:r w:rsidRPr="00F46488">
        <w:rPr>
          <w:rFonts w:ascii="Arial" w:hAnsi="Arial" w:cs="Arial"/>
          <w:i/>
          <w:iCs/>
          <w:szCs w:val="24"/>
          <w:u w:val="single"/>
        </w:rPr>
        <w:t>Planning Act 2023</w:t>
      </w:r>
      <w:r w:rsidRPr="00F46488">
        <w:rPr>
          <w:rFonts w:ascii="Arial" w:hAnsi="Arial" w:cs="Arial"/>
          <w:szCs w:val="24"/>
          <w:u w:val="single"/>
        </w:rPr>
        <w:t xml:space="preserve"> </w:t>
      </w:r>
      <w:r w:rsidR="00F46488" w:rsidRPr="00F46488">
        <w:rPr>
          <w:rFonts w:ascii="Arial" w:hAnsi="Arial" w:cs="Arial"/>
          <w:szCs w:val="24"/>
          <w:u w:val="single"/>
        </w:rPr>
        <w:t xml:space="preserve">promotes section </w:t>
      </w:r>
      <w:r w:rsidR="00A14418">
        <w:rPr>
          <w:rFonts w:ascii="Arial" w:hAnsi="Arial" w:cs="Arial"/>
          <w:szCs w:val="24"/>
          <w:u w:val="single"/>
        </w:rPr>
        <w:t>17</w:t>
      </w:r>
      <w:r w:rsidR="00F46488" w:rsidRPr="00F46488">
        <w:rPr>
          <w:rFonts w:ascii="Arial" w:hAnsi="Arial" w:cs="Arial"/>
          <w:szCs w:val="24"/>
          <w:u w:val="single"/>
        </w:rPr>
        <w:t xml:space="preserve"> (</w:t>
      </w:r>
      <w:r w:rsidRPr="00F46488">
        <w:rPr>
          <w:rFonts w:ascii="Arial" w:hAnsi="Arial" w:cs="Arial"/>
          <w:szCs w:val="24"/>
          <w:u w:val="single"/>
        </w:rPr>
        <w:t>right to</w:t>
      </w:r>
      <w:r w:rsidR="00A14418">
        <w:rPr>
          <w:rFonts w:ascii="Arial" w:hAnsi="Arial" w:cs="Arial"/>
          <w:szCs w:val="24"/>
          <w:u w:val="single"/>
        </w:rPr>
        <w:t xml:space="preserve"> take part</w:t>
      </w:r>
      <w:r w:rsidRPr="00F46488">
        <w:rPr>
          <w:rFonts w:ascii="Arial" w:hAnsi="Arial" w:cs="Arial"/>
          <w:szCs w:val="24"/>
          <w:u w:val="single"/>
        </w:rPr>
        <w:t xml:space="preserve"> in public life</w:t>
      </w:r>
      <w:r w:rsidR="00F46488" w:rsidRPr="00F46488">
        <w:rPr>
          <w:rFonts w:ascii="Arial" w:hAnsi="Arial" w:cs="Arial"/>
          <w:szCs w:val="24"/>
          <w:u w:val="single"/>
        </w:rPr>
        <w:t>) of the HR Act</w:t>
      </w:r>
      <w:r w:rsidRPr="00F46488">
        <w:rPr>
          <w:rFonts w:ascii="Arial" w:hAnsi="Arial" w:cs="Arial"/>
          <w:szCs w:val="24"/>
          <w:u w:val="single"/>
        </w:rPr>
        <w:t xml:space="preserve">. </w:t>
      </w:r>
    </w:p>
    <w:p w14:paraId="6FB26132" w14:textId="77777777" w:rsidR="00F46488" w:rsidRDefault="00F46488" w:rsidP="007536D9">
      <w:pPr>
        <w:autoSpaceDE w:val="0"/>
        <w:autoSpaceDN w:val="0"/>
        <w:adjustRightInd w:val="0"/>
        <w:rPr>
          <w:rFonts w:ascii="Arial" w:hAnsi="Arial" w:cs="Arial"/>
          <w:szCs w:val="24"/>
        </w:rPr>
      </w:pPr>
    </w:p>
    <w:p w14:paraId="2947BE24" w14:textId="77777777" w:rsidR="007536D9" w:rsidRPr="00F46488" w:rsidRDefault="007536D9" w:rsidP="007536D9">
      <w:pPr>
        <w:autoSpaceDE w:val="0"/>
        <w:autoSpaceDN w:val="0"/>
        <w:adjustRightInd w:val="0"/>
        <w:rPr>
          <w:rFonts w:ascii="Arial" w:hAnsi="Arial" w:cs="Arial"/>
          <w:szCs w:val="24"/>
        </w:rPr>
      </w:pPr>
      <w:r w:rsidRPr="00D138EB">
        <w:rPr>
          <w:rFonts w:ascii="Arial" w:hAnsi="Arial" w:cs="Arial"/>
          <w:szCs w:val="24"/>
        </w:rPr>
        <w:t xml:space="preserve">The </w:t>
      </w:r>
      <w:r>
        <w:rPr>
          <w:rFonts w:ascii="Arial" w:hAnsi="Arial" w:cs="Arial"/>
          <w:szCs w:val="24"/>
        </w:rPr>
        <w:t xml:space="preserve">Planning Act </w:t>
      </w:r>
      <w:r w:rsidRPr="00D138EB">
        <w:rPr>
          <w:rFonts w:ascii="Arial" w:hAnsi="Arial" w:cs="Arial"/>
          <w:szCs w:val="24"/>
        </w:rPr>
        <w:t>facilitates a person’s ability to take part in public life and planning decisions</w:t>
      </w:r>
      <w:r>
        <w:rPr>
          <w:rFonts w:ascii="Arial" w:hAnsi="Arial" w:cs="Arial"/>
          <w:szCs w:val="24"/>
        </w:rPr>
        <w:t xml:space="preserve">, </w:t>
      </w:r>
      <w:r w:rsidRPr="00D138EB">
        <w:rPr>
          <w:rFonts w:ascii="Arial" w:hAnsi="Arial" w:cs="Arial"/>
          <w:szCs w:val="24"/>
        </w:rPr>
        <w:t>directions</w:t>
      </w:r>
      <w:r>
        <w:rPr>
          <w:rFonts w:ascii="Arial" w:hAnsi="Arial" w:cs="Arial"/>
          <w:szCs w:val="24"/>
        </w:rPr>
        <w:t xml:space="preserve"> and </w:t>
      </w:r>
      <w:r w:rsidRPr="00D138EB">
        <w:rPr>
          <w:rFonts w:ascii="Arial" w:hAnsi="Arial" w:cs="Arial"/>
          <w:szCs w:val="24"/>
        </w:rPr>
        <w:t xml:space="preserve">policy, including through consultation and comment </w:t>
      </w:r>
      <w:r w:rsidR="00F46488" w:rsidRPr="00D138EB">
        <w:rPr>
          <w:rFonts w:ascii="Arial" w:hAnsi="Arial" w:cs="Arial"/>
          <w:szCs w:val="24"/>
        </w:rPr>
        <w:t>on draft</w:t>
      </w:r>
      <w:r w:rsidRPr="00D138EB">
        <w:rPr>
          <w:rFonts w:ascii="Arial" w:hAnsi="Arial" w:cs="Arial"/>
          <w:szCs w:val="24"/>
        </w:rPr>
        <w:t xml:space="preserve"> Territory Plan amendments</w:t>
      </w:r>
      <w:r>
        <w:rPr>
          <w:rFonts w:ascii="Arial" w:hAnsi="Arial" w:cs="Arial"/>
          <w:szCs w:val="24"/>
        </w:rPr>
        <w:t xml:space="preserve">. </w:t>
      </w:r>
      <w:r w:rsidRPr="00D138EB">
        <w:rPr>
          <w:rFonts w:ascii="Arial" w:hAnsi="Arial" w:cs="Arial"/>
          <w:szCs w:val="24"/>
        </w:rPr>
        <w:t xml:space="preserve">For example, </w:t>
      </w:r>
      <w:r>
        <w:rPr>
          <w:rFonts w:ascii="Arial" w:hAnsi="Arial" w:cs="Arial"/>
          <w:szCs w:val="24"/>
        </w:rPr>
        <w:t>division 5.2.3 re</w:t>
      </w:r>
      <w:r w:rsidRPr="00D138EB">
        <w:rPr>
          <w:rFonts w:ascii="Arial" w:hAnsi="Arial" w:cs="Arial"/>
          <w:szCs w:val="24"/>
        </w:rPr>
        <w:t>quires that the Territory Planning Authority must invite people to comment on proposed major draft amendments to the Territory Plan,</w:t>
      </w:r>
    </w:p>
    <w:p w14:paraId="40563209" w14:textId="77777777" w:rsidR="007536D9" w:rsidRDefault="007536D9" w:rsidP="007536D9">
      <w:pPr>
        <w:pStyle w:val="NormalWeb"/>
        <w:shd w:val="clear" w:color="auto" w:fill="FFFFFF"/>
        <w:spacing w:before="0" w:beforeAutospacing="0" w:after="0" w:afterAutospacing="0"/>
        <w:rPr>
          <w:rFonts w:ascii="Arial" w:hAnsi="Arial" w:cs="Arial"/>
          <w:color w:val="000000"/>
        </w:rPr>
      </w:pPr>
    </w:p>
    <w:p w14:paraId="45CA5DA2" w14:textId="77777777" w:rsidR="00AF206C" w:rsidRPr="007536D9" w:rsidRDefault="00AF206C" w:rsidP="007536D9">
      <w:pPr>
        <w:pStyle w:val="NormalWeb"/>
        <w:shd w:val="clear" w:color="auto" w:fill="FFFFFF"/>
        <w:spacing w:before="0" w:beforeAutospacing="0" w:after="0" w:afterAutospacing="0"/>
        <w:rPr>
          <w:rFonts w:ascii="Arial" w:hAnsi="Arial" w:cs="Arial"/>
          <w:color w:val="000000"/>
          <w:u w:val="single"/>
        </w:rPr>
      </w:pPr>
      <w:r w:rsidRPr="007536D9">
        <w:rPr>
          <w:rFonts w:ascii="Arial" w:hAnsi="Arial" w:cs="Arial"/>
          <w:color w:val="000000"/>
          <w:u w:val="single"/>
        </w:rPr>
        <w:t xml:space="preserve">The </w:t>
      </w:r>
      <w:r w:rsidR="007536D9">
        <w:rPr>
          <w:rFonts w:ascii="Arial" w:hAnsi="Arial" w:cs="Arial"/>
          <w:color w:val="000000"/>
          <w:u w:val="single"/>
        </w:rPr>
        <w:t>Act</w:t>
      </w:r>
      <w:r w:rsidRPr="007536D9">
        <w:rPr>
          <w:rFonts w:ascii="Arial" w:hAnsi="Arial" w:cs="Arial"/>
          <w:color w:val="000000"/>
          <w:u w:val="single"/>
        </w:rPr>
        <w:t xml:space="preserve"> promotes section 12 (right to privacy and reputation) of the HR Act. </w:t>
      </w:r>
    </w:p>
    <w:p w14:paraId="7F76EBEF" w14:textId="77777777" w:rsidR="00AF206C" w:rsidRDefault="00AF206C" w:rsidP="00AF206C">
      <w:pPr>
        <w:pStyle w:val="NormalWeb"/>
        <w:shd w:val="clear" w:color="auto" w:fill="FFFFFF"/>
        <w:spacing w:before="0" w:beforeAutospacing="0" w:after="0" w:afterAutospacing="0"/>
        <w:rPr>
          <w:rFonts w:ascii="Arial" w:hAnsi="Arial" w:cs="Arial"/>
          <w:color w:val="000000"/>
        </w:rPr>
      </w:pPr>
    </w:p>
    <w:p w14:paraId="10463919" w14:textId="77777777" w:rsidR="00AF206C" w:rsidRPr="00EC3825" w:rsidRDefault="00AF206C" w:rsidP="00AF206C">
      <w:pPr>
        <w:pStyle w:val="NormalWeb"/>
        <w:shd w:val="clear" w:color="auto" w:fill="FFFFFF"/>
        <w:spacing w:before="0" w:beforeAutospacing="0" w:after="0" w:afterAutospacing="0"/>
        <w:rPr>
          <w:rFonts w:ascii="Arial" w:hAnsi="Arial" w:cs="Arial"/>
          <w:color w:val="000000"/>
        </w:rPr>
      </w:pPr>
      <w:r w:rsidRPr="00EC3825">
        <w:rPr>
          <w:rFonts w:ascii="Arial" w:hAnsi="Arial" w:cs="Arial"/>
          <w:color w:val="000000"/>
        </w:rPr>
        <w:t>The right to privacy protects individuals from unlawful or arbitrary interference with privacy and home and encompasses the idea that individuals should have a separate area of autonomous space free from excessive government intervention and unsolicited intrusion by other individuals.</w:t>
      </w:r>
    </w:p>
    <w:p w14:paraId="71091E90" w14:textId="77777777" w:rsidR="00AF206C" w:rsidRDefault="00AF206C" w:rsidP="00980FBB">
      <w:pPr>
        <w:pStyle w:val="NormalWeb"/>
        <w:shd w:val="clear" w:color="auto" w:fill="FFFFFF"/>
        <w:spacing w:before="0" w:beforeAutospacing="0" w:after="0" w:afterAutospacing="0"/>
        <w:rPr>
          <w:rFonts w:ascii="Arial" w:hAnsi="Arial" w:cs="Arial"/>
          <w:color w:val="000000"/>
        </w:rPr>
      </w:pPr>
    </w:p>
    <w:p w14:paraId="05E67A25" w14:textId="77777777" w:rsidR="00980FBB" w:rsidRDefault="00980FBB" w:rsidP="00980FBB">
      <w:pPr>
        <w:pStyle w:val="NormalWeb"/>
        <w:shd w:val="clear" w:color="auto" w:fill="FFFFFF"/>
        <w:spacing w:before="0" w:beforeAutospacing="0" w:after="0" w:afterAutospacing="0"/>
        <w:rPr>
          <w:rFonts w:ascii="Arial" w:hAnsi="Arial" w:cs="Arial"/>
          <w:color w:val="000000"/>
        </w:rPr>
      </w:pPr>
      <w:r w:rsidRPr="00EC3825">
        <w:rPr>
          <w:rFonts w:ascii="Arial" w:hAnsi="Arial" w:cs="Arial"/>
          <w:color w:val="000000"/>
        </w:rPr>
        <w:t xml:space="preserve">The </w:t>
      </w:r>
      <w:r w:rsidRPr="005E07C1">
        <w:rPr>
          <w:rFonts w:ascii="Arial" w:hAnsi="Arial" w:cs="Arial"/>
          <w:i/>
          <w:iCs/>
          <w:color w:val="000000"/>
        </w:rPr>
        <w:t>Planning Act 2023</w:t>
      </w:r>
      <w:r w:rsidRPr="00EC3825">
        <w:rPr>
          <w:rFonts w:ascii="Arial" w:hAnsi="Arial" w:cs="Arial"/>
          <w:color w:val="000000"/>
        </w:rPr>
        <w:t> promotes an outcomes-focused approach to planning. It provides that development applications will be considered against the planning outcomes set out in the ACT’s various plans and strategies. It seeks to reduce government intervention in prescribing how development should be undertaken on their properties. Instead, it provides space for developers, and therefore home-owners, to meet planning outcomes in ways that they believe best meet the particular conditions and circumstances in which development is to take place. The outcomes-focused approach does not mean that no restrictions exist in seeking to meet planning outcomes.</w:t>
      </w:r>
    </w:p>
    <w:p w14:paraId="75E88C6B" w14:textId="77777777" w:rsidR="007536D9" w:rsidRPr="007536D9" w:rsidRDefault="007536D9" w:rsidP="00980FBB">
      <w:pPr>
        <w:pStyle w:val="NormalWeb"/>
        <w:shd w:val="clear" w:color="auto" w:fill="FFFFFF"/>
        <w:spacing w:before="0" w:beforeAutospacing="0" w:after="0" w:afterAutospacing="0"/>
        <w:rPr>
          <w:rFonts w:ascii="Arial" w:hAnsi="Arial" w:cs="Arial"/>
          <w:b/>
          <w:bCs/>
          <w:color w:val="000000"/>
        </w:rPr>
      </w:pPr>
    </w:p>
    <w:p w14:paraId="755FE0CD" w14:textId="77777777" w:rsidR="00980FBB" w:rsidRDefault="00980FBB" w:rsidP="00426036">
      <w:pPr>
        <w:pStyle w:val="Default"/>
        <w:rPr>
          <w:rFonts w:ascii="Arial" w:hAnsi="Arial" w:cs="Arial"/>
        </w:rPr>
      </w:pPr>
    </w:p>
    <w:p w14:paraId="7A400318" w14:textId="77777777" w:rsidR="007536D9" w:rsidRPr="00F46488" w:rsidRDefault="007536D9" w:rsidP="00426036">
      <w:pPr>
        <w:pStyle w:val="Default"/>
        <w:rPr>
          <w:rFonts w:ascii="Arial" w:hAnsi="Arial" w:cs="Arial"/>
          <w:b/>
          <w:bCs/>
        </w:rPr>
      </w:pPr>
      <w:r w:rsidRPr="00F46488">
        <w:rPr>
          <w:rFonts w:ascii="Arial" w:hAnsi="Arial" w:cs="Arial"/>
          <w:b/>
          <w:bCs/>
        </w:rPr>
        <w:t xml:space="preserve">Clause Notes: </w:t>
      </w:r>
    </w:p>
    <w:p w14:paraId="04C39BD8" w14:textId="77777777" w:rsidR="007536D9" w:rsidRPr="007536D9" w:rsidRDefault="007536D9" w:rsidP="007536D9">
      <w:pPr>
        <w:pStyle w:val="Heading2"/>
        <w:rPr>
          <w:rFonts w:ascii="Arial" w:hAnsi="Arial" w:cs="Arial"/>
          <w:i w:val="0"/>
          <w:iCs w:val="0"/>
          <w:sz w:val="24"/>
          <w:szCs w:val="24"/>
        </w:rPr>
      </w:pPr>
      <w:r>
        <w:rPr>
          <w:rFonts w:ascii="Arial" w:hAnsi="Arial" w:cs="Arial"/>
          <w:i w:val="0"/>
          <w:iCs w:val="0"/>
          <w:sz w:val="24"/>
          <w:szCs w:val="24"/>
        </w:rPr>
        <w:t>609 Interim</w:t>
      </w:r>
      <w:r w:rsidRPr="007536D9">
        <w:rPr>
          <w:rFonts w:ascii="Arial" w:hAnsi="Arial" w:cs="Arial"/>
          <w:i w:val="0"/>
          <w:iCs w:val="0"/>
          <w:sz w:val="24"/>
          <w:szCs w:val="24"/>
        </w:rPr>
        <w:t xml:space="preserve"> territory plan</w:t>
      </w:r>
    </w:p>
    <w:p w14:paraId="5F3E6524" w14:textId="77777777" w:rsidR="007536D9" w:rsidRPr="007536D9" w:rsidRDefault="007536D9" w:rsidP="007536D9">
      <w:pPr>
        <w:pStyle w:val="Default"/>
        <w:spacing w:after="240"/>
        <w:rPr>
          <w:rFonts w:ascii="Arial" w:hAnsi="Arial" w:cs="Arial"/>
          <w:color w:val="auto"/>
        </w:rPr>
      </w:pPr>
      <w:r w:rsidRPr="007536D9">
        <w:rPr>
          <w:rFonts w:ascii="Arial" w:hAnsi="Arial" w:cs="Arial"/>
          <w:color w:val="auto"/>
        </w:rPr>
        <w:t>This clause allows the Minister, at the same time of providing the Territory Plan to the Legislative Assembly committee to also present an interim Territory Plan to the Assembly for approval.</w:t>
      </w:r>
    </w:p>
    <w:p w14:paraId="77BAEE57" w14:textId="77777777" w:rsidR="007536D9" w:rsidRPr="007536D9" w:rsidRDefault="007536D9" w:rsidP="007536D9">
      <w:pPr>
        <w:pStyle w:val="Default"/>
        <w:spacing w:after="240"/>
        <w:rPr>
          <w:rFonts w:ascii="Arial" w:hAnsi="Arial" w:cs="Arial"/>
        </w:rPr>
      </w:pPr>
      <w:r w:rsidRPr="007536D9">
        <w:rPr>
          <w:rFonts w:ascii="Arial" w:hAnsi="Arial" w:cs="Arial"/>
          <w:color w:val="auto"/>
        </w:rPr>
        <w:t>The Assembly may approve the plan regardless of whether the committee has provided a report. The interim Territory Plan commences on the day fixed by the Minister by written notice.</w:t>
      </w:r>
    </w:p>
    <w:p w14:paraId="59567EC2" w14:textId="77777777" w:rsidR="007536D9" w:rsidRPr="007536D9" w:rsidRDefault="007536D9" w:rsidP="007536D9">
      <w:pPr>
        <w:pStyle w:val="Heading2"/>
        <w:rPr>
          <w:rFonts w:ascii="Arial" w:hAnsi="Arial" w:cs="Arial"/>
          <w:i w:val="0"/>
          <w:iCs w:val="0"/>
          <w:sz w:val="24"/>
          <w:szCs w:val="24"/>
        </w:rPr>
      </w:pPr>
      <w:r>
        <w:rPr>
          <w:rFonts w:ascii="Arial" w:hAnsi="Arial" w:cs="Arial"/>
          <w:i w:val="0"/>
          <w:iCs w:val="0"/>
          <w:sz w:val="24"/>
          <w:szCs w:val="24"/>
        </w:rPr>
        <w:t xml:space="preserve">610 </w:t>
      </w:r>
      <w:r w:rsidRPr="007536D9">
        <w:rPr>
          <w:rFonts w:ascii="Arial" w:hAnsi="Arial" w:cs="Arial"/>
          <w:i w:val="0"/>
          <w:iCs w:val="0"/>
          <w:sz w:val="24"/>
          <w:szCs w:val="24"/>
        </w:rPr>
        <w:t>Approval or confirmation of territory plan</w:t>
      </w:r>
    </w:p>
    <w:p w14:paraId="6649BBC1" w14:textId="77777777" w:rsidR="007536D9" w:rsidRPr="007536D9" w:rsidRDefault="007536D9" w:rsidP="007536D9">
      <w:pPr>
        <w:pStyle w:val="Default"/>
        <w:spacing w:after="240"/>
        <w:rPr>
          <w:rFonts w:ascii="Arial" w:hAnsi="Arial" w:cs="Arial"/>
          <w:color w:val="auto"/>
        </w:rPr>
      </w:pPr>
      <w:r w:rsidRPr="007536D9">
        <w:rPr>
          <w:rFonts w:ascii="Arial" w:hAnsi="Arial" w:cs="Arial"/>
          <w:color w:val="auto"/>
        </w:rPr>
        <w:t xml:space="preserve">This clause provides for the Legislative Assembly, by resolution, to either approve the amended Territory Plan or confirm the interim Territory Plan as </w:t>
      </w:r>
      <w:r w:rsidRPr="007536D9">
        <w:rPr>
          <w:rFonts w:ascii="Arial" w:hAnsi="Arial" w:cs="Arial"/>
          <w:color w:val="auto"/>
        </w:rPr>
        <w:lastRenderedPageBreak/>
        <w:t>the Territory Plan and commences on the day fixed by the Minister by written notice.</w:t>
      </w:r>
    </w:p>
    <w:p w14:paraId="35B4CECE" w14:textId="77777777" w:rsidR="00AF206C" w:rsidRPr="007536D9" w:rsidRDefault="007536D9" w:rsidP="00AF206C">
      <w:pPr>
        <w:pStyle w:val="Heading2"/>
        <w:rPr>
          <w:rFonts w:ascii="Arial" w:hAnsi="Arial" w:cs="Arial"/>
          <w:i w:val="0"/>
          <w:iCs w:val="0"/>
          <w:sz w:val="24"/>
          <w:szCs w:val="24"/>
        </w:rPr>
      </w:pPr>
      <w:r>
        <w:rPr>
          <w:rFonts w:ascii="Arial" w:hAnsi="Arial" w:cs="Arial"/>
          <w:i w:val="0"/>
          <w:iCs w:val="0"/>
          <w:sz w:val="24"/>
          <w:szCs w:val="24"/>
        </w:rPr>
        <w:t xml:space="preserve">621 </w:t>
      </w:r>
      <w:r w:rsidR="00AF206C" w:rsidRPr="007536D9">
        <w:rPr>
          <w:rFonts w:ascii="Arial" w:hAnsi="Arial" w:cs="Arial"/>
          <w:i w:val="0"/>
          <w:iCs w:val="0"/>
          <w:sz w:val="24"/>
          <w:szCs w:val="24"/>
        </w:rPr>
        <w:t>Grants of leases commenced but not completed before commencement day</w:t>
      </w:r>
    </w:p>
    <w:p w14:paraId="746E79B1" w14:textId="77777777" w:rsidR="00AF206C" w:rsidRPr="007536D9" w:rsidRDefault="00AF206C" w:rsidP="00AF206C">
      <w:pPr>
        <w:rPr>
          <w:rFonts w:ascii="Arial" w:hAnsi="Arial" w:cs="Arial"/>
          <w:szCs w:val="24"/>
        </w:rPr>
      </w:pPr>
      <w:r w:rsidRPr="007536D9">
        <w:rPr>
          <w:rFonts w:ascii="Arial" w:hAnsi="Arial" w:cs="Arial"/>
          <w:szCs w:val="24"/>
        </w:rPr>
        <w:t>This clause provides that where a pre-grant process has commenced, but is not complete, for the grant of a lease by auction, tender, ballot or direct sale under the repealed Act, the pre-grant process is taken to have been completed under this Act.</w:t>
      </w:r>
    </w:p>
    <w:p w14:paraId="4D3F78BB" w14:textId="77777777" w:rsidR="00AF206C" w:rsidRPr="007536D9" w:rsidRDefault="00AF206C" w:rsidP="00AF206C">
      <w:pPr>
        <w:rPr>
          <w:rFonts w:ascii="Arial" w:hAnsi="Arial" w:cs="Arial"/>
          <w:szCs w:val="24"/>
        </w:rPr>
      </w:pPr>
      <w:r w:rsidRPr="007536D9">
        <w:rPr>
          <w:rFonts w:ascii="Arial" w:hAnsi="Arial" w:cs="Arial"/>
          <w:szCs w:val="24"/>
        </w:rPr>
        <w:t>The term ‘pre-grant process’ is defined to provide a consistent meaning in this section.</w:t>
      </w:r>
    </w:p>
    <w:p w14:paraId="17077A79" w14:textId="77777777" w:rsidR="00AF206C" w:rsidRPr="007536D9" w:rsidRDefault="007536D9" w:rsidP="00AF206C">
      <w:pPr>
        <w:pStyle w:val="Heading2"/>
        <w:rPr>
          <w:rFonts w:ascii="Arial" w:hAnsi="Arial" w:cs="Arial"/>
          <w:i w:val="0"/>
          <w:iCs w:val="0"/>
          <w:sz w:val="24"/>
          <w:szCs w:val="24"/>
        </w:rPr>
      </w:pPr>
      <w:r>
        <w:rPr>
          <w:rFonts w:ascii="Arial" w:hAnsi="Arial" w:cs="Arial"/>
          <w:i w:val="0"/>
          <w:iCs w:val="0"/>
          <w:sz w:val="24"/>
          <w:szCs w:val="24"/>
        </w:rPr>
        <w:t xml:space="preserve">622 </w:t>
      </w:r>
      <w:r w:rsidR="00AF206C" w:rsidRPr="007536D9">
        <w:rPr>
          <w:rFonts w:ascii="Arial" w:hAnsi="Arial" w:cs="Arial"/>
          <w:i w:val="0"/>
          <w:iCs w:val="0"/>
          <w:sz w:val="24"/>
          <w:szCs w:val="24"/>
        </w:rPr>
        <w:t>Applications for grant of further leases</w:t>
      </w:r>
    </w:p>
    <w:p w14:paraId="14F233F3" w14:textId="77777777" w:rsidR="00AF206C" w:rsidRPr="007536D9" w:rsidRDefault="00AF206C" w:rsidP="00AF206C">
      <w:pPr>
        <w:rPr>
          <w:rFonts w:ascii="Arial" w:hAnsi="Arial" w:cs="Arial"/>
          <w:szCs w:val="24"/>
        </w:rPr>
      </w:pPr>
      <w:r w:rsidRPr="007536D9">
        <w:rPr>
          <w:rFonts w:ascii="Arial" w:hAnsi="Arial" w:cs="Arial"/>
          <w:szCs w:val="24"/>
        </w:rPr>
        <w:t>This clause provides that where a person has applied for a further lease under the 2007 Act before the commencement day of this Act, the application will be assessed as if the application was made under the 2007 Act.</w:t>
      </w:r>
    </w:p>
    <w:p w14:paraId="2ABFA966" w14:textId="77777777" w:rsidR="00C634DF" w:rsidRDefault="00C634DF" w:rsidP="00AF206C">
      <w:pPr>
        <w:rPr>
          <w:rFonts w:ascii="Arial" w:hAnsi="Arial" w:cs="Arial"/>
          <w:szCs w:val="24"/>
        </w:rPr>
      </w:pPr>
    </w:p>
    <w:p w14:paraId="15D289C5" w14:textId="77777777" w:rsidR="00AF206C" w:rsidRPr="007536D9" w:rsidRDefault="00AF206C" w:rsidP="00AF206C">
      <w:pPr>
        <w:rPr>
          <w:rFonts w:ascii="Arial" w:hAnsi="Arial" w:cs="Arial"/>
          <w:szCs w:val="24"/>
        </w:rPr>
      </w:pPr>
      <w:r w:rsidRPr="007536D9">
        <w:rPr>
          <w:rFonts w:ascii="Arial" w:hAnsi="Arial" w:cs="Arial"/>
          <w:szCs w:val="24"/>
        </w:rPr>
        <w:t>Where a lease expires within six months of the commencement of this Act and an application has not been lodged to extend the lease, the application will be assessed under this Act.</w:t>
      </w:r>
    </w:p>
    <w:p w14:paraId="48FC0AA1" w14:textId="77777777" w:rsidR="00AF206C" w:rsidRPr="007536D9" w:rsidRDefault="00AF206C" w:rsidP="008D2E43">
      <w:pPr>
        <w:rPr>
          <w:szCs w:val="24"/>
        </w:rPr>
      </w:pPr>
    </w:p>
    <w:sectPr w:rsidR="00AF206C" w:rsidRPr="007536D9" w:rsidSect="00330D90">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C2FCB" w14:textId="77777777" w:rsidR="00B35CAF" w:rsidRDefault="00B35CAF">
      <w:r>
        <w:separator/>
      </w:r>
    </w:p>
  </w:endnote>
  <w:endnote w:type="continuationSeparator" w:id="0">
    <w:p w14:paraId="68789822" w14:textId="77777777" w:rsidR="00B35CAF" w:rsidRDefault="00B3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5D0F" w14:textId="77777777" w:rsidR="002F6994" w:rsidRDefault="002F6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A2C6" w14:textId="5EFBAEF7" w:rsidR="00BB51C9" w:rsidRPr="002F6994" w:rsidRDefault="002F6994" w:rsidP="002F6994">
    <w:pPr>
      <w:pStyle w:val="Footer"/>
      <w:jc w:val="center"/>
      <w:rPr>
        <w:rFonts w:ascii="Arial" w:hAnsi="Arial" w:cs="Arial"/>
        <w:sz w:val="14"/>
      </w:rPr>
    </w:pPr>
    <w:r w:rsidRPr="002F699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4CF1" w14:textId="77777777" w:rsidR="002F6994" w:rsidRDefault="002F6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F7AAD" w14:textId="77777777" w:rsidR="00B35CAF" w:rsidRDefault="00B35CAF">
      <w:r>
        <w:separator/>
      </w:r>
    </w:p>
  </w:footnote>
  <w:footnote w:type="continuationSeparator" w:id="0">
    <w:p w14:paraId="12DBAF9E" w14:textId="77777777" w:rsidR="00B35CAF" w:rsidRDefault="00B35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BFEA" w14:textId="77777777" w:rsidR="002F6994" w:rsidRDefault="002F6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8138" w14:textId="77777777" w:rsidR="002F6994" w:rsidRDefault="002F6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7496" w14:textId="77777777" w:rsidR="002F6994" w:rsidRDefault="002F6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B6266"/>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36027A"/>
    <w:multiLevelType w:val="hybridMultilevel"/>
    <w:tmpl w:val="FFFFFFFF"/>
    <w:lvl w:ilvl="0" w:tplc="C0285B02">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E14EBA"/>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0163573">
    <w:abstractNumId w:val="1"/>
  </w:num>
  <w:num w:numId="2" w16cid:durableId="728114078">
    <w:abstractNumId w:val="0"/>
  </w:num>
  <w:num w:numId="3" w16cid:durableId="575633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0D90"/>
    <w:rsid w:val="00014380"/>
    <w:rsid w:val="000219FD"/>
    <w:rsid w:val="000743AB"/>
    <w:rsid w:val="000C455F"/>
    <w:rsid w:val="001509DB"/>
    <w:rsid w:val="001723CF"/>
    <w:rsid w:val="00174C6C"/>
    <w:rsid w:val="0019151C"/>
    <w:rsid w:val="001B59D5"/>
    <w:rsid w:val="001E4B3D"/>
    <w:rsid w:val="00226F54"/>
    <w:rsid w:val="0025730E"/>
    <w:rsid w:val="002F4A0D"/>
    <w:rsid w:val="002F54F3"/>
    <w:rsid w:val="002F6994"/>
    <w:rsid w:val="00330D90"/>
    <w:rsid w:val="00372A52"/>
    <w:rsid w:val="00395D0F"/>
    <w:rsid w:val="003D12A6"/>
    <w:rsid w:val="003D15C8"/>
    <w:rsid w:val="003E24DA"/>
    <w:rsid w:val="004155C6"/>
    <w:rsid w:val="00426036"/>
    <w:rsid w:val="0043269A"/>
    <w:rsid w:val="0044591B"/>
    <w:rsid w:val="00480812"/>
    <w:rsid w:val="00497713"/>
    <w:rsid w:val="004A6B42"/>
    <w:rsid w:val="004B0174"/>
    <w:rsid w:val="004D1BC2"/>
    <w:rsid w:val="004D7D31"/>
    <w:rsid w:val="00525D88"/>
    <w:rsid w:val="00562C5D"/>
    <w:rsid w:val="00574AE5"/>
    <w:rsid w:val="0058673D"/>
    <w:rsid w:val="005A52FF"/>
    <w:rsid w:val="005A5AD2"/>
    <w:rsid w:val="005D7B16"/>
    <w:rsid w:val="005E07C1"/>
    <w:rsid w:val="006E6602"/>
    <w:rsid w:val="006F2CDD"/>
    <w:rsid w:val="00730372"/>
    <w:rsid w:val="007536D9"/>
    <w:rsid w:val="0075718B"/>
    <w:rsid w:val="0077084A"/>
    <w:rsid w:val="00772581"/>
    <w:rsid w:val="007763E9"/>
    <w:rsid w:val="0079406D"/>
    <w:rsid w:val="007B67A6"/>
    <w:rsid w:val="00810E14"/>
    <w:rsid w:val="00854D8A"/>
    <w:rsid w:val="008B0B3C"/>
    <w:rsid w:val="008D2E43"/>
    <w:rsid w:val="008E74FB"/>
    <w:rsid w:val="009137C9"/>
    <w:rsid w:val="00980FBB"/>
    <w:rsid w:val="0099409D"/>
    <w:rsid w:val="009C21D0"/>
    <w:rsid w:val="009E2685"/>
    <w:rsid w:val="00A017DC"/>
    <w:rsid w:val="00A05EC5"/>
    <w:rsid w:val="00A14418"/>
    <w:rsid w:val="00A2617B"/>
    <w:rsid w:val="00A4529E"/>
    <w:rsid w:val="00A47F51"/>
    <w:rsid w:val="00A667AD"/>
    <w:rsid w:val="00A80643"/>
    <w:rsid w:val="00AF206C"/>
    <w:rsid w:val="00B35CAF"/>
    <w:rsid w:val="00B62C33"/>
    <w:rsid w:val="00BB51C9"/>
    <w:rsid w:val="00BF346E"/>
    <w:rsid w:val="00C04A6D"/>
    <w:rsid w:val="00C33D03"/>
    <w:rsid w:val="00C634DF"/>
    <w:rsid w:val="00C76D2A"/>
    <w:rsid w:val="00CD0F9E"/>
    <w:rsid w:val="00CF5BB3"/>
    <w:rsid w:val="00D138EB"/>
    <w:rsid w:val="00D1499E"/>
    <w:rsid w:val="00D158B5"/>
    <w:rsid w:val="00D3318A"/>
    <w:rsid w:val="00D42B44"/>
    <w:rsid w:val="00D53FF7"/>
    <w:rsid w:val="00DB2820"/>
    <w:rsid w:val="00DF5304"/>
    <w:rsid w:val="00E03B97"/>
    <w:rsid w:val="00E26F66"/>
    <w:rsid w:val="00E30F7B"/>
    <w:rsid w:val="00E513A6"/>
    <w:rsid w:val="00E51D1A"/>
    <w:rsid w:val="00E74148"/>
    <w:rsid w:val="00E7635F"/>
    <w:rsid w:val="00E838A3"/>
    <w:rsid w:val="00E851C1"/>
    <w:rsid w:val="00E958E1"/>
    <w:rsid w:val="00EA6FC9"/>
    <w:rsid w:val="00EC3825"/>
    <w:rsid w:val="00EC4F11"/>
    <w:rsid w:val="00EF4F3A"/>
    <w:rsid w:val="00F40546"/>
    <w:rsid w:val="00F45A41"/>
    <w:rsid w:val="00F46488"/>
    <w:rsid w:val="00F5496C"/>
    <w:rsid w:val="00F81521"/>
    <w:rsid w:val="00F854F1"/>
    <w:rsid w:val="00F97BBD"/>
    <w:rsid w:val="00FB0B36"/>
    <w:rsid w:val="00FD0143"/>
    <w:rsid w:val="00FE7637"/>
    <w:rsid w:val="00FF3E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E92CC29"/>
  <w14:defaultImageDpi w14:val="0"/>
  <w15:docId w15:val="{E41C20C2-93EC-42E8-A0FE-CC39E7699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D90"/>
    <w:rPr>
      <w:sz w:val="24"/>
      <w:lang w:eastAsia="en-US"/>
    </w:rPr>
  </w:style>
  <w:style w:type="paragraph" w:styleId="Heading1">
    <w:name w:val="heading 1"/>
    <w:basedOn w:val="Normal"/>
    <w:next w:val="Normal"/>
    <w:link w:val="Heading1Char"/>
    <w:uiPriority w:val="9"/>
    <w:qFormat/>
    <w:rsid w:val="00330D90"/>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AF206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30D90"/>
    <w:pPr>
      <w:keepNext/>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rsid w:val="00AF206C"/>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paragraph" w:styleId="BodyText">
    <w:name w:val="Body Text"/>
    <w:basedOn w:val="Normal"/>
    <w:link w:val="BodyTextChar"/>
    <w:uiPriority w:val="99"/>
    <w:rsid w:val="00330D90"/>
    <w:rPr>
      <w:b/>
      <w:bCs/>
    </w:rPr>
  </w:style>
  <w:style w:type="character" w:customStyle="1" w:styleId="BodyTextChar">
    <w:name w:val="Body Text Char"/>
    <w:link w:val="BodyText"/>
    <w:uiPriority w:val="99"/>
    <w:locked/>
    <w:rsid w:val="0019151C"/>
    <w:rPr>
      <w:rFonts w:cs="Times New Roman"/>
      <w:b/>
      <w:bCs/>
      <w:sz w:val="24"/>
      <w:lang w:val="x-none" w:eastAsia="en-US"/>
    </w:rPr>
  </w:style>
  <w:style w:type="paragraph" w:styleId="Header">
    <w:name w:val="header"/>
    <w:basedOn w:val="Normal"/>
    <w:link w:val="HeaderChar"/>
    <w:uiPriority w:val="99"/>
    <w:rsid w:val="00330D90"/>
    <w:pPr>
      <w:tabs>
        <w:tab w:val="center" w:pos="4153"/>
        <w:tab w:val="right" w:pos="8306"/>
      </w:tabs>
    </w:pPr>
  </w:style>
  <w:style w:type="character" w:customStyle="1" w:styleId="HeaderChar">
    <w:name w:val="Header Char"/>
    <w:link w:val="Header"/>
    <w:uiPriority w:val="99"/>
    <w:semiHidden/>
    <w:locked/>
    <w:rPr>
      <w:rFonts w:cs="Times New Roman"/>
      <w:sz w:val="24"/>
      <w:lang w:val="x-none" w:eastAsia="en-US"/>
    </w:rPr>
  </w:style>
  <w:style w:type="paragraph" w:styleId="Title">
    <w:name w:val="Title"/>
    <w:basedOn w:val="Normal"/>
    <w:link w:val="TitleChar"/>
    <w:uiPriority w:val="10"/>
    <w:qFormat/>
    <w:rsid w:val="00330D90"/>
    <w:pPr>
      <w:jc w:val="center"/>
    </w:pPr>
    <w:rPr>
      <w:szCs w:val="24"/>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Footer">
    <w:name w:val="footer"/>
    <w:basedOn w:val="Normal"/>
    <w:link w:val="FooterChar"/>
    <w:uiPriority w:val="99"/>
    <w:rsid w:val="00C33D03"/>
    <w:pPr>
      <w:tabs>
        <w:tab w:val="center" w:pos="4153"/>
        <w:tab w:val="right" w:pos="8306"/>
      </w:tabs>
    </w:pPr>
  </w:style>
  <w:style w:type="character" w:customStyle="1" w:styleId="FooterChar">
    <w:name w:val="Footer Char"/>
    <w:link w:val="Footer"/>
    <w:uiPriority w:val="99"/>
    <w:semiHidden/>
    <w:locked/>
    <w:rPr>
      <w:rFonts w:cs="Times New Roman"/>
      <w:sz w:val="24"/>
      <w:lang w:val="x-none" w:eastAsia="en-US"/>
    </w:rPr>
  </w:style>
  <w:style w:type="paragraph" w:styleId="BalloonText">
    <w:name w:val="Balloon Text"/>
    <w:basedOn w:val="Normal"/>
    <w:link w:val="BalloonTextChar"/>
    <w:uiPriority w:val="99"/>
    <w:semiHidden/>
    <w:rsid w:val="0043269A"/>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lang w:val="x-none" w:eastAsia="en-US"/>
    </w:rPr>
  </w:style>
  <w:style w:type="character" w:styleId="CommentReference">
    <w:name w:val="annotation reference"/>
    <w:uiPriority w:val="99"/>
    <w:rsid w:val="00810E14"/>
    <w:rPr>
      <w:rFonts w:cs="Times New Roman"/>
      <w:sz w:val="16"/>
      <w:szCs w:val="16"/>
    </w:rPr>
  </w:style>
  <w:style w:type="paragraph" w:styleId="CommentText">
    <w:name w:val="annotation text"/>
    <w:basedOn w:val="Normal"/>
    <w:link w:val="CommentTextChar"/>
    <w:uiPriority w:val="99"/>
    <w:rsid w:val="00810E14"/>
    <w:rPr>
      <w:sz w:val="20"/>
    </w:rPr>
  </w:style>
  <w:style w:type="character" w:customStyle="1" w:styleId="CommentTextChar">
    <w:name w:val="Comment Text Char"/>
    <w:link w:val="CommentText"/>
    <w:uiPriority w:val="99"/>
    <w:locked/>
    <w:rsid w:val="00810E14"/>
    <w:rPr>
      <w:rFonts w:cs="Times New Roman"/>
      <w:lang w:val="x-none" w:eastAsia="en-US"/>
    </w:rPr>
  </w:style>
  <w:style w:type="paragraph" w:styleId="CommentSubject">
    <w:name w:val="annotation subject"/>
    <w:basedOn w:val="CommentText"/>
    <w:next w:val="CommentText"/>
    <w:link w:val="CommentSubjectChar"/>
    <w:uiPriority w:val="99"/>
    <w:rsid w:val="00810E14"/>
    <w:rPr>
      <w:b/>
      <w:bCs/>
    </w:rPr>
  </w:style>
  <w:style w:type="character" w:customStyle="1" w:styleId="CommentSubjectChar">
    <w:name w:val="Comment Subject Char"/>
    <w:link w:val="CommentSubject"/>
    <w:uiPriority w:val="99"/>
    <w:locked/>
    <w:rsid w:val="00810E14"/>
    <w:rPr>
      <w:rFonts w:cs="Times New Roman"/>
      <w:b/>
      <w:bCs/>
      <w:lang w:val="x-none" w:eastAsia="en-US"/>
    </w:rPr>
  </w:style>
  <w:style w:type="paragraph" w:styleId="Revision">
    <w:name w:val="Revision"/>
    <w:hidden/>
    <w:uiPriority w:val="99"/>
    <w:semiHidden/>
    <w:rsid w:val="001509DB"/>
    <w:rPr>
      <w:sz w:val="24"/>
      <w:lang w:eastAsia="en-US"/>
    </w:rPr>
  </w:style>
  <w:style w:type="paragraph" w:customStyle="1" w:styleId="Default">
    <w:name w:val="Default"/>
    <w:rsid w:val="0042603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426036"/>
    <w:pPr>
      <w:spacing w:before="100" w:beforeAutospacing="1" w:after="100" w:afterAutospacing="1"/>
    </w:pPr>
    <w:rPr>
      <w:szCs w:val="24"/>
      <w:lang w:eastAsia="en-AU"/>
    </w:rPr>
  </w:style>
  <w:style w:type="paragraph" w:customStyle="1" w:styleId="Billname">
    <w:name w:val="Billname"/>
    <w:basedOn w:val="Normal"/>
    <w:rsid w:val="00A667AD"/>
    <w:pPr>
      <w:tabs>
        <w:tab w:val="left" w:pos="2400"/>
        <w:tab w:val="left" w:pos="2880"/>
      </w:tabs>
      <w:spacing w:before="1220" w:after="100"/>
    </w:pPr>
    <w:rPr>
      <w:rFonts w:ascii="Arial" w:hAnsi="Arial"/>
      <w:b/>
      <w:sz w:val="40"/>
    </w:rPr>
  </w:style>
  <w:style w:type="paragraph" w:customStyle="1" w:styleId="madeunder">
    <w:name w:val="made under"/>
    <w:basedOn w:val="Normal"/>
    <w:rsid w:val="00A667AD"/>
    <w:pPr>
      <w:spacing w:before="180" w:after="60"/>
      <w:jc w:val="both"/>
    </w:pPr>
  </w:style>
  <w:style w:type="paragraph" w:customStyle="1" w:styleId="CoverActName">
    <w:name w:val="CoverActName"/>
    <w:basedOn w:val="Normal"/>
    <w:rsid w:val="00A667AD"/>
    <w:pPr>
      <w:tabs>
        <w:tab w:val="left" w:pos="2600"/>
      </w:tabs>
      <w:spacing w:before="200" w:after="60"/>
      <w:jc w:val="both"/>
    </w:pPr>
    <w:rPr>
      <w:rFonts w:ascii="Arial" w:hAnsi="Arial"/>
      <w:b/>
    </w:rPr>
  </w:style>
  <w:style w:type="paragraph" w:customStyle="1" w:styleId="N-line3">
    <w:name w:val="N-line3"/>
    <w:basedOn w:val="Normal"/>
    <w:next w:val="Normal"/>
    <w:rsid w:val="00A667AD"/>
    <w:pPr>
      <w:pBdr>
        <w:bottom w:val="single" w:sz="12" w:space="1" w:color="auto"/>
      </w:pBd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4237</Characters>
  <Application>Microsoft Office Word</Application>
  <DocSecurity>0</DocSecurity>
  <Lines>104</Lines>
  <Paragraphs>35</Paragraphs>
  <ScaleCrop>false</ScaleCrop>
  <Company>ACT Government</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PCODCS</cp:lastModifiedBy>
  <cp:revision>4</cp:revision>
  <cp:lastPrinted>2012-03-22T03:11:00Z</cp:lastPrinted>
  <dcterms:created xsi:type="dcterms:W3CDTF">2023-11-24T01:15:00Z</dcterms:created>
  <dcterms:modified xsi:type="dcterms:W3CDTF">2023-11-24T01:15:00Z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A7151636</vt:lpwstr>
  </property>
  <property fmtid="{D5CDD505-2E9C-101B-9397-08002B2CF9AE}" pid="3" name="Objective-Comment">
    <vt:lpwstr> </vt:lpwstr>
  </property>
  <property fmtid="{D5CDD505-2E9C-101B-9397-08002B2CF9AE}" pid="4" name="Objective-CreationStamp">
    <vt:filetime>2012-03-07T13:00:00Z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2012-03-27T13:00:00Z</vt:filetime>
  </property>
  <property fmtid="{D5CDD505-2E9C-101B-9397-08002B2CF9AE}" pid="8" name="Objective-ModificationStamp">
    <vt:filetime>2012-03-29T13:00:00Z</vt:filetime>
  </property>
  <property fmtid="{D5CDD505-2E9C-101B-9397-08002B2CF9AE}" pid="9" name="Objective-Owner">
    <vt:lpwstr>Sharon Harmer</vt:lpwstr>
  </property>
  <property fmtid="{D5CDD505-2E9C-101B-9397-08002B2CF9AE}" pid="10" name="Objective-Path">
    <vt:lpwstr>Whole of ACT Government:ESDD:CORRESPONDENCE - Ministerials and Chief Ministerials:ESDD - MINISTERIAL FILES 2012:Planning Delivery:PD - Ministerial Directorate Submission:12/06419 - Ministerial-Further Rural Leases:</vt:lpwstr>
  </property>
  <property fmtid="{D5CDD505-2E9C-101B-9397-08002B2CF9AE}" pid="11" name="Objective-Parent">
    <vt:lpwstr>12/06419 - Ministerial-Further Rural Leases</vt:lpwstr>
  </property>
  <property fmtid="{D5CDD505-2E9C-101B-9397-08002B2CF9AE}" pid="12" name="Objective-State">
    <vt:lpwstr>Published</vt:lpwstr>
  </property>
  <property fmtid="{D5CDD505-2E9C-101B-9397-08002B2CF9AE}" pid="13" name="Objective-Title">
    <vt:lpwstr>Explanatory Statement</vt:lpwstr>
  </property>
  <property fmtid="{D5CDD505-2E9C-101B-9397-08002B2CF9AE}" pid="14" name="Objective-Version">
    <vt:lpwstr>4.0</vt:lpwstr>
  </property>
  <property fmtid="{D5CDD505-2E9C-101B-9397-08002B2CF9AE}" pid="15" name="Objective-VersionComment">
    <vt:lpwstr> </vt:lpwstr>
  </property>
  <property fmtid="{D5CDD505-2E9C-101B-9397-08002B2CF9AE}" pid="16" name="Objective-VersionNumber">
    <vt:i4>5</vt:i4>
  </property>
  <property fmtid="{D5CDD505-2E9C-101B-9397-08002B2CF9AE}" pid="17" name="Objective-FileNumber">
    <vt:lpwstr>1-2012/06419</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Owner Agency [system]">
    <vt:lpwstr>ESDD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vt:lpwstr>
  </property>
  <property fmtid="{D5CDD505-2E9C-101B-9397-08002B2CF9AE}" pid="25" name="Objective-Add Place [system]">
    <vt:lpwstr> </vt:lpwstr>
  </property>
  <property fmtid="{D5CDD505-2E9C-101B-9397-08002B2CF9AE}" pid="26" name="Objective-Places [system]">
    <vt:lpwstr> </vt:lpwstr>
  </property>
  <property fmtid="{D5CDD505-2E9C-101B-9397-08002B2CF9AE}" pid="27" name="Objective-Transaction Reference [system]">
    <vt:lpwstr> </vt:lpwstr>
  </property>
  <property fmtid="{D5CDD505-2E9C-101B-9397-08002B2CF9AE}" pid="28" name="Objective-Document Created By [system]">
    <vt:lpwstr> </vt:lpwstr>
  </property>
  <property fmtid="{D5CDD505-2E9C-101B-9397-08002B2CF9AE}" pid="29" name="Objective-Document Created On [system]">
    <vt:lpwstr> </vt:lpwstr>
  </property>
  <property fmtid="{D5CDD505-2E9C-101B-9397-08002B2CF9AE}" pid="30" name="Objective-Covers Period From [system]">
    <vt:lpwstr> </vt:lpwstr>
  </property>
  <property fmtid="{D5CDD505-2E9C-101B-9397-08002B2CF9AE}" pid="31" name="Objective-Covers Period To [system]">
    <vt:lpwstr> </vt:lpwstr>
  </property>
  <property fmtid="{D5CDD505-2E9C-101B-9397-08002B2CF9AE}" pid="32" name="CHECKEDOUTFROMJMS">
    <vt:lpwstr/>
  </property>
  <property fmtid="{D5CDD505-2E9C-101B-9397-08002B2CF9AE}" pid="33" name="DMSID">
    <vt:lpwstr>11256241</vt:lpwstr>
  </property>
  <property fmtid="{D5CDD505-2E9C-101B-9397-08002B2CF9AE}" pid="34" name="JMSREQUIREDCHECKIN">
    <vt:lpwstr/>
  </property>
</Properties>
</file>