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D6A9" w14:textId="77777777" w:rsidR="00330D90" w:rsidRPr="0043269A" w:rsidRDefault="00330D90" w:rsidP="00330D90">
      <w:pPr>
        <w:pStyle w:val="Title"/>
        <w:jc w:val="left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43269A">
            <w:rPr>
              <w:rFonts w:ascii="Arial" w:hAnsi="Arial" w:cs="Arial"/>
            </w:rPr>
            <w:t>Australian Capital Territory</w:t>
          </w:r>
        </w:smartTag>
      </w:smartTag>
    </w:p>
    <w:p w14:paraId="25780AEE" w14:textId="77777777" w:rsidR="00330D90" w:rsidRPr="00E30F7B" w:rsidRDefault="00330D90" w:rsidP="00330D90">
      <w:pPr>
        <w:pStyle w:val="Title"/>
        <w:jc w:val="left"/>
      </w:pPr>
    </w:p>
    <w:p w14:paraId="094817EB" w14:textId="77777777" w:rsidR="00330D90" w:rsidRPr="00E30F7B" w:rsidRDefault="00330D90" w:rsidP="00330D90">
      <w:pPr>
        <w:pStyle w:val="Title"/>
        <w:jc w:val="left"/>
      </w:pPr>
    </w:p>
    <w:p w14:paraId="2DCA427A" w14:textId="2BF79285" w:rsidR="00330D90" w:rsidRPr="0043269A" w:rsidRDefault="00330D90" w:rsidP="00330D90">
      <w:pPr>
        <w:rPr>
          <w:rFonts w:ascii="Arial" w:hAnsi="Arial" w:cs="Arial"/>
          <w:b/>
          <w:bCs/>
          <w:sz w:val="40"/>
          <w:szCs w:val="40"/>
        </w:rPr>
      </w:pPr>
      <w:r w:rsidRPr="0043269A">
        <w:rPr>
          <w:rFonts w:ascii="Arial" w:hAnsi="Arial" w:cs="Arial"/>
          <w:b/>
          <w:bCs/>
          <w:sz w:val="40"/>
          <w:szCs w:val="40"/>
        </w:rPr>
        <w:t>Planning (</w:t>
      </w:r>
      <w:r w:rsidR="008E74FB" w:rsidRPr="0043269A">
        <w:rPr>
          <w:rFonts w:ascii="Arial" w:hAnsi="Arial" w:cs="Arial"/>
          <w:b/>
          <w:bCs/>
          <w:sz w:val="40"/>
          <w:szCs w:val="40"/>
        </w:rPr>
        <w:t>Amount payable for</w:t>
      </w:r>
      <w:r w:rsidR="00FD0143">
        <w:rPr>
          <w:rFonts w:ascii="Arial" w:hAnsi="Arial" w:cs="Arial"/>
          <w:b/>
          <w:bCs/>
          <w:sz w:val="40"/>
          <w:szCs w:val="40"/>
        </w:rPr>
        <w:t>,</w:t>
      </w:r>
      <w:r w:rsidR="008E74FB" w:rsidRPr="0043269A">
        <w:rPr>
          <w:rFonts w:ascii="Arial" w:hAnsi="Arial" w:cs="Arial"/>
          <w:b/>
          <w:bCs/>
          <w:sz w:val="40"/>
          <w:szCs w:val="40"/>
        </w:rPr>
        <w:t xml:space="preserve"> and </w:t>
      </w:r>
      <w:r w:rsidR="004117BD">
        <w:rPr>
          <w:rFonts w:ascii="Arial" w:hAnsi="Arial" w:cs="Arial"/>
          <w:b/>
          <w:bCs/>
          <w:sz w:val="40"/>
          <w:szCs w:val="40"/>
        </w:rPr>
        <w:t>term</w:t>
      </w:r>
      <w:r w:rsidR="008E74FB" w:rsidRPr="0043269A">
        <w:rPr>
          <w:rFonts w:ascii="Arial" w:hAnsi="Arial" w:cs="Arial"/>
          <w:b/>
          <w:bCs/>
          <w:sz w:val="40"/>
          <w:szCs w:val="40"/>
        </w:rPr>
        <w:t xml:space="preserve"> of, further rural lease) </w:t>
      </w:r>
      <w:r w:rsidRPr="0043269A">
        <w:rPr>
          <w:rFonts w:ascii="Arial" w:hAnsi="Arial" w:cs="Arial"/>
          <w:b/>
          <w:bCs/>
          <w:sz w:val="40"/>
          <w:szCs w:val="40"/>
        </w:rPr>
        <w:t xml:space="preserve">Determination </w:t>
      </w:r>
      <w:r w:rsidR="001509DB">
        <w:rPr>
          <w:rFonts w:ascii="Arial" w:hAnsi="Arial" w:cs="Arial"/>
          <w:b/>
          <w:bCs/>
          <w:sz w:val="40"/>
          <w:szCs w:val="40"/>
        </w:rPr>
        <w:t>2023</w:t>
      </w:r>
    </w:p>
    <w:p w14:paraId="43650D53" w14:textId="77777777" w:rsidR="00330D90" w:rsidRPr="00E30F7B" w:rsidRDefault="00330D90" w:rsidP="00330D90">
      <w:pPr>
        <w:rPr>
          <w:szCs w:val="24"/>
        </w:rPr>
      </w:pPr>
    </w:p>
    <w:p w14:paraId="16BCFC2D" w14:textId="77777777" w:rsidR="00330D90" w:rsidRPr="0043269A" w:rsidRDefault="00226F54" w:rsidP="00330D90">
      <w:pPr>
        <w:pStyle w:val="Heading1"/>
        <w:rPr>
          <w:szCs w:val="24"/>
        </w:rPr>
      </w:pPr>
      <w:r>
        <w:rPr>
          <w:szCs w:val="24"/>
        </w:rPr>
        <w:t>Disallowable Instrument DI</w:t>
      </w:r>
      <w:r w:rsidR="001509DB">
        <w:rPr>
          <w:szCs w:val="24"/>
        </w:rPr>
        <w:t>2023</w:t>
      </w:r>
      <w:r w:rsidR="00504744">
        <w:rPr>
          <w:szCs w:val="24"/>
        </w:rPr>
        <w:t>-</w:t>
      </w:r>
      <w:r w:rsidR="0073440C">
        <w:rPr>
          <w:szCs w:val="24"/>
        </w:rPr>
        <w:t>267</w:t>
      </w:r>
    </w:p>
    <w:p w14:paraId="6B2307B6" w14:textId="77777777" w:rsidR="00330D90" w:rsidRPr="00E30F7B" w:rsidRDefault="00330D90" w:rsidP="00330D90">
      <w:pPr>
        <w:rPr>
          <w:szCs w:val="24"/>
        </w:rPr>
      </w:pPr>
    </w:p>
    <w:p w14:paraId="39EBC841" w14:textId="77777777" w:rsidR="00330D90" w:rsidRPr="00E30F7B" w:rsidRDefault="00330D90" w:rsidP="00330D90">
      <w:pPr>
        <w:rPr>
          <w:szCs w:val="24"/>
        </w:rPr>
      </w:pPr>
      <w:r w:rsidRPr="00E30F7B">
        <w:rPr>
          <w:szCs w:val="24"/>
        </w:rPr>
        <w:t>made under the</w:t>
      </w:r>
    </w:p>
    <w:p w14:paraId="256E3843" w14:textId="77777777" w:rsidR="00330D90" w:rsidRPr="00E30F7B" w:rsidRDefault="00330D90" w:rsidP="00330D90">
      <w:pPr>
        <w:rPr>
          <w:szCs w:val="24"/>
        </w:rPr>
      </w:pPr>
    </w:p>
    <w:p w14:paraId="1071233B" w14:textId="641FA3CB" w:rsidR="00330D90" w:rsidRPr="0043269A" w:rsidRDefault="00330D90" w:rsidP="00330D90">
      <w:pPr>
        <w:rPr>
          <w:rFonts w:ascii="Arial" w:hAnsi="Arial" w:cs="Arial"/>
          <w:b/>
          <w:bCs/>
          <w:sz w:val="20"/>
        </w:rPr>
      </w:pPr>
      <w:r w:rsidRPr="0043269A">
        <w:rPr>
          <w:rFonts w:ascii="Arial" w:hAnsi="Arial" w:cs="Arial"/>
          <w:b/>
          <w:bCs/>
          <w:sz w:val="20"/>
        </w:rPr>
        <w:t xml:space="preserve">Planning </w:t>
      </w:r>
      <w:r w:rsidR="001509DB">
        <w:rPr>
          <w:rFonts w:ascii="Arial" w:hAnsi="Arial" w:cs="Arial"/>
          <w:b/>
          <w:bCs/>
          <w:sz w:val="20"/>
        </w:rPr>
        <w:t xml:space="preserve">Act </w:t>
      </w:r>
      <w:r w:rsidR="00296F88">
        <w:rPr>
          <w:rFonts w:ascii="Arial" w:hAnsi="Arial" w:cs="Arial"/>
          <w:b/>
          <w:bCs/>
          <w:sz w:val="20"/>
        </w:rPr>
        <w:t xml:space="preserve">2023, </w:t>
      </w:r>
      <w:r w:rsidR="001509DB">
        <w:rPr>
          <w:rFonts w:ascii="Arial" w:hAnsi="Arial" w:cs="Arial"/>
          <w:b/>
          <w:bCs/>
          <w:sz w:val="20"/>
        </w:rPr>
        <w:t xml:space="preserve">s 347 </w:t>
      </w:r>
      <w:r w:rsidRPr="0043269A">
        <w:rPr>
          <w:rFonts w:ascii="Arial" w:hAnsi="Arial" w:cs="Arial"/>
          <w:b/>
          <w:bCs/>
          <w:sz w:val="20"/>
        </w:rPr>
        <w:t>(</w:t>
      </w:r>
      <w:r w:rsidR="008E74FB" w:rsidRPr="0043269A">
        <w:rPr>
          <w:rFonts w:ascii="Arial" w:hAnsi="Arial" w:cs="Arial"/>
          <w:b/>
          <w:bCs/>
          <w:sz w:val="20"/>
        </w:rPr>
        <w:t xml:space="preserve">Amount payable for further </w:t>
      </w:r>
      <w:r w:rsidR="004117BD">
        <w:rPr>
          <w:rFonts w:ascii="Arial" w:hAnsi="Arial" w:cs="Arial"/>
          <w:b/>
          <w:bCs/>
          <w:sz w:val="20"/>
        </w:rPr>
        <w:t>leases—</w:t>
      </w:r>
      <w:r w:rsidR="008E74FB" w:rsidRPr="0043269A">
        <w:rPr>
          <w:rFonts w:ascii="Arial" w:hAnsi="Arial" w:cs="Arial"/>
          <w:b/>
          <w:bCs/>
          <w:sz w:val="20"/>
        </w:rPr>
        <w:t>rural</w:t>
      </w:r>
      <w:r w:rsidR="004117BD">
        <w:rPr>
          <w:rFonts w:ascii="Arial" w:hAnsi="Arial" w:cs="Arial"/>
          <w:b/>
          <w:bCs/>
          <w:sz w:val="20"/>
        </w:rPr>
        <w:t xml:space="preserve"> land</w:t>
      </w:r>
      <w:r w:rsidRPr="0043269A">
        <w:rPr>
          <w:rFonts w:ascii="Arial" w:hAnsi="Arial" w:cs="Arial"/>
          <w:b/>
          <w:bCs/>
          <w:sz w:val="20"/>
        </w:rPr>
        <w:t xml:space="preserve">) and s </w:t>
      </w:r>
      <w:r w:rsidR="004117BD">
        <w:rPr>
          <w:rFonts w:ascii="Arial" w:hAnsi="Arial" w:cs="Arial"/>
          <w:b/>
          <w:bCs/>
          <w:sz w:val="20"/>
        </w:rPr>
        <w:t>348</w:t>
      </w:r>
      <w:r w:rsidRPr="0043269A">
        <w:rPr>
          <w:rFonts w:ascii="Arial" w:hAnsi="Arial" w:cs="Arial"/>
          <w:b/>
          <w:bCs/>
          <w:sz w:val="20"/>
        </w:rPr>
        <w:t xml:space="preserve"> (</w:t>
      </w:r>
      <w:r w:rsidR="004117BD">
        <w:rPr>
          <w:rFonts w:ascii="Arial" w:hAnsi="Arial" w:cs="Arial"/>
          <w:b/>
          <w:bCs/>
          <w:sz w:val="20"/>
        </w:rPr>
        <w:t>Term of further leases—rural land</w:t>
      </w:r>
      <w:r w:rsidRPr="0043269A">
        <w:rPr>
          <w:rFonts w:ascii="Arial" w:hAnsi="Arial" w:cs="Arial"/>
          <w:b/>
          <w:bCs/>
          <w:sz w:val="20"/>
        </w:rPr>
        <w:t>)</w:t>
      </w:r>
    </w:p>
    <w:p w14:paraId="5F614D72" w14:textId="77777777" w:rsidR="00330D90" w:rsidRPr="00E30F7B" w:rsidRDefault="00330D90" w:rsidP="00330D90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32E50567" w14:textId="77777777" w:rsidR="00330D90" w:rsidRPr="0043269A" w:rsidRDefault="00330D90" w:rsidP="00330D90">
      <w:pPr>
        <w:rPr>
          <w:rFonts w:ascii="Arial" w:hAnsi="Arial" w:cs="Arial"/>
          <w:sz w:val="28"/>
          <w:szCs w:val="28"/>
        </w:rPr>
      </w:pPr>
      <w:r w:rsidRPr="0043269A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70D04FB" w14:textId="77777777" w:rsidR="00330D90" w:rsidRPr="00E30F7B" w:rsidRDefault="00330D90" w:rsidP="00330D90">
      <w:pPr>
        <w:rPr>
          <w:b/>
          <w:bCs/>
          <w:szCs w:val="24"/>
        </w:rPr>
      </w:pPr>
      <w:r w:rsidRPr="00E30F7B">
        <w:rPr>
          <w:b/>
          <w:bCs/>
          <w:szCs w:val="24"/>
        </w:rPr>
        <w:t>______________________________________________________________</w:t>
      </w:r>
    </w:p>
    <w:p w14:paraId="6984CC60" w14:textId="77777777" w:rsidR="00330D90" w:rsidRPr="00E30F7B" w:rsidRDefault="00330D90" w:rsidP="00330D90">
      <w:pPr>
        <w:pStyle w:val="Heading3"/>
        <w:rPr>
          <w:rFonts w:ascii="Times New Roman" w:hAnsi="Times New Roman" w:cs="Times New Roman"/>
          <w:szCs w:val="24"/>
        </w:rPr>
      </w:pPr>
    </w:p>
    <w:p w14:paraId="26A16BBF" w14:textId="77777777" w:rsidR="00330D90" w:rsidRPr="00E30F7B" w:rsidRDefault="00330D90" w:rsidP="00330D90">
      <w:pPr>
        <w:pStyle w:val="Heading3"/>
        <w:rPr>
          <w:rFonts w:ascii="Times New Roman" w:hAnsi="Times New Roman" w:cs="Times New Roman"/>
          <w:szCs w:val="24"/>
        </w:rPr>
      </w:pPr>
      <w:r w:rsidRPr="00E30F7B">
        <w:rPr>
          <w:rFonts w:ascii="Times New Roman" w:hAnsi="Times New Roman" w:cs="Times New Roman"/>
          <w:szCs w:val="24"/>
        </w:rPr>
        <w:t>Outline</w:t>
      </w:r>
    </w:p>
    <w:p w14:paraId="19AF554E" w14:textId="1F207237" w:rsidR="008E74FB" w:rsidRDefault="00330D90" w:rsidP="00330D90">
      <w:pPr>
        <w:rPr>
          <w:szCs w:val="24"/>
        </w:rPr>
      </w:pPr>
      <w:r w:rsidRPr="00E30F7B">
        <w:rPr>
          <w:szCs w:val="24"/>
        </w:rPr>
        <w:t>In accordance with section</w:t>
      </w:r>
      <w:r w:rsidR="008E74FB" w:rsidRPr="00E30F7B">
        <w:rPr>
          <w:szCs w:val="24"/>
        </w:rPr>
        <w:t xml:space="preserve">s </w:t>
      </w:r>
      <w:r w:rsidR="001509DB">
        <w:rPr>
          <w:szCs w:val="24"/>
        </w:rPr>
        <w:t>347</w:t>
      </w:r>
      <w:r w:rsidR="00296F88">
        <w:rPr>
          <w:szCs w:val="24"/>
        </w:rPr>
        <w:t xml:space="preserve"> </w:t>
      </w:r>
      <w:r w:rsidR="008E74FB" w:rsidRPr="00E30F7B">
        <w:rPr>
          <w:szCs w:val="24"/>
        </w:rPr>
        <w:t xml:space="preserve">and </w:t>
      </w:r>
      <w:r w:rsidR="001509DB">
        <w:rPr>
          <w:szCs w:val="24"/>
        </w:rPr>
        <w:t>348</w:t>
      </w:r>
      <w:r w:rsidR="001509DB" w:rsidRPr="00E30F7B">
        <w:rPr>
          <w:szCs w:val="24"/>
        </w:rPr>
        <w:t xml:space="preserve"> </w:t>
      </w:r>
      <w:r w:rsidRPr="00E30F7B">
        <w:rPr>
          <w:szCs w:val="24"/>
        </w:rPr>
        <w:t xml:space="preserve">of the </w:t>
      </w:r>
      <w:r w:rsidRPr="00E30F7B">
        <w:rPr>
          <w:i/>
          <w:szCs w:val="24"/>
        </w:rPr>
        <w:t xml:space="preserve">Planning Act </w:t>
      </w:r>
      <w:r w:rsidR="001509DB">
        <w:rPr>
          <w:i/>
          <w:szCs w:val="24"/>
        </w:rPr>
        <w:t>2023</w:t>
      </w:r>
      <w:r w:rsidRPr="00E30F7B">
        <w:rPr>
          <w:iCs/>
          <w:szCs w:val="24"/>
        </w:rPr>
        <w:t>,</w:t>
      </w:r>
      <w:r w:rsidRPr="00E30F7B">
        <w:rPr>
          <w:szCs w:val="24"/>
        </w:rPr>
        <w:t xml:space="preserve"> </w:t>
      </w:r>
      <w:r w:rsidR="004117BD">
        <w:rPr>
          <w:szCs w:val="24"/>
        </w:rPr>
        <w:t>this</w:t>
      </w:r>
      <w:r w:rsidR="00C33D03">
        <w:rPr>
          <w:szCs w:val="24"/>
        </w:rPr>
        <w:t xml:space="preserve"> </w:t>
      </w:r>
      <w:proofErr w:type="gramStart"/>
      <w:r w:rsidR="004117BD">
        <w:rPr>
          <w:szCs w:val="24"/>
        </w:rPr>
        <w:t>i</w:t>
      </w:r>
      <w:r w:rsidR="00C33D03">
        <w:rPr>
          <w:szCs w:val="24"/>
        </w:rPr>
        <w:t xml:space="preserve">nstrument  </w:t>
      </w:r>
      <w:r w:rsidRPr="00E30F7B">
        <w:rPr>
          <w:szCs w:val="24"/>
        </w:rPr>
        <w:t>determines</w:t>
      </w:r>
      <w:proofErr w:type="gramEnd"/>
      <w:r w:rsidRPr="00E30F7B">
        <w:rPr>
          <w:szCs w:val="24"/>
        </w:rPr>
        <w:t xml:space="preserve"> the </w:t>
      </w:r>
      <w:r w:rsidR="008E74FB" w:rsidRPr="00E30F7B">
        <w:rPr>
          <w:szCs w:val="24"/>
        </w:rPr>
        <w:t xml:space="preserve">amount payable for a further </w:t>
      </w:r>
      <w:r w:rsidR="00E851C1" w:rsidRPr="00E30F7B">
        <w:rPr>
          <w:szCs w:val="24"/>
        </w:rPr>
        <w:t xml:space="preserve">rural </w:t>
      </w:r>
      <w:r w:rsidR="008E74FB" w:rsidRPr="00E30F7B">
        <w:rPr>
          <w:szCs w:val="24"/>
        </w:rPr>
        <w:t xml:space="preserve">lease and the </w:t>
      </w:r>
      <w:r w:rsidR="004117BD">
        <w:rPr>
          <w:szCs w:val="24"/>
        </w:rPr>
        <w:t>term</w:t>
      </w:r>
      <w:r w:rsidR="008E74FB" w:rsidRPr="00E30F7B">
        <w:rPr>
          <w:szCs w:val="24"/>
        </w:rPr>
        <w:t xml:space="preserve"> of a</w:t>
      </w:r>
      <w:r w:rsidRPr="00E30F7B">
        <w:rPr>
          <w:szCs w:val="24"/>
        </w:rPr>
        <w:t xml:space="preserve"> further rural lease.</w:t>
      </w:r>
    </w:p>
    <w:p w14:paraId="76685FC8" w14:textId="77777777" w:rsidR="00FD0143" w:rsidRPr="00E30F7B" w:rsidRDefault="00FD0143" w:rsidP="00330D90">
      <w:pPr>
        <w:rPr>
          <w:szCs w:val="24"/>
        </w:rPr>
      </w:pPr>
    </w:p>
    <w:p w14:paraId="42B50CFA" w14:textId="77777777" w:rsidR="00330D90" w:rsidRPr="00E30F7B" w:rsidRDefault="00330D90" w:rsidP="00330D90">
      <w:pPr>
        <w:pStyle w:val="BodyText"/>
        <w:rPr>
          <w:szCs w:val="24"/>
          <w:u w:val="single"/>
        </w:rPr>
      </w:pPr>
      <w:r w:rsidRPr="00E30F7B">
        <w:rPr>
          <w:szCs w:val="24"/>
          <w:u w:val="single"/>
        </w:rPr>
        <w:t xml:space="preserve">Attachment A </w:t>
      </w:r>
    </w:p>
    <w:p w14:paraId="36BF9C67" w14:textId="01823F84" w:rsidR="0019151C" w:rsidRDefault="0019151C" w:rsidP="001509DB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Attachment A </w:t>
      </w:r>
      <w:r w:rsidR="001509DB">
        <w:rPr>
          <w:b w:val="0"/>
          <w:szCs w:val="24"/>
        </w:rPr>
        <w:t xml:space="preserve">determines the amount payable for the </w:t>
      </w:r>
      <w:r w:rsidR="004117BD">
        <w:rPr>
          <w:b w:val="0"/>
          <w:szCs w:val="24"/>
        </w:rPr>
        <w:t>term</w:t>
      </w:r>
      <w:r w:rsidR="001509DB">
        <w:rPr>
          <w:b w:val="0"/>
          <w:szCs w:val="24"/>
        </w:rPr>
        <w:t xml:space="preserve"> of a further lease if greater than 20 years</w:t>
      </w:r>
      <w:r w:rsidR="00296F88">
        <w:rPr>
          <w:b w:val="0"/>
          <w:szCs w:val="24"/>
        </w:rPr>
        <w:t>.</w:t>
      </w:r>
      <w:r w:rsidR="001509DB">
        <w:rPr>
          <w:b w:val="0"/>
          <w:szCs w:val="24"/>
        </w:rPr>
        <w:t xml:space="preserve"> </w:t>
      </w:r>
    </w:p>
    <w:p w14:paraId="6FDFDD21" w14:textId="77777777" w:rsidR="00435ED2" w:rsidRDefault="00435ED2" w:rsidP="001509DB">
      <w:pPr>
        <w:pStyle w:val="BodyText"/>
        <w:rPr>
          <w:b w:val="0"/>
          <w:szCs w:val="24"/>
        </w:rPr>
      </w:pPr>
    </w:p>
    <w:p w14:paraId="7A33204A" w14:textId="1077966E" w:rsidR="001509DB" w:rsidRPr="00E30F7B" w:rsidRDefault="001509DB" w:rsidP="00296F88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This attachment remains unchanged from the previous </w:t>
      </w:r>
      <w:r w:rsidR="004117BD">
        <w:rPr>
          <w:b w:val="0"/>
          <w:szCs w:val="24"/>
        </w:rPr>
        <w:t>d</w:t>
      </w:r>
      <w:r>
        <w:rPr>
          <w:b w:val="0"/>
          <w:szCs w:val="24"/>
        </w:rPr>
        <w:t xml:space="preserve">isallowable </w:t>
      </w:r>
      <w:r w:rsidR="004117BD">
        <w:rPr>
          <w:b w:val="0"/>
          <w:szCs w:val="24"/>
        </w:rPr>
        <w:t>i</w:t>
      </w:r>
      <w:r>
        <w:rPr>
          <w:b w:val="0"/>
          <w:szCs w:val="24"/>
        </w:rPr>
        <w:t>nstrument</w:t>
      </w:r>
      <w:r w:rsidR="00296F88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p w14:paraId="166AA6E7" w14:textId="77777777" w:rsidR="00E838A3" w:rsidRPr="00E30F7B" w:rsidRDefault="00E838A3" w:rsidP="00330D90">
      <w:pPr>
        <w:pStyle w:val="BodyText"/>
        <w:rPr>
          <w:szCs w:val="24"/>
        </w:rPr>
      </w:pPr>
    </w:p>
    <w:p w14:paraId="34CD12A3" w14:textId="77777777" w:rsidR="00330D90" w:rsidRPr="00E30F7B" w:rsidRDefault="00330D90" w:rsidP="00330D90">
      <w:pPr>
        <w:pStyle w:val="BodyText"/>
        <w:rPr>
          <w:szCs w:val="24"/>
          <w:u w:val="single"/>
        </w:rPr>
      </w:pPr>
      <w:r w:rsidRPr="00E30F7B">
        <w:rPr>
          <w:szCs w:val="24"/>
          <w:u w:val="single"/>
        </w:rPr>
        <w:t>Schedule 1</w:t>
      </w:r>
    </w:p>
    <w:p w14:paraId="3A50BD20" w14:textId="50486B9A" w:rsidR="00330D90" w:rsidRDefault="004117BD" w:rsidP="00330D90">
      <w:pPr>
        <w:pStyle w:val="BodyText"/>
        <w:rPr>
          <w:b w:val="0"/>
          <w:szCs w:val="24"/>
        </w:rPr>
      </w:pPr>
      <w:r>
        <w:rPr>
          <w:b w:val="0"/>
          <w:szCs w:val="24"/>
        </w:rPr>
        <w:t>S</w:t>
      </w:r>
      <w:r w:rsidR="00330D90" w:rsidRPr="00E30F7B">
        <w:rPr>
          <w:b w:val="0"/>
          <w:szCs w:val="24"/>
        </w:rPr>
        <w:t xml:space="preserve">chedule </w:t>
      </w:r>
      <w:r>
        <w:rPr>
          <w:b w:val="0"/>
          <w:szCs w:val="24"/>
        </w:rPr>
        <w:t xml:space="preserve">1 </w:t>
      </w:r>
      <w:r w:rsidR="00330D90" w:rsidRPr="00E30F7B">
        <w:rPr>
          <w:b w:val="0"/>
          <w:szCs w:val="24"/>
        </w:rPr>
        <w:t>determines the current Maximum Rural Le</w:t>
      </w:r>
      <w:r w:rsidR="00FD0143">
        <w:rPr>
          <w:b w:val="0"/>
          <w:szCs w:val="24"/>
        </w:rPr>
        <w:t>ase Term</w:t>
      </w:r>
      <w:r w:rsidR="00330D90" w:rsidRPr="00E30F7B">
        <w:rPr>
          <w:b w:val="0"/>
          <w:szCs w:val="24"/>
        </w:rPr>
        <w:t xml:space="preserve">. </w:t>
      </w:r>
    </w:p>
    <w:p w14:paraId="46743A29" w14:textId="77777777" w:rsidR="00E30F7B" w:rsidRPr="00E30F7B" w:rsidRDefault="00E30F7B" w:rsidP="00330D90">
      <w:pPr>
        <w:pStyle w:val="BodyText"/>
        <w:rPr>
          <w:szCs w:val="24"/>
        </w:rPr>
      </w:pPr>
    </w:p>
    <w:p w14:paraId="73E7FFF2" w14:textId="76F1E173" w:rsidR="00F854F1" w:rsidRPr="00E30F7B" w:rsidRDefault="00F854F1" w:rsidP="00F854F1">
      <w:pPr>
        <w:rPr>
          <w:szCs w:val="24"/>
        </w:rPr>
      </w:pPr>
      <w:r w:rsidRPr="00E30F7B">
        <w:rPr>
          <w:szCs w:val="24"/>
        </w:rPr>
        <w:t xml:space="preserve">The </w:t>
      </w:r>
      <w:r w:rsidR="004117BD">
        <w:rPr>
          <w:szCs w:val="24"/>
        </w:rPr>
        <w:t>s</w:t>
      </w:r>
      <w:r w:rsidRPr="00E30F7B">
        <w:rPr>
          <w:szCs w:val="24"/>
        </w:rPr>
        <w:t xml:space="preserve">chedule remains unchanged from the previous </w:t>
      </w:r>
      <w:r>
        <w:rPr>
          <w:szCs w:val="24"/>
        </w:rPr>
        <w:t>d</w:t>
      </w:r>
      <w:r w:rsidRPr="00E30F7B">
        <w:rPr>
          <w:szCs w:val="24"/>
        </w:rPr>
        <w:t xml:space="preserve">isallowable </w:t>
      </w:r>
      <w:r>
        <w:rPr>
          <w:szCs w:val="24"/>
        </w:rPr>
        <w:t>i</w:t>
      </w:r>
      <w:r w:rsidRPr="00E30F7B">
        <w:rPr>
          <w:szCs w:val="24"/>
        </w:rPr>
        <w:t>nstrument.</w:t>
      </w:r>
    </w:p>
    <w:p w14:paraId="2652EAF1" w14:textId="77777777" w:rsidR="00330D90" w:rsidRDefault="00330D90" w:rsidP="00330D90">
      <w:pPr>
        <w:pStyle w:val="BodyText"/>
        <w:rPr>
          <w:szCs w:val="24"/>
        </w:rPr>
      </w:pPr>
    </w:p>
    <w:p w14:paraId="1EFC0199" w14:textId="77777777" w:rsidR="00330D90" w:rsidRPr="00E30F7B" w:rsidRDefault="00330D90" w:rsidP="00330D90">
      <w:pPr>
        <w:pStyle w:val="BodyText"/>
        <w:rPr>
          <w:szCs w:val="24"/>
          <w:u w:val="single"/>
        </w:rPr>
      </w:pPr>
      <w:r w:rsidRPr="00E30F7B">
        <w:rPr>
          <w:szCs w:val="24"/>
          <w:u w:val="single"/>
        </w:rPr>
        <w:t>Schedule 2</w:t>
      </w:r>
      <w:r w:rsidR="005A5AD2" w:rsidRPr="00E30F7B">
        <w:rPr>
          <w:szCs w:val="24"/>
          <w:u w:val="single"/>
        </w:rPr>
        <w:t xml:space="preserve"> </w:t>
      </w:r>
    </w:p>
    <w:p w14:paraId="6063986A" w14:textId="2D9BF643" w:rsidR="0077084A" w:rsidRDefault="00330D90" w:rsidP="00480812">
      <w:pPr>
        <w:pStyle w:val="BodyText"/>
        <w:rPr>
          <w:b w:val="0"/>
          <w:szCs w:val="24"/>
        </w:rPr>
      </w:pPr>
      <w:r w:rsidRPr="00E30F7B">
        <w:rPr>
          <w:b w:val="0"/>
          <w:szCs w:val="24"/>
        </w:rPr>
        <w:t xml:space="preserve">Schedule </w:t>
      </w:r>
      <w:r w:rsidR="004117BD">
        <w:rPr>
          <w:b w:val="0"/>
          <w:szCs w:val="24"/>
        </w:rPr>
        <w:t xml:space="preserve">2 </w:t>
      </w:r>
      <w:r w:rsidR="00E838A3" w:rsidRPr="00E30F7B">
        <w:rPr>
          <w:b w:val="0"/>
          <w:szCs w:val="24"/>
        </w:rPr>
        <w:t xml:space="preserve">determines the </w:t>
      </w:r>
      <w:r w:rsidR="00395D0F">
        <w:rPr>
          <w:b w:val="0"/>
          <w:szCs w:val="24"/>
        </w:rPr>
        <w:t xml:space="preserve">relevant dates for paragraphs 1 and 4 of Attachment A of the </w:t>
      </w:r>
      <w:r w:rsidR="004117BD">
        <w:rPr>
          <w:b w:val="0"/>
          <w:szCs w:val="24"/>
        </w:rPr>
        <w:t>i</w:t>
      </w:r>
      <w:r w:rsidR="00395D0F">
        <w:rPr>
          <w:b w:val="0"/>
          <w:szCs w:val="24"/>
        </w:rPr>
        <w:t xml:space="preserve">nstrument. The dates determine whether the lessee will be required to pay market value for the land or an amount in accordance with the relevant </w:t>
      </w:r>
      <w:r w:rsidR="0077084A">
        <w:rPr>
          <w:b w:val="0"/>
          <w:szCs w:val="24"/>
        </w:rPr>
        <w:t xml:space="preserve">formulae specified in the </w:t>
      </w:r>
      <w:r w:rsidR="004117BD">
        <w:rPr>
          <w:b w:val="0"/>
          <w:szCs w:val="24"/>
        </w:rPr>
        <w:t>i</w:t>
      </w:r>
      <w:r w:rsidR="0077084A">
        <w:rPr>
          <w:b w:val="0"/>
          <w:szCs w:val="24"/>
        </w:rPr>
        <w:t>nstrument.</w:t>
      </w:r>
    </w:p>
    <w:p w14:paraId="67DAF6BE" w14:textId="77777777" w:rsidR="001509DB" w:rsidRDefault="001509DB" w:rsidP="00480812">
      <w:pPr>
        <w:pStyle w:val="BodyText"/>
        <w:rPr>
          <w:b w:val="0"/>
          <w:szCs w:val="24"/>
        </w:rPr>
      </w:pPr>
    </w:p>
    <w:p w14:paraId="5638C7DD" w14:textId="1A136730" w:rsidR="001509DB" w:rsidRPr="00E30F7B" w:rsidRDefault="001509DB" w:rsidP="001509DB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This </w:t>
      </w:r>
      <w:r w:rsidR="004117BD">
        <w:rPr>
          <w:b w:val="0"/>
          <w:szCs w:val="24"/>
        </w:rPr>
        <w:t>s</w:t>
      </w:r>
      <w:r>
        <w:rPr>
          <w:b w:val="0"/>
          <w:szCs w:val="24"/>
        </w:rPr>
        <w:t xml:space="preserve">chedule remains unchanged from the previous </w:t>
      </w:r>
      <w:r w:rsidR="004117BD">
        <w:rPr>
          <w:b w:val="0"/>
          <w:szCs w:val="24"/>
        </w:rPr>
        <w:t>d</w:t>
      </w:r>
      <w:r>
        <w:rPr>
          <w:b w:val="0"/>
          <w:szCs w:val="24"/>
        </w:rPr>
        <w:t>isallowable instrument</w:t>
      </w:r>
      <w:r w:rsidR="00296F88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p w14:paraId="5B585841" w14:textId="77777777" w:rsidR="0077084A" w:rsidRDefault="0077084A" w:rsidP="00480812">
      <w:pPr>
        <w:pStyle w:val="BodyText"/>
        <w:rPr>
          <w:b w:val="0"/>
          <w:szCs w:val="24"/>
        </w:rPr>
      </w:pPr>
    </w:p>
    <w:p w14:paraId="673E8FD3" w14:textId="080FC1AB" w:rsidR="00EA6FC9" w:rsidRPr="00E30F7B" w:rsidRDefault="00330D90" w:rsidP="00330D90">
      <w:pPr>
        <w:rPr>
          <w:szCs w:val="24"/>
        </w:rPr>
      </w:pPr>
      <w:r w:rsidRPr="00E30F7B">
        <w:rPr>
          <w:szCs w:val="24"/>
        </w:rPr>
        <w:t>The</w:t>
      </w:r>
      <w:r w:rsidR="00E838A3" w:rsidRPr="00E30F7B">
        <w:rPr>
          <w:szCs w:val="24"/>
        </w:rPr>
        <w:t xml:space="preserve"> substance of the </w:t>
      </w:r>
      <w:r w:rsidR="004117BD">
        <w:rPr>
          <w:szCs w:val="24"/>
        </w:rPr>
        <w:t>s</w:t>
      </w:r>
      <w:r w:rsidRPr="00E30F7B">
        <w:rPr>
          <w:szCs w:val="24"/>
        </w:rPr>
        <w:t xml:space="preserve">chedule remains unchanged from the previous </w:t>
      </w:r>
      <w:r w:rsidR="0075718B">
        <w:rPr>
          <w:szCs w:val="24"/>
        </w:rPr>
        <w:t>d</w:t>
      </w:r>
      <w:r w:rsidRPr="00E30F7B">
        <w:rPr>
          <w:szCs w:val="24"/>
        </w:rPr>
        <w:t xml:space="preserve">isallowable </w:t>
      </w:r>
      <w:r w:rsidR="0075718B">
        <w:rPr>
          <w:szCs w:val="24"/>
        </w:rPr>
        <w:t>i</w:t>
      </w:r>
      <w:r w:rsidRPr="00E30F7B">
        <w:rPr>
          <w:szCs w:val="24"/>
        </w:rPr>
        <w:t>nstrument</w:t>
      </w:r>
      <w:r w:rsidR="00F5496C" w:rsidRPr="00E30F7B">
        <w:rPr>
          <w:szCs w:val="24"/>
        </w:rPr>
        <w:t xml:space="preserve"> except for the addition of </w:t>
      </w:r>
      <w:proofErr w:type="gramStart"/>
      <w:r w:rsidR="00F5496C" w:rsidRPr="00E30F7B">
        <w:rPr>
          <w:szCs w:val="24"/>
        </w:rPr>
        <w:t>Region</w:t>
      </w:r>
      <w:proofErr w:type="gramEnd"/>
      <w:r w:rsidR="00F5496C" w:rsidRPr="00E30F7B">
        <w:rPr>
          <w:szCs w:val="24"/>
        </w:rPr>
        <w:t xml:space="preserve"> </w:t>
      </w:r>
      <w:r w:rsidR="00F854F1">
        <w:rPr>
          <w:szCs w:val="24"/>
        </w:rPr>
        <w:t>7</w:t>
      </w:r>
      <w:r w:rsidR="00F5496C" w:rsidRPr="00E30F7B">
        <w:rPr>
          <w:szCs w:val="24"/>
        </w:rPr>
        <w:t xml:space="preserve">. </w:t>
      </w:r>
      <w:r w:rsidR="00395D0F">
        <w:rPr>
          <w:szCs w:val="24"/>
        </w:rPr>
        <w:t>Block</w:t>
      </w:r>
      <w:r w:rsidR="00F854F1">
        <w:rPr>
          <w:szCs w:val="24"/>
        </w:rPr>
        <w:t>s</w:t>
      </w:r>
      <w:r w:rsidR="00395D0F">
        <w:rPr>
          <w:szCs w:val="24"/>
        </w:rPr>
        <w:t xml:space="preserve"> </w:t>
      </w:r>
      <w:r w:rsidR="00F854F1">
        <w:rPr>
          <w:szCs w:val="24"/>
        </w:rPr>
        <w:t xml:space="preserve">in Booth and Tennent have been </w:t>
      </w:r>
      <w:r w:rsidR="002F54F3" w:rsidRPr="00E30F7B">
        <w:rPr>
          <w:szCs w:val="24"/>
        </w:rPr>
        <w:t>included</w:t>
      </w:r>
      <w:r w:rsidR="00EA6FC9" w:rsidRPr="00E30F7B">
        <w:rPr>
          <w:szCs w:val="24"/>
        </w:rPr>
        <w:t xml:space="preserve"> </w:t>
      </w:r>
      <w:r w:rsidR="00CF5BB3" w:rsidRPr="00E30F7B">
        <w:rPr>
          <w:szCs w:val="24"/>
        </w:rPr>
        <w:t xml:space="preserve">as a result of </w:t>
      </w:r>
      <w:r w:rsidR="00F5496C" w:rsidRPr="00E30F7B">
        <w:rPr>
          <w:szCs w:val="24"/>
        </w:rPr>
        <w:t xml:space="preserve">the </w:t>
      </w:r>
      <w:r w:rsidR="00F854F1">
        <w:rPr>
          <w:szCs w:val="24"/>
        </w:rPr>
        <w:t xml:space="preserve">Minister’s agreement to grant </w:t>
      </w:r>
      <w:proofErr w:type="gramStart"/>
      <w:r w:rsidR="00F854F1">
        <w:rPr>
          <w:szCs w:val="24"/>
        </w:rPr>
        <w:t>99 year</w:t>
      </w:r>
      <w:proofErr w:type="gramEnd"/>
      <w:r w:rsidR="00F854F1">
        <w:rPr>
          <w:szCs w:val="24"/>
        </w:rPr>
        <w:t xml:space="preserve"> leases</w:t>
      </w:r>
      <w:r w:rsidR="004117BD">
        <w:rPr>
          <w:szCs w:val="24"/>
        </w:rPr>
        <w:t xml:space="preserve"> in those districts</w:t>
      </w:r>
      <w:r w:rsidR="00F854F1">
        <w:rPr>
          <w:szCs w:val="24"/>
        </w:rPr>
        <w:t>.</w:t>
      </w:r>
    </w:p>
    <w:p w14:paraId="08C7E469" w14:textId="77777777" w:rsidR="00CD0F9E" w:rsidRPr="00E30F7B" w:rsidRDefault="00CD0F9E" w:rsidP="00CD0F9E">
      <w:pPr>
        <w:autoSpaceDE w:val="0"/>
        <w:autoSpaceDN w:val="0"/>
        <w:adjustRightInd w:val="0"/>
        <w:rPr>
          <w:szCs w:val="24"/>
          <w:lang w:eastAsia="en-AU"/>
        </w:rPr>
      </w:pPr>
    </w:p>
    <w:p w14:paraId="779239E0" w14:textId="77777777" w:rsidR="00330D90" w:rsidRPr="00E30F7B" w:rsidRDefault="00330D90" w:rsidP="00330D90">
      <w:pPr>
        <w:pStyle w:val="BodyText"/>
        <w:rPr>
          <w:szCs w:val="24"/>
          <w:u w:val="single"/>
        </w:rPr>
      </w:pPr>
      <w:r w:rsidRPr="00E30F7B">
        <w:rPr>
          <w:szCs w:val="24"/>
          <w:u w:val="single"/>
        </w:rPr>
        <w:t>Schedule 3</w:t>
      </w:r>
    </w:p>
    <w:p w14:paraId="3FC34D3F" w14:textId="42F04FC6" w:rsidR="00330D90" w:rsidRPr="00E30F7B" w:rsidRDefault="004117BD" w:rsidP="00330D90">
      <w:pPr>
        <w:rPr>
          <w:szCs w:val="24"/>
        </w:rPr>
      </w:pPr>
      <w:r>
        <w:rPr>
          <w:szCs w:val="24"/>
        </w:rPr>
        <w:t>S</w:t>
      </w:r>
      <w:r w:rsidR="00330D90" w:rsidRPr="00E30F7B">
        <w:rPr>
          <w:szCs w:val="24"/>
        </w:rPr>
        <w:t xml:space="preserve">chedule </w:t>
      </w:r>
      <w:r>
        <w:rPr>
          <w:szCs w:val="24"/>
        </w:rPr>
        <w:t xml:space="preserve">3 </w:t>
      </w:r>
      <w:r w:rsidR="00330D90" w:rsidRPr="00E30F7B">
        <w:rPr>
          <w:szCs w:val="24"/>
        </w:rPr>
        <w:t>is the determination of</w:t>
      </w:r>
      <w:r w:rsidR="00F5496C" w:rsidRPr="00E30F7B">
        <w:rPr>
          <w:szCs w:val="24"/>
        </w:rPr>
        <w:t xml:space="preserve"> formulae for further </w:t>
      </w:r>
      <w:r w:rsidR="00330D90" w:rsidRPr="00E30F7B">
        <w:rPr>
          <w:szCs w:val="24"/>
        </w:rPr>
        <w:t>rural leases</w:t>
      </w:r>
      <w:r w:rsidR="00FB0B36">
        <w:rPr>
          <w:szCs w:val="24"/>
        </w:rPr>
        <w:t xml:space="preserve"> </w:t>
      </w:r>
      <w:r w:rsidR="00395D0F">
        <w:rPr>
          <w:szCs w:val="24"/>
        </w:rPr>
        <w:t>for a period greater than</w:t>
      </w:r>
      <w:r w:rsidR="00F5496C" w:rsidRPr="00E30F7B">
        <w:rPr>
          <w:szCs w:val="24"/>
        </w:rPr>
        <w:t xml:space="preserve"> 20 years</w:t>
      </w:r>
      <w:r w:rsidR="00330D90" w:rsidRPr="00E30F7B">
        <w:rPr>
          <w:szCs w:val="24"/>
        </w:rPr>
        <w:t>.</w:t>
      </w:r>
    </w:p>
    <w:p w14:paraId="427741ED" w14:textId="77777777" w:rsidR="00330D90" w:rsidRPr="00E30F7B" w:rsidRDefault="00330D90" w:rsidP="00330D90">
      <w:pPr>
        <w:rPr>
          <w:szCs w:val="24"/>
        </w:rPr>
      </w:pPr>
    </w:p>
    <w:p w14:paraId="74290B58" w14:textId="0FA55AFE" w:rsidR="00330D90" w:rsidRPr="00E30F7B" w:rsidRDefault="00330D90" w:rsidP="00330D90">
      <w:pPr>
        <w:rPr>
          <w:szCs w:val="24"/>
        </w:rPr>
      </w:pPr>
      <w:r w:rsidRPr="00E30F7B">
        <w:rPr>
          <w:szCs w:val="24"/>
        </w:rPr>
        <w:lastRenderedPageBreak/>
        <w:t xml:space="preserve">The </w:t>
      </w:r>
      <w:r w:rsidR="004117BD">
        <w:rPr>
          <w:szCs w:val="24"/>
        </w:rPr>
        <w:t>s</w:t>
      </w:r>
      <w:r w:rsidRPr="00E30F7B">
        <w:rPr>
          <w:szCs w:val="24"/>
        </w:rPr>
        <w:t xml:space="preserve">chedule remains unchanged from the previous </w:t>
      </w:r>
      <w:r w:rsidR="0075718B">
        <w:rPr>
          <w:szCs w:val="24"/>
        </w:rPr>
        <w:t>d</w:t>
      </w:r>
      <w:r w:rsidRPr="00E30F7B">
        <w:rPr>
          <w:szCs w:val="24"/>
        </w:rPr>
        <w:t xml:space="preserve">isallowable </w:t>
      </w:r>
      <w:r w:rsidR="0075718B">
        <w:rPr>
          <w:szCs w:val="24"/>
        </w:rPr>
        <w:t>i</w:t>
      </w:r>
      <w:r w:rsidRPr="00E30F7B">
        <w:rPr>
          <w:szCs w:val="24"/>
        </w:rPr>
        <w:t>nstrument.</w:t>
      </w:r>
    </w:p>
    <w:p w14:paraId="65A51E89" w14:textId="77777777" w:rsidR="00330D90" w:rsidRDefault="00330D90" w:rsidP="00330D90">
      <w:pPr>
        <w:rPr>
          <w:szCs w:val="24"/>
        </w:rPr>
      </w:pPr>
    </w:p>
    <w:p w14:paraId="05211E91" w14:textId="77777777" w:rsidR="00330D90" w:rsidRPr="00E30F7B" w:rsidRDefault="00330D90" w:rsidP="00330D90">
      <w:pPr>
        <w:pStyle w:val="BodyText"/>
        <w:rPr>
          <w:szCs w:val="24"/>
          <w:u w:val="single"/>
        </w:rPr>
      </w:pPr>
      <w:r w:rsidRPr="00E30F7B">
        <w:rPr>
          <w:szCs w:val="24"/>
          <w:u w:val="single"/>
        </w:rPr>
        <w:t>Schedule 4</w:t>
      </w:r>
    </w:p>
    <w:p w14:paraId="629E6456" w14:textId="55A079F2" w:rsidR="00330D90" w:rsidRPr="00E30F7B" w:rsidRDefault="00330D90" w:rsidP="00330D90">
      <w:pPr>
        <w:rPr>
          <w:szCs w:val="24"/>
        </w:rPr>
      </w:pPr>
      <w:r w:rsidRPr="00E30F7B">
        <w:rPr>
          <w:szCs w:val="24"/>
        </w:rPr>
        <w:t xml:space="preserve">Schedule </w:t>
      </w:r>
      <w:r w:rsidR="004117BD">
        <w:rPr>
          <w:szCs w:val="24"/>
        </w:rPr>
        <w:t xml:space="preserve">4 </w:t>
      </w:r>
      <w:r w:rsidRPr="00E30F7B">
        <w:rPr>
          <w:szCs w:val="24"/>
        </w:rPr>
        <w:t>is a map of Pialligo indicating payout categories for blocks.</w:t>
      </w:r>
    </w:p>
    <w:p w14:paraId="717C11E7" w14:textId="77777777" w:rsidR="00330D90" w:rsidRPr="00E30F7B" w:rsidRDefault="00330D90" w:rsidP="00330D90">
      <w:pPr>
        <w:rPr>
          <w:szCs w:val="24"/>
        </w:rPr>
      </w:pPr>
    </w:p>
    <w:p w14:paraId="3FC7C2E1" w14:textId="6FDDE9D9" w:rsidR="00330D90" w:rsidRPr="00E30F7B" w:rsidRDefault="00330D90" w:rsidP="00330D90">
      <w:pPr>
        <w:rPr>
          <w:szCs w:val="24"/>
        </w:rPr>
      </w:pPr>
      <w:r w:rsidRPr="00E30F7B">
        <w:rPr>
          <w:szCs w:val="24"/>
        </w:rPr>
        <w:t xml:space="preserve">The </w:t>
      </w:r>
      <w:r w:rsidR="004117BD">
        <w:rPr>
          <w:szCs w:val="24"/>
        </w:rPr>
        <w:t>s</w:t>
      </w:r>
      <w:r w:rsidRPr="00E30F7B">
        <w:rPr>
          <w:szCs w:val="24"/>
        </w:rPr>
        <w:t xml:space="preserve">chedule remains unchanged from the previous </w:t>
      </w:r>
      <w:r w:rsidR="0075718B">
        <w:rPr>
          <w:szCs w:val="24"/>
        </w:rPr>
        <w:t>d</w:t>
      </w:r>
      <w:r w:rsidRPr="00E30F7B">
        <w:rPr>
          <w:szCs w:val="24"/>
        </w:rPr>
        <w:t xml:space="preserve">isallowable </w:t>
      </w:r>
      <w:r w:rsidR="0075718B">
        <w:rPr>
          <w:szCs w:val="24"/>
        </w:rPr>
        <w:t>i</w:t>
      </w:r>
      <w:r w:rsidRPr="00E30F7B">
        <w:rPr>
          <w:szCs w:val="24"/>
        </w:rPr>
        <w:t>nstrument.</w:t>
      </w:r>
    </w:p>
    <w:p w14:paraId="6D8C043B" w14:textId="77777777" w:rsidR="00330D90" w:rsidRPr="00E30F7B" w:rsidRDefault="00330D90" w:rsidP="00330D90">
      <w:pPr>
        <w:rPr>
          <w:szCs w:val="24"/>
        </w:rPr>
      </w:pPr>
    </w:p>
    <w:p w14:paraId="0DCD5ECC" w14:textId="77777777" w:rsidR="00330D90" w:rsidRPr="00E30F7B" w:rsidRDefault="00330D90" w:rsidP="00330D90">
      <w:pPr>
        <w:pStyle w:val="BodyText"/>
        <w:rPr>
          <w:szCs w:val="24"/>
          <w:u w:val="single"/>
        </w:rPr>
      </w:pPr>
      <w:r w:rsidRPr="00E30F7B">
        <w:rPr>
          <w:szCs w:val="24"/>
          <w:u w:val="single"/>
        </w:rPr>
        <w:t>Schedule 5</w:t>
      </w:r>
    </w:p>
    <w:p w14:paraId="1ABA619F" w14:textId="2F6116DB" w:rsidR="00330D90" w:rsidRPr="00E30F7B" w:rsidRDefault="00330D90" w:rsidP="00330D90">
      <w:pPr>
        <w:rPr>
          <w:szCs w:val="24"/>
        </w:rPr>
      </w:pPr>
      <w:r w:rsidRPr="00E30F7B">
        <w:rPr>
          <w:szCs w:val="24"/>
        </w:rPr>
        <w:t xml:space="preserve">Schedule </w:t>
      </w:r>
      <w:r w:rsidR="004117BD">
        <w:rPr>
          <w:szCs w:val="24"/>
        </w:rPr>
        <w:t xml:space="preserve">5 </w:t>
      </w:r>
      <w:r w:rsidRPr="00E30F7B">
        <w:rPr>
          <w:szCs w:val="24"/>
        </w:rPr>
        <w:t xml:space="preserve">is the </w:t>
      </w:r>
      <w:r w:rsidR="00F5496C" w:rsidRPr="00E30F7B">
        <w:rPr>
          <w:szCs w:val="24"/>
        </w:rPr>
        <w:t>determination of f</w:t>
      </w:r>
      <w:r w:rsidRPr="00E30F7B">
        <w:rPr>
          <w:szCs w:val="24"/>
        </w:rPr>
        <w:t xml:space="preserve">ormulae for </w:t>
      </w:r>
      <w:r w:rsidR="00F5496C" w:rsidRPr="00E30F7B">
        <w:rPr>
          <w:szCs w:val="24"/>
        </w:rPr>
        <w:t xml:space="preserve">further </w:t>
      </w:r>
      <w:r w:rsidRPr="00E30F7B">
        <w:rPr>
          <w:szCs w:val="24"/>
        </w:rPr>
        <w:t>rural leases in Pialligo.</w:t>
      </w:r>
    </w:p>
    <w:p w14:paraId="7B3FDC5C" w14:textId="77777777" w:rsidR="00330D90" w:rsidRPr="00E30F7B" w:rsidRDefault="00330D90" w:rsidP="00330D90">
      <w:pPr>
        <w:rPr>
          <w:szCs w:val="24"/>
        </w:rPr>
      </w:pPr>
    </w:p>
    <w:p w14:paraId="5BF5C030" w14:textId="7D518DAC" w:rsidR="00330D90" w:rsidRPr="00E30F7B" w:rsidRDefault="00330D90" w:rsidP="00330D90">
      <w:pPr>
        <w:rPr>
          <w:szCs w:val="24"/>
        </w:rPr>
      </w:pPr>
      <w:r w:rsidRPr="00E30F7B">
        <w:rPr>
          <w:szCs w:val="24"/>
        </w:rPr>
        <w:t xml:space="preserve">The </w:t>
      </w:r>
      <w:r w:rsidR="004117BD">
        <w:rPr>
          <w:szCs w:val="24"/>
        </w:rPr>
        <w:t>s</w:t>
      </w:r>
      <w:r w:rsidRPr="00E30F7B">
        <w:rPr>
          <w:szCs w:val="24"/>
        </w:rPr>
        <w:t xml:space="preserve">chedule remains unchanged from the previous </w:t>
      </w:r>
      <w:r w:rsidR="004117BD">
        <w:rPr>
          <w:szCs w:val="24"/>
        </w:rPr>
        <w:t>d</w:t>
      </w:r>
      <w:r w:rsidRPr="00E30F7B">
        <w:rPr>
          <w:szCs w:val="24"/>
        </w:rPr>
        <w:t xml:space="preserve">isallowable </w:t>
      </w:r>
      <w:r w:rsidR="004117BD">
        <w:rPr>
          <w:szCs w:val="24"/>
        </w:rPr>
        <w:t>i</w:t>
      </w:r>
      <w:r w:rsidRPr="00E30F7B">
        <w:rPr>
          <w:szCs w:val="24"/>
        </w:rPr>
        <w:t>nstrument</w:t>
      </w:r>
      <w:r w:rsidR="00395D0F">
        <w:rPr>
          <w:szCs w:val="24"/>
        </w:rPr>
        <w:t>.</w:t>
      </w:r>
    </w:p>
    <w:p w14:paraId="7DDADA8F" w14:textId="77777777" w:rsidR="009E2685" w:rsidRDefault="009E2685" w:rsidP="00330D90">
      <w:pPr>
        <w:pStyle w:val="BodyText"/>
        <w:rPr>
          <w:szCs w:val="24"/>
          <w:u w:val="single"/>
        </w:rPr>
      </w:pPr>
    </w:p>
    <w:p w14:paraId="1BC6F478" w14:textId="77777777" w:rsidR="00330D90" w:rsidRPr="00E30F7B" w:rsidRDefault="00330D90" w:rsidP="00330D90">
      <w:pPr>
        <w:pStyle w:val="BodyText"/>
        <w:rPr>
          <w:szCs w:val="24"/>
          <w:u w:val="single"/>
        </w:rPr>
      </w:pPr>
      <w:r w:rsidRPr="00E30F7B">
        <w:rPr>
          <w:szCs w:val="24"/>
          <w:u w:val="single"/>
        </w:rPr>
        <w:t>Schedule 6</w:t>
      </w:r>
    </w:p>
    <w:p w14:paraId="3A9D5518" w14:textId="3CB4EE27" w:rsidR="00330D90" w:rsidRPr="00E30F7B" w:rsidRDefault="00330D90" w:rsidP="00330D90">
      <w:pPr>
        <w:rPr>
          <w:szCs w:val="24"/>
        </w:rPr>
      </w:pPr>
      <w:r w:rsidRPr="00E30F7B">
        <w:rPr>
          <w:szCs w:val="24"/>
        </w:rPr>
        <w:t xml:space="preserve">Schedule </w:t>
      </w:r>
      <w:r w:rsidR="004117BD">
        <w:rPr>
          <w:szCs w:val="24"/>
        </w:rPr>
        <w:t xml:space="preserve">6 </w:t>
      </w:r>
      <w:r w:rsidRPr="00E30F7B">
        <w:rPr>
          <w:szCs w:val="24"/>
        </w:rPr>
        <w:t xml:space="preserve">is the determination of land rent formulae for </w:t>
      </w:r>
      <w:r w:rsidR="003D12A6">
        <w:rPr>
          <w:szCs w:val="24"/>
        </w:rPr>
        <w:t xml:space="preserve">further </w:t>
      </w:r>
      <w:r w:rsidRPr="00E30F7B">
        <w:rPr>
          <w:szCs w:val="24"/>
        </w:rPr>
        <w:t xml:space="preserve">rural leases </w:t>
      </w:r>
      <w:r w:rsidR="00395D0F">
        <w:rPr>
          <w:szCs w:val="24"/>
        </w:rPr>
        <w:t>for 20 </w:t>
      </w:r>
      <w:r w:rsidR="004D1BC2" w:rsidRPr="00E30F7B">
        <w:rPr>
          <w:szCs w:val="24"/>
        </w:rPr>
        <w:t>years or less</w:t>
      </w:r>
      <w:r w:rsidRPr="00E30F7B">
        <w:rPr>
          <w:szCs w:val="24"/>
        </w:rPr>
        <w:t>.</w:t>
      </w:r>
    </w:p>
    <w:p w14:paraId="40D647B8" w14:textId="77777777" w:rsidR="00330D90" w:rsidRPr="00E30F7B" w:rsidRDefault="00330D90" w:rsidP="00330D90">
      <w:pPr>
        <w:rPr>
          <w:szCs w:val="24"/>
        </w:rPr>
      </w:pPr>
    </w:p>
    <w:p w14:paraId="778A3B0D" w14:textId="167126FF" w:rsidR="00330D90" w:rsidRPr="00E30F7B" w:rsidRDefault="00330D90" w:rsidP="00330D90">
      <w:pPr>
        <w:rPr>
          <w:szCs w:val="24"/>
        </w:rPr>
      </w:pPr>
      <w:r w:rsidRPr="00E30F7B">
        <w:rPr>
          <w:szCs w:val="24"/>
        </w:rPr>
        <w:t xml:space="preserve">The </w:t>
      </w:r>
      <w:r w:rsidR="004117BD">
        <w:rPr>
          <w:szCs w:val="24"/>
        </w:rPr>
        <w:t>s</w:t>
      </w:r>
      <w:r w:rsidRPr="00E30F7B">
        <w:rPr>
          <w:szCs w:val="24"/>
        </w:rPr>
        <w:t xml:space="preserve">chedule remains unchanged from the previous </w:t>
      </w:r>
      <w:r w:rsidR="0075718B">
        <w:rPr>
          <w:szCs w:val="24"/>
        </w:rPr>
        <w:t>d</w:t>
      </w:r>
      <w:r w:rsidRPr="00E30F7B">
        <w:rPr>
          <w:szCs w:val="24"/>
        </w:rPr>
        <w:t xml:space="preserve">isallowable </w:t>
      </w:r>
      <w:r w:rsidR="0075718B">
        <w:rPr>
          <w:szCs w:val="24"/>
        </w:rPr>
        <w:t>i</w:t>
      </w:r>
      <w:r w:rsidRPr="00E30F7B">
        <w:rPr>
          <w:szCs w:val="24"/>
        </w:rPr>
        <w:t>nstrument.</w:t>
      </w:r>
    </w:p>
    <w:sectPr w:rsidR="00330D90" w:rsidRPr="00E30F7B" w:rsidSect="00330D90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A9F3" w14:textId="77777777" w:rsidR="000149D7" w:rsidRDefault="000149D7">
      <w:r>
        <w:separator/>
      </w:r>
    </w:p>
  </w:endnote>
  <w:endnote w:type="continuationSeparator" w:id="0">
    <w:p w14:paraId="305D83CC" w14:textId="77777777" w:rsidR="000149D7" w:rsidRDefault="000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9BD8" w14:textId="0DF1B259" w:rsidR="00DF5304" w:rsidRPr="00D53FF7" w:rsidRDefault="00DF5304" w:rsidP="00D53F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B3A5" w14:textId="77777777" w:rsidR="000149D7" w:rsidRDefault="000149D7">
      <w:r>
        <w:separator/>
      </w:r>
    </w:p>
  </w:footnote>
  <w:footnote w:type="continuationSeparator" w:id="0">
    <w:p w14:paraId="3A861FC4" w14:textId="77777777" w:rsidR="000149D7" w:rsidRDefault="0001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E11" w14:textId="77777777" w:rsidR="00FB0B36" w:rsidRDefault="00FB0B36" w:rsidP="00330D90">
    <w:pPr>
      <w:pStyle w:val="Header"/>
      <w:tabs>
        <w:tab w:val="clear" w:pos="4153"/>
        <w:tab w:val="clear" w:pos="8306"/>
        <w:tab w:val="left" w:pos="5085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B6266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027A"/>
    <w:multiLevelType w:val="hybridMultilevel"/>
    <w:tmpl w:val="FFFFFFFF"/>
    <w:lvl w:ilvl="0" w:tplc="C0285B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29624125">
    <w:abstractNumId w:val="1"/>
  </w:num>
  <w:num w:numId="2" w16cid:durableId="2491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30D90"/>
    <w:rsid w:val="000149D7"/>
    <w:rsid w:val="000219FD"/>
    <w:rsid w:val="000743AB"/>
    <w:rsid w:val="001509DB"/>
    <w:rsid w:val="0019151C"/>
    <w:rsid w:val="001B59D5"/>
    <w:rsid w:val="001E4B3D"/>
    <w:rsid w:val="00226F54"/>
    <w:rsid w:val="0025730E"/>
    <w:rsid w:val="00296F88"/>
    <w:rsid w:val="002F54F3"/>
    <w:rsid w:val="00330D90"/>
    <w:rsid w:val="003574CA"/>
    <w:rsid w:val="00372A52"/>
    <w:rsid w:val="00395D0F"/>
    <w:rsid w:val="003D12A6"/>
    <w:rsid w:val="003E24DA"/>
    <w:rsid w:val="004117BD"/>
    <w:rsid w:val="004155C6"/>
    <w:rsid w:val="0043269A"/>
    <w:rsid w:val="00435ED2"/>
    <w:rsid w:val="00480812"/>
    <w:rsid w:val="00497713"/>
    <w:rsid w:val="004A6B42"/>
    <w:rsid w:val="004D1BC2"/>
    <w:rsid w:val="00504744"/>
    <w:rsid w:val="00562C5D"/>
    <w:rsid w:val="0058673D"/>
    <w:rsid w:val="005A52FF"/>
    <w:rsid w:val="005A5AD2"/>
    <w:rsid w:val="005D7B16"/>
    <w:rsid w:val="005E17E8"/>
    <w:rsid w:val="00630A23"/>
    <w:rsid w:val="006C49EB"/>
    <w:rsid w:val="0073440C"/>
    <w:rsid w:val="0075718B"/>
    <w:rsid w:val="0077084A"/>
    <w:rsid w:val="007763E9"/>
    <w:rsid w:val="007B67A6"/>
    <w:rsid w:val="00810E14"/>
    <w:rsid w:val="00846D45"/>
    <w:rsid w:val="00854D8A"/>
    <w:rsid w:val="008A6788"/>
    <w:rsid w:val="008B0B3C"/>
    <w:rsid w:val="008B69A8"/>
    <w:rsid w:val="008D2E43"/>
    <w:rsid w:val="008E74FB"/>
    <w:rsid w:val="009137C9"/>
    <w:rsid w:val="0099409D"/>
    <w:rsid w:val="009E2685"/>
    <w:rsid w:val="00A2617B"/>
    <w:rsid w:val="00A4529E"/>
    <w:rsid w:val="00A47F51"/>
    <w:rsid w:val="00A53190"/>
    <w:rsid w:val="00A80643"/>
    <w:rsid w:val="00BF346E"/>
    <w:rsid w:val="00C33D03"/>
    <w:rsid w:val="00C67CB9"/>
    <w:rsid w:val="00CD0F9E"/>
    <w:rsid w:val="00CF5BB3"/>
    <w:rsid w:val="00D1499E"/>
    <w:rsid w:val="00D158B5"/>
    <w:rsid w:val="00D42B44"/>
    <w:rsid w:val="00D53FF7"/>
    <w:rsid w:val="00DF5304"/>
    <w:rsid w:val="00E03B97"/>
    <w:rsid w:val="00E26F66"/>
    <w:rsid w:val="00E30F7B"/>
    <w:rsid w:val="00E51D1A"/>
    <w:rsid w:val="00E838A3"/>
    <w:rsid w:val="00E851C1"/>
    <w:rsid w:val="00E97AB8"/>
    <w:rsid w:val="00EA6FC9"/>
    <w:rsid w:val="00F40546"/>
    <w:rsid w:val="00F45A41"/>
    <w:rsid w:val="00F5496C"/>
    <w:rsid w:val="00F81521"/>
    <w:rsid w:val="00F854F1"/>
    <w:rsid w:val="00FB0B36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AE7191"/>
  <w14:defaultImageDpi w14:val="0"/>
  <w15:docId w15:val="{E41C20C2-93EC-42E8-A0FE-CC39E76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D9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D90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30D90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30D90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151C"/>
    <w:rPr>
      <w:rFonts w:cs="Times New Roman"/>
      <w:b/>
      <w:bCs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330D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30D90"/>
    <w:pPr>
      <w:jc w:val="center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C33D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2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810E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10E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10E14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10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10E14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1509D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1827</Characters>
  <Application>Microsoft Office Word</Application>
  <DocSecurity>0</DocSecurity>
  <Lines>48</Lines>
  <Paragraphs>27</Paragraphs>
  <ScaleCrop>false</ScaleCrop>
  <Company>ACT Government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2</cp:revision>
  <cp:lastPrinted>2012-03-22T03:11:00Z</cp:lastPrinted>
  <dcterms:created xsi:type="dcterms:W3CDTF">2023-11-24T05:24:00Z</dcterms:created>
  <dcterms:modified xsi:type="dcterms:W3CDTF">2023-11-24T05:24:00Z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A7151636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2012-03-12T13:00:00Z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2012-04-01T13:00:00Z</vt:filetime>
  </property>
  <property fmtid="{D5CDD505-2E9C-101B-9397-08002B2CF9AE}" pid="8" name="Objective-ModificationStamp">
    <vt:filetime>2012-04-03T13:00:00Z</vt:filetime>
  </property>
  <property fmtid="{D5CDD505-2E9C-101B-9397-08002B2CF9AE}" pid="9" name="Objective-Owner">
    <vt:lpwstr>Sharon Harmer</vt:lpwstr>
  </property>
  <property fmtid="{D5CDD505-2E9C-101B-9397-08002B2CF9AE}" pid="10" name="Objective-Path">
    <vt:lpwstr>Whole of ACT Government:ESDD:CORRESPONDENCE - Ministerials and Chief Ministerials:ESDD - MINISTERIAL FILES 2012:Planning Delivery:PD - Ministerial Directorate Submission:12/06419 - Ministerial-Further Rural Leases:</vt:lpwstr>
  </property>
  <property fmtid="{D5CDD505-2E9C-101B-9397-08002B2CF9AE}" pid="11" name="Objective-Parent">
    <vt:lpwstr>12/06419 - Ministerial-Further Rural Leases</vt:lpwstr>
  </property>
  <property fmtid="{D5CDD505-2E9C-101B-9397-08002B2CF9AE}" pid="12" name="Objective-State">
    <vt:lpwstr>Published</vt:lpwstr>
  </property>
  <property fmtid="{D5CDD505-2E9C-101B-9397-08002B2CF9AE}" pid="13" name="Objective-Title">
    <vt:lpwstr>Explanatory Statement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5</vt:i4>
  </property>
  <property fmtid="{D5CDD505-2E9C-101B-9397-08002B2CF9AE}" pid="17" name="Objective-FileNumber">
    <vt:lpwstr>1-2012/06419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ESDD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