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E0D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FF519AE" w14:textId="065EEFA8" w:rsidR="00D84BEB" w:rsidRPr="009C4DDE" w:rsidRDefault="00D84BEB" w:rsidP="00D84BEB">
      <w:pPr>
        <w:pStyle w:val="Billname"/>
        <w:spacing w:before="700"/>
      </w:pPr>
      <w:r w:rsidRPr="009C4DDE">
        <w:t>Energy Efficiency (Cost of Living) Improvement (Eligible Activities) Determination 202</w:t>
      </w:r>
      <w:r w:rsidR="009D558F" w:rsidRPr="009C4DDE">
        <w:t>3</w:t>
      </w:r>
    </w:p>
    <w:p w14:paraId="21C174E8" w14:textId="14FBE556" w:rsidR="00C17FAB" w:rsidRDefault="002D7C60" w:rsidP="00DA3B00">
      <w:pPr>
        <w:spacing w:before="340"/>
        <w:rPr>
          <w:rFonts w:ascii="Arial" w:hAnsi="Arial" w:cs="Arial"/>
          <w:b/>
          <w:bCs/>
        </w:rPr>
      </w:pPr>
      <w:r w:rsidRPr="009C4DDE">
        <w:rPr>
          <w:rFonts w:ascii="Arial" w:hAnsi="Arial" w:cs="Arial"/>
          <w:b/>
          <w:bCs/>
        </w:rPr>
        <w:t>Disallowable instrument DI</w:t>
      </w:r>
      <w:r w:rsidR="00D84BEB" w:rsidRPr="009C4DDE">
        <w:rPr>
          <w:rFonts w:ascii="Arial" w:hAnsi="Arial" w:cs="Arial"/>
          <w:b/>
          <w:bCs/>
        </w:rPr>
        <w:t>20</w:t>
      </w:r>
      <w:r w:rsidR="009D558F" w:rsidRPr="009C4DDE">
        <w:rPr>
          <w:rFonts w:ascii="Arial" w:hAnsi="Arial" w:cs="Arial"/>
          <w:b/>
          <w:bCs/>
        </w:rPr>
        <w:t>23-</w:t>
      </w:r>
      <w:r w:rsidR="00FF65A5">
        <w:rPr>
          <w:rFonts w:ascii="Arial" w:hAnsi="Arial" w:cs="Arial"/>
          <w:b/>
          <w:bCs/>
        </w:rPr>
        <w:t>299</w:t>
      </w:r>
      <w:r w:rsidR="009D558F" w:rsidRPr="009C4DDE">
        <w:rPr>
          <w:rFonts w:ascii="Arial" w:hAnsi="Arial" w:cs="Arial"/>
          <w:b/>
          <w:bCs/>
        </w:rPr>
        <w:t xml:space="preserve">   </w:t>
      </w:r>
    </w:p>
    <w:p w14:paraId="15AE9BE9" w14:textId="77777777" w:rsidR="00C17FAB" w:rsidRDefault="00C17FAB" w:rsidP="00DA3B00">
      <w:pPr>
        <w:pStyle w:val="madeunder"/>
        <w:spacing w:before="300" w:after="0"/>
      </w:pPr>
      <w:r>
        <w:t xml:space="preserve">made under the  </w:t>
      </w:r>
    </w:p>
    <w:p w14:paraId="12F46249" w14:textId="1A1BACC4" w:rsidR="00D84BEB" w:rsidRDefault="00D84BEB">
      <w:pPr>
        <w:spacing w:before="360"/>
        <w:ind w:right="565"/>
        <w:rPr>
          <w:rFonts w:ascii="Arial" w:hAnsi="Arial" w:cs="Arial"/>
          <w:b/>
          <w:sz w:val="20"/>
        </w:rPr>
      </w:pPr>
      <w:r w:rsidRPr="00D84BEB">
        <w:rPr>
          <w:rFonts w:ascii="Arial" w:hAnsi="Arial" w:cs="Arial"/>
          <w:b/>
          <w:sz w:val="20"/>
        </w:rPr>
        <w:t>Energy Efficiency (Cost of Living) Improvement Act 2012, s</w:t>
      </w:r>
      <w:r w:rsidR="004B31DE">
        <w:rPr>
          <w:rFonts w:ascii="Arial" w:hAnsi="Arial" w:cs="Arial"/>
          <w:b/>
          <w:sz w:val="20"/>
        </w:rPr>
        <w:t xml:space="preserve"> </w:t>
      </w:r>
      <w:r w:rsidRPr="00D84BEB">
        <w:rPr>
          <w:rFonts w:ascii="Arial" w:hAnsi="Arial" w:cs="Arial"/>
          <w:b/>
          <w:sz w:val="20"/>
        </w:rPr>
        <w:t>10 (Eligible activities)</w:t>
      </w:r>
    </w:p>
    <w:p w14:paraId="2135E5FA" w14:textId="7CCB010E"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BC476CC" w14:textId="77777777" w:rsidR="00C17FAB" w:rsidRDefault="00C17FAB">
      <w:pPr>
        <w:pStyle w:val="N-line3"/>
        <w:pBdr>
          <w:bottom w:val="none" w:sz="0" w:space="0" w:color="auto"/>
        </w:pBdr>
      </w:pPr>
    </w:p>
    <w:p w14:paraId="2B0E34D2" w14:textId="77777777" w:rsidR="00C17FAB" w:rsidRDefault="00C17FAB">
      <w:pPr>
        <w:pStyle w:val="N-line3"/>
        <w:pBdr>
          <w:top w:val="single" w:sz="12" w:space="1" w:color="auto"/>
          <w:bottom w:val="none" w:sz="0" w:space="0" w:color="auto"/>
        </w:pBdr>
      </w:pPr>
    </w:p>
    <w:bookmarkEnd w:id="0"/>
    <w:p w14:paraId="2FB46473" w14:textId="77777777" w:rsidR="00D84BEB" w:rsidRPr="00AD4382" w:rsidRDefault="00D84BEB" w:rsidP="002B712A">
      <w:pPr>
        <w:autoSpaceDE w:val="0"/>
        <w:autoSpaceDN w:val="0"/>
        <w:adjustRightInd w:val="0"/>
        <w:spacing w:before="240" w:after="240"/>
        <w:rPr>
          <w:rFonts w:ascii="Arial" w:eastAsia="Calibri" w:hAnsi="Arial" w:cs="Arial"/>
          <w:color w:val="000000"/>
          <w:szCs w:val="24"/>
        </w:rPr>
      </w:pPr>
      <w:r w:rsidRPr="00AD4382">
        <w:rPr>
          <w:rFonts w:ascii="Arial" w:eastAsia="Calibri" w:hAnsi="Arial" w:cs="Arial"/>
          <w:b/>
          <w:bCs/>
          <w:color w:val="000000"/>
          <w:szCs w:val="24"/>
        </w:rPr>
        <w:t>Introduction</w:t>
      </w:r>
    </w:p>
    <w:p w14:paraId="367E5889" w14:textId="418FFBBA" w:rsidR="00D84BEB" w:rsidRPr="00D84BEB" w:rsidRDefault="00D84BEB" w:rsidP="00AD4382">
      <w:pPr>
        <w:autoSpaceDE w:val="0"/>
        <w:autoSpaceDN w:val="0"/>
        <w:adjustRightInd w:val="0"/>
        <w:spacing w:after="120"/>
        <w:rPr>
          <w:rFonts w:eastAsia="Calibri"/>
          <w:color w:val="000000"/>
          <w:szCs w:val="24"/>
        </w:rPr>
      </w:pPr>
      <w:r w:rsidRPr="009C4DDE">
        <w:rPr>
          <w:rFonts w:eastAsia="Calibri"/>
          <w:color w:val="000000"/>
          <w:szCs w:val="24"/>
        </w:rPr>
        <w:t xml:space="preserve">This explanatory statement relates to the </w:t>
      </w:r>
      <w:r w:rsidRPr="009C4DDE">
        <w:rPr>
          <w:rFonts w:eastAsia="Calibri"/>
          <w:i/>
          <w:iCs/>
          <w:color w:val="000000"/>
          <w:szCs w:val="24"/>
        </w:rPr>
        <w:t>Energy Efficiency (Cost of Living) Improvement (Eligible Activities) Determination 202</w:t>
      </w:r>
      <w:r w:rsidR="009D558F" w:rsidRPr="009C4DDE">
        <w:rPr>
          <w:rFonts w:eastAsia="Calibri"/>
          <w:i/>
          <w:iCs/>
          <w:color w:val="000000"/>
          <w:szCs w:val="24"/>
        </w:rPr>
        <w:t>3</w:t>
      </w:r>
      <w:r w:rsidR="00FA5925" w:rsidRPr="009C4DDE">
        <w:rPr>
          <w:rFonts w:eastAsia="Calibri"/>
          <w:color w:val="000000"/>
          <w:szCs w:val="24"/>
        </w:rPr>
        <w:t xml:space="preserve"> </w:t>
      </w:r>
      <w:r w:rsidRPr="009C4DDE">
        <w:rPr>
          <w:rFonts w:eastAsia="Calibri"/>
          <w:color w:val="000000"/>
          <w:szCs w:val="24"/>
        </w:rPr>
        <w:t xml:space="preserve">(the </w:t>
      </w:r>
      <w:r w:rsidRPr="009C4DDE">
        <w:rPr>
          <w:rFonts w:eastAsia="Calibri"/>
          <w:b/>
          <w:bCs/>
          <w:i/>
          <w:iCs/>
          <w:color w:val="000000"/>
          <w:szCs w:val="24"/>
        </w:rPr>
        <w:t>Determination</w:t>
      </w:r>
      <w:r w:rsidRPr="009C4DDE">
        <w:rPr>
          <w:rFonts w:eastAsia="Calibri"/>
          <w:color w:val="000000"/>
          <w:szCs w:val="24"/>
        </w:rPr>
        <w:t>). It has been prepared in order to assist the reader of the Determination</w:t>
      </w:r>
      <w:r w:rsidRPr="00D84BEB">
        <w:rPr>
          <w:rFonts w:eastAsia="Calibri"/>
          <w:color w:val="000000"/>
          <w:szCs w:val="24"/>
        </w:rPr>
        <w:t xml:space="preserve">. It does not form part of the Determination and has not been endorsed by the Assembly. </w:t>
      </w:r>
    </w:p>
    <w:p w14:paraId="2817418F" w14:textId="77777777" w:rsidR="00D84BEB" w:rsidRPr="00D84BEB" w:rsidRDefault="00D84BEB" w:rsidP="002B712A">
      <w:pPr>
        <w:spacing w:after="120"/>
        <w:rPr>
          <w:color w:val="000000"/>
          <w:szCs w:val="24"/>
          <w:lang w:eastAsia="en-AU"/>
        </w:rPr>
      </w:pPr>
      <w:r w:rsidRPr="00D84BEB">
        <w:rPr>
          <w:color w:val="000000"/>
          <w:szCs w:val="24"/>
          <w:lang w:eastAsia="en-AU"/>
        </w:rPr>
        <w:t xml:space="preserve">This explanatory statement clarifies the intent of the Determination and must be read in conjunction with the Determination. It is not, and is not intended to be, a comprehensive description of the Determination. What is written about a provision is not to be taken as an authoritative guide to the meaning of a provision, this being a task for the courts. </w:t>
      </w:r>
    </w:p>
    <w:p w14:paraId="65874A8F" w14:textId="3F892126" w:rsidR="00D84BEB" w:rsidRPr="00AD4382" w:rsidRDefault="00D84BEB" w:rsidP="002B712A">
      <w:pPr>
        <w:spacing w:before="240" w:after="240"/>
        <w:rPr>
          <w:rFonts w:ascii="Arial" w:hAnsi="Arial" w:cs="Arial"/>
          <w:b/>
          <w:bCs/>
          <w:szCs w:val="24"/>
        </w:rPr>
      </w:pPr>
      <w:r w:rsidRPr="00AD4382">
        <w:rPr>
          <w:rFonts w:ascii="Arial" w:hAnsi="Arial" w:cs="Arial"/>
          <w:b/>
          <w:bCs/>
          <w:szCs w:val="24"/>
        </w:rPr>
        <w:t>Overview</w:t>
      </w:r>
    </w:p>
    <w:p w14:paraId="1723AFD3" w14:textId="47B2A519" w:rsidR="00606C33" w:rsidRDefault="00606C33" w:rsidP="00AD4382">
      <w:pPr>
        <w:spacing w:after="120"/>
      </w:pPr>
      <w:r w:rsidRPr="0078202B">
        <w:t xml:space="preserve">The </w:t>
      </w:r>
      <w:r w:rsidRPr="0078202B">
        <w:rPr>
          <w:i/>
          <w:iCs/>
        </w:rPr>
        <w:t>Energy Efficiency (Cost of Living) Improvement Act 2012</w:t>
      </w:r>
      <w:r w:rsidRPr="0078202B">
        <w:t xml:space="preserve"> (the </w:t>
      </w:r>
      <w:r w:rsidRPr="00BD337F">
        <w:rPr>
          <w:b/>
          <w:bCs/>
          <w:i/>
          <w:iCs/>
        </w:rPr>
        <w:t>Act</w:t>
      </w:r>
      <w:r w:rsidRPr="0078202B">
        <w:t xml:space="preserve">) establishes the </w:t>
      </w:r>
      <w:r>
        <w:t xml:space="preserve">Australian Capital Territory’s </w:t>
      </w:r>
      <w:r w:rsidRPr="0078202B">
        <w:t>Energy Efficiency Improvement Scheme (</w:t>
      </w:r>
      <w:r w:rsidRPr="00BD337F">
        <w:rPr>
          <w:b/>
          <w:bCs/>
          <w:i/>
          <w:iCs/>
        </w:rPr>
        <w:t>EEIS</w:t>
      </w:r>
      <w:r w:rsidR="004B31DE">
        <w:t xml:space="preserve"> or </w:t>
      </w:r>
      <w:r w:rsidRPr="00952AAC">
        <w:t>the</w:t>
      </w:r>
      <w:r w:rsidRPr="00BD337F">
        <w:rPr>
          <w:b/>
          <w:bCs/>
          <w:i/>
          <w:iCs/>
        </w:rPr>
        <w:t xml:space="preserve"> Scheme</w:t>
      </w:r>
      <w:r w:rsidRPr="0078202B">
        <w:t xml:space="preserve">), which aims to encourage the efficient use of energy; reduce greenhouse gas emissions associated with energy use in the Territory; reduce household and </w:t>
      </w:r>
      <w:r>
        <w:t>small</w:t>
      </w:r>
      <w:r w:rsidR="007259E6">
        <w:t>-</w:t>
      </w:r>
      <w:r>
        <w:t>to</w:t>
      </w:r>
      <w:r w:rsidR="007259E6">
        <w:t>-</w:t>
      </w:r>
      <w:r>
        <w:t xml:space="preserve">medium sized </w:t>
      </w:r>
      <w:r w:rsidRPr="0078202B">
        <w:t>business energy use and costs; and increase opportunities for priority households to reduce energy use and costs.</w:t>
      </w:r>
      <w:r>
        <w:t xml:space="preserve"> The EEIS</w:t>
      </w:r>
      <w:r w:rsidRPr="00137490">
        <w:t xml:space="preserve"> establishes a Territory-wide Energy Savings Target (</w:t>
      </w:r>
      <w:r w:rsidRPr="00BD337F">
        <w:rPr>
          <w:b/>
          <w:bCs/>
          <w:i/>
          <w:iCs/>
        </w:rPr>
        <w:t>EST</w:t>
      </w:r>
      <w:r w:rsidRPr="00137490">
        <w:t>)</w:t>
      </w:r>
      <w:r>
        <w:t>,</w:t>
      </w:r>
      <w:r w:rsidRPr="00137490">
        <w:t xml:space="preserve"> defined as a proportion of a retailer’s total electricity sales in the ACT.</w:t>
      </w:r>
    </w:p>
    <w:p w14:paraId="4BAA66FA" w14:textId="1FA2CB1E" w:rsidR="00D84BEB" w:rsidRPr="00C17956" w:rsidRDefault="00606C33" w:rsidP="00C17956">
      <w:pPr>
        <w:spacing w:after="120"/>
      </w:pPr>
      <w:r>
        <w:t>The Act requires individual</w:t>
      </w:r>
      <w:r w:rsidRPr="00E461D0">
        <w:t xml:space="preserve"> </w:t>
      </w:r>
      <w:r>
        <w:t xml:space="preserve">electricity </w:t>
      </w:r>
      <w:r w:rsidRPr="00E461D0">
        <w:t xml:space="preserve">retailers to </w:t>
      </w:r>
      <w:r>
        <w:t xml:space="preserve">achieve energy savings </w:t>
      </w:r>
      <w:r w:rsidRPr="00E461D0">
        <w:t>by delivering eligible activities</w:t>
      </w:r>
      <w:r>
        <w:t xml:space="preserve"> to households and small-to-medium enterprises</w:t>
      </w:r>
      <w:r w:rsidRPr="00E461D0">
        <w:t>.</w:t>
      </w:r>
      <w:r>
        <w:rPr>
          <w:color w:val="000000"/>
          <w:szCs w:val="24"/>
          <w:lang w:eastAsia="en-AU"/>
        </w:rPr>
        <w:t xml:space="preserve"> </w:t>
      </w:r>
      <w:r w:rsidR="00D84BEB" w:rsidRPr="00D84BEB">
        <w:rPr>
          <w:szCs w:val="24"/>
        </w:rPr>
        <w:t xml:space="preserve">The purpose of the Determination </w:t>
      </w:r>
      <w:r>
        <w:rPr>
          <w:szCs w:val="24"/>
        </w:rPr>
        <w:t xml:space="preserve">is to </w:t>
      </w:r>
      <w:r w:rsidRPr="00606C33">
        <w:rPr>
          <w:szCs w:val="24"/>
        </w:rPr>
        <w:t xml:space="preserve">establish the eligible activities that can be undertaken by energy retailers to achieve the </w:t>
      </w:r>
      <w:r>
        <w:rPr>
          <w:szCs w:val="24"/>
        </w:rPr>
        <w:t>EST</w:t>
      </w:r>
      <w:r w:rsidRPr="00606C33">
        <w:rPr>
          <w:szCs w:val="24"/>
        </w:rPr>
        <w:t xml:space="preserve">. </w:t>
      </w:r>
      <w:r w:rsidR="00D84BEB" w:rsidRPr="00D84BEB">
        <w:rPr>
          <w:szCs w:val="24"/>
        </w:rPr>
        <w:t xml:space="preserve">The Determination is a disallowable instrument made under the </w:t>
      </w:r>
      <w:r w:rsidR="007259E6" w:rsidRPr="00BD337F">
        <w:rPr>
          <w:szCs w:val="24"/>
          <w:bdr w:val="none" w:sz="0" w:space="0" w:color="auto" w:frame="1"/>
          <w:shd w:val="clear" w:color="auto" w:fill="FFFFFF"/>
        </w:rPr>
        <w:t>Act</w:t>
      </w:r>
      <w:r w:rsidR="00D84BEB" w:rsidRPr="00D84BEB">
        <w:rPr>
          <w:szCs w:val="24"/>
        </w:rPr>
        <w:t xml:space="preserve">, section 10. </w:t>
      </w:r>
    </w:p>
    <w:p w14:paraId="6E43E8E9" w14:textId="530C72F4" w:rsidR="006032BA" w:rsidRDefault="00C17956" w:rsidP="00D84BEB">
      <w:pPr>
        <w:rPr>
          <w:szCs w:val="24"/>
        </w:rPr>
      </w:pPr>
      <w:r w:rsidRPr="00D84BEB">
        <w:rPr>
          <w:szCs w:val="24"/>
        </w:rPr>
        <w:lastRenderedPageBreak/>
        <w:t xml:space="preserve">This Determination </w:t>
      </w:r>
      <w:r>
        <w:t xml:space="preserve">retains the suite of EEIS Eligible Activities previously legislated. </w:t>
      </w:r>
      <w:r w:rsidR="00671F3F">
        <w:rPr>
          <w:szCs w:val="24"/>
        </w:rPr>
        <w:t>The</w:t>
      </w:r>
      <w:r w:rsidR="006032BA">
        <w:rPr>
          <w:szCs w:val="24"/>
        </w:rPr>
        <w:t>re are four</w:t>
      </w:r>
      <w:r w:rsidR="00671F3F">
        <w:rPr>
          <w:szCs w:val="24"/>
        </w:rPr>
        <w:t xml:space="preserve"> </w:t>
      </w:r>
      <w:r w:rsidR="00350FB6">
        <w:rPr>
          <w:szCs w:val="24"/>
        </w:rPr>
        <w:t>classes</w:t>
      </w:r>
      <w:r w:rsidR="006032BA">
        <w:rPr>
          <w:szCs w:val="24"/>
        </w:rPr>
        <w:t xml:space="preserve"> of </w:t>
      </w:r>
      <w:r w:rsidR="00671F3F">
        <w:rPr>
          <w:szCs w:val="24"/>
        </w:rPr>
        <w:t xml:space="preserve">amendments </w:t>
      </w:r>
      <w:r w:rsidR="006032BA">
        <w:rPr>
          <w:szCs w:val="24"/>
        </w:rPr>
        <w:t>being made to the determination through this update.</w:t>
      </w:r>
      <w:r w:rsidR="006C27A8">
        <w:rPr>
          <w:szCs w:val="24"/>
        </w:rPr>
        <w:t xml:space="preserve"> All amendments are administrative in nature and do not </w:t>
      </w:r>
      <w:r w:rsidR="00187BA9">
        <w:rPr>
          <w:szCs w:val="24"/>
        </w:rPr>
        <w:t>change</w:t>
      </w:r>
      <w:r w:rsidR="006C27A8">
        <w:rPr>
          <w:szCs w:val="24"/>
        </w:rPr>
        <w:t xml:space="preserve"> </w:t>
      </w:r>
      <w:r w:rsidR="00AE370B">
        <w:rPr>
          <w:szCs w:val="24"/>
        </w:rPr>
        <w:t xml:space="preserve">the </w:t>
      </w:r>
      <w:r w:rsidR="006C27A8">
        <w:rPr>
          <w:szCs w:val="24"/>
        </w:rPr>
        <w:t>eligibility of products or activities</w:t>
      </w:r>
      <w:r w:rsidR="00CB7304">
        <w:rPr>
          <w:szCs w:val="24"/>
        </w:rPr>
        <w:t xml:space="preserve"> under the EEIS</w:t>
      </w:r>
      <w:r w:rsidR="006C27A8">
        <w:rPr>
          <w:szCs w:val="24"/>
        </w:rPr>
        <w:t xml:space="preserve">.  </w:t>
      </w:r>
    </w:p>
    <w:p w14:paraId="3186E56B" w14:textId="77777777" w:rsidR="00350FB6" w:rsidRDefault="00350FB6" w:rsidP="00D84BEB">
      <w:pPr>
        <w:rPr>
          <w:szCs w:val="24"/>
        </w:rPr>
      </w:pPr>
    </w:p>
    <w:p w14:paraId="6870D0D6" w14:textId="38DC25F3" w:rsidR="00F0218F" w:rsidRPr="00F0218F" w:rsidRDefault="00F0218F" w:rsidP="00D84BEB">
      <w:pPr>
        <w:rPr>
          <w:i/>
          <w:iCs/>
          <w:szCs w:val="24"/>
        </w:rPr>
      </w:pPr>
      <w:r w:rsidRPr="00F0218F">
        <w:rPr>
          <w:i/>
          <w:iCs/>
          <w:szCs w:val="24"/>
        </w:rPr>
        <w:t>Extension of RECs re-calculation method</w:t>
      </w:r>
    </w:p>
    <w:p w14:paraId="20CA6894" w14:textId="5AB20EFE" w:rsidR="00671F3F" w:rsidRDefault="00F0218F" w:rsidP="00D84BEB">
      <w:pPr>
        <w:rPr>
          <w:szCs w:val="24"/>
        </w:rPr>
      </w:pPr>
      <w:r>
        <w:rPr>
          <w:szCs w:val="24"/>
        </w:rPr>
        <w:t xml:space="preserve">The </w:t>
      </w:r>
      <w:r w:rsidR="00671F3F">
        <w:rPr>
          <w:szCs w:val="24"/>
        </w:rPr>
        <w:t>exten</w:t>
      </w:r>
      <w:r w:rsidR="00350FB6">
        <w:rPr>
          <w:szCs w:val="24"/>
        </w:rPr>
        <w:t xml:space="preserve">sion of the </w:t>
      </w:r>
      <w:r w:rsidR="006356B0">
        <w:rPr>
          <w:szCs w:val="24"/>
        </w:rPr>
        <w:t>re-calculation method for the Commonwealth Renewable Energy Certificates (RECs)</w:t>
      </w:r>
      <w:r w:rsidR="00350FB6">
        <w:rPr>
          <w:szCs w:val="24"/>
        </w:rPr>
        <w:t xml:space="preserve"> to 2030</w:t>
      </w:r>
      <w:r w:rsidR="006356B0">
        <w:rPr>
          <w:szCs w:val="24"/>
        </w:rPr>
        <w:t xml:space="preserve">, to ensure all products which were eligible under the EEIS prior to the commencement of the </w:t>
      </w:r>
      <w:r w:rsidR="00CB7304">
        <w:rPr>
          <w:szCs w:val="24"/>
        </w:rPr>
        <w:t xml:space="preserve">Commonwealth </w:t>
      </w:r>
      <w:r w:rsidR="006356B0">
        <w:rPr>
          <w:szCs w:val="24"/>
        </w:rPr>
        <w:t>RECs phase down remain eligible under the EEIS.</w:t>
      </w:r>
      <w:r w:rsidR="00350FB6">
        <w:rPr>
          <w:szCs w:val="24"/>
        </w:rPr>
        <w:t xml:space="preserve"> </w:t>
      </w:r>
      <w:r w:rsidR="00CB7304">
        <w:rPr>
          <w:szCs w:val="24"/>
        </w:rPr>
        <w:t xml:space="preserve">The phase down of RECs is </w:t>
      </w:r>
      <w:r w:rsidR="00F75A26">
        <w:rPr>
          <w:szCs w:val="24"/>
        </w:rPr>
        <w:t>part of</w:t>
      </w:r>
      <w:r w:rsidR="00CB7304">
        <w:rPr>
          <w:szCs w:val="24"/>
        </w:rPr>
        <w:t xml:space="preserve"> the Commonwealth</w:t>
      </w:r>
      <w:r w:rsidR="00F75A26">
        <w:rPr>
          <w:szCs w:val="24"/>
        </w:rPr>
        <w:t xml:space="preserve"> Renewable Energy Target finishing in 2030 and the change in REC eligibility is not reflective of any change in the efficiency of appliances. </w:t>
      </w:r>
      <w:r w:rsidR="00CB7304">
        <w:rPr>
          <w:szCs w:val="24"/>
        </w:rPr>
        <w:t xml:space="preserve"> </w:t>
      </w:r>
    </w:p>
    <w:p w14:paraId="22575445" w14:textId="77777777" w:rsidR="00350FB6" w:rsidRDefault="00350FB6" w:rsidP="00D84BEB">
      <w:pPr>
        <w:rPr>
          <w:szCs w:val="24"/>
        </w:rPr>
      </w:pPr>
    </w:p>
    <w:p w14:paraId="0C0526BC" w14:textId="67FE3EF5" w:rsidR="00C17956" w:rsidRDefault="00C17956" w:rsidP="00C17956">
      <w:pPr>
        <w:spacing w:after="120"/>
      </w:pPr>
      <w:r w:rsidRPr="00C17956">
        <w:t>New tables have been inserted at 3.1.3(b) and 3.2.3(b)</w:t>
      </w:r>
      <w:r w:rsidRPr="001B18F3">
        <w:t>, as below</w:t>
      </w:r>
      <w:r>
        <w:t>, to</w:t>
      </w:r>
      <w:r w:rsidRPr="00C17956">
        <w:t xml:space="preserve"> adjust</w:t>
      </w:r>
      <w:r w:rsidRPr="001B18F3">
        <w:t xml:space="preserve"> </w:t>
      </w:r>
      <w:r>
        <w:t xml:space="preserve">the number of RECs </w:t>
      </w:r>
      <w:r w:rsidRPr="006C27A8">
        <w:t>to return the number to pre-phase down levels.</w:t>
      </w:r>
    </w:p>
    <w:tbl>
      <w:tblPr>
        <w:tblStyle w:val="TableGrid"/>
        <w:tblW w:w="0" w:type="auto"/>
        <w:tblInd w:w="1570" w:type="dxa"/>
        <w:tblLook w:val="04A0" w:firstRow="1" w:lastRow="0" w:firstColumn="1" w:lastColumn="0" w:noHBand="0" w:noVBand="1"/>
      </w:tblPr>
      <w:tblGrid>
        <w:gridCol w:w="1895"/>
        <w:gridCol w:w="1786"/>
        <w:gridCol w:w="1660"/>
      </w:tblGrid>
      <w:tr w:rsidR="00C17956" w:rsidRPr="006C27A8" w14:paraId="14276E80" w14:textId="77777777" w:rsidTr="00C17956">
        <w:tc>
          <w:tcPr>
            <w:tcW w:w="1895" w:type="dxa"/>
          </w:tcPr>
          <w:p w14:paraId="3CABBEC8" w14:textId="77777777" w:rsidR="00C17956" w:rsidRPr="006C27A8" w:rsidRDefault="00C17956" w:rsidP="00C17956">
            <w:pPr>
              <w:jc w:val="center"/>
              <w:rPr>
                <w:rFonts w:ascii="Times New Roman" w:hAnsi="Times New Roman"/>
                <w:b/>
                <w:sz w:val="20"/>
                <w:szCs w:val="20"/>
              </w:rPr>
            </w:pPr>
            <w:r w:rsidRPr="006C27A8">
              <w:rPr>
                <w:rFonts w:ascii="Times New Roman" w:hAnsi="Times New Roman"/>
                <w:b/>
                <w:sz w:val="20"/>
                <w:szCs w:val="20"/>
              </w:rPr>
              <w:t>Compliance Year</w:t>
            </w:r>
          </w:p>
        </w:tc>
        <w:tc>
          <w:tcPr>
            <w:tcW w:w="1786" w:type="dxa"/>
          </w:tcPr>
          <w:p w14:paraId="23C2D93F" w14:textId="77777777" w:rsidR="00C17956" w:rsidRPr="006C27A8" w:rsidRDefault="00C17956" w:rsidP="00C17956">
            <w:pPr>
              <w:jc w:val="center"/>
              <w:rPr>
                <w:rFonts w:ascii="Times New Roman" w:hAnsi="Times New Roman"/>
                <w:b/>
                <w:sz w:val="20"/>
                <w:szCs w:val="20"/>
              </w:rPr>
            </w:pPr>
            <w:r w:rsidRPr="006C27A8">
              <w:rPr>
                <w:rFonts w:ascii="Times New Roman" w:hAnsi="Times New Roman"/>
                <w:b/>
                <w:sz w:val="20"/>
                <w:szCs w:val="20"/>
              </w:rPr>
              <w:t>REC</w:t>
            </w:r>
            <w:r w:rsidRPr="006C27A8">
              <w:rPr>
                <w:rFonts w:ascii="Times New Roman" w:hAnsi="Times New Roman"/>
                <w:sz w:val="20"/>
                <w:szCs w:val="20"/>
              </w:rPr>
              <w:t>s</w:t>
            </w:r>
            <w:r w:rsidRPr="006C27A8">
              <w:rPr>
                <w:rFonts w:ascii="Times New Roman" w:hAnsi="Times New Roman"/>
                <w:b/>
                <w:sz w:val="20"/>
                <w:szCs w:val="20"/>
              </w:rPr>
              <w:t xml:space="preserve"> for Zone 5</w:t>
            </w:r>
            <w:r w:rsidRPr="006C27A8">
              <w:rPr>
                <w:rFonts w:ascii="Times New Roman" w:hAnsi="Times New Roman"/>
                <w:sz w:val="20"/>
                <w:szCs w:val="20"/>
              </w:rPr>
              <w:t xml:space="preserve"> (HP5-AU)</w:t>
            </w:r>
          </w:p>
        </w:tc>
        <w:tc>
          <w:tcPr>
            <w:tcW w:w="1660" w:type="dxa"/>
          </w:tcPr>
          <w:p w14:paraId="05151085" w14:textId="77777777" w:rsidR="00C17956" w:rsidRPr="006C27A8" w:rsidRDefault="00C17956" w:rsidP="00C17956">
            <w:pPr>
              <w:jc w:val="center"/>
              <w:rPr>
                <w:rFonts w:ascii="Times New Roman" w:hAnsi="Times New Roman"/>
                <w:b/>
                <w:sz w:val="20"/>
                <w:szCs w:val="20"/>
              </w:rPr>
            </w:pPr>
            <w:r w:rsidRPr="006C27A8">
              <w:rPr>
                <w:rFonts w:ascii="Times New Roman" w:hAnsi="Times New Roman"/>
                <w:b/>
                <w:sz w:val="20"/>
                <w:szCs w:val="20"/>
              </w:rPr>
              <w:t>m</w:t>
            </w:r>
            <w:r>
              <w:rPr>
                <w:rFonts w:ascii="Times New Roman" w:hAnsi="Times New Roman"/>
                <w:b/>
                <w:sz w:val="20"/>
                <w:szCs w:val="20"/>
              </w:rPr>
              <w:t xml:space="preserve"> </w:t>
            </w:r>
            <w:r>
              <w:rPr>
                <w:rFonts w:ascii="Times New Roman" w:hAnsi="Times New Roman"/>
                <w:b/>
                <w:sz w:val="20"/>
                <w:szCs w:val="20"/>
              </w:rPr>
              <w:br/>
            </w:r>
            <w:r w:rsidRPr="00081414">
              <w:rPr>
                <w:bCs/>
                <w:sz w:val="20"/>
              </w:rPr>
              <w:t>(RECs multiplier)</w:t>
            </w:r>
          </w:p>
        </w:tc>
      </w:tr>
      <w:tr w:rsidR="00C17956" w:rsidRPr="006C27A8" w14:paraId="768BDE31" w14:textId="77777777" w:rsidTr="00C17956">
        <w:tc>
          <w:tcPr>
            <w:tcW w:w="1895" w:type="dxa"/>
          </w:tcPr>
          <w:p w14:paraId="47C6D01C"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2022</w:t>
            </w:r>
          </w:p>
        </w:tc>
        <w:tc>
          <w:tcPr>
            <w:tcW w:w="1786" w:type="dxa"/>
          </w:tcPr>
          <w:p w14:paraId="312A9113"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25.2</w:t>
            </w:r>
          </w:p>
        </w:tc>
        <w:tc>
          <w:tcPr>
            <w:tcW w:w="1660" w:type="dxa"/>
          </w:tcPr>
          <w:p w14:paraId="490C43A5"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10/9</w:t>
            </w:r>
          </w:p>
        </w:tc>
      </w:tr>
      <w:tr w:rsidR="00C17956" w:rsidRPr="006C27A8" w14:paraId="3407D1B7" w14:textId="77777777" w:rsidTr="00C17956">
        <w:tc>
          <w:tcPr>
            <w:tcW w:w="1895" w:type="dxa"/>
          </w:tcPr>
          <w:p w14:paraId="6ED7E20D"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2023</w:t>
            </w:r>
          </w:p>
        </w:tc>
        <w:tc>
          <w:tcPr>
            <w:tcW w:w="1786" w:type="dxa"/>
          </w:tcPr>
          <w:p w14:paraId="6B080E6C"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22.4</w:t>
            </w:r>
          </w:p>
        </w:tc>
        <w:tc>
          <w:tcPr>
            <w:tcW w:w="1660" w:type="dxa"/>
          </w:tcPr>
          <w:p w14:paraId="2F1E2F42"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1.25</w:t>
            </w:r>
          </w:p>
        </w:tc>
      </w:tr>
      <w:tr w:rsidR="00C17956" w:rsidRPr="006C27A8" w14:paraId="29E3F8C2" w14:textId="77777777" w:rsidTr="00C17956">
        <w:tc>
          <w:tcPr>
            <w:tcW w:w="1895" w:type="dxa"/>
          </w:tcPr>
          <w:p w14:paraId="2B05320C"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2024</w:t>
            </w:r>
          </w:p>
        </w:tc>
        <w:tc>
          <w:tcPr>
            <w:tcW w:w="1786" w:type="dxa"/>
          </w:tcPr>
          <w:p w14:paraId="015DC4AA"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19.6</w:t>
            </w:r>
          </w:p>
        </w:tc>
        <w:tc>
          <w:tcPr>
            <w:tcW w:w="1660" w:type="dxa"/>
          </w:tcPr>
          <w:p w14:paraId="054E5A1F"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10/7</w:t>
            </w:r>
          </w:p>
        </w:tc>
      </w:tr>
      <w:tr w:rsidR="00C17956" w:rsidRPr="006C27A8" w14:paraId="088953AA" w14:textId="77777777" w:rsidTr="00C17956">
        <w:tc>
          <w:tcPr>
            <w:tcW w:w="1895" w:type="dxa"/>
          </w:tcPr>
          <w:p w14:paraId="29CAF0DE"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2025</w:t>
            </w:r>
          </w:p>
        </w:tc>
        <w:tc>
          <w:tcPr>
            <w:tcW w:w="1786" w:type="dxa"/>
          </w:tcPr>
          <w:p w14:paraId="69874CA6"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16.8</w:t>
            </w:r>
          </w:p>
        </w:tc>
        <w:tc>
          <w:tcPr>
            <w:tcW w:w="1660" w:type="dxa"/>
          </w:tcPr>
          <w:p w14:paraId="06947641"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5/3</w:t>
            </w:r>
          </w:p>
        </w:tc>
      </w:tr>
      <w:tr w:rsidR="00C17956" w:rsidRPr="006C27A8" w14:paraId="01F372FD" w14:textId="77777777" w:rsidTr="00C17956">
        <w:tc>
          <w:tcPr>
            <w:tcW w:w="1895" w:type="dxa"/>
          </w:tcPr>
          <w:p w14:paraId="175B4F24"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2026</w:t>
            </w:r>
          </w:p>
        </w:tc>
        <w:tc>
          <w:tcPr>
            <w:tcW w:w="1786" w:type="dxa"/>
          </w:tcPr>
          <w:p w14:paraId="24F7DC44"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14</w:t>
            </w:r>
          </w:p>
        </w:tc>
        <w:tc>
          <w:tcPr>
            <w:tcW w:w="1660" w:type="dxa"/>
          </w:tcPr>
          <w:p w14:paraId="53C9DB6B"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w:t>
            </w:r>
          </w:p>
        </w:tc>
      </w:tr>
      <w:tr w:rsidR="00C17956" w:rsidRPr="006C27A8" w14:paraId="40B803B9" w14:textId="77777777" w:rsidTr="00C17956">
        <w:tc>
          <w:tcPr>
            <w:tcW w:w="1895" w:type="dxa"/>
          </w:tcPr>
          <w:p w14:paraId="738F0296"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2027</w:t>
            </w:r>
          </w:p>
        </w:tc>
        <w:tc>
          <w:tcPr>
            <w:tcW w:w="1786" w:type="dxa"/>
          </w:tcPr>
          <w:p w14:paraId="50633AEA"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11.2</w:t>
            </w:r>
          </w:p>
        </w:tc>
        <w:tc>
          <w:tcPr>
            <w:tcW w:w="1660" w:type="dxa"/>
          </w:tcPr>
          <w:p w14:paraId="09D80EAF"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2.5</w:t>
            </w:r>
          </w:p>
        </w:tc>
      </w:tr>
      <w:tr w:rsidR="00C17956" w:rsidRPr="006C27A8" w14:paraId="5B96595F" w14:textId="77777777" w:rsidTr="00C17956">
        <w:tc>
          <w:tcPr>
            <w:tcW w:w="1895" w:type="dxa"/>
          </w:tcPr>
          <w:p w14:paraId="6E73BA3A"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2028</w:t>
            </w:r>
          </w:p>
        </w:tc>
        <w:tc>
          <w:tcPr>
            <w:tcW w:w="1786" w:type="dxa"/>
          </w:tcPr>
          <w:p w14:paraId="68BC4418"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8.4</w:t>
            </w:r>
          </w:p>
        </w:tc>
        <w:tc>
          <w:tcPr>
            <w:tcW w:w="1660" w:type="dxa"/>
          </w:tcPr>
          <w:p w14:paraId="198D44D5"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10/3</w:t>
            </w:r>
          </w:p>
        </w:tc>
      </w:tr>
      <w:tr w:rsidR="00C17956" w:rsidRPr="006C27A8" w14:paraId="72ED4197" w14:textId="77777777" w:rsidTr="00C17956">
        <w:tc>
          <w:tcPr>
            <w:tcW w:w="1895" w:type="dxa"/>
          </w:tcPr>
          <w:p w14:paraId="31EF81FB"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2029</w:t>
            </w:r>
          </w:p>
        </w:tc>
        <w:tc>
          <w:tcPr>
            <w:tcW w:w="1786" w:type="dxa"/>
          </w:tcPr>
          <w:p w14:paraId="4C5A464F"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5.6</w:t>
            </w:r>
          </w:p>
        </w:tc>
        <w:tc>
          <w:tcPr>
            <w:tcW w:w="1660" w:type="dxa"/>
          </w:tcPr>
          <w:p w14:paraId="3E483385"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5</w:t>
            </w:r>
          </w:p>
        </w:tc>
      </w:tr>
      <w:tr w:rsidR="00C17956" w:rsidRPr="006C27A8" w14:paraId="66792A74" w14:textId="77777777" w:rsidTr="00C17956">
        <w:tc>
          <w:tcPr>
            <w:tcW w:w="1895" w:type="dxa"/>
          </w:tcPr>
          <w:p w14:paraId="12FA3A9D"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2030</w:t>
            </w:r>
          </w:p>
        </w:tc>
        <w:tc>
          <w:tcPr>
            <w:tcW w:w="1786" w:type="dxa"/>
          </w:tcPr>
          <w:p w14:paraId="24A75D26"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2.8</w:t>
            </w:r>
          </w:p>
        </w:tc>
        <w:tc>
          <w:tcPr>
            <w:tcW w:w="1660" w:type="dxa"/>
          </w:tcPr>
          <w:p w14:paraId="43AD328D" w14:textId="77777777" w:rsidR="00C17956" w:rsidRPr="006C27A8" w:rsidRDefault="00C17956" w:rsidP="00C17956">
            <w:pPr>
              <w:jc w:val="center"/>
              <w:rPr>
                <w:rFonts w:ascii="Times New Roman" w:hAnsi="Times New Roman"/>
                <w:sz w:val="20"/>
                <w:szCs w:val="20"/>
              </w:rPr>
            </w:pPr>
            <w:r w:rsidRPr="006C27A8">
              <w:rPr>
                <w:rFonts w:ascii="Times New Roman" w:hAnsi="Times New Roman"/>
                <w:sz w:val="20"/>
                <w:szCs w:val="20"/>
              </w:rPr>
              <w:t>10</w:t>
            </w:r>
          </w:p>
        </w:tc>
      </w:tr>
    </w:tbl>
    <w:p w14:paraId="2254DC71" w14:textId="77777777" w:rsidR="00C17956" w:rsidRDefault="00C17956" w:rsidP="00D84BEB">
      <w:pPr>
        <w:rPr>
          <w:szCs w:val="24"/>
        </w:rPr>
      </w:pPr>
    </w:p>
    <w:p w14:paraId="4B791A07" w14:textId="137CE5A9" w:rsidR="00F0218F" w:rsidRPr="00F0218F" w:rsidRDefault="00F0218F" w:rsidP="00D84BEB">
      <w:pPr>
        <w:rPr>
          <w:i/>
          <w:iCs/>
          <w:szCs w:val="24"/>
        </w:rPr>
      </w:pPr>
      <w:r w:rsidRPr="00F0218F">
        <w:rPr>
          <w:i/>
          <w:iCs/>
          <w:szCs w:val="24"/>
        </w:rPr>
        <w:t>Formula update to reflect energy savings metric</w:t>
      </w:r>
    </w:p>
    <w:p w14:paraId="7ECF9FC5" w14:textId="5EA9107F" w:rsidR="00350FB6" w:rsidRDefault="00F0218F" w:rsidP="00D84BEB">
      <w:pPr>
        <w:rPr>
          <w:i/>
          <w:iCs/>
        </w:rPr>
      </w:pPr>
      <w:r>
        <w:rPr>
          <w:szCs w:val="24"/>
        </w:rPr>
        <w:t xml:space="preserve">An </w:t>
      </w:r>
      <w:r w:rsidR="00350FB6">
        <w:rPr>
          <w:szCs w:val="24"/>
        </w:rPr>
        <w:t xml:space="preserve">update </w:t>
      </w:r>
      <w:r>
        <w:rPr>
          <w:szCs w:val="24"/>
        </w:rPr>
        <w:t xml:space="preserve">to </w:t>
      </w:r>
      <w:r w:rsidR="00350FB6">
        <w:rPr>
          <w:szCs w:val="24"/>
        </w:rPr>
        <w:t>a formula which was not amended in the change of the EEIS from a</w:t>
      </w:r>
      <w:r w:rsidR="00F75A26">
        <w:rPr>
          <w:szCs w:val="24"/>
        </w:rPr>
        <w:t>n</w:t>
      </w:r>
      <w:r w:rsidR="00350FB6">
        <w:rPr>
          <w:szCs w:val="24"/>
        </w:rPr>
        <w:t xml:space="preserve"> emissions metric to an energy savings metric which occurred in 2021.  The formula still refers to “</w:t>
      </w:r>
      <w:r w:rsidR="00350FB6" w:rsidRPr="00892CA2">
        <w:rPr>
          <w:i/>
          <w:iCs/>
        </w:rPr>
        <w:t>t  CO2-e</w:t>
      </w:r>
      <w:r w:rsidR="00350FB6">
        <w:rPr>
          <w:i/>
          <w:iCs/>
        </w:rPr>
        <w:t xml:space="preserve">” </w:t>
      </w:r>
      <w:r w:rsidR="00350FB6">
        <w:t>and needs to be replaced with “</w:t>
      </w:r>
      <w:r w:rsidR="00350FB6">
        <w:rPr>
          <w:i/>
          <w:iCs/>
        </w:rPr>
        <w:t>MWh”.</w:t>
      </w:r>
    </w:p>
    <w:p w14:paraId="7D94138F" w14:textId="77777777" w:rsidR="00350FB6" w:rsidRDefault="00350FB6" w:rsidP="00D84BEB">
      <w:pPr>
        <w:rPr>
          <w:i/>
          <w:iCs/>
        </w:rPr>
      </w:pPr>
    </w:p>
    <w:p w14:paraId="33027D75" w14:textId="34DE8088" w:rsidR="00BB6075" w:rsidRDefault="00BB6075" w:rsidP="00D84BEB">
      <w:pPr>
        <w:rPr>
          <w:i/>
          <w:iCs/>
        </w:rPr>
      </w:pPr>
      <w:r>
        <w:rPr>
          <w:i/>
          <w:iCs/>
        </w:rPr>
        <w:t xml:space="preserve">Amend references </w:t>
      </w:r>
      <w:r w:rsidR="00773119">
        <w:rPr>
          <w:i/>
          <w:iCs/>
        </w:rPr>
        <w:t>to the ACT Planning Act</w:t>
      </w:r>
    </w:p>
    <w:p w14:paraId="2CD0784B" w14:textId="6C54393B" w:rsidR="00350FB6" w:rsidRPr="00350FB6" w:rsidRDefault="00BB6075" w:rsidP="00D84BEB">
      <w:pPr>
        <w:rPr>
          <w:szCs w:val="24"/>
        </w:rPr>
      </w:pPr>
      <w:r>
        <w:t>R</w:t>
      </w:r>
      <w:r w:rsidR="00350FB6">
        <w:t xml:space="preserve">eplacing refences to the </w:t>
      </w:r>
      <w:r w:rsidR="00350FB6" w:rsidRPr="00F6299C">
        <w:rPr>
          <w:i/>
          <w:iCs/>
        </w:rPr>
        <w:t>ACT Planning and Development Act 2007</w:t>
      </w:r>
      <w:r w:rsidR="00350FB6">
        <w:rPr>
          <w:i/>
          <w:iCs/>
        </w:rPr>
        <w:t xml:space="preserve"> </w:t>
      </w:r>
      <w:r w:rsidR="00350FB6" w:rsidRPr="00350FB6">
        <w:t>with references to the new</w:t>
      </w:r>
      <w:r w:rsidR="00350FB6">
        <w:rPr>
          <w:i/>
          <w:iCs/>
        </w:rPr>
        <w:t xml:space="preserve"> </w:t>
      </w:r>
      <w:r w:rsidR="00350FB6" w:rsidRPr="00F6299C">
        <w:rPr>
          <w:i/>
          <w:iCs/>
        </w:rPr>
        <w:t>Planning Act 2023</w:t>
      </w:r>
      <w:r w:rsidR="00C17956">
        <w:rPr>
          <w:i/>
          <w:iCs/>
        </w:rPr>
        <w:t>.</w:t>
      </w:r>
    </w:p>
    <w:p w14:paraId="0E72C39B" w14:textId="0FE9758D" w:rsidR="00C10948" w:rsidRDefault="00C10948" w:rsidP="00D84BEB">
      <w:pPr>
        <w:rPr>
          <w:szCs w:val="24"/>
        </w:rPr>
      </w:pPr>
    </w:p>
    <w:p w14:paraId="233B59CC" w14:textId="5A71D92D" w:rsidR="00F0218F" w:rsidRPr="00F0218F" w:rsidRDefault="00F0218F" w:rsidP="00D84BEB">
      <w:pPr>
        <w:rPr>
          <w:i/>
          <w:iCs/>
          <w:szCs w:val="24"/>
        </w:rPr>
      </w:pPr>
      <w:r w:rsidRPr="00F0218F">
        <w:rPr>
          <w:i/>
          <w:iCs/>
          <w:szCs w:val="24"/>
        </w:rPr>
        <w:t>Update to standards</w:t>
      </w:r>
    </w:p>
    <w:p w14:paraId="232F87D4" w14:textId="5893683E" w:rsidR="00EA5B88" w:rsidRDefault="00F0218F" w:rsidP="00D84BEB">
      <w:pPr>
        <w:rPr>
          <w:szCs w:val="24"/>
        </w:rPr>
      </w:pPr>
      <w:r>
        <w:rPr>
          <w:szCs w:val="24"/>
        </w:rPr>
        <w:t xml:space="preserve">Updating </w:t>
      </w:r>
      <w:r w:rsidR="00EA5B88">
        <w:rPr>
          <w:szCs w:val="24"/>
        </w:rPr>
        <w:t xml:space="preserve">references to Australian and New Zealand </w:t>
      </w:r>
      <w:r w:rsidR="006759CA">
        <w:rPr>
          <w:szCs w:val="24"/>
        </w:rPr>
        <w:t>standards</w:t>
      </w:r>
      <w:r w:rsidR="00BB6075">
        <w:rPr>
          <w:szCs w:val="24"/>
        </w:rPr>
        <w:t>,</w:t>
      </w:r>
      <w:r>
        <w:rPr>
          <w:szCs w:val="24"/>
        </w:rPr>
        <w:t xml:space="preserve"> and other </w:t>
      </w:r>
      <w:r w:rsidR="00BB6075">
        <w:rPr>
          <w:szCs w:val="24"/>
        </w:rPr>
        <w:t xml:space="preserve">general </w:t>
      </w:r>
      <w:r>
        <w:rPr>
          <w:szCs w:val="24"/>
        </w:rPr>
        <w:t xml:space="preserve">references in the </w:t>
      </w:r>
      <w:r w:rsidR="00BB6075">
        <w:rPr>
          <w:szCs w:val="24"/>
        </w:rPr>
        <w:t xml:space="preserve">determination, </w:t>
      </w:r>
      <w:r w:rsidR="00C9593E">
        <w:rPr>
          <w:szCs w:val="24"/>
        </w:rPr>
        <w:t>to</w:t>
      </w:r>
      <w:r w:rsidR="006759CA">
        <w:rPr>
          <w:szCs w:val="24"/>
        </w:rPr>
        <w:t xml:space="preserve"> </w:t>
      </w:r>
      <w:r w:rsidR="006759CA">
        <w:t>improve readability, consistency and remove superseded standards.</w:t>
      </w:r>
    </w:p>
    <w:p w14:paraId="57950885" w14:textId="77777777" w:rsidR="00671F3F" w:rsidRDefault="00671F3F" w:rsidP="00D84BEB">
      <w:pPr>
        <w:rPr>
          <w:szCs w:val="24"/>
        </w:rPr>
      </w:pPr>
    </w:p>
    <w:p w14:paraId="37A8205C" w14:textId="77777777" w:rsidR="0076257F" w:rsidRPr="002B712A" w:rsidRDefault="0076257F" w:rsidP="0076257F">
      <w:pPr>
        <w:pStyle w:val="NormalWeb"/>
        <w:shd w:val="clear" w:color="auto" w:fill="FFFFFF"/>
        <w:spacing w:before="120" w:beforeAutospacing="0" w:after="120" w:afterAutospacing="0"/>
        <w:rPr>
          <w:color w:val="000000"/>
        </w:rPr>
      </w:pPr>
      <w:bookmarkStart w:id="1" w:name="_Hlk113624304"/>
      <w:r w:rsidRPr="002B712A">
        <w:rPr>
          <w:b/>
          <w:bCs/>
          <w:color w:val="000000"/>
        </w:rPr>
        <w:t>Regulatory impact statement (</w:t>
      </w:r>
      <w:r w:rsidRPr="002B712A">
        <w:rPr>
          <w:b/>
          <w:bCs/>
          <w:i/>
          <w:iCs/>
          <w:color w:val="000000"/>
        </w:rPr>
        <w:t>RIS</w:t>
      </w:r>
      <w:r w:rsidRPr="002B712A">
        <w:rPr>
          <w:b/>
          <w:bCs/>
          <w:color w:val="000000"/>
        </w:rPr>
        <w:t>)</w:t>
      </w:r>
    </w:p>
    <w:p w14:paraId="47EE4B5A" w14:textId="2253FE8B" w:rsidR="0076257F" w:rsidRDefault="00327AB4" w:rsidP="0076257F">
      <w:pPr>
        <w:pStyle w:val="NormalWeb"/>
        <w:shd w:val="clear" w:color="auto" w:fill="FFFFFF"/>
        <w:spacing w:before="120" w:beforeAutospacing="0" w:after="120" w:afterAutospacing="0"/>
        <w:rPr>
          <w:color w:val="000000"/>
        </w:rPr>
      </w:pPr>
      <w:r>
        <w:rPr>
          <w:color w:val="000000"/>
        </w:rPr>
        <w:t>This determination does not impose appreciable costs on the community, or part of the community therefore a</w:t>
      </w:r>
      <w:r w:rsidR="0076257F">
        <w:rPr>
          <w:color w:val="000000"/>
        </w:rPr>
        <w:t xml:space="preserve"> RIS is not required</w:t>
      </w:r>
      <w:r>
        <w:rPr>
          <w:color w:val="000000"/>
        </w:rPr>
        <w:t>. In addition</w:t>
      </w:r>
      <w:r w:rsidR="0076257F">
        <w:rPr>
          <w:color w:val="000000"/>
        </w:rPr>
        <w:t xml:space="preserve"> this determination </w:t>
      </w:r>
      <w:r w:rsidR="005C5E1A">
        <w:rPr>
          <w:color w:val="000000"/>
        </w:rPr>
        <w:t xml:space="preserve">does not adversely affect a person’s rights nor impose liabilities on a person </w:t>
      </w:r>
      <w:r w:rsidR="000C2E32">
        <w:rPr>
          <w:color w:val="000000"/>
        </w:rPr>
        <w:t>(</w:t>
      </w:r>
      <w:r w:rsidR="0076257F">
        <w:rPr>
          <w:color w:val="000000"/>
        </w:rPr>
        <w:t>section 36(1)(b) of the </w:t>
      </w:r>
      <w:r w:rsidR="0076257F">
        <w:rPr>
          <w:i/>
          <w:iCs/>
          <w:color w:val="000000"/>
        </w:rPr>
        <w:t>Legislation Act 2001</w:t>
      </w:r>
      <w:r w:rsidR="000C2E32">
        <w:rPr>
          <w:color w:val="000000"/>
        </w:rPr>
        <w:t>)</w:t>
      </w:r>
      <w:r w:rsidR="0076257F">
        <w:rPr>
          <w:color w:val="000000"/>
        </w:rPr>
        <w:t xml:space="preserve">. </w:t>
      </w:r>
    </w:p>
    <w:bookmarkEnd w:id="1"/>
    <w:p w14:paraId="1BCDA50C" w14:textId="77777777" w:rsidR="0076257F" w:rsidRPr="002B712A" w:rsidRDefault="0076257F" w:rsidP="0076257F">
      <w:pPr>
        <w:spacing w:after="120"/>
        <w:rPr>
          <w:b/>
          <w:bCs/>
        </w:rPr>
      </w:pPr>
      <w:r w:rsidRPr="002B712A">
        <w:rPr>
          <w:b/>
          <w:bCs/>
        </w:rPr>
        <w:t>Human Rights</w:t>
      </w:r>
    </w:p>
    <w:p w14:paraId="3B293370" w14:textId="77010AF6" w:rsidR="002B712A" w:rsidRPr="00C17956" w:rsidRDefault="00D84BEB" w:rsidP="00C17956">
      <w:pPr>
        <w:spacing w:after="120"/>
        <w:rPr>
          <w:szCs w:val="24"/>
        </w:rPr>
      </w:pPr>
      <w:r w:rsidRPr="00D84BEB">
        <w:rPr>
          <w:szCs w:val="24"/>
        </w:rPr>
        <w:t>The Determination does not engage</w:t>
      </w:r>
      <w:r w:rsidR="000C2E32">
        <w:rPr>
          <w:szCs w:val="24"/>
        </w:rPr>
        <w:t xml:space="preserve"> any human rights under</w:t>
      </w:r>
      <w:r w:rsidRPr="00D84BEB">
        <w:rPr>
          <w:szCs w:val="24"/>
        </w:rPr>
        <w:t xml:space="preserve"> the </w:t>
      </w:r>
      <w:r w:rsidRPr="00D84BEB">
        <w:rPr>
          <w:i/>
          <w:iCs/>
          <w:szCs w:val="24"/>
        </w:rPr>
        <w:t>Human Rights Act 2004</w:t>
      </w:r>
      <w:r w:rsidRPr="00D84BEB">
        <w:rPr>
          <w:szCs w:val="24"/>
        </w:rPr>
        <w:t xml:space="preserve">. </w:t>
      </w:r>
    </w:p>
    <w:p w14:paraId="2A509C6D" w14:textId="665DE50E" w:rsidR="00D84BEB" w:rsidRPr="00D84BEB" w:rsidRDefault="00D84BEB" w:rsidP="002D4855">
      <w:pPr>
        <w:spacing w:after="200"/>
        <w:rPr>
          <w:b/>
          <w:bCs/>
          <w:szCs w:val="24"/>
        </w:rPr>
      </w:pPr>
      <w:r w:rsidRPr="00D84BEB">
        <w:rPr>
          <w:b/>
          <w:bCs/>
          <w:szCs w:val="24"/>
        </w:rPr>
        <w:lastRenderedPageBreak/>
        <w:t>Clause Notes</w:t>
      </w:r>
    </w:p>
    <w:p w14:paraId="3FC44234" w14:textId="491FEEDE" w:rsidR="00D84BEB" w:rsidRPr="00D84BEB" w:rsidRDefault="00D84BEB" w:rsidP="00D84BEB">
      <w:pPr>
        <w:rPr>
          <w:szCs w:val="24"/>
        </w:rPr>
      </w:pPr>
      <w:r w:rsidRPr="00D84BEB">
        <w:rPr>
          <w:b/>
          <w:bCs/>
          <w:szCs w:val="24"/>
        </w:rPr>
        <w:t>Clause 1</w:t>
      </w:r>
      <w:r w:rsidRPr="00D84BEB">
        <w:rPr>
          <w:szCs w:val="24"/>
        </w:rPr>
        <w:t xml:space="preserve"> names the instrument.</w:t>
      </w:r>
    </w:p>
    <w:p w14:paraId="3431705C" w14:textId="10CD307E" w:rsidR="00D84BEB" w:rsidRPr="00D84BEB" w:rsidRDefault="00D84BEB" w:rsidP="00E529A0">
      <w:pPr>
        <w:spacing w:before="200"/>
        <w:rPr>
          <w:szCs w:val="24"/>
        </w:rPr>
      </w:pPr>
      <w:r w:rsidRPr="00D84BEB">
        <w:rPr>
          <w:b/>
          <w:bCs/>
          <w:szCs w:val="24"/>
        </w:rPr>
        <w:t>Clause 2</w:t>
      </w:r>
      <w:r w:rsidRPr="00D84BEB">
        <w:rPr>
          <w:szCs w:val="24"/>
        </w:rPr>
        <w:t xml:space="preserve"> </w:t>
      </w:r>
      <w:r w:rsidR="00291FFB">
        <w:rPr>
          <w:szCs w:val="24"/>
        </w:rPr>
        <w:t>provides</w:t>
      </w:r>
      <w:r w:rsidR="004E2D23">
        <w:rPr>
          <w:szCs w:val="24"/>
        </w:rPr>
        <w:t xml:space="preserve"> for the commencement of the instrument</w:t>
      </w:r>
      <w:r w:rsidRPr="008A1B28">
        <w:rPr>
          <w:szCs w:val="24"/>
        </w:rPr>
        <w:t>.</w:t>
      </w:r>
    </w:p>
    <w:p w14:paraId="4B6525DC" w14:textId="3476CB04" w:rsidR="00D84BEB" w:rsidRPr="00D84BEB" w:rsidRDefault="00D84BEB" w:rsidP="00E529A0">
      <w:pPr>
        <w:spacing w:before="200"/>
        <w:rPr>
          <w:szCs w:val="24"/>
        </w:rPr>
      </w:pPr>
      <w:r w:rsidRPr="00D84BEB">
        <w:rPr>
          <w:b/>
          <w:bCs/>
          <w:szCs w:val="24"/>
        </w:rPr>
        <w:t>Clause 3</w:t>
      </w:r>
      <w:r w:rsidRPr="00D84BEB">
        <w:rPr>
          <w:szCs w:val="24"/>
        </w:rPr>
        <w:t xml:space="preserve"> </w:t>
      </w:r>
      <w:r w:rsidR="00291FFB">
        <w:rPr>
          <w:szCs w:val="24"/>
        </w:rPr>
        <w:t>determines</w:t>
      </w:r>
      <w:r w:rsidR="00291FFB" w:rsidRPr="00D84BEB">
        <w:rPr>
          <w:szCs w:val="24"/>
        </w:rPr>
        <w:t xml:space="preserve"> </w:t>
      </w:r>
      <w:r w:rsidRPr="00D84BEB">
        <w:rPr>
          <w:szCs w:val="24"/>
        </w:rPr>
        <w:t>the eligible activities</w:t>
      </w:r>
      <w:r w:rsidR="00291FFB">
        <w:rPr>
          <w:szCs w:val="24"/>
        </w:rPr>
        <w:t>, in the schedule,</w:t>
      </w:r>
      <w:r w:rsidRPr="00D84BEB">
        <w:rPr>
          <w:szCs w:val="24"/>
        </w:rPr>
        <w:t xml:space="preserve"> that can be undertaken by electricity retailers and approved </w:t>
      </w:r>
      <w:r w:rsidR="00CE29AE">
        <w:rPr>
          <w:szCs w:val="24"/>
        </w:rPr>
        <w:t>energy savings</w:t>
      </w:r>
      <w:r w:rsidRPr="00D84BEB">
        <w:rPr>
          <w:szCs w:val="24"/>
        </w:rPr>
        <w:t xml:space="preserve"> providers to meet the </w:t>
      </w:r>
      <w:r w:rsidR="000B50EC">
        <w:rPr>
          <w:szCs w:val="24"/>
        </w:rPr>
        <w:t>EST</w:t>
      </w:r>
      <w:r w:rsidRPr="00D84BEB">
        <w:rPr>
          <w:szCs w:val="24"/>
        </w:rPr>
        <w:t>.</w:t>
      </w:r>
    </w:p>
    <w:p w14:paraId="3EC0C9AE" w14:textId="7DE83B5E" w:rsidR="00D84BEB" w:rsidRPr="00D84BEB" w:rsidRDefault="00D84BEB" w:rsidP="002D4855">
      <w:pPr>
        <w:spacing w:before="120" w:after="120"/>
        <w:rPr>
          <w:szCs w:val="24"/>
        </w:rPr>
      </w:pPr>
      <w:r w:rsidRPr="00D84BEB">
        <w:rPr>
          <w:szCs w:val="24"/>
        </w:rPr>
        <w:t>In summary, the schedule of the Determination</w:t>
      </w:r>
      <w:r w:rsidR="00291FFB">
        <w:rPr>
          <w:szCs w:val="24"/>
        </w:rPr>
        <w:t xml:space="preserve"> </w:t>
      </w:r>
      <w:r w:rsidRPr="00D84BEB">
        <w:rPr>
          <w:szCs w:val="24"/>
        </w:rPr>
        <w:t>defines the eligible activities</w:t>
      </w:r>
      <w:r w:rsidR="00291FFB">
        <w:rPr>
          <w:szCs w:val="24"/>
        </w:rPr>
        <w:t xml:space="preserve">, </w:t>
      </w:r>
      <w:r w:rsidRPr="00D84BEB">
        <w:rPr>
          <w:szCs w:val="24"/>
        </w:rPr>
        <w:t>and for each activity:</w:t>
      </w:r>
    </w:p>
    <w:p w14:paraId="0505EEC2" w14:textId="77777777" w:rsidR="00D84BEB" w:rsidRPr="00D84BEB" w:rsidRDefault="00D84BEB" w:rsidP="00D84BEB">
      <w:pPr>
        <w:numPr>
          <w:ilvl w:val="0"/>
          <w:numId w:val="10"/>
        </w:numPr>
        <w:spacing w:before="80"/>
        <w:ind w:left="714" w:hanging="357"/>
        <w:contextualSpacing/>
        <w:rPr>
          <w:szCs w:val="24"/>
        </w:rPr>
      </w:pPr>
      <w:r w:rsidRPr="00D84BEB">
        <w:rPr>
          <w:szCs w:val="24"/>
        </w:rPr>
        <w:t>sets minimum performance specifications;</w:t>
      </w:r>
    </w:p>
    <w:p w14:paraId="4FA53416" w14:textId="77777777" w:rsidR="00D84BEB" w:rsidRPr="00D84BEB" w:rsidRDefault="00D84BEB" w:rsidP="00D84BEB">
      <w:pPr>
        <w:numPr>
          <w:ilvl w:val="0"/>
          <w:numId w:val="10"/>
        </w:numPr>
        <w:spacing w:before="80"/>
        <w:ind w:left="714" w:hanging="357"/>
        <w:contextualSpacing/>
        <w:rPr>
          <w:szCs w:val="24"/>
        </w:rPr>
      </w:pPr>
      <w:r w:rsidRPr="00D84BEB">
        <w:rPr>
          <w:szCs w:val="24"/>
        </w:rPr>
        <w:t xml:space="preserve">outlines installed product requirements; </w:t>
      </w:r>
    </w:p>
    <w:p w14:paraId="0FCBFEE5" w14:textId="77777777" w:rsidR="00D84BEB" w:rsidRPr="00D84BEB" w:rsidRDefault="00D84BEB" w:rsidP="00D84BEB">
      <w:pPr>
        <w:numPr>
          <w:ilvl w:val="0"/>
          <w:numId w:val="10"/>
        </w:numPr>
        <w:spacing w:before="80"/>
        <w:ind w:left="714" w:hanging="357"/>
        <w:contextualSpacing/>
        <w:rPr>
          <w:szCs w:val="24"/>
        </w:rPr>
      </w:pPr>
      <w:r w:rsidRPr="00D84BEB">
        <w:rPr>
          <w:szCs w:val="24"/>
        </w:rPr>
        <w:t xml:space="preserve">specifies when activities are complete; and </w:t>
      </w:r>
    </w:p>
    <w:p w14:paraId="7B0D2212" w14:textId="5F5C302F" w:rsidR="00D84BEB" w:rsidRPr="00F0239B" w:rsidRDefault="00D84BEB" w:rsidP="00F0239B">
      <w:pPr>
        <w:numPr>
          <w:ilvl w:val="0"/>
          <w:numId w:val="10"/>
        </w:numPr>
        <w:spacing w:before="80"/>
        <w:ind w:left="714" w:hanging="357"/>
        <w:contextualSpacing/>
        <w:rPr>
          <w:szCs w:val="24"/>
        </w:rPr>
      </w:pPr>
      <w:r w:rsidRPr="00D84BEB">
        <w:rPr>
          <w:szCs w:val="24"/>
        </w:rPr>
        <w:t xml:space="preserve">sets out how the energy savings factor is calculated for each activity. </w:t>
      </w:r>
    </w:p>
    <w:p w14:paraId="734234DE" w14:textId="6EB16D43" w:rsidR="00D84BEB" w:rsidRPr="00D84BEB" w:rsidRDefault="00D84BEB" w:rsidP="00F0239B">
      <w:pPr>
        <w:spacing w:before="120" w:after="120"/>
        <w:rPr>
          <w:szCs w:val="24"/>
        </w:rPr>
      </w:pPr>
      <w:r w:rsidRPr="00D84BEB">
        <w:rPr>
          <w:szCs w:val="24"/>
        </w:rPr>
        <w:t>The eligible activities described in the Determination are categorised as:</w:t>
      </w:r>
    </w:p>
    <w:p w14:paraId="4DF31299" w14:textId="77777777" w:rsidR="00D84BEB" w:rsidRPr="00D84BEB" w:rsidRDefault="00D84BEB" w:rsidP="00291FFB">
      <w:pPr>
        <w:numPr>
          <w:ilvl w:val="0"/>
          <w:numId w:val="11"/>
        </w:numPr>
        <w:spacing w:before="80"/>
        <w:ind w:left="714" w:hanging="357"/>
        <w:contextualSpacing/>
        <w:rPr>
          <w:iCs/>
          <w:color w:val="000000"/>
          <w:szCs w:val="24"/>
        </w:rPr>
      </w:pPr>
      <w:r w:rsidRPr="00D84BEB">
        <w:rPr>
          <w:noProof/>
          <w:szCs w:val="24"/>
        </w:rPr>
        <w:t>Residential building envelope activities</w:t>
      </w:r>
      <w:r w:rsidRPr="00D84BEB">
        <w:rPr>
          <w:iCs/>
          <w:color w:val="000000"/>
          <w:szCs w:val="24"/>
        </w:rPr>
        <w:t xml:space="preserve"> </w:t>
      </w:r>
    </w:p>
    <w:p w14:paraId="011D4B6E" w14:textId="77777777" w:rsidR="00D84BEB" w:rsidRPr="00D84BEB" w:rsidRDefault="00D84BEB">
      <w:pPr>
        <w:numPr>
          <w:ilvl w:val="0"/>
          <w:numId w:val="11"/>
        </w:numPr>
        <w:spacing w:before="80"/>
        <w:ind w:left="714" w:hanging="357"/>
        <w:contextualSpacing/>
        <w:rPr>
          <w:iCs/>
          <w:color w:val="000000"/>
          <w:szCs w:val="24"/>
        </w:rPr>
      </w:pPr>
      <w:r w:rsidRPr="00D84BEB">
        <w:rPr>
          <w:noProof/>
          <w:szCs w:val="24"/>
        </w:rPr>
        <w:t>Space heating and cooling activities</w:t>
      </w:r>
    </w:p>
    <w:p w14:paraId="5BE37840" w14:textId="77777777" w:rsidR="00D84BEB" w:rsidRPr="00D84BEB" w:rsidRDefault="00D84BEB">
      <w:pPr>
        <w:numPr>
          <w:ilvl w:val="0"/>
          <w:numId w:val="11"/>
        </w:numPr>
        <w:spacing w:before="80"/>
        <w:ind w:left="714" w:hanging="357"/>
        <w:contextualSpacing/>
        <w:rPr>
          <w:iCs/>
          <w:color w:val="000000"/>
          <w:szCs w:val="24"/>
        </w:rPr>
      </w:pPr>
      <w:r w:rsidRPr="00D84BEB">
        <w:rPr>
          <w:noProof/>
          <w:szCs w:val="24"/>
        </w:rPr>
        <w:t>Hot water service activities</w:t>
      </w:r>
    </w:p>
    <w:p w14:paraId="40891F6B" w14:textId="77777777" w:rsidR="00D84BEB" w:rsidRPr="00D84BEB" w:rsidRDefault="00D84BEB">
      <w:pPr>
        <w:numPr>
          <w:ilvl w:val="0"/>
          <w:numId w:val="11"/>
        </w:numPr>
        <w:spacing w:before="80"/>
        <w:ind w:left="714" w:hanging="357"/>
        <w:contextualSpacing/>
        <w:rPr>
          <w:iCs/>
          <w:color w:val="000000"/>
          <w:szCs w:val="24"/>
        </w:rPr>
      </w:pPr>
      <w:r w:rsidRPr="00D84BEB">
        <w:rPr>
          <w:noProof/>
          <w:szCs w:val="24"/>
        </w:rPr>
        <w:t>Lighting activities</w:t>
      </w:r>
    </w:p>
    <w:p w14:paraId="6F95182F" w14:textId="2B89BA0C" w:rsidR="00F0239B" w:rsidRDefault="00D84BEB" w:rsidP="00291FFB">
      <w:pPr>
        <w:numPr>
          <w:ilvl w:val="0"/>
          <w:numId w:val="11"/>
        </w:numPr>
        <w:spacing w:before="80" w:after="120"/>
        <w:ind w:left="714" w:hanging="357"/>
        <w:contextualSpacing/>
        <w:rPr>
          <w:noProof/>
          <w:szCs w:val="24"/>
        </w:rPr>
      </w:pPr>
      <w:r w:rsidRPr="00D84BEB">
        <w:rPr>
          <w:noProof/>
          <w:szCs w:val="24"/>
        </w:rPr>
        <w:t>Appliance activities</w:t>
      </w:r>
    </w:p>
    <w:p w14:paraId="5DB31F8C" w14:textId="77777777" w:rsidR="00291FFB" w:rsidRDefault="00291FFB" w:rsidP="002D4855">
      <w:pPr>
        <w:spacing w:before="80" w:after="120"/>
        <w:ind w:left="714"/>
        <w:contextualSpacing/>
        <w:rPr>
          <w:noProof/>
          <w:szCs w:val="24"/>
        </w:rPr>
      </w:pPr>
    </w:p>
    <w:p w14:paraId="79139E75" w14:textId="2F51F88D" w:rsidR="00D84BEB" w:rsidRPr="00D84BEB" w:rsidRDefault="00D84BEB" w:rsidP="00291FFB">
      <w:pPr>
        <w:spacing w:before="200"/>
        <w:rPr>
          <w:iCs/>
          <w:color w:val="000000"/>
          <w:szCs w:val="24"/>
        </w:rPr>
      </w:pPr>
      <w:r w:rsidRPr="00D84BEB">
        <w:rPr>
          <w:b/>
          <w:bCs/>
          <w:iCs/>
          <w:color w:val="000000"/>
          <w:szCs w:val="24"/>
        </w:rPr>
        <w:t>Clause 4</w:t>
      </w:r>
      <w:r w:rsidRPr="00D84BEB">
        <w:rPr>
          <w:iCs/>
          <w:color w:val="000000"/>
          <w:szCs w:val="24"/>
        </w:rPr>
        <w:t xml:space="preserve"> disapplies </w:t>
      </w:r>
      <w:r w:rsidR="00681BAF">
        <w:rPr>
          <w:color w:val="000000"/>
          <w:szCs w:val="24"/>
          <w:lang w:eastAsia="en-AU"/>
        </w:rPr>
        <w:t>t</w:t>
      </w:r>
      <w:r w:rsidRPr="00681BAF">
        <w:rPr>
          <w:color w:val="000000"/>
          <w:szCs w:val="24"/>
          <w:lang w:eastAsia="en-AU"/>
        </w:rPr>
        <w:t>he</w:t>
      </w:r>
      <w:r w:rsidRPr="00D84BEB">
        <w:rPr>
          <w:i/>
          <w:iCs/>
          <w:color w:val="000000"/>
          <w:szCs w:val="24"/>
          <w:lang w:eastAsia="en-AU"/>
        </w:rPr>
        <w:t xml:space="preserve"> Legislation Act 2001, </w:t>
      </w:r>
      <w:r w:rsidRPr="00D84BEB">
        <w:rPr>
          <w:color w:val="000000"/>
          <w:szCs w:val="24"/>
          <w:lang w:eastAsia="en-AU"/>
        </w:rPr>
        <w:t xml:space="preserve">section 47 (5) and (6). </w:t>
      </w:r>
      <w:r w:rsidR="00A42521" w:rsidRPr="00D84BEB">
        <w:rPr>
          <w:iCs/>
          <w:color w:val="000000"/>
          <w:szCs w:val="24"/>
        </w:rPr>
        <w:t>Th</w:t>
      </w:r>
      <w:r w:rsidR="00A42521">
        <w:rPr>
          <w:iCs/>
          <w:color w:val="000000"/>
          <w:szCs w:val="24"/>
        </w:rPr>
        <w:t>is</w:t>
      </w:r>
      <w:r w:rsidR="00A42521" w:rsidRPr="00D84BEB">
        <w:rPr>
          <w:iCs/>
          <w:color w:val="000000"/>
          <w:szCs w:val="24"/>
        </w:rPr>
        <w:t xml:space="preserve"> </w:t>
      </w:r>
      <w:r w:rsidRPr="00D84BEB">
        <w:rPr>
          <w:iCs/>
          <w:color w:val="000000"/>
          <w:szCs w:val="24"/>
        </w:rPr>
        <w:t xml:space="preserve">section </w:t>
      </w:r>
      <w:r w:rsidR="00A42521">
        <w:rPr>
          <w:iCs/>
          <w:color w:val="000000"/>
          <w:szCs w:val="24"/>
        </w:rPr>
        <w:t>is</w:t>
      </w:r>
      <w:r w:rsidR="00A42521" w:rsidRPr="00D84BEB">
        <w:rPr>
          <w:iCs/>
          <w:color w:val="000000"/>
          <w:szCs w:val="24"/>
        </w:rPr>
        <w:t xml:space="preserve"> </w:t>
      </w:r>
      <w:r w:rsidRPr="00D84BEB">
        <w:rPr>
          <w:iCs/>
          <w:color w:val="000000"/>
          <w:szCs w:val="24"/>
        </w:rPr>
        <w:t xml:space="preserve">disapplied because </w:t>
      </w:r>
      <w:r w:rsidR="00A42521">
        <w:rPr>
          <w:iCs/>
          <w:color w:val="000000"/>
          <w:szCs w:val="24"/>
        </w:rPr>
        <w:t>it</w:t>
      </w:r>
      <w:r w:rsidR="00A42521" w:rsidRPr="00D84BEB">
        <w:rPr>
          <w:iCs/>
          <w:color w:val="000000"/>
          <w:szCs w:val="24"/>
        </w:rPr>
        <w:t xml:space="preserve"> </w:t>
      </w:r>
      <w:r w:rsidRPr="00D84BEB">
        <w:rPr>
          <w:iCs/>
          <w:color w:val="000000"/>
          <w:szCs w:val="24"/>
        </w:rPr>
        <w:t>stipulate</w:t>
      </w:r>
      <w:r w:rsidR="00A42521">
        <w:rPr>
          <w:iCs/>
          <w:color w:val="000000"/>
          <w:szCs w:val="24"/>
        </w:rPr>
        <w:t>s</w:t>
      </w:r>
      <w:r w:rsidRPr="00D84BEB">
        <w:rPr>
          <w:iCs/>
          <w:color w:val="000000"/>
          <w:szCs w:val="24"/>
        </w:rPr>
        <w:t xml:space="preserve"> that any external text which is to be applied as law in the ACT needs to be republished as a notifiable instrument. It is not possible to republish text contained in Australian Standards documents as they are protected by copyright. It is not practical to republish information in the National Construction Code as it contains over 400 pages of information across 4 volumes. </w:t>
      </w:r>
    </w:p>
    <w:p w14:paraId="425194F3" w14:textId="7026CBF4" w:rsidR="00D84BEB" w:rsidRPr="00D84BEB" w:rsidRDefault="00D84BEB" w:rsidP="00E529A0">
      <w:pPr>
        <w:spacing w:before="200" w:after="60"/>
        <w:rPr>
          <w:szCs w:val="24"/>
        </w:rPr>
      </w:pPr>
      <w:r w:rsidRPr="00D84BEB">
        <w:rPr>
          <w:b/>
          <w:bCs/>
          <w:szCs w:val="24"/>
        </w:rPr>
        <w:t xml:space="preserve">Clause </w:t>
      </w:r>
      <w:r w:rsidR="00507065">
        <w:rPr>
          <w:b/>
          <w:bCs/>
          <w:szCs w:val="24"/>
        </w:rPr>
        <w:t>5</w:t>
      </w:r>
      <w:r w:rsidRPr="00D84BEB">
        <w:rPr>
          <w:szCs w:val="24"/>
        </w:rPr>
        <w:t xml:space="preserve"> revokes the </w:t>
      </w:r>
      <w:r w:rsidR="00507065" w:rsidRPr="002C5217">
        <w:rPr>
          <w:i/>
          <w:color w:val="000000"/>
          <w:szCs w:val="24"/>
        </w:rPr>
        <w:t>Energy Efficiency (Cost of Living) Improvement (Eligible Activities) Determination 202</w:t>
      </w:r>
      <w:r w:rsidR="005A2970">
        <w:rPr>
          <w:i/>
          <w:color w:val="000000"/>
          <w:szCs w:val="24"/>
        </w:rPr>
        <w:t>2</w:t>
      </w:r>
      <w:r w:rsidR="0009107D">
        <w:rPr>
          <w:i/>
          <w:color w:val="000000"/>
          <w:szCs w:val="24"/>
        </w:rPr>
        <w:t xml:space="preserve"> (No 2)</w:t>
      </w:r>
      <w:r w:rsidR="00507065" w:rsidRPr="00E970A1">
        <w:rPr>
          <w:iCs/>
          <w:color w:val="000000"/>
          <w:szCs w:val="24"/>
        </w:rPr>
        <w:t xml:space="preserve"> (</w:t>
      </w:r>
      <w:r w:rsidR="00507065">
        <w:rPr>
          <w:iCs/>
          <w:color w:val="000000"/>
          <w:szCs w:val="24"/>
        </w:rPr>
        <w:t>DI202</w:t>
      </w:r>
      <w:r w:rsidR="00B949FE">
        <w:rPr>
          <w:iCs/>
          <w:color w:val="000000"/>
          <w:szCs w:val="24"/>
        </w:rPr>
        <w:t>2</w:t>
      </w:r>
      <w:r w:rsidR="00507065">
        <w:rPr>
          <w:iCs/>
          <w:color w:val="000000"/>
          <w:szCs w:val="24"/>
        </w:rPr>
        <w:t>-</w:t>
      </w:r>
      <w:r w:rsidR="0009107D">
        <w:rPr>
          <w:iCs/>
          <w:color w:val="000000"/>
          <w:szCs w:val="24"/>
        </w:rPr>
        <w:t>244</w:t>
      </w:r>
      <w:r w:rsidR="00507065">
        <w:rPr>
          <w:iCs/>
          <w:color w:val="000000"/>
          <w:szCs w:val="24"/>
        </w:rPr>
        <w:t>)</w:t>
      </w:r>
      <w:r w:rsidRPr="00D84BEB">
        <w:rPr>
          <w:szCs w:val="24"/>
        </w:rPr>
        <w:t xml:space="preserve">. </w:t>
      </w:r>
    </w:p>
    <w:p w14:paraId="5B0D256B" w14:textId="77777777" w:rsidR="00C17FAB" w:rsidRDefault="00C17FAB"/>
    <w:sectPr w:rsidR="00C17FAB"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C51D" w14:textId="77777777" w:rsidR="00175018" w:rsidRDefault="00175018" w:rsidP="00C17FAB">
      <w:r>
        <w:separator/>
      </w:r>
    </w:p>
  </w:endnote>
  <w:endnote w:type="continuationSeparator" w:id="0">
    <w:p w14:paraId="24FE5722" w14:textId="77777777" w:rsidR="00175018" w:rsidRDefault="0017501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1C64" w14:textId="77777777" w:rsidR="006A39E7" w:rsidRDefault="006A3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9042" w14:textId="330946A6" w:rsidR="00DA3B00" w:rsidRPr="006A39E7" w:rsidRDefault="006A39E7" w:rsidP="006A39E7">
    <w:pPr>
      <w:pStyle w:val="Footer"/>
      <w:jc w:val="center"/>
      <w:rPr>
        <w:rFonts w:cs="Arial"/>
        <w:sz w:val="14"/>
      </w:rPr>
    </w:pPr>
    <w:r w:rsidRPr="006A39E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F297" w14:textId="77777777" w:rsidR="006A39E7" w:rsidRDefault="006A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057B" w14:textId="77777777" w:rsidR="00175018" w:rsidRDefault="00175018" w:rsidP="00C17FAB">
      <w:r>
        <w:separator/>
      </w:r>
    </w:p>
  </w:footnote>
  <w:footnote w:type="continuationSeparator" w:id="0">
    <w:p w14:paraId="77BB5CE7" w14:textId="77777777" w:rsidR="00175018" w:rsidRDefault="0017501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A362" w14:textId="77777777" w:rsidR="006A39E7" w:rsidRDefault="006A3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D9C1" w14:textId="77777777" w:rsidR="006A39E7" w:rsidRDefault="006A3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D7E1" w14:textId="77777777" w:rsidR="006A39E7" w:rsidRDefault="006A3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A4065B"/>
    <w:multiLevelType w:val="hybridMultilevel"/>
    <w:tmpl w:val="55E0D37E"/>
    <w:lvl w:ilvl="0" w:tplc="3E640176">
      <w:start w:val="14"/>
      <w:numFmt w:val="bullet"/>
      <w:lvlText w:val="-"/>
      <w:lvlJc w:val="left"/>
      <w:pPr>
        <w:ind w:left="360" w:hanging="360"/>
      </w:pPr>
      <w:rPr>
        <w:rFonts w:ascii="Arial" w:eastAsia="SimSu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4E2635"/>
    <w:multiLevelType w:val="hybridMultilevel"/>
    <w:tmpl w:val="DB248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9118D2"/>
    <w:multiLevelType w:val="hybridMultilevel"/>
    <w:tmpl w:val="2F785D8C"/>
    <w:lvl w:ilvl="0" w:tplc="D2F238D8">
      <w:start w:val="14"/>
      <w:numFmt w:val="bullet"/>
      <w:lvlText w:val="-"/>
      <w:lvlJc w:val="left"/>
      <w:pPr>
        <w:ind w:left="1800" w:hanging="360"/>
      </w:pPr>
      <w:rPr>
        <w:rFonts w:ascii="Arial" w:eastAsia="SimSu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66E4D16"/>
    <w:multiLevelType w:val="hybridMultilevel"/>
    <w:tmpl w:val="EF06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C8B5584"/>
    <w:multiLevelType w:val="hybridMultilevel"/>
    <w:tmpl w:val="7C52EFF4"/>
    <w:lvl w:ilvl="0" w:tplc="9F26130E">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8620E4D"/>
    <w:multiLevelType w:val="hybridMultilevel"/>
    <w:tmpl w:val="A48E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DC5FAA"/>
    <w:multiLevelType w:val="hybridMultilevel"/>
    <w:tmpl w:val="7D00D4EE"/>
    <w:lvl w:ilvl="0" w:tplc="41C448B2">
      <w:start w:val="1"/>
      <w:numFmt w:val="lowerRoman"/>
      <w:pStyle w:val="Subdetailssecondindent"/>
      <w:lvlText w:val="%1."/>
      <w:lvlJc w:val="right"/>
      <w:pPr>
        <w:ind w:left="1854" w:hanging="360"/>
      </w:pPr>
      <w:rPr>
        <w:b w:val="0"/>
        <w:bCs/>
        <w:i w:val="0"/>
        <w:iCs/>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605441AA"/>
    <w:multiLevelType w:val="hybridMultilevel"/>
    <w:tmpl w:val="80F83DB0"/>
    <w:lvl w:ilvl="0" w:tplc="A582DA5C">
      <w:start w:val="1"/>
      <w:numFmt w:val="lowerLetter"/>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9910371"/>
    <w:multiLevelType w:val="hybridMultilevel"/>
    <w:tmpl w:val="5E3A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032462547">
    <w:abstractNumId w:val="3"/>
  </w:num>
  <w:num w:numId="2" w16cid:durableId="602962292">
    <w:abstractNumId w:val="0"/>
  </w:num>
  <w:num w:numId="3" w16cid:durableId="940994840">
    <w:abstractNumId w:val="4"/>
  </w:num>
  <w:num w:numId="4" w16cid:durableId="33624401">
    <w:abstractNumId w:val="10"/>
  </w:num>
  <w:num w:numId="5" w16cid:durableId="1198423940">
    <w:abstractNumId w:val="15"/>
  </w:num>
  <w:num w:numId="6" w16cid:durableId="1562986741">
    <w:abstractNumId w:val="2"/>
  </w:num>
  <w:num w:numId="7" w16cid:durableId="92360089">
    <w:abstractNumId w:val="7"/>
  </w:num>
  <w:num w:numId="8" w16cid:durableId="1154493665">
    <w:abstractNumId w:val="8"/>
  </w:num>
  <w:num w:numId="9" w16cid:durableId="1434862274">
    <w:abstractNumId w:val="17"/>
  </w:num>
  <w:num w:numId="10" w16cid:durableId="1173957633">
    <w:abstractNumId w:val="14"/>
  </w:num>
  <w:num w:numId="11" w16cid:durableId="161896239">
    <w:abstractNumId w:val="5"/>
  </w:num>
  <w:num w:numId="12" w16cid:durableId="1109279604">
    <w:abstractNumId w:val="16"/>
  </w:num>
  <w:num w:numId="13" w16cid:durableId="1767731610">
    <w:abstractNumId w:val="9"/>
  </w:num>
  <w:num w:numId="14" w16cid:durableId="176503397">
    <w:abstractNumId w:val="13"/>
    <w:lvlOverride w:ilvl="0">
      <w:startOverride w:val="1"/>
    </w:lvlOverride>
  </w:num>
  <w:num w:numId="15" w16cid:durableId="1320040683">
    <w:abstractNumId w:val="13"/>
  </w:num>
  <w:num w:numId="16" w16cid:durableId="232812960">
    <w:abstractNumId w:val="1"/>
  </w:num>
  <w:num w:numId="17" w16cid:durableId="585190070">
    <w:abstractNumId w:val="13"/>
    <w:lvlOverride w:ilvl="0">
      <w:startOverride w:val="1"/>
    </w:lvlOverride>
  </w:num>
  <w:num w:numId="18" w16cid:durableId="725565991">
    <w:abstractNumId w:val="13"/>
    <w:lvlOverride w:ilvl="0">
      <w:startOverride w:val="1"/>
    </w:lvlOverride>
  </w:num>
  <w:num w:numId="19" w16cid:durableId="860782389">
    <w:abstractNumId w:val="6"/>
  </w:num>
  <w:num w:numId="20" w16cid:durableId="74742740">
    <w:abstractNumId w:val="11"/>
  </w:num>
  <w:num w:numId="21" w16cid:durableId="1640762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DEB"/>
    <w:rsid w:val="00044384"/>
    <w:rsid w:val="0004656E"/>
    <w:rsid w:val="00055369"/>
    <w:rsid w:val="00065D60"/>
    <w:rsid w:val="00081414"/>
    <w:rsid w:val="0008223D"/>
    <w:rsid w:val="0009107D"/>
    <w:rsid w:val="0009624A"/>
    <w:rsid w:val="000B50EC"/>
    <w:rsid w:val="000B5F85"/>
    <w:rsid w:val="000C219E"/>
    <w:rsid w:val="000C2E32"/>
    <w:rsid w:val="00103B66"/>
    <w:rsid w:val="00111131"/>
    <w:rsid w:val="00112AD6"/>
    <w:rsid w:val="00123B9A"/>
    <w:rsid w:val="00175018"/>
    <w:rsid w:val="00187BA9"/>
    <w:rsid w:val="00187C2D"/>
    <w:rsid w:val="001B18F3"/>
    <w:rsid w:val="001B23C5"/>
    <w:rsid w:val="001B41A4"/>
    <w:rsid w:val="001B72A9"/>
    <w:rsid w:val="001E2760"/>
    <w:rsid w:val="001F36A0"/>
    <w:rsid w:val="00207B7D"/>
    <w:rsid w:val="0023064D"/>
    <w:rsid w:val="002379F1"/>
    <w:rsid w:val="00241B6D"/>
    <w:rsid w:val="00286658"/>
    <w:rsid w:val="00291FFB"/>
    <w:rsid w:val="002B712A"/>
    <w:rsid w:val="002D362E"/>
    <w:rsid w:val="002D4855"/>
    <w:rsid w:val="002D7C60"/>
    <w:rsid w:val="002E6C96"/>
    <w:rsid w:val="002E75E9"/>
    <w:rsid w:val="002F300C"/>
    <w:rsid w:val="0031517D"/>
    <w:rsid w:val="00327AB4"/>
    <w:rsid w:val="00342FFA"/>
    <w:rsid w:val="00350FB6"/>
    <w:rsid w:val="0039242F"/>
    <w:rsid w:val="003E1398"/>
    <w:rsid w:val="00405516"/>
    <w:rsid w:val="004214A7"/>
    <w:rsid w:val="00493331"/>
    <w:rsid w:val="004B13C1"/>
    <w:rsid w:val="004B31DE"/>
    <w:rsid w:val="004D7483"/>
    <w:rsid w:val="004E2D23"/>
    <w:rsid w:val="004E4E59"/>
    <w:rsid w:val="004F547A"/>
    <w:rsid w:val="00502492"/>
    <w:rsid w:val="0050282B"/>
    <w:rsid w:val="005055D0"/>
    <w:rsid w:val="00507065"/>
    <w:rsid w:val="00516854"/>
    <w:rsid w:val="00534712"/>
    <w:rsid w:val="005845E7"/>
    <w:rsid w:val="00586F68"/>
    <w:rsid w:val="005A2970"/>
    <w:rsid w:val="005A7F66"/>
    <w:rsid w:val="005C5E1A"/>
    <w:rsid w:val="006026A3"/>
    <w:rsid w:val="006032BA"/>
    <w:rsid w:val="00604A55"/>
    <w:rsid w:val="00606C33"/>
    <w:rsid w:val="006356B0"/>
    <w:rsid w:val="00671F3F"/>
    <w:rsid w:val="006759CA"/>
    <w:rsid w:val="00681BAF"/>
    <w:rsid w:val="00686F94"/>
    <w:rsid w:val="006A39E7"/>
    <w:rsid w:val="006A66F3"/>
    <w:rsid w:val="006B7885"/>
    <w:rsid w:val="006C27A8"/>
    <w:rsid w:val="006E1FCF"/>
    <w:rsid w:val="006F5EE1"/>
    <w:rsid w:val="006F69A9"/>
    <w:rsid w:val="00717376"/>
    <w:rsid w:val="007259E6"/>
    <w:rsid w:val="007346AC"/>
    <w:rsid w:val="0076257F"/>
    <w:rsid w:val="00773119"/>
    <w:rsid w:val="007A3C08"/>
    <w:rsid w:val="007D1AE9"/>
    <w:rsid w:val="007F53AA"/>
    <w:rsid w:val="0081726E"/>
    <w:rsid w:val="00825A94"/>
    <w:rsid w:val="008416BA"/>
    <w:rsid w:val="00886730"/>
    <w:rsid w:val="00892CA2"/>
    <w:rsid w:val="008A1B28"/>
    <w:rsid w:val="008A5978"/>
    <w:rsid w:val="008D3BF0"/>
    <w:rsid w:val="008D4B51"/>
    <w:rsid w:val="00913146"/>
    <w:rsid w:val="009508A5"/>
    <w:rsid w:val="00952AAC"/>
    <w:rsid w:val="00954973"/>
    <w:rsid w:val="009A428D"/>
    <w:rsid w:val="009B4E42"/>
    <w:rsid w:val="009C4DDE"/>
    <w:rsid w:val="009D558F"/>
    <w:rsid w:val="009E74C0"/>
    <w:rsid w:val="009F067D"/>
    <w:rsid w:val="00A124AD"/>
    <w:rsid w:val="00A23B77"/>
    <w:rsid w:val="00A361C7"/>
    <w:rsid w:val="00A42521"/>
    <w:rsid w:val="00A4409E"/>
    <w:rsid w:val="00A51BA5"/>
    <w:rsid w:val="00A813CF"/>
    <w:rsid w:val="00A85649"/>
    <w:rsid w:val="00AA6670"/>
    <w:rsid w:val="00AB2935"/>
    <w:rsid w:val="00AB3B7A"/>
    <w:rsid w:val="00AC5430"/>
    <w:rsid w:val="00AC6106"/>
    <w:rsid w:val="00AD4382"/>
    <w:rsid w:val="00AE370B"/>
    <w:rsid w:val="00AE48FD"/>
    <w:rsid w:val="00AF2DE3"/>
    <w:rsid w:val="00B15920"/>
    <w:rsid w:val="00B949FE"/>
    <w:rsid w:val="00BB6075"/>
    <w:rsid w:val="00BC271C"/>
    <w:rsid w:val="00BD337F"/>
    <w:rsid w:val="00C10948"/>
    <w:rsid w:val="00C17956"/>
    <w:rsid w:val="00C17FAB"/>
    <w:rsid w:val="00C36185"/>
    <w:rsid w:val="00C6612A"/>
    <w:rsid w:val="00C9593E"/>
    <w:rsid w:val="00CA0187"/>
    <w:rsid w:val="00CB08D5"/>
    <w:rsid w:val="00CB7304"/>
    <w:rsid w:val="00CE29AE"/>
    <w:rsid w:val="00CE599C"/>
    <w:rsid w:val="00D152C4"/>
    <w:rsid w:val="00D6193E"/>
    <w:rsid w:val="00D65AE1"/>
    <w:rsid w:val="00D84BEB"/>
    <w:rsid w:val="00DA1438"/>
    <w:rsid w:val="00DA3B00"/>
    <w:rsid w:val="00DD6B0E"/>
    <w:rsid w:val="00DE0EDB"/>
    <w:rsid w:val="00E03313"/>
    <w:rsid w:val="00E30DF6"/>
    <w:rsid w:val="00E529A0"/>
    <w:rsid w:val="00E64A30"/>
    <w:rsid w:val="00EA2E5B"/>
    <w:rsid w:val="00EA5B88"/>
    <w:rsid w:val="00EB6346"/>
    <w:rsid w:val="00EC760F"/>
    <w:rsid w:val="00F0218F"/>
    <w:rsid w:val="00F0239B"/>
    <w:rsid w:val="00F1191E"/>
    <w:rsid w:val="00F6299C"/>
    <w:rsid w:val="00F75708"/>
    <w:rsid w:val="00F75A26"/>
    <w:rsid w:val="00F766C7"/>
    <w:rsid w:val="00F851CD"/>
    <w:rsid w:val="00F9114D"/>
    <w:rsid w:val="00FA5925"/>
    <w:rsid w:val="00FD5F35"/>
    <w:rsid w:val="00FD75CE"/>
    <w:rsid w:val="00FF6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9CDF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table" w:styleId="TableGrid">
    <w:name w:val="Table Grid"/>
    <w:basedOn w:val="TableNormal"/>
    <w:uiPriority w:val="39"/>
    <w:rsid w:val="00D84B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EEIS">
    <w:name w:val="Body text EEIS"/>
    <w:basedOn w:val="Normal"/>
    <w:qFormat/>
    <w:rsid w:val="006E1FCF"/>
    <w:pPr>
      <w:spacing w:before="120" w:after="120" w:line="264" w:lineRule="auto"/>
      <w:ind w:left="567"/>
    </w:pPr>
    <w:rPr>
      <w:rFonts w:ascii="Arial" w:eastAsia="SimSun" w:hAnsi="Arial" w:cs="Arial"/>
      <w:sz w:val="20"/>
      <w:lang w:eastAsia="zh-CN"/>
    </w:rPr>
  </w:style>
  <w:style w:type="character" w:styleId="CommentReference">
    <w:name w:val="annotation reference"/>
    <w:basedOn w:val="DefaultParagraphFont"/>
    <w:uiPriority w:val="99"/>
    <w:semiHidden/>
    <w:unhideWhenUsed/>
    <w:rsid w:val="007259E6"/>
    <w:rPr>
      <w:sz w:val="16"/>
      <w:szCs w:val="16"/>
    </w:rPr>
  </w:style>
  <w:style w:type="paragraph" w:styleId="CommentText">
    <w:name w:val="annotation text"/>
    <w:basedOn w:val="Normal"/>
    <w:link w:val="CommentTextChar"/>
    <w:uiPriority w:val="99"/>
    <w:unhideWhenUsed/>
    <w:rsid w:val="007259E6"/>
    <w:rPr>
      <w:sz w:val="20"/>
    </w:rPr>
  </w:style>
  <w:style w:type="character" w:customStyle="1" w:styleId="CommentTextChar">
    <w:name w:val="Comment Text Char"/>
    <w:basedOn w:val="DefaultParagraphFont"/>
    <w:link w:val="CommentText"/>
    <w:uiPriority w:val="99"/>
    <w:rsid w:val="007259E6"/>
    <w:rPr>
      <w:lang w:eastAsia="en-US"/>
    </w:rPr>
  </w:style>
  <w:style w:type="paragraph" w:styleId="CommentSubject">
    <w:name w:val="annotation subject"/>
    <w:basedOn w:val="CommentText"/>
    <w:next w:val="CommentText"/>
    <w:link w:val="CommentSubjectChar"/>
    <w:uiPriority w:val="99"/>
    <w:semiHidden/>
    <w:unhideWhenUsed/>
    <w:rsid w:val="007259E6"/>
    <w:rPr>
      <w:b/>
      <w:bCs/>
    </w:rPr>
  </w:style>
  <w:style w:type="character" w:customStyle="1" w:styleId="CommentSubjectChar">
    <w:name w:val="Comment Subject Char"/>
    <w:basedOn w:val="CommentTextChar"/>
    <w:link w:val="CommentSubject"/>
    <w:uiPriority w:val="99"/>
    <w:semiHidden/>
    <w:rsid w:val="007259E6"/>
    <w:rPr>
      <w:b/>
      <w:bCs/>
      <w:lang w:eastAsia="en-US"/>
    </w:rPr>
  </w:style>
  <w:style w:type="paragraph" w:customStyle="1" w:styleId="Subdetailssecondindent">
    <w:name w:val="Subdetails second indent"/>
    <w:basedOn w:val="Normal"/>
    <w:qFormat/>
    <w:rsid w:val="007F53AA"/>
    <w:pPr>
      <w:numPr>
        <w:numId w:val="14"/>
      </w:numPr>
      <w:spacing w:before="120" w:after="120" w:line="264" w:lineRule="auto"/>
    </w:pPr>
    <w:rPr>
      <w:rFonts w:ascii="Arial" w:eastAsia="SimSun" w:hAnsi="Arial" w:cs="Arial"/>
      <w:sz w:val="20"/>
      <w:lang w:eastAsia="zh-CN"/>
    </w:rPr>
  </w:style>
  <w:style w:type="paragraph" w:styleId="NormalWeb">
    <w:name w:val="Normal (Web)"/>
    <w:basedOn w:val="Normal"/>
    <w:uiPriority w:val="99"/>
    <w:semiHidden/>
    <w:unhideWhenUsed/>
    <w:rsid w:val="002B712A"/>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EA5B88"/>
    <w:rPr>
      <w:color w:val="605E5C"/>
      <w:shd w:val="clear" w:color="auto" w:fill="E1DFDD"/>
    </w:rPr>
  </w:style>
  <w:style w:type="paragraph" w:styleId="Revision">
    <w:name w:val="Revision"/>
    <w:hidden/>
    <w:uiPriority w:val="99"/>
    <w:semiHidden/>
    <w:rsid w:val="004B13C1"/>
    <w:rPr>
      <w:sz w:val="24"/>
      <w:lang w:eastAsia="en-US"/>
    </w:rPr>
  </w:style>
  <w:style w:type="character" w:customStyle="1" w:styleId="cf01">
    <w:name w:val="cf01"/>
    <w:basedOn w:val="DefaultParagraphFont"/>
    <w:rsid w:val="001B18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6512">
      <w:bodyDiv w:val="1"/>
      <w:marLeft w:val="0"/>
      <w:marRight w:val="0"/>
      <w:marTop w:val="0"/>
      <w:marBottom w:val="0"/>
      <w:divBdr>
        <w:top w:val="none" w:sz="0" w:space="0" w:color="auto"/>
        <w:left w:val="none" w:sz="0" w:space="0" w:color="auto"/>
        <w:bottom w:val="none" w:sz="0" w:space="0" w:color="auto"/>
        <w:right w:val="none" w:sz="0" w:space="0" w:color="auto"/>
      </w:divBdr>
    </w:div>
    <w:div w:id="19691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A43739262</value>
    </field>
    <field name="Objective-Title">
      <value order="0">Att C - ES - EEIS Eligible Activities Determination</value>
    </field>
    <field name="Objective-Description">
      <value order="0"/>
    </field>
    <field name="Objective-CreationStamp">
      <value order="0">2023-09-27T02:49:38Z</value>
    </field>
    <field name="Objective-IsApproved">
      <value order="0">false</value>
    </field>
    <field name="Objective-IsPublished">
      <value order="0">true</value>
    </field>
    <field name="Objective-DatePublished">
      <value order="0">2023-12-11T00:28:01Z</value>
    </field>
    <field name="Objective-ModificationStamp">
      <value order="0">2023-12-11T00:28:01Z</value>
    </field>
    <field name="Objective-Owner">
      <value order="0">Damien Hillcrest</value>
    </field>
    <field name="Objective-Path">
      <value order="0">Whole of ACT Government:EPSDD - Environment Planning and Sustainable Development Directorate:07. Ministerial, Cabinet and Government Relations:06. Ministerials:2023 - Ministerial and Chief Ministerial Briefs / Correspondence:Climate Change &amp; Energy:23/65810 Ministerial-Information  Brief - Rattenbury -Update to Energy Efficiency Improvement Scheme Eligible Activities Determination</value>
    </field>
    <field name="Objective-Parent">
      <value order="0">23/65810 Ministerial-Information  Brief - Rattenbury -Update to Energy Efficiency Improvement Scheme Eligible Activities Determination</value>
    </field>
    <field name="Objective-State">
      <value order="0">Published</value>
    </field>
    <field name="Objective-VersionId">
      <value order="0">vA56065098</value>
    </field>
    <field name="Objective-Version">
      <value order="0">8.0</value>
    </field>
    <field name="Objective-VersionNumber">
      <value order="0">23</value>
    </field>
    <field name="Objective-VersionComment">
      <value order="0"/>
    </field>
    <field name="Objective-FileNumber">
      <value order="0">1-2023/65810</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39D8B47-2F29-446B-8914-02E3B81E502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4691</Characters>
  <Application>Microsoft Office Word</Application>
  <DocSecurity>0</DocSecurity>
  <Lines>130</Lines>
  <Paragraphs>73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2023-12-11T00:29:00Z</dcterms:created>
  <dcterms:modified xsi:type="dcterms:W3CDTF">2023-12-11T00:29:00Z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A43739262</vt:lpwstr>
  </property>
  <property fmtid="{D5CDD505-2E9C-101B-9397-08002B2CF9AE}" pid="4" name="Objective-Title">
    <vt:lpwstr>Att C - ES - EEIS Eligible Activities Determination</vt:lpwstr>
  </property>
  <property fmtid="{D5CDD505-2E9C-101B-9397-08002B2CF9AE}" pid="5" name="Objective-Comment">
    <vt:lpwstr/>
  </property>
  <property fmtid="{D5CDD505-2E9C-101B-9397-08002B2CF9AE}" pid="6" name="Objective-CreationStamp">
    <vt:filetime>2023-09-27T02:49:38Z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2023-12-11T00:28:01Z</vt:filetime>
  </property>
  <property fmtid="{D5CDD505-2E9C-101B-9397-08002B2CF9AE}" pid="10" name="Objective-ModificationStamp">
    <vt:filetime>2023-12-11T00:28:01Z</vt:filetime>
  </property>
  <property fmtid="{D5CDD505-2E9C-101B-9397-08002B2CF9AE}" pid="11" name="Objective-Owner">
    <vt:lpwstr>Damien Hillcrest</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Correspondence:Climate Change &amp; Energy:23/65810 Ministerial-Information  Brief - Rattenbury -Update to Energy Efficiency Improvement Scheme Eligible Activities Determination:</vt:lpwstr>
  </property>
  <property fmtid="{D5CDD505-2E9C-101B-9397-08002B2CF9AE}" pid="13" name="Objective-Parent">
    <vt:lpwstr>23/65810 Ministerial-Information  Brief - Rattenbury -Update to Energy Efficiency Improvement Scheme Eligible Activities Determination</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23</vt:r8>
  </property>
  <property fmtid="{D5CDD505-2E9C-101B-9397-08002B2CF9AE}" pid="17" name="Objective-VersionComment">
    <vt:lpwstr/>
  </property>
  <property fmtid="{D5CDD505-2E9C-101B-9397-08002B2CF9AE}" pid="18" name="Objective-FileNumber">
    <vt:lpwstr>1-2023/65810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vA56065098</vt:lpwstr>
  </property>
</Properties>
</file>