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11E4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BF4113" w14:textId="4BCCD112" w:rsidR="00FD4F32" w:rsidRDefault="00FD4F32" w:rsidP="00FD4F32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Terrorism (Extraordinary Temporary Powers) Public Interest Monitor Panel Appointment 202</w:t>
      </w:r>
      <w:r w:rsidR="0051479C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3</w:t>
      </w: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 xml:space="preserve"> (No </w:t>
      </w:r>
      <w:r w:rsidR="004C7FB7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2</w:t>
      </w: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)</w:t>
      </w:r>
    </w:p>
    <w:p w14:paraId="692BDD5E" w14:textId="3D2B5D45" w:rsidR="00C17FAB" w:rsidRPr="006151E7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6151E7">
        <w:rPr>
          <w:rFonts w:ascii="Arial" w:hAnsi="Arial" w:cs="Arial"/>
          <w:b/>
          <w:bCs/>
        </w:rPr>
        <w:t xml:space="preserve">instrument </w:t>
      </w:r>
      <w:r w:rsidR="0051479C" w:rsidRPr="006151E7">
        <w:rPr>
          <w:rFonts w:ascii="Arial" w:hAnsi="Arial" w:cs="Arial"/>
          <w:b/>
          <w:bCs/>
        </w:rPr>
        <w:t>DI</w:t>
      </w:r>
      <w:r w:rsidR="006151E7" w:rsidRPr="006151E7">
        <w:rPr>
          <w:rFonts w:ascii="Arial" w:hAnsi="Arial" w:cs="Arial"/>
          <w:b/>
          <w:bCs/>
          <w:iCs/>
        </w:rPr>
        <w:t>2023</w:t>
      </w:r>
      <w:r w:rsidR="0051479C" w:rsidRPr="006151E7">
        <w:rPr>
          <w:rFonts w:ascii="Arial" w:hAnsi="Arial" w:cs="Arial"/>
          <w:b/>
          <w:bCs/>
        </w:rPr>
        <w:t>–</w:t>
      </w:r>
      <w:r w:rsidR="00951756">
        <w:rPr>
          <w:rFonts w:ascii="Arial" w:hAnsi="Arial" w:cs="Arial"/>
          <w:b/>
          <w:bCs/>
        </w:rPr>
        <w:t>301</w:t>
      </w:r>
    </w:p>
    <w:p w14:paraId="52D857EF" w14:textId="77777777" w:rsidR="00C17FAB" w:rsidRDefault="00C17FAB" w:rsidP="00DA3B00">
      <w:pPr>
        <w:pStyle w:val="madeunder"/>
        <w:spacing w:before="300" w:after="0"/>
      </w:pPr>
      <w:r w:rsidRPr="006151E7">
        <w:t>made under the</w:t>
      </w:r>
      <w:r>
        <w:t xml:space="preserve">  </w:t>
      </w:r>
    </w:p>
    <w:p w14:paraId="50B23E2B" w14:textId="7266B18B" w:rsidR="00C17FAB" w:rsidRDefault="00FD4F32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Terrorism (Extraordinary Temporary Powers) Act 2006, section 62 (Public Interest Monitor Panel)</w:t>
      </w:r>
    </w:p>
    <w:p w14:paraId="6107E95C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790644A" w14:textId="77777777" w:rsidR="00C17FAB" w:rsidRDefault="00C17FAB">
      <w:pPr>
        <w:pStyle w:val="N-line3"/>
        <w:pBdr>
          <w:bottom w:val="none" w:sz="0" w:space="0" w:color="auto"/>
        </w:pBdr>
      </w:pPr>
    </w:p>
    <w:p w14:paraId="496413A5" w14:textId="38A07751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p w14:paraId="05CBA570" w14:textId="1D6F07D9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The </w:t>
      </w:r>
      <w:r w:rsidRPr="00D63A4A">
        <w:rPr>
          <w:i/>
          <w:iCs/>
          <w:color w:val="000000"/>
          <w:szCs w:val="24"/>
          <w:lang w:eastAsia="en-AU"/>
        </w:rPr>
        <w:t>Terrorism (Extraordinary Temporary Powers) Act 2006</w:t>
      </w:r>
      <w:r w:rsidRPr="00D63A4A">
        <w:rPr>
          <w:color w:val="000000"/>
          <w:szCs w:val="24"/>
          <w:lang w:eastAsia="en-AU"/>
        </w:rPr>
        <w:t xml:space="preserve"> (the Act), requires the appointment of people to a Public Interest Monitor Panel (PIM Panel). The PIM Panel member functions are detailed under </w:t>
      </w:r>
      <w:r w:rsidR="00173B45">
        <w:rPr>
          <w:color w:val="000000"/>
          <w:szCs w:val="24"/>
          <w:lang w:eastAsia="en-AU"/>
        </w:rPr>
        <w:t>sections 14 and</w:t>
      </w:r>
      <w:r w:rsidRPr="00D63A4A">
        <w:rPr>
          <w:color w:val="000000"/>
          <w:szCs w:val="24"/>
          <w:lang w:eastAsia="en-AU"/>
        </w:rPr>
        <w:t xml:space="preserve"> 56 of the Act.</w:t>
      </w:r>
    </w:p>
    <w:p w14:paraId="709663CB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547F6618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Under section 62 of the Act, the Minister is required to appoint people to a PIM Panel. The Minister must not appoint a person unless satisfied that the person:</w:t>
      </w:r>
    </w:p>
    <w:p w14:paraId="367C9098" w14:textId="77777777" w:rsidR="00D63A4A" w:rsidRPr="00D63A4A" w:rsidRDefault="00D63A4A" w:rsidP="00D63A4A">
      <w:pPr>
        <w:numPr>
          <w:ilvl w:val="0"/>
          <w:numId w:val="10"/>
        </w:numPr>
        <w:shd w:val="clear" w:color="auto" w:fill="FFFFFF"/>
        <w:ind w:left="1347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is a lawyer; and</w:t>
      </w:r>
    </w:p>
    <w:p w14:paraId="63C3E3F2" w14:textId="77777777" w:rsidR="00D63A4A" w:rsidRPr="00D63A4A" w:rsidRDefault="00D63A4A" w:rsidP="00D63A4A">
      <w:pPr>
        <w:numPr>
          <w:ilvl w:val="0"/>
          <w:numId w:val="10"/>
        </w:numPr>
        <w:shd w:val="clear" w:color="auto" w:fill="FFFFFF"/>
        <w:ind w:left="1360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with qualities and experience making them suitable to be a member; and</w:t>
      </w:r>
    </w:p>
    <w:p w14:paraId="6D0C94C0" w14:textId="77777777" w:rsidR="00D63A4A" w:rsidRPr="00D63A4A" w:rsidRDefault="00D63A4A" w:rsidP="00D63A4A">
      <w:pPr>
        <w:numPr>
          <w:ilvl w:val="0"/>
          <w:numId w:val="10"/>
        </w:numPr>
        <w:shd w:val="clear" w:color="auto" w:fill="FFFFFF"/>
        <w:ind w:left="1347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has an appropriate security clearance.</w:t>
      </w:r>
    </w:p>
    <w:p w14:paraId="16B381CA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7F86D58E" w14:textId="498B7748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 xml:space="preserve">This instrument appoints </w:t>
      </w:r>
      <w:r w:rsidR="003A2C3D">
        <w:rPr>
          <w:color w:val="000000"/>
          <w:szCs w:val="24"/>
          <w:lang w:eastAsia="en-AU"/>
        </w:rPr>
        <w:t>Mr Richard Davies</w:t>
      </w:r>
      <w:r w:rsidR="006F6E54">
        <w:rPr>
          <w:color w:val="000000"/>
          <w:szCs w:val="24"/>
          <w:lang w:eastAsia="en-AU"/>
        </w:rPr>
        <w:t xml:space="preserve"> </w:t>
      </w:r>
      <w:r w:rsidRPr="00D63A4A">
        <w:rPr>
          <w:color w:val="000000"/>
          <w:szCs w:val="24"/>
          <w:lang w:eastAsia="en-AU"/>
        </w:rPr>
        <w:t xml:space="preserve">as a member of the PIM Panel commencing on </w:t>
      </w:r>
      <w:r w:rsidR="006151E7">
        <w:rPr>
          <w:color w:val="000000"/>
          <w:szCs w:val="24"/>
          <w:lang w:eastAsia="en-AU"/>
        </w:rPr>
        <w:t xml:space="preserve">1 </w:t>
      </w:r>
      <w:r w:rsidR="00152252">
        <w:rPr>
          <w:color w:val="000000"/>
          <w:szCs w:val="24"/>
          <w:lang w:eastAsia="en-AU"/>
        </w:rPr>
        <w:t>January</w:t>
      </w:r>
      <w:r w:rsidR="006151E7">
        <w:rPr>
          <w:color w:val="000000"/>
          <w:szCs w:val="24"/>
          <w:lang w:eastAsia="en-AU"/>
        </w:rPr>
        <w:t xml:space="preserve"> 202</w:t>
      </w:r>
      <w:r w:rsidR="00152252">
        <w:rPr>
          <w:color w:val="000000"/>
          <w:szCs w:val="24"/>
          <w:lang w:eastAsia="en-AU"/>
        </w:rPr>
        <w:t>4</w:t>
      </w:r>
      <w:r w:rsidR="00F36CF1">
        <w:rPr>
          <w:color w:val="000000"/>
          <w:szCs w:val="24"/>
          <w:lang w:eastAsia="en-AU"/>
        </w:rPr>
        <w:t xml:space="preserve"> </w:t>
      </w:r>
      <w:r w:rsidRPr="00D63A4A">
        <w:rPr>
          <w:color w:val="000000"/>
          <w:szCs w:val="24"/>
          <w:lang w:eastAsia="en-AU"/>
        </w:rPr>
        <w:t>and ending on</w:t>
      </w:r>
      <w:r w:rsidR="0051479C">
        <w:rPr>
          <w:color w:val="000000"/>
          <w:szCs w:val="24"/>
          <w:lang w:eastAsia="en-AU"/>
        </w:rPr>
        <w:t xml:space="preserve"> </w:t>
      </w:r>
      <w:r w:rsidR="0051479C" w:rsidRPr="0051479C">
        <w:rPr>
          <w:color w:val="000000"/>
          <w:szCs w:val="24"/>
          <w:lang w:eastAsia="en-AU"/>
        </w:rPr>
        <w:t>19 November</w:t>
      </w:r>
      <w:r w:rsidR="00C0077D" w:rsidRPr="0051479C">
        <w:rPr>
          <w:color w:val="000000"/>
          <w:szCs w:val="24"/>
          <w:lang w:eastAsia="en-AU"/>
        </w:rPr>
        <w:t xml:space="preserve"> </w:t>
      </w:r>
      <w:r w:rsidRPr="0051479C">
        <w:rPr>
          <w:color w:val="000000"/>
          <w:szCs w:val="24"/>
          <w:lang w:eastAsia="en-AU"/>
        </w:rPr>
        <w:t>202</w:t>
      </w:r>
      <w:r w:rsidR="0051479C" w:rsidRPr="0051479C">
        <w:rPr>
          <w:color w:val="000000"/>
          <w:szCs w:val="24"/>
          <w:lang w:eastAsia="en-AU"/>
        </w:rPr>
        <w:t>7</w:t>
      </w:r>
      <w:r w:rsidRPr="00D63A4A">
        <w:rPr>
          <w:color w:val="000000"/>
          <w:szCs w:val="24"/>
          <w:lang w:eastAsia="en-AU"/>
        </w:rPr>
        <w:t>.</w:t>
      </w:r>
    </w:p>
    <w:p w14:paraId="72BBAB1C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24A03B33" w14:textId="73EBA8A0" w:rsidR="00D63A4A" w:rsidRPr="00D63A4A" w:rsidRDefault="003A2C3D" w:rsidP="00D63A4A">
      <w:pPr>
        <w:shd w:val="clear" w:color="auto" w:fill="FFFFFF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Richard Davies</w:t>
      </w:r>
      <w:r w:rsidR="00D63A4A" w:rsidRPr="00D63A4A">
        <w:rPr>
          <w:color w:val="000000"/>
          <w:szCs w:val="24"/>
          <w:lang w:eastAsia="en-AU"/>
        </w:rPr>
        <w:t xml:space="preserve"> is a lawyer, has qualities and experience making h</w:t>
      </w:r>
      <w:r>
        <w:rPr>
          <w:color w:val="000000"/>
          <w:szCs w:val="24"/>
          <w:lang w:eastAsia="en-AU"/>
        </w:rPr>
        <w:t>im</w:t>
      </w:r>
      <w:r w:rsidR="00D63A4A" w:rsidRPr="00D63A4A">
        <w:rPr>
          <w:color w:val="000000"/>
          <w:szCs w:val="24"/>
          <w:lang w:eastAsia="en-AU"/>
        </w:rPr>
        <w:t xml:space="preserve"> suitable to be a member, and has an appropriate security clearance.</w:t>
      </w:r>
    </w:p>
    <w:p w14:paraId="320BC7E7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0900C17D" w14:textId="084F034E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As a</w:t>
      </w:r>
      <w:r w:rsidR="004475A9">
        <w:rPr>
          <w:color w:val="000000"/>
          <w:szCs w:val="24"/>
          <w:lang w:eastAsia="en-AU"/>
        </w:rPr>
        <w:t xml:space="preserve"> former</w:t>
      </w:r>
      <w:r w:rsidRPr="00D63A4A">
        <w:rPr>
          <w:color w:val="000000"/>
          <w:szCs w:val="24"/>
          <w:lang w:eastAsia="en-AU"/>
        </w:rPr>
        <w:t xml:space="preserve"> barrister </w:t>
      </w:r>
      <w:r w:rsidR="004B12A0">
        <w:rPr>
          <w:color w:val="000000"/>
          <w:szCs w:val="24"/>
          <w:lang w:eastAsia="en-AU"/>
        </w:rPr>
        <w:t>Mr Davies</w:t>
      </w:r>
      <w:r w:rsidRPr="00D63A4A">
        <w:rPr>
          <w:color w:val="000000"/>
          <w:szCs w:val="24"/>
          <w:lang w:eastAsia="en-AU"/>
        </w:rPr>
        <w:t xml:space="preserve"> brings to the panel significant experience in legal practice.</w:t>
      </w:r>
    </w:p>
    <w:p w14:paraId="7D0B8058" w14:textId="77777777" w:rsidR="00D63A4A" w:rsidRPr="00D63A4A" w:rsidRDefault="00D63A4A" w:rsidP="00D63A4A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3D47A90E" w14:textId="5839B274" w:rsidR="00D63A4A" w:rsidRDefault="004B12A0" w:rsidP="00D63A4A">
      <w:pPr>
        <w:shd w:val="clear" w:color="auto" w:fill="FFFFFF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Mr Davies</w:t>
      </w:r>
      <w:r w:rsidR="00D63A4A" w:rsidRPr="00D63A4A">
        <w:rPr>
          <w:color w:val="000000"/>
          <w:szCs w:val="24"/>
          <w:lang w:eastAsia="en-AU"/>
        </w:rPr>
        <w:t xml:space="preserve"> is not a public servant.</w:t>
      </w:r>
    </w:p>
    <w:p w14:paraId="68B62E34" w14:textId="354C9AD7" w:rsidR="00462912" w:rsidRDefault="00462912" w:rsidP="00D63A4A">
      <w:pPr>
        <w:shd w:val="clear" w:color="auto" w:fill="FFFFFF"/>
        <w:rPr>
          <w:color w:val="000000"/>
          <w:szCs w:val="24"/>
          <w:lang w:eastAsia="en-AU"/>
        </w:rPr>
      </w:pPr>
    </w:p>
    <w:p w14:paraId="75C2F663" w14:textId="77777777" w:rsidR="00D807C4" w:rsidRDefault="00D807C4" w:rsidP="00D807C4">
      <w:pPr>
        <w:shd w:val="clear" w:color="auto" w:fill="FFFFFF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The ACT Legislative Assembly Standing Committee on Justice and Community Safety was consulted on this appointment. </w:t>
      </w:r>
    </w:p>
    <w:p w14:paraId="7F0E1E09" w14:textId="77777777" w:rsidR="00D63A4A" w:rsidRPr="00D63A4A" w:rsidRDefault="00D63A4A" w:rsidP="00D63A4A"/>
    <w:bookmarkEnd w:id="0"/>
    <w:p w14:paraId="1F527397" w14:textId="77777777" w:rsidR="00C17FAB" w:rsidRDefault="00C17FAB"/>
    <w:sectPr w:rsidR="00C17FA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AE14" w14:textId="77777777" w:rsidR="00644195" w:rsidRDefault="00644195" w:rsidP="00C17FAB">
      <w:r>
        <w:separator/>
      </w:r>
    </w:p>
  </w:endnote>
  <w:endnote w:type="continuationSeparator" w:id="0">
    <w:p w14:paraId="21687D45" w14:textId="77777777" w:rsidR="00644195" w:rsidRDefault="00644195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178F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0CFE" w14:textId="71E68C26" w:rsidR="00DA3B00" w:rsidRPr="000C074E" w:rsidRDefault="000C074E" w:rsidP="000C074E">
    <w:pPr>
      <w:pStyle w:val="Footer"/>
      <w:jc w:val="center"/>
      <w:rPr>
        <w:rFonts w:cs="Arial"/>
        <w:sz w:val="14"/>
      </w:rPr>
    </w:pPr>
    <w:r w:rsidRPr="000C074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2EB5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A86E" w14:textId="77777777" w:rsidR="00644195" w:rsidRDefault="00644195" w:rsidP="00C17FAB">
      <w:r>
        <w:separator/>
      </w:r>
    </w:p>
  </w:footnote>
  <w:footnote w:type="continuationSeparator" w:id="0">
    <w:p w14:paraId="3CDCEFA7" w14:textId="77777777" w:rsidR="00644195" w:rsidRDefault="00644195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5AB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2B8B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4D7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B1E0E2D"/>
    <w:multiLevelType w:val="multilevel"/>
    <w:tmpl w:val="EA7E8D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702047">
    <w:abstractNumId w:val="2"/>
  </w:num>
  <w:num w:numId="2" w16cid:durableId="608780622">
    <w:abstractNumId w:val="0"/>
  </w:num>
  <w:num w:numId="3" w16cid:durableId="250284101">
    <w:abstractNumId w:val="3"/>
  </w:num>
  <w:num w:numId="4" w16cid:durableId="1975408144">
    <w:abstractNumId w:val="6"/>
  </w:num>
  <w:num w:numId="5" w16cid:durableId="2058120563">
    <w:abstractNumId w:val="7"/>
  </w:num>
  <w:num w:numId="6" w16cid:durableId="487669344">
    <w:abstractNumId w:val="1"/>
  </w:num>
  <w:num w:numId="7" w16cid:durableId="783379440">
    <w:abstractNumId w:val="4"/>
  </w:num>
  <w:num w:numId="8" w16cid:durableId="60636580">
    <w:abstractNumId w:val="5"/>
  </w:num>
  <w:num w:numId="9" w16cid:durableId="1491675805">
    <w:abstractNumId w:val="8"/>
  </w:num>
  <w:num w:numId="10" w16cid:durableId="110519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C074E"/>
    <w:rsid w:val="00152252"/>
    <w:rsid w:val="00173B45"/>
    <w:rsid w:val="002950E6"/>
    <w:rsid w:val="002D7C60"/>
    <w:rsid w:val="002F6BD1"/>
    <w:rsid w:val="0032555D"/>
    <w:rsid w:val="003A2C3D"/>
    <w:rsid w:val="003A2F35"/>
    <w:rsid w:val="003D6808"/>
    <w:rsid w:val="004475A9"/>
    <w:rsid w:val="00462912"/>
    <w:rsid w:val="004772B9"/>
    <w:rsid w:val="004B12A0"/>
    <w:rsid w:val="004C7FB7"/>
    <w:rsid w:val="0051479C"/>
    <w:rsid w:val="00544559"/>
    <w:rsid w:val="006151E7"/>
    <w:rsid w:val="00644195"/>
    <w:rsid w:val="006F6E54"/>
    <w:rsid w:val="007346AC"/>
    <w:rsid w:val="0084057B"/>
    <w:rsid w:val="008701C6"/>
    <w:rsid w:val="009508A5"/>
    <w:rsid w:val="00951756"/>
    <w:rsid w:val="00963D20"/>
    <w:rsid w:val="00965E38"/>
    <w:rsid w:val="0098389F"/>
    <w:rsid w:val="009A17D9"/>
    <w:rsid w:val="00AF27F7"/>
    <w:rsid w:val="00B77BDA"/>
    <w:rsid w:val="00BC44C2"/>
    <w:rsid w:val="00C0077D"/>
    <w:rsid w:val="00C17FAB"/>
    <w:rsid w:val="00C3251A"/>
    <w:rsid w:val="00CE599C"/>
    <w:rsid w:val="00D63A4A"/>
    <w:rsid w:val="00D807C4"/>
    <w:rsid w:val="00DA3B00"/>
    <w:rsid w:val="00DE5DA7"/>
    <w:rsid w:val="00E21510"/>
    <w:rsid w:val="00E63D34"/>
    <w:rsid w:val="00F33310"/>
    <w:rsid w:val="00F36CF1"/>
    <w:rsid w:val="00F618BC"/>
    <w:rsid w:val="00F708A0"/>
    <w:rsid w:val="00FD4F32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E6BD5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NormalWeb">
    <w:name w:val="Normal (Web)"/>
    <w:basedOn w:val="Normal"/>
    <w:uiPriority w:val="99"/>
    <w:semiHidden/>
    <w:unhideWhenUsed/>
    <w:rsid w:val="00D63A4A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963D20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D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D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1126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2023-12-12T00:48:00Z</dcterms:created>
  <dcterms:modified xsi:type="dcterms:W3CDTF">2023-12-12T00:48:00Z</dcterms:modified>
</cp:coreProperties>
</file>