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33E5E" w14:textId="77777777" w:rsidR="000550CC" w:rsidRDefault="000550CC" w:rsidP="000550CC">
      <w:pPr>
        <w:spacing w:before="120"/>
        <w:rPr>
          <w:rFonts w:ascii="Arial" w:hAnsi="Arial" w:cs="Arial"/>
        </w:rPr>
      </w:pPr>
      <w:bookmarkStart w:id="0" w:name="_Hlk146274707"/>
      <w:r>
        <w:rPr>
          <w:rFonts w:ascii="Arial" w:hAnsi="Arial" w:cs="Arial"/>
        </w:rPr>
        <w:t>Australian Capital Territory</w:t>
      </w:r>
    </w:p>
    <w:p w14:paraId="758C8D36" w14:textId="1420A4A4" w:rsidR="000550CC" w:rsidRDefault="00BC695B" w:rsidP="000550CC">
      <w:pPr>
        <w:pStyle w:val="Billname"/>
        <w:spacing w:before="700"/>
      </w:pPr>
      <w:r>
        <w:t xml:space="preserve">Liquor </w:t>
      </w:r>
      <w:r w:rsidR="001C1611">
        <w:t xml:space="preserve">Amendment </w:t>
      </w:r>
      <w:r w:rsidR="000550CC">
        <w:t xml:space="preserve">Regulation </w:t>
      </w:r>
      <w:r w:rsidR="001C1611">
        <w:t>2023</w:t>
      </w:r>
      <w:r w:rsidR="000550CC">
        <w:t xml:space="preserve"> </w:t>
      </w:r>
      <w:r w:rsidR="00375AAA">
        <w:t xml:space="preserve">(No </w:t>
      </w:r>
      <w:r w:rsidR="00DB4F29">
        <w:t>1</w:t>
      </w:r>
      <w:r w:rsidR="00375AAA">
        <w:t>)</w:t>
      </w:r>
    </w:p>
    <w:p w14:paraId="2C12547E" w14:textId="2EED2EF9" w:rsidR="000550CC" w:rsidRDefault="000550CC" w:rsidP="000550CC">
      <w:pPr>
        <w:spacing w:before="340"/>
        <w:rPr>
          <w:rFonts w:ascii="Arial" w:hAnsi="Arial" w:cs="Arial"/>
          <w:b/>
          <w:bCs/>
        </w:rPr>
      </w:pPr>
      <w:r>
        <w:rPr>
          <w:rFonts w:ascii="Arial" w:hAnsi="Arial" w:cs="Arial"/>
          <w:b/>
          <w:bCs/>
        </w:rPr>
        <w:t>Subordinate law SL2023–</w:t>
      </w:r>
      <w:r w:rsidR="00E93DEE">
        <w:rPr>
          <w:rFonts w:ascii="Arial" w:hAnsi="Arial" w:cs="Arial"/>
          <w:b/>
          <w:bCs/>
        </w:rPr>
        <w:t>38</w:t>
      </w:r>
    </w:p>
    <w:p w14:paraId="5640339F" w14:textId="77777777" w:rsidR="000550CC" w:rsidRDefault="000550CC" w:rsidP="000550CC">
      <w:pPr>
        <w:pStyle w:val="madeunder"/>
        <w:spacing w:before="300" w:after="0"/>
      </w:pPr>
      <w:r>
        <w:t xml:space="preserve">made under the  </w:t>
      </w:r>
    </w:p>
    <w:p w14:paraId="78095065" w14:textId="707EA461" w:rsidR="000550CC" w:rsidRDefault="00BC695B" w:rsidP="000550CC">
      <w:pPr>
        <w:pStyle w:val="CoverActName"/>
        <w:spacing w:before="320" w:after="0"/>
        <w:rPr>
          <w:rFonts w:cs="Arial"/>
          <w:sz w:val="20"/>
        </w:rPr>
      </w:pPr>
      <w:r>
        <w:rPr>
          <w:rFonts w:cs="Arial"/>
          <w:i/>
          <w:iCs/>
          <w:sz w:val="20"/>
        </w:rPr>
        <w:t>Liquor Act 2010</w:t>
      </w:r>
      <w:r w:rsidR="000550CC">
        <w:rPr>
          <w:rFonts w:cs="Arial"/>
          <w:sz w:val="20"/>
        </w:rPr>
        <w:t xml:space="preserve">, section </w:t>
      </w:r>
      <w:r>
        <w:rPr>
          <w:rFonts w:cs="Arial"/>
          <w:sz w:val="20"/>
        </w:rPr>
        <w:t>229</w:t>
      </w:r>
      <w:r w:rsidR="000550CC">
        <w:rPr>
          <w:rFonts w:cs="Arial"/>
          <w:sz w:val="20"/>
        </w:rPr>
        <w:t xml:space="preserve"> (Regulation-making power)</w:t>
      </w:r>
    </w:p>
    <w:p w14:paraId="19F71E39" w14:textId="77777777" w:rsidR="006973CE" w:rsidRDefault="006973CE" w:rsidP="006973CE">
      <w:pPr>
        <w:spacing w:before="360"/>
        <w:ind w:right="565"/>
        <w:rPr>
          <w:rFonts w:ascii="Arial" w:hAnsi="Arial" w:cs="Arial"/>
          <w:b/>
          <w:bCs/>
          <w:sz w:val="28"/>
          <w:szCs w:val="28"/>
        </w:rPr>
      </w:pPr>
      <w:r>
        <w:rPr>
          <w:rFonts w:ascii="Arial" w:hAnsi="Arial" w:cs="Arial"/>
          <w:b/>
          <w:bCs/>
          <w:sz w:val="28"/>
          <w:szCs w:val="28"/>
        </w:rPr>
        <w:t>EXPLANATORY STATEMENT</w:t>
      </w:r>
    </w:p>
    <w:p w14:paraId="384F28FB" w14:textId="77777777" w:rsidR="006973CE" w:rsidRDefault="006973CE" w:rsidP="006973CE">
      <w:pPr>
        <w:pStyle w:val="N-line3"/>
        <w:pBdr>
          <w:bottom w:val="none" w:sz="0" w:space="0" w:color="auto"/>
        </w:pBdr>
      </w:pPr>
    </w:p>
    <w:p w14:paraId="4FE3FF79" w14:textId="77777777" w:rsidR="006973CE" w:rsidRDefault="006973CE" w:rsidP="006973CE">
      <w:pPr>
        <w:pStyle w:val="N-line3"/>
        <w:pBdr>
          <w:top w:val="single" w:sz="12" w:space="1" w:color="auto"/>
          <w:bottom w:val="none" w:sz="0" w:space="0" w:color="auto"/>
        </w:pBdr>
      </w:pPr>
    </w:p>
    <w:p w14:paraId="67B3881D" w14:textId="512B9BF5" w:rsidR="00AF74E7" w:rsidRDefault="00AF74E7"/>
    <w:p w14:paraId="24005DA9" w14:textId="3C9A8B96" w:rsidR="000550CC" w:rsidRPr="00FB2C43" w:rsidRDefault="000550CC" w:rsidP="000550CC">
      <w:pPr>
        <w:rPr>
          <w:rFonts w:ascii="Arial" w:hAnsi="Arial" w:cs="Arial"/>
          <w:b/>
          <w:bCs/>
        </w:rPr>
      </w:pPr>
      <w:r w:rsidRPr="00FB2C43">
        <w:rPr>
          <w:rFonts w:ascii="Arial" w:hAnsi="Arial" w:cs="Arial"/>
          <w:b/>
          <w:bCs/>
        </w:rPr>
        <w:t>OVERVIEW</w:t>
      </w:r>
      <w:r w:rsidR="00CB4B71">
        <w:rPr>
          <w:rFonts w:ascii="Arial" w:hAnsi="Arial" w:cs="Arial"/>
          <w:b/>
          <w:bCs/>
        </w:rPr>
        <w:t xml:space="preserve"> </w:t>
      </w:r>
    </w:p>
    <w:p w14:paraId="3D15DD35" w14:textId="77777777" w:rsidR="000550CC" w:rsidRPr="00B7244C" w:rsidRDefault="000550CC" w:rsidP="000550CC">
      <w:pPr>
        <w:rPr>
          <w:rFonts w:ascii="Arial" w:hAnsi="Arial" w:cs="Arial"/>
          <w:b/>
          <w:bCs/>
          <w:u w:val="single"/>
        </w:rPr>
      </w:pPr>
    </w:p>
    <w:p w14:paraId="0AD418AB" w14:textId="5A9231DA" w:rsidR="000550CC" w:rsidRPr="00097645" w:rsidRDefault="00097645" w:rsidP="000550CC">
      <w:pPr>
        <w:rPr>
          <w:rFonts w:ascii="Arial" w:hAnsi="Arial" w:cs="Arial"/>
        </w:rPr>
      </w:pPr>
      <w:r w:rsidRPr="00097645">
        <w:rPr>
          <w:rFonts w:ascii="Arial" w:hAnsi="Arial" w:cs="Arial"/>
        </w:rPr>
        <w:t xml:space="preserve">The object of the </w:t>
      </w:r>
      <w:r w:rsidRPr="00097645">
        <w:rPr>
          <w:rFonts w:ascii="Arial" w:hAnsi="Arial" w:cs="Arial"/>
          <w:i/>
          <w:iCs/>
        </w:rPr>
        <w:t>Liquor Act 2010</w:t>
      </w:r>
      <w:r w:rsidRPr="00097645">
        <w:rPr>
          <w:rFonts w:ascii="Arial" w:hAnsi="Arial" w:cs="Arial"/>
        </w:rPr>
        <w:t xml:space="preserve"> is to regulate the sale, supply, promotion and consumption of liquor:</w:t>
      </w:r>
    </w:p>
    <w:p w14:paraId="11C0A817" w14:textId="4FAF0776" w:rsidR="00097645" w:rsidRPr="00097645" w:rsidRDefault="00097645" w:rsidP="00097645">
      <w:pPr>
        <w:pStyle w:val="ListParagraph"/>
        <w:numPr>
          <w:ilvl w:val="0"/>
          <w:numId w:val="14"/>
        </w:numPr>
        <w:rPr>
          <w:rFonts w:ascii="Arial" w:hAnsi="Arial" w:cs="Arial"/>
        </w:rPr>
      </w:pPr>
      <w:r w:rsidRPr="00097645">
        <w:rPr>
          <w:rFonts w:ascii="Arial" w:hAnsi="Arial" w:cs="Arial"/>
        </w:rPr>
        <w:t>to minimise the harm associated with the consumption of liquor; and</w:t>
      </w:r>
    </w:p>
    <w:p w14:paraId="21CAD6A6" w14:textId="032C8A07" w:rsidR="00097645" w:rsidRPr="00097645" w:rsidRDefault="00097645" w:rsidP="00097645">
      <w:pPr>
        <w:pStyle w:val="ListParagraph"/>
        <w:numPr>
          <w:ilvl w:val="0"/>
          <w:numId w:val="14"/>
        </w:numPr>
        <w:rPr>
          <w:rFonts w:ascii="Arial" w:hAnsi="Arial" w:cs="Arial"/>
        </w:rPr>
      </w:pPr>
      <w:r w:rsidRPr="00097645">
        <w:rPr>
          <w:rFonts w:ascii="Arial" w:hAnsi="Arial" w:cs="Arial"/>
        </w:rPr>
        <w:t>to facilitate the responsible development of the liquor and hospitality industries in a way that takes into account community safety; and</w:t>
      </w:r>
    </w:p>
    <w:p w14:paraId="4C616E47" w14:textId="308A79FB" w:rsidR="00097645" w:rsidRPr="00097645" w:rsidRDefault="00097645" w:rsidP="00097645">
      <w:pPr>
        <w:pStyle w:val="ListParagraph"/>
        <w:numPr>
          <w:ilvl w:val="0"/>
          <w:numId w:val="14"/>
        </w:numPr>
        <w:rPr>
          <w:rFonts w:ascii="Arial" w:hAnsi="Arial" w:cs="Arial"/>
        </w:rPr>
      </w:pPr>
      <w:r w:rsidRPr="00097645">
        <w:rPr>
          <w:rFonts w:ascii="Arial" w:hAnsi="Arial" w:cs="Arial"/>
        </w:rPr>
        <w:t>in a way that encourages and supports liquor consumer</w:t>
      </w:r>
      <w:r w:rsidR="002956A8">
        <w:rPr>
          <w:rFonts w:ascii="Arial" w:hAnsi="Arial" w:cs="Arial"/>
        </w:rPr>
        <w:t>s</w:t>
      </w:r>
      <w:r w:rsidRPr="00097645">
        <w:rPr>
          <w:rFonts w:ascii="Arial" w:hAnsi="Arial" w:cs="Arial"/>
        </w:rPr>
        <w:t xml:space="preserve"> to take responsibility for:</w:t>
      </w:r>
    </w:p>
    <w:p w14:paraId="7B60FE3F" w14:textId="1B4B3A22" w:rsidR="00097645" w:rsidRPr="00097645" w:rsidRDefault="00097645" w:rsidP="00097645">
      <w:pPr>
        <w:pStyle w:val="ListParagraph"/>
        <w:numPr>
          <w:ilvl w:val="0"/>
          <w:numId w:val="15"/>
        </w:numPr>
        <w:rPr>
          <w:rFonts w:ascii="Arial" w:hAnsi="Arial" w:cs="Arial"/>
        </w:rPr>
      </w:pPr>
      <w:r w:rsidRPr="00097645">
        <w:rPr>
          <w:rFonts w:ascii="Arial" w:hAnsi="Arial" w:cs="Arial"/>
        </w:rPr>
        <w:t>their consumption of liquor; and</w:t>
      </w:r>
    </w:p>
    <w:p w14:paraId="53CD127F" w14:textId="7EDA8D4B" w:rsidR="00097645" w:rsidRPr="00097645" w:rsidRDefault="00097645" w:rsidP="00097645">
      <w:pPr>
        <w:pStyle w:val="ListParagraph"/>
        <w:numPr>
          <w:ilvl w:val="0"/>
          <w:numId w:val="15"/>
        </w:numPr>
        <w:rPr>
          <w:rFonts w:ascii="Arial" w:hAnsi="Arial" w:cs="Arial"/>
        </w:rPr>
      </w:pPr>
      <w:r w:rsidRPr="00097645">
        <w:rPr>
          <w:rFonts w:ascii="Arial" w:hAnsi="Arial" w:cs="Arial"/>
        </w:rPr>
        <w:t>their behaviour if it is affected by the consumption of liquor.</w:t>
      </w:r>
    </w:p>
    <w:p w14:paraId="05C30681" w14:textId="77777777" w:rsidR="000550CC" w:rsidRPr="00BC695B" w:rsidRDefault="000550CC" w:rsidP="000550CC">
      <w:pPr>
        <w:rPr>
          <w:rFonts w:ascii="Arial" w:hAnsi="Arial" w:cs="Arial"/>
          <w:highlight w:val="yellow"/>
        </w:rPr>
      </w:pPr>
    </w:p>
    <w:p w14:paraId="25DD470D" w14:textId="4D13CE9E" w:rsidR="000550CC" w:rsidRPr="00B750A0" w:rsidRDefault="000550CC" w:rsidP="000550CC">
      <w:pPr>
        <w:rPr>
          <w:rFonts w:ascii="Arial" w:hAnsi="Arial" w:cs="Arial"/>
        </w:rPr>
      </w:pPr>
      <w:r w:rsidRPr="00B750A0">
        <w:rPr>
          <w:rFonts w:ascii="Arial" w:hAnsi="Arial" w:cs="Arial"/>
        </w:rPr>
        <w:t xml:space="preserve">The </w:t>
      </w:r>
      <w:r w:rsidR="00097645" w:rsidRPr="00B750A0">
        <w:rPr>
          <w:rFonts w:ascii="Arial" w:hAnsi="Arial" w:cs="Arial"/>
          <w:i/>
          <w:iCs/>
        </w:rPr>
        <w:t xml:space="preserve">Liquor </w:t>
      </w:r>
      <w:r w:rsidRPr="00B750A0">
        <w:rPr>
          <w:rFonts w:ascii="Arial" w:hAnsi="Arial" w:cs="Arial"/>
          <w:i/>
          <w:iCs/>
        </w:rPr>
        <w:t xml:space="preserve">Regulation </w:t>
      </w:r>
      <w:r w:rsidR="00097645" w:rsidRPr="00B750A0">
        <w:rPr>
          <w:rFonts w:ascii="Arial" w:hAnsi="Arial" w:cs="Arial"/>
          <w:i/>
          <w:iCs/>
        </w:rPr>
        <w:t xml:space="preserve">2010 </w:t>
      </w:r>
      <w:r w:rsidRPr="00B750A0">
        <w:rPr>
          <w:rFonts w:ascii="Arial" w:hAnsi="Arial" w:cs="Arial"/>
        </w:rPr>
        <w:t xml:space="preserve">prescribes matters to support the </w:t>
      </w:r>
      <w:r w:rsidR="00B750A0" w:rsidRPr="00CB4B71">
        <w:rPr>
          <w:rFonts w:ascii="Arial" w:hAnsi="Arial" w:cs="Arial"/>
          <w:i/>
          <w:iCs/>
        </w:rPr>
        <w:t>Liquor Act 2010</w:t>
      </w:r>
      <w:r w:rsidR="00B750A0">
        <w:rPr>
          <w:rFonts w:ascii="Arial" w:hAnsi="Arial" w:cs="Arial"/>
        </w:rPr>
        <w:t>.</w:t>
      </w:r>
    </w:p>
    <w:p w14:paraId="34FB7C70" w14:textId="77777777" w:rsidR="000550CC" w:rsidRPr="00BC695B" w:rsidRDefault="000550CC" w:rsidP="000550CC">
      <w:pPr>
        <w:rPr>
          <w:rFonts w:ascii="Arial" w:hAnsi="Arial" w:cs="Arial"/>
          <w:highlight w:val="yellow"/>
        </w:rPr>
      </w:pPr>
    </w:p>
    <w:p w14:paraId="2EE1AFCD" w14:textId="074AFA27" w:rsidR="000550CC" w:rsidRPr="00CB4B71" w:rsidRDefault="00B750A0" w:rsidP="000550CC">
      <w:pPr>
        <w:rPr>
          <w:rFonts w:ascii="Arial" w:hAnsi="Arial" w:cs="Arial"/>
        </w:rPr>
      </w:pPr>
      <w:r w:rsidRPr="00CB4B71">
        <w:rPr>
          <w:rFonts w:ascii="Arial" w:hAnsi="Arial" w:cs="Arial"/>
        </w:rPr>
        <w:t xml:space="preserve">Schedule 1 of the </w:t>
      </w:r>
      <w:r w:rsidRPr="00CB4B71">
        <w:rPr>
          <w:rFonts w:ascii="Arial" w:hAnsi="Arial" w:cs="Arial"/>
          <w:i/>
          <w:iCs/>
        </w:rPr>
        <w:t>Liquor Regulation 2010</w:t>
      </w:r>
      <w:r w:rsidRPr="00CB4B71">
        <w:rPr>
          <w:rFonts w:ascii="Arial" w:hAnsi="Arial" w:cs="Arial"/>
        </w:rPr>
        <w:t xml:space="preserve"> prescribes conditions provided under s31(2)(a) of the </w:t>
      </w:r>
      <w:r w:rsidRPr="00CB4B71">
        <w:rPr>
          <w:rFonts w:ascii="Arial" w:hAnsi="Arial" w:cs="Arial"/>
          <w:i/>
          <w:iCs/>
        </w:rPr>
        <w:t>Liquor Act 2010</w:t>
      </w:r>
      <w:r w:rsidRPr="00CB4B71">
        <w:rPr>
          <w:rFonts w:ascii="Arial" w:hAnsi="Arial" w:cs="Arial"/>
        </w:rPr>
        <w:t>. Schedule 2</w:t>
      </w:r>
      <w:r w:rsidR="00CB4B71">
        <w:rPr>
          <w:rFonts w:ascii="Arial" w:hAnsi="Arial" w:cs="Arial"/>
        </w:rPr>
        <w:t xml:space="preserve"> of the </w:t>
      </w:r>
      <w:r w:rsidR="00CB4B71" w:rsidRPr="00CB4B71">
        <w:rPr>
          <w:rFonts w:ascii="Arial" w:hAnsi="Arial" w:cs="Arial"/>
          <w:i/>
          <w:iCs/>
        </w:rPr>
        <w:t>Liquor Regulation 2010</w:t>
      </w:r>
      <w:r w:rsidR="00CB4B71">
        <w:rPr>
          <w:rFonts w:ascii="Arial" w:hAnsi="Arial" w:cs="Arial"/>
        </w:rPr>
        <w:t xml:space="preserve"> prescribes licensed times and permitted times, provided under s229(2)(a) of the </w:t>
      </w:r>
      <w:r w:rsidR="00CB4B71" w:rsidRPr="00CB4B71">
        <w:rPr>
          <w:rFonts w:ascii="Arial" w:hAnsi="Arial" w:cs="Arial"/>
          <w:i/>
          <w:iCs/>
        </w:rPr>
        <w:t>Liquor Act 2010</w:t>
      </w:r>
      <w:r w:rsidR="00CB4B71">
        <w:rPr>
          <w:rFonts w:ascii="Arial" w:hAnsi="Arial" w:cs="Arial"/>
        </w:rPr>
        <w:t xml:space="preserve"> and defined under s32 of the </w:t>
      </w:r>
      <w:r w:rsidR="00CB4B71" w:rsidRPr="00CB4B71">
        <w:rPr>
          <w:rFonts w:ascii="Arial" w:hAnsi="Arial" w:cs="Arial"/>
          <w:i/>
          <w:iCs/>
        </w:rPr>
        <w:t>Liquor Regulation 2010</w:t>
      </w:r>
      <w:r w:rsidR="00CB4B71">
        <w:rPr>
          <w:rFonts w:ascii="Arial" w:hAnsi="Arial" w:cs="Arial"/>
        </w:rPr>
        <w:t xml:space="preserve">.  </w:t>
      </w:r>
    </w:p>
    <w:p w14:paraId="23222085" w14:textId="77777777" w:rsidR="000550CC" w:rsidRPr="00BC695B" w:rsidRDefault="000550CC" w:rsidP="000550CC">
      <w:pPr>
        <w:rPr>
          <w:rFonts w:ascii="Arial" w:hAnsi="Arial" w:cs="Arial"/>
          <w:highlight w:val="yellow"/>
        </w:rPr>
      </w:pPr>
    </w:p>
    <w:p w14:paraId="6F464802" w14:textId="69458463" w:rsidR="000550CC" w:rsidRPr="00BC695B" w:rsidRDefault="0043745F" w:rsidP="000550CC">
      <w:pPr>
        <w:rPr>
          <w:rFonts w:ascii="Arial" w:hAnsi="Arial" w:cs="Arial"/>
          <w:b/>
          <w:bCs/>
        </w:rPr>
      </w:pPr>
      <w:r>
        <w:rPr>
          <w:rFonts w:ascii="Arial" w:hAnsi="Arial" w:cs="Arial"/>
          <w:b/>
          <w:bCs/>
        </w:rPr>
        <w:t>PURPOSE</w:t>
      </w:r>
    </w:p>
    <w:p w14:paraId="76456FAE" w14:textId="77777777" w:rsidR="000550CC" w:rsidRPr="00BC695B" w:rsidRDefault="000550CC" w:rsidP="000550CC">
      <w:pPr>
        <w:rPr>
          <w:rFonts w:ascii="Arial" w:hAnsi="Arial" w:cs="Arial"/>
          <w:highlight w:val="yellow"/>
        </w:rPr>
      </w:pPr>
    </w:p>
    <w:p w14:paraId="60DA6942" w14:textId="4358E95E" w:rsidR="000550CC" w:rsidRDefault="0043745F" w:rsidP="000550CC">
      <w:pPr>
        <w:rPr>
          <w:rFonts w:ascii="Arial" w:hAnsi="Arial" w:cs="Arial"/>
        </w:rPr>
      </w:pPr>
      <w:r w:rsidRPr="0043745F">
        <w:rPr>
          <w:rFonts w:ascii="Arial" w:hAnsi="Arial" w:cs="Arial"/>
        </w:rPr>
        <w:t xml:space="preserve">This </w:t>
      </w:r>
      <w:r>
        <w:rPr>
          <w:rFonts w:ascii="Arial" w:hAnsi="Arial" w:cs="Arial"/>
        </w:rPr>
        <w:t xml:space="preserve">explanatory statement relates to amendments to Schedule 1 and Schedule 2 of the </w:t>
      </w:r>
      <w:r w:rsidRPr="00E44A5A">
        <w:rPr>
          <w:rFonts w:ascii="Arial" w:hAnsi="Arial" w:cs="Arial"/>
          <w:i/>
          <w:iCs/>
        </w:rPr>
        <w:t>Liquor Regulation</w:t>
      </w:r>
      <w:r w:rsidR="00E44A5A" w:rsidRPr="00E44A5A">
        <w:rPr>
          <w:rFonts w:ascii="Arial" w:hAnsi="Arial" w:cs="Arial"/>
          <w:i/>
          <w:iCs/>
        </w:rPr>
        <w:t xml:space="preserve"> 2010</w:t>
      </w:r>
      <w:r w:rsidR="00E44A5A">
        <w:rPr>
          <w:rFonts w:ascii="Arial" w:hAnsi="Arial" w:cs="Arial"/>
        </w:rPr>
        <w:t xml:space="preserve"> via the </w:t>
      </w:r>
      <w:r w:rsidR="00E44A5A" w:rsidRPr="00E44A5A">
        <w:rPr>
          <w:rFonts w:ascii="Arial" w:hAnsi="Arial" w:cs="Arial"/>
          <w:i/>
          <w:iCs/>
        </w:rPr>
        <w:t xml:space="preserve">Liquor </w:t>
      </w:r>
      <w:r w:rsidR="001C1611">
        <w:rPr>
          <w:rFonts w:ascii="Arial" w:hAnsi="Arial" w:cs="Arial"/>
          <w:i/>
          <w:iCs/>
        </w:rPr>
        <w:t xml:space="preserve">Amendment </w:t>
      </w:r>
      <w:r w:rsidR="00E44A5A" w:rsidRPr="00E44A5A">
        <w:rPr>
          <w:rFonts w:ascii="Arial" w:hAnsi="Arial" w:cs="Arial"/>
          <w:i/>
          <w:iCs/>
        </w:rPr>
        <w:t xml:space="preserve">Regulation </w:t>
      </w:r>
      <w:r w:rsidR="001C1611">
        <w:rPr>
          <w:rFonts w:ascii="Arial" w:hAnsi="Arial" w:cs="Arial"/>
          <w:i/>
          <w:iCs/>
        </w:rPr>
        <w:t>2023</w:t>
      </w:r>
      <w:r w:rsidR="00375AAA">
        <w:rPr>
          <w:rFonts w:ascii="Arial" w:hAnsi="Arial" w:cs="Arial"/>
          <w:i/>
          <w:iCs/>
        </w:rPr>
        <w:t xml:space="preserve"> (No </w:t>
      </w:r>
      <w:r w:rsidR="00DB4F29">
        <w:rPr>
          <w:rFonts w:ascii="Arial" w:hAnsi="Arial" w:cs="Arial"/>
          <w:i/>
          <w:iCs/>
        </w:rPr>
        <w:t>1</w:t>
      </w:r>
      <w:r w:rsidR="00375AAA">
        <w:rPr>
          <w:rFonts w:ascii="Arial" w:hAnsi="Arial" w:cs="Arial"/>
          <w:i/>
          <w:iCs/>
        </w:rPr>
        <w:t>)</w:t>
      </w:r>
      <w:r w:rsidR="00E44A5A" w:rsidRPr="00E44A5A">
        <w:rPr>
          <w:rFonts w:ascii="Arial" w:hAnsi="Arial" w:cs="Arial"/>
          <w:i/>
          <w:iCs/>
        </w:rPr>
        <w:t>.</w:t>
      </w:r>
      <w:r>
        <w:rPr>
          <w:rFonts w:ascii="Arial" w:hAnsi="Arial" w:cs="Arial"/>
        </w:rPr>
        <w:t xml:space="preserve"> </w:t>
      </w:r>
    </w:p>
    <w:p w14:paraId="664EE0A0" w14:textId="77777777" w:rsidR="0043745F" w:rsidRDefault="0043745F" w:rsidP="000550CC">
      <w:pPr>
        <w:rPr>
          <w:rFonts w:ascii="Arial" w:hAnsi="Arial" w:cs="Arial"/>
        </w:rPr>
      </w:pPr>
    </w:p>
    <w:p w14:paraId="158D48D3" w14:textId="77320A58" w:rsidR="0043745F" w:rsidRDefault="0043745F" w:rsidP="000550CC">
      <w:pPr>
        <w:rPr>
          <w:rFonts w:ascii="Arial" w:hAnsi="Arial" w:cs="Arial"/>
          <w:u w:val="single"/>
        </w:rPr>
      </w:pPr>
      <w:r>
        <w:rPr>
          <w:rFonts w:ascii="Arial" w:hAnsi="Arial" w:cs="Arial"/>
          <w:u w:val="single"/>
        </w:rPr>
        <w:t>Schedule 1</w:t>
      </w:r>
    </w:p>
    <w:p w14:paraId="55D2A32D" w14:textId="77777777" w:rsidR="0043745F" w:rsidRDefault="0043745F" w:rsidP="000550CC">
      <w:pPr>
        <w:rPr>
          <w:rFonts w:ascii="Arial" w:hAnsi="Arial" w:cs="Arial"/>
          <w:u w:val="single"/>
        </w:rPr>
      </w:pPr>
    </w:p>
    <w:p w14:paraId="17FFA6AD" w14:textId="600D10F0" w:rsidR="0043745F" w:rsidRDefault="0043745F" w:rsidP="0043745F">
      <w:pPr>
        <w:rPr>
          <w:rFonts w:ascii="Arial" w:hAnsi="Arial" w:cs="Arial"/>
        </w:rPr>
      </w:pPr>
      <w:r>
        <w:rPr>
          <w:rFonts w:ascii="Arial" w:hAnsi="Arial" w:cs="Arial"/>
        </w:rPr>
        <w:t xml:space="preserve">Schedule 1 has been amended to remove </w:t>
      </w:r>
      <w:r w:rsidR="00E44A5A">
        <w:rPr>
          <w:rFonts w:ascii="Arial" w:hAnsi="Arial" w:cs="Arial"/>
        </w:rPr>
        <w:t>the requirement for</w:t>
      </w:r>
      <w:r w:rsidRPr="0043745F">
        <w:rPr>
          <w:rFonts w:ascii="Arial" w:hAnsi="Arial" w:cs="Arial"/>
        </w:rPr>
        <w:t xml:space="preserve"> general licensed premises to have a separate on area</w:t>
      </w:r>
      <w:r>
        <w:rPr>
          <w:rFonts w:ascii="Arial" w:hAnsi="Arial" w:cs="Arial"/>
        </w:rPr>
        <w:t xml:space="preserve"> for the sale of liquor in open containers for consumption at the premises, </w:t>
      </w:r>
      <w:r w:rsidRPr="0043745F">
        <w:rPr>
          <w:rFonts w:ascii="Arial" w:hAnsi="Arial" w:cs="Arial"/>
        </w:rPr>
        <w:t xml:space="preserve">and </w:t>
      </w:r>
      <w:r>
        <w:rPr>
          <w:rFonts w:ascii="Arial" w:hAnsi="Arial" w:cs="Arial"/>
        </w:rPr>
        <w:t xml:space="preserve">a separate </w:t>
      </w:r>
      <w:r w:rsidRPr="0043745F">
        <w:rPr>
          <w:rFonts w:ascii="Arial" w:hAnsi="Arial" w:cs="Arial"/>
        </w:rPr>
        <w:t>off area</w:t>
      </w:r>
      <w:r>
        <w:rPr>
          <w:rFonts w:ascii="Arial" w:hAnsi="Arial" w:cs="Arial"/>
        </w:rPr>
        <w:t xml:space="preserve"> for the sale of liquor in sealed containers for consumption off the premises.   </w:t>
      </w:r>
    </w:p>
    <w:p w14:paraId="1F0BAEC7" w14:textId="77777777" w:rsidR="00A47DC0" w:rsidRDefault="00A47DC0" w:rsidP="0043745F">
      <w:pPr>
        <w:rPr>
          <w:rFonts w:ascii="Arial" w:hAnsi="Arial" w:cs="Arial"/>
        </w:rPr>
      </w:pPr>
    </w:p>
    <w:p w14:paraId="5B004E71" w14:textId="62AB8F45" w:rsidR="00A47DC0" w:rsidRPr="00A47DC0" w:rsidRDefault="00A47DC0" w:rsidP="00A47DC0">
      <w:pPr>
        <w:rPr>
          <w:rFonts w:ascii="Arial" w:hAnsi="Arial" w:cs="Arial"/>
        </w:rPr>
      </w:pPr>
      <w:r w:rsidRPr="00A47DC0">
        <w:rPr>
          <w:rFonts w:ascii="Arial" w:hAnsi="Arial" w:cs="Arial"/>
        </w:rPr>
        <w:lastRenderedPageBreak/>
        <w:t>This reform will align regulation with real-world business practices and reduce costs for these businesses that sell liquor.</w:t>
      </w:r>
    </w:p>
    <w:p w14:paraId="1BB71DD6" w14:textId="77777777" w:rsidR="00A47DC0" w:rsidRPr="0043745F" w:rsidRDefault="00A47DC0" w:rsidP="0043745F">
      <w:pPr>
        <w:rPr>
          <w:rFonts w:ascii="Arial" w:hAnsi="Arial" w:cs="Arial"/>
        </w:rPr>
      </w:pPr>
    </w:p>
    <w:p w14:paraId="1FB0AB34" w14:textId="682F87C4" w:rsidR="0043745F" w:rsidRPr="0043745F" w:rsidRDefault="0043745F" w:rsidP="000550CC">
      <w:pPr>
        <w:rPr>
          <w:rFonts w:ascii="Arial" w:hAnsi="Arial" w:cs="Arial"/>
          <w:u w:val="single"/>
        </w:rPr>
      </w:pPr>
      <w:r w:rsidRPr="0043745F">
        <w:rPr>
          <w:rFonts w:ascii="Arial" w:hAnsi="Arial" w:cs="Arial"/>
          <w:u w:val="single"/>
        </w:rPr>
        <w:t xml:space="preserve">Schedule </w:t>
      </w:r>
      <w:r>
        <w:rPr>
          <w:rFonts w:ascii="Arial" w:hAnsi="Arial" w:cs="Arial"/>
          <w:u w:val="single"/>
        </w:rPr>
        <w:t>2</w:t>
      </w:r>
    </w:p>
    <w:p w14:paraId="5E9E23CF" w14:textId="77777777" w:rsidR="0043745F" w:rsidRDefault="0043745F" w:rsidP="000550CC">
      <w:pPr>
        <w:rPr>
          <w:rFonts w:ascii="Arial" w:hAnsi="Arial" w:cs="Arial"/>
        </w:rPr>
      </w:pPr>
    </w:p>
    <w:p w14:paraId="24AE4895" w14:textId="555FBF46" w:rsidR="0043745F" w:rsidRDefault="0043745F" w:rsidP="000550CC">
      <w:pPr>
        <w:rPr>
          <w:rFonts w:ascii="Arial" w:hAnsi="Arial" w:cs="Arial"/>
        </w:rPr>
      </w:pPr>
      <w:r>
        <w:rPr>
          <w:rFonts w:ascii="Arial" w:hAnsi="Arial" w:cs="Arial"/>
        </w:rPr>
        <w:t xml:space="preserve">Schedule 2 has been amended to </w:t>
      </w:r>
      <w:r w:rsidRPr="0043745F">
        <w:rPr>
          <w:rFonts w:ascii="Arial" w:hAnsi="Arial" w:cs="Arial"/>
        </w:rPr>
        <w:t>introduce new standard licensed times for liquor on licences (restaurant and café) where occupancy loading is 80 persons</w:t>
      </w:r>
      <w:r w:rsidR="00B82585">
        <w:rPr>
          <w:rFonts w:ascii="Arial" w:hAnsi="Arial" w:cs="Arial"/>
        </w:rPr>
        <w:t xml:space="preserve"> or less</w:t>
      </w:r>
      <w:r w:rsidRPr="0043745F">
        <w:rPr>
          <w:rFonts w:ascii="Arial" w:hAnsi="Arial" w:cs="Arial"/>
        </w:rPr>
        <w:t>, from the current 12 midnight to a new proposed 2am time, to take effect on 1 January 2024.</w:t>
      </w:r>
    </w:p>
    <w:p w14:paraId="2E5D7A9B" w14:textId="77777777" w:rsidR="0043745F" w:rsidRDefault="0043745F" w:rsidP="000550CC">
      <w:pPr>
        <w:rPr>
          <w:rFonts w:ascii="Arial" w:hAnsi="Arial" w:cs="Arial"/>
        </w:rPr>
      </w:pPr>
    </w:p>
    <w:p w14:paraId="5DAA6332" w14:textId="77777777" w:rsidR="00375AAA" w:rsidRDefault="00375AAA" w:rsidP="00A47DC0">
      <w:pPr>
        <w:rPr>
          <w:rFonts w:ascii="Arial" w:hAnsi="Arial" w:cs="Arial"/>
        </w:rPr>
      </w:pPr>
      <w:r>
        <w:rPr>
          <w:rFonts w:ascii="Arial" w:hAnsi="Arial" w:cs="Arial"/>
        </w:rPr>
        <w:t xml:space="preserve">This reform is coupled with a reduction in the annual licence fees for the same licence subclass, that is </w:t>
      </w:r>
      <w:r w:rsidRPr="0043745F">
        <w:rPr>
          <w:rFonts w:ascii="Arial" w:hAnsi="Arial" w:cs="Arial"/>
        </w:rPr>
        <w:t>on licences (restaurant and café) where occupancy loading is 80 persons</w:t>
      </w:r>
      <w:r>
        <w:rPr>
          <w:rFonts w:ascii="Arial" w:hAnsi="Arial" w:cs="Arial"/>
        </w:rPr>
        <w:t xml:space="preserve"> or less. </w:t>
      </w:r>
    </w:p>
    <w:p w14:paraId="28CA31C3" w14:textId="77777777" w:rsidR="00375AAA" w:rsidRDefault="00375AAA" w:rsidP="00A47DC0">
      <w:pPr>
        <w:rPr>
          <w:rFonts w:ascii="Arial" w:hAnsi="Arial" w:cs="Arial"/>
        </w:rPr>
      </w:pPr>
    </w:p>
    <w:p w14:paraId="7FA001E5" w14:textId="6CAC4B1B" w:rsidR="0043745F" w:rsidRPr="00A47DC0" w:rsidRDefault="0043745F" w:rsidP="00A47DC0">
      <w:pPr>
        <w:rPr>
          <w:rFonts w:ascii="Arial" w:hAnsi="Arial" w:cs="Arial"/>
        </w:rPr>
      </w:pPr>
      <w:r w:rsidRPr="00A47DC0">
        <w:rPr>
          <w:rFonts w:ascii="Arial" w:hAnsi="Arial" w:cs="Arial"/>
        </w:rPr>
        <w:t xml:space="preserve">Lower occupancy venues are generally considered low risk, especially those where liquor is ancillary to the primary purpose of the business, for example, serving food. </w:t>
      </w:r>
    </w:p>
    <w:p w14:paraId="3875B344" w14:textId="77777777" w:rsidR="0043745F" w:rsidRDefault="0043745F" w:rsidP="00A47DC0">
      <w:pPr>
        <w:rPr>
          <w:rFonts w:ascii="Arial" w:hAnsi="Arial" w:cs="Arial"/>
        </w:rPr>
      </w:pPr>
      <w:r w:rsidRPr="00A47DC0">
        <w:rPr>
          <w:rFonts w:ascii="Arial" w:hAnsi="Arial" w:cs="Arial"/>
        </w:rPr>
        <w:t xml:space="preserve">It can be considered that the restaurant and café sector, in particular, can have a significant role in both promoting a safe and sustainable nightlife, while minimising the risk of alcohol-rated harms and diversifying the patronage of venues, improving safety and the vitality of the night-time economy. </w:t>
      </w:r>
    </w:p>
    <w:p w14:paraId="40027C50" w14:textId="77777777" w:rsidR="00A47DC0" w:rsidRPr="00A47DC0" w:rsidRDefault="00A47DC0" w:rsidP="00A47DC0">
      <w:pPr>
        <w:rPr>
          <w:rFonts w:ascii="Arial" w:hAnsi="Arial" w:cs="Arial"/>
        </w:rPr>
      </w:pPr>
    </w:p>
    <w:p w14:paraId="166B01F6" w14:textId="679DEC98" w:rsidR="0043745F" w:rsidRPr="00A47DC0" w:rsidRDefault="002956A8" w:rsidP="00A47DC0">
      <w:pPr>
        <w:rPr>
          <w:rFonts w:ascii="Arial" w:hAnsi="Arial" w:cs="Arial"/>
        </w:rPr>
      </w:pPr>
      <w:r>
        <w:rPr>
          <w:rFonts w:ascii="Arial" w:hAnsi="Arial" w:cs="Arial"/>
        </w:rPr>
        <w:t>The reforms are</w:t>
      </w:r>
      <w:r w:rsidR="00375AAA">
        <w:rPr>
          <w:rFonts w:ascii="Arial" w:hAnsi="Arial" w:cs="Arial"/>
        </w:rPr>
        <w:t xml:space="preserve"> </w:t>
      </w:r>
      <w:r w:rsidR="00A47DC0">
        <w:rPr>
          <w:rFonts w:ascii="Arial" w:hAnsi="Arial" w:cs="Arial"/>
        </w:rPr>
        <w:t>intended to</w:t>
      </w:r>
      <w:r w:rsidR="0043745F" w:rsidRPr="00A47DC0">
        <w:rPr>
          <w:rFonts w:ascii="Arial" w:hAnsi="Arial" w:cs="Arial"/>
        </w:rPr>
        <w:t xml:space="preserve"> help businesses establish and renew their licences with lower fees commensurate with their level of risk, which will incentivise the operation of such businesses, diversifying Canberra’s night-time economy and achieving the aim of supporting smaller businesses to remain competitive with larger establishments.</w:t>
      </w:r>
      <w:r w:rsidR="00E44A5A">
        <w:rPr>
          <w:rFonts w:ascii="Arial" w:hAnsi="Arial" w:cs="Arial"/>
        </w:rPr>
        <w:t xml:space="preserve"> </w:t>
      </w:r>
    </w:p>
    <w:p w14:paraId="431B0BC9" w14:textId="77777777" w:rsidR="0043745F" w:rsidRDefault="0043745F" w:rsidP="000550CC">
      <w:pPr>
        <w:rPr>
          <w:rFonts w:ascii="Arial" w:hAnsi="Arial" w:cs="Arial"/>
        </w:rPr>
      </w:pPr>
    </w:p>
    <w:p w14:paraId="7877CFD0" w14:textId="3A00FE81" w:rsidR="000550CC" w:rsidRPr="00BC695B" w:rsidRDefault="000550CC" w:rsidP="000550CC">
      <w:pPr>
        <w:rPr>
          <w:rFonts w:ascii="Arial" w:hAnsi="Arial" w:cs="Arial"/>
          <w:b/>
          <w:bCs/>
        </w:rPr>
      </w:pPr>
      <w:r w:rsidRPr="0043745F">
        <w:rPr>
          <w:rFonts w:ascii="Arial" w:hAnsi="Arial" w:cs="Arial"/>
          <w:b/>
          <w:bCs/>
        </w:rPr>
        <w:t xml:space="preserve">CONSULTATION </w:t>
      </w:r>
    </w:p>
    <w:p w14:paraId="110AE16B" w14:textId="3D305B44" w:rsidR="000550CC" w:rsidRPr="00BC695B" w:rsidRDefault="000550CC">
      <w:pPr>
        <w:rPr>
          <w:highlight w:val="yellow"/>
        </w:rPr>
      </w:pPr>
    </w:p>
    <w:p w14:paraId="145B40A0" w14:textId="54327A27" w:rsidR="00A47DC0" w:rsidRDefault="00A47DC0" w:rsidP="00A47DC0">
      <w:pPr>
        <w:rPr>
          <w:rFonts w:ascii="Arial" w:hAnsi="Arial" w:cs="Arial"/>
        </w:rPr>
      </w:pPr>
      <w:r w:rsidRPr="00A47DC0">
        <w:rPr>
          <w:rFonts w:ascii="Arial" w:hAnsi="Arial" w:cs="Arial"/>
        </w:rPr>
        <w:t>The ACT Government has committed to undertake a review of the regulatory and non-regulatory settings for the night-time economy</w:t>
      </w:r>
      <w:r>
        <w:rPr>
          <w:rFonts w:ascii="Arial" w:hAnsi="Arial" w:cs="Arial"/>
        </w:rPr>
        <w:t xml:space="preserve"> (NTE)</w:t>
      </w:r>
      <w:r w:rsidRPr="00A47DC0">
        <w:rPr>
          <w:rFonts w:ascii="Arial" w:hAnsi="Arial" w:cs="Arial"/>
        </w:rPr>
        <w:t>.</w:t>
      </w:r>
      <w:r>
        <w:rPr>
          <w:rFonts w:ascii="Arial" w:hAnsi="Arial" w:cs="Arial"/>
        </w:rPr>
        <w:t xml:space="preserve"> </w:t>
      </w:r>
      <w:r w:rsidRPr="00A47DC0">
        <w:rPr>
          <w:rFonts w:ascii="Arial" w:hAnsi="Arial" w:cs="Arial"/>
        </w:rPr>
        <w:t>Regulatory reform can be seen as a necessary condition for growth, lowering business costs and reducing barriers to entry. More flexible and responsive regulatory arrangements also enable businesses to experiment and innovate, which can lead to changed operating models and increase the resilience of small businesses in the NTE.</w:t>
      </w:r>
    </w:p>
    <w:p w14:paraId="039F77E5" w14:textId="77777777" w:rsidR="00A47DC0" w:rsidRDefault="00A47DC0" w:rsidP="00A47DC0">
      <w:pPr>
        <w:rPr>
          <w:rFonts w:ascii="Arial" w:hAnsi="Arial" w:cs="Arial"/>
        </w:rPr>
      </w:pPr>
    </w:p>
    <w:p w14:paraId="535B74FF" w14:textId="68B8101D" w:rsidR="000550CC" w:rsidRPr="00A47DC0" w:rsidRDefault="00A47DC0" w:rsidP="00A47DC0">
      <w:pPr>
        <w:rPr>
          <w:rFonts w:ascii="Arial" w:hAnsi="Arial" w:cs="Arial"/>
        </w:rPr>
      </w:pPr>
      <w:r w:rsidRPr="00A47DC0">
        <w:rPr>
          <w:rFonts w:ascii="Arial" w:hAnsi="Arial" w:cs="Arial"/>
        </w:rPr>
        <w:t>Public c</w:t>
      </w:r>
      <w:r w:rsidR="00BD2C75" w:rsidRPr="00A47DC0">
        <w:rPr>
          <w:rFonts w:ascii="Arial" w:hAnsi="Arial" w:cs="Arial"/>
        </w:rPr>
        <w:t xml:space="preserve">onsultation </w:t>
      </w:r>
      <w:r w:rsidRPr="00A47DC0">
        <w:rPr>
          <w:rFonts w:ascii="Arial" w:hAnsi="Arial" w:cs="Arial"/>
        </w:rPr>
        <w:t xml:space="preserve">was conducted between July and </w:t>
      </w:r>
      <w:r w:rsidR="00165FD5">
        <w:rPr>
          <w:rFonts w:ascii="Arial" w:hAnsi="Arial" w:cs="Arial"/>
        </w:rPr>
        <w:t>October</w:t>
      </w:r>
      <w:r w:rsidR="00165FD5" w:rsidRPr="00A47DC0">
        <w:rPr>
          <w:rFonts w:ascii="Arial" w:hAnsi="Arial" w:cs="Arial"/>
        </w:rPr>
        <w:t xml:space="preserve"> </w:t>
      </w:r>
      <w:r w:rsidRPr="00A47DC0">
        <w:rPr>
          <w:rFonts w:ascii="Arial" w:hAnsi="Arial" w:cs="Arial"/>
        </w:rPr>
        <w:t xml:space="preserve">2023 via three business workshops and two community workshops. </w:t>
      </w:r>
    </w:p>
    <w:p w14:paraId="76A44EFF" w14:textId="77777777" w:rsidR="000550CC" w:rsidRPr="00BC695B" w:rsidRDefault="000550CC" w:rsidP="000550CC">
      <w:pPr>
        <w:rPr>
          <w:rFonts w:ascii="Arial" w:hAnsi="Arial" w:cs="Arial"/>
          <w:highlight w:val="yellow"/>
        </w:rPr>
      </w:pPr>
    </w:p>
    <w:p w14:paraId="5A11CD5B" w14:textId="784F0824" w:rsidR="00A47DC0" w:rsidRPr="00A47DC0" w:rsidRDefault="00A47DC0" w:rsidP="00A47DC0">
      <w:pPr>
        <w:rPr>
          <w:rFonts w:ascii="Arial" w:hAnsi="Arial" w:cs="Arial"/>
        </w:rPr>
      </w:pPr>
      <w:r w:rsidRPr="00A47DC0">
        <w:rPr>
          <w:rFonts w:ascii="Arial" w:hAnsi="Arial" w:cs="Arial"/>
        </w:rPr>
        <w:t>In addition to the public consultation, e</w:t>
      </w:r>
      <w:r w:rsidR="000550CC" w:rsidRPr="00A47DC0">
        <w:rPr>
          <w:rFonts w:ascii="Arial" w:hAnsi="Arial" w:cs="Arial"/>
        </w:rPr>
        <w:t xml:space="preserve">xtensive analysis </w:t>
      </w:r>
      <w:r w:rsidRPr="00A47DC0">
        <w:rPr>
          <w:rFonts w:ascii="Arial" w:hAnsi="Arial" w:cs="Arial"/>
        </w:rPr>
        <w:t>has been</w:t>
      </w:r>
      <w:r w:rsidR="000550CC" w:rsidRPr="00A47DC0">
        <w:rPr>
          <w:rFonts w:ascii="Arial" w:hAnsi="Arial" w:cs="Arial"/>
        </w:rPr>
        <w:t xml:space="preserve"> undertaken by the Better Regulation Taskforce, </w:t>
      </w:r>
      <w:r w:rsidR="009662A2" w:rsidRPr="00A47DC0">
        <w:rPr>
          <w:rFonts w:ascii="Arial" w:hAnsi="Arial" w:cs="Arial"/>
        </w:rPr>
        <w:t xml:space="preserve">the </w:t>
      </w:r>
      <w:r w:rsidR="000550CC" w:rsidRPr="00A47DC0">
        <w:rPr>
          <w:rFonts w:ascii="Arial" w:hAnsi="Arial" w:cs="Arial"/>
        </w:rPr>
        <w:t xml:space="preserve">Justice and Community </w:t>
      </w:r>
      <w:r w:rsidR="00165FD5">
        <w:rPr>
          <w:rFonts w:ascii="Arial" w:hAnsi="Arial" w:cs="Arial"/>
        </w:rPr>
        <w:t>Safety</w:t>
      </w:r>
      <w:r w:rsidR="00165FD5" w:rsidRPr="00A47DC0">
        <w:rPr>
          <w:rFonts w:ascii="Arial" w:hAnsi="Arial" w:cs="Arial"/>
        </w:rPr>
        <w:t xml:space="preserve"> </w:t>
      </w:r>
      <w:r w:rsidR="000550CC" w:rsidRPr="00A47DC0">
        <w:rPr>
          <w:rFonts w:ascii="Arial" w:hAnsi="Arial" w:cs="Arial"/>
        </w:rPr>
        <w:t xml:space="preserve">Directorate and Access Canberra. </w:t>
      </w:r>
      <w:r w:rsidRPr="00A47DC0">
        <w:rPr>
          <w:rFonts w:ascii="Arial" w:hAnsi="Arial" w:cs="Arial"/>
        </w:rPr>
        <w:t xml:space="preserve">Amendments to the </w:t>
      </w:r>
      <w:r w:rsidRPr="00A47DC0">
        <w:rPr>
          <w:rFonts w:ascii="Arial" w:hAnsi="Arial" w:cs="Arial"/>
          <w:i/>
          <w:iCs/>
        </w:rPr>
        <w:t>Liquor Regulation 2010</w:t>
      </w:r>
      <w:r w:rsidRPr="00A47DC0">
        <w:rPr>
          <w:rFonts w:ascii="Arial" w:hAnsi="Arial" w:cs="Arial"/>
        </w:rPr>
        <w:t xml:space="preserve"> are intended to be the first in a tranche of reforms to better support businesses</w:t>
      </w:r>
      <w:r>
        <w:rPr>
          <w:rFonts w:ascii="Arial" w:hAnsi="Arial" w:cs="Arial"/>
        </w:rPr>
        <w:t xml:space="preserve"> </w:t>
      </w:r>
      <w:r w:rsidR="00C63544">
        <w:rPr>
          <w:rFonts w:ascii="Arial" w:hAnsi="Arial" w:cs="Arial"/>
        </w:rPr>
        <w:t xml:space="preserve">and help with the diversification of the night-time economy in Canberra, contributing to additional employment, and wellbeing benefits for consumers of night-time offerings. </w:t>
      </w:r>
    </w:p>
    <w:p w14:paraId="18779037" w14:textId="7800051B" w:rsidR="000550CC" w:rsidRPr="00BC695B" w:rsidRDefault="000550CC" w:rsidP="000550CC">
      <w:pPr>
        <w:rPr>
          <w:rFonts w:ascii="Arial" w:hAnsi="Arial" w:cs="Arial"/>
          <w:highlight w:val="yellow"/>
        </w:rPr>
      </w:pPr>
    </w:p>
    <w:p w14:paraId="3238CE4F" w14:textId="77777777" w:rsidR="00BF424E" w:rsidRDefault="00BF424E" w:rsidP="000550CC">
      <w:pPr>
        <w:rPr>
          <w:rFonts w:ascii="Arial" w:hAnsi="Arial" w:cs="Arial"/>
          <w:b/>
          <w:bCs/>
        </w:rPr>
      </w:pPr>
    </w:p>
    <w:p w14:paraId="2C0083CB" w14:textId="77777777" w:rsidR="00BF424E" w:rsidRDefault="00BF424E" w:rsidP="000550CC">
      <w:pPr>
        <w:rPr>
          <w:rFonts w:ascii="Arial" w:hAnsi="Arial" w:cs="Arial"/>
          <w:b/>
          <w:bCs/>
        </w:rPr>
      </w:pPr>
    </w:p>
    <w:p w14:paraId="0BE769D4" w14:textId="77777777" w:rsidR="00BF424E" w:rsidRDefault="00BF424E" w:rsidP="000550CC">
      <w:pPr>
        <w:rPr>
          <w:rFonts w:ascii="Arial" w:hAnsi="Arial" w:cs="Arial"/>
          <w:b/>
          <w:bCs/>
        </w:rPr>
      </w:pPr>
    </w:p>
    <w:p w14:paraId="1DAC6CAC" w14:textId="77777777" w:rsidR="00BF424E" w:rsidRDefault="00BF424E" w:rsidP="000550CC">
      <w:pPr>
        <w:rPr>
          <w:rFonts w:ascii="Arial" w:hAnsi="Arial" w:cs="Arial"/>
          <w:b/>
          <w:bCs/>
        </w:rPr>
      </w:pPr>
    </w:p>
    <w:p w14:paraId="5FD8F3BD" w14:textId="47D3A6A2" w:rsidR="000550CC" w:rsidRPr="00BC695B" w:rsidRDefault="000550CC" w:rsidP="000550CC">
      <w:pPr>
        <w:rPr>
          <w:rFonts w:ascii="Arial" w:hAnsi="Arial" w:cs="Arial"/>
          <w:b/>
          <w:bCs/>
        </w:rPr>
      </w:pPr>
      <w:r w:rsidRPr="00BC695B">
        <w:rPr>
          <w:rFonts w:ascii="Arial" w:hAnsi="Arial" w:cs="Arial"/>
          <w:b/>
          <w:bCs/>
        </w:rPr>
        <w:lastRenderedPageBreak/>
        <w:t>CONSISTENCY WITH HUMAN RIGHTS</w:t>
      </w:r>
    </w:p>
    <w:p w14:paraId="210B82A3" w14:textId="77777777" w:rsidR="000550CC" w:rsidRPr="00BC695B" w:rsidRDefault="000550CC" w:rsidP="000550CC">
      <w:pPr>
        <w:rPr>
          <w:rFonts w:ascii="Arial" w:hAnsi="Arial" w:cs="Arial"/>
          <w:b/>
          <w:bCs/>
          <w:highlight w:val="yellow"/>
          <w:u w:val="single"/>
        </w:rPr>
      </w:pPr>
    </w:p>
    <w:p w14:paraId="519F6D0C" w14:textId="44FD810E" w:rsidR="000550CC" w:rsidRPr="00BC695B" w:rsidRDefault="000550CC" w:rsidP="000550CC">
      <w:pPr>
        <w:rPr>
          <w:rFonts w:ascii="Arial" w:hAnsi="Arial" w:cs="Arial"/>
        </w:rPr>
      </w:pPr>
      <w:r w:rsidRPr="00BC695B">
        <w:rPr>
          <w:rFonts w:ascii="Arial" w:hAnsi="Arial" w:cs="Arial"/>
        </w:rPr>
        <w:t xml:space="preserve">All legislative regulations must be compatible with the </w:t>
      </w:r>
      <w:r w:rsidRPr="00BC695B">
        <w:rPr>
          <w:rFonts w:ascii="Arial" w:hAnsi="Arial" w:cs="Arial"/>
          <w:i/>
          <w:iCs/>
        </w:rPr>
        <w:t>Human Rights Act 2004</w:t>
      </w:r>
      <w:r w:rsidRPr="00BC695B">
        <w:rPr>
          <w:rFonts w:ascii="Arial" w:hAnsi="Arial" w:cs="Arial"/>
        </w:rPr>
        <w:t xml:space="preserve"> (HR Act). The compatibility of the </w:t>
      </w:r>
      <w:r w:rsidR="00BC695B" w:rsidRPr="00E44A5A">
        <w:rPr>
          <w:rFonts w:ascii="Arial" w:hAnsi="Arial" w:cs="Arial"/>
          <w:i/>
          <w:iCs/>
        </w:rPr>
        <w:t xml:space="preserve">Liquor </w:t>
      </w:r>
      <w:r w:rsidR="001C1611">
        <w:rPr>
          <w:rFonts w:ascii="Arial" w:hAnsi="Arial" w:cs="Arial"/>
          <w:i/>
          <w:iCs/>
        </w:rPr>
        <w:t xml:space="preserve">Amendment </w:t>
      </w:r>
      <w:r w:rsidRPr="00E44A5A">
        <w:rPr>
          <w:rFonts w:ascii="Arial" w:hAnsi="Arial" w:cs="Arial"/>
          <w:i/>
          <w:iCs/>
        </w:rPr>
        <w:t xml:space="preserve">Regulation </w:t>
      </w:r>
      <w:r w:rsidR="001C1611">
        <w:rPr>
          <w:rFonts w:ascii="Arial" w:hAnsi="Arial" w:cs="Arial"/>
          <w:i/>
          <w:iCs/>
        </w:rPr>
        <w:t>2023</w:t>
      </w:r>
      <w:r w:rsidR="00375AAA">
        <w:rPr>
          <w:rFonts w:ascii="Arial" w:hAnsi="Arial" w:cs="Arial"/>
          <w:i/>
          <w:iCs/>
        </w:rPr>
        <w:t xml:space="preserve"> (No </w:t>
      </w:r>
      <w:r w:rsidR="00DB4F29">
        <w:rPr>
          <w:rFonts w:ascii="Arial" w:hAnsi="Arial" w:cs="Arial"/>
          <w:i/>
          <w:iCs/>
        </w:rPr>
        <w:t>1</w:t>
      </w:r>
      <w:r w:rsidR="00375AAA">
        <w:rPr>
          <w:rFonts w:ascii="Arial" w:hAnsi="Arial" w:cs="Arial"/>
          <w:i/>
          <w:iCs/>
        </w:rPr>
        <w:t>)</w:t>
      </w:r>
      <w:r w:rsidR="001C1611">
        <w:rPr>
          <w:rFonts w:ascii="Arial" w:hAnsi="Arial" w:cs="Arial"/>
          <w:i/>
          <w:iCs/>
        </w:rPr>
        <w:t xml:space="preserve"> </w:t>
      </w:r>
      <w:r w:rsidRPr="00BC695B">
        <w:rPr>
          <w:rFonts w:ascii="Arial" w:hAnsi="Arial" w:cs="Arial"/>
        </w:rPr>
        <w:t>was considered during its development.</w:t>
      </w:r>
    </w:p>
    <w:p w14:paraId="6C274A49" w14:textId="77777777" w:rsidR="000550CC" w:rsidRPr="00BC695B" w:rsidRDefault="000550CC" w:rsidP="000550CC">
      <w:pPr>
        <w:rPr>
          <w:rFonts w:ascii="Arial" w:hAnsi="Arial" w:cs="Arial"/>
        </w:rPr>
      </w:pPr>
    </w:p>
    <w:p w14:paraId="3A59C60F" w14:textId="7F5BF121" w:rsidR="000550CC" w:rsidRPr="00BC695B" w:rsidRDefault="000550CC" w:rsidP="000550CC">
      <w:pPr>
        <w:rPr>
          <w:rFonts w:ascii="Arial" w:hAnsi="Arial" w:cs="Arial"/>
        </w:rPr>
      </w:pPr>
      <w:r w:rsidRPr="00BC695B">
        <w:rPr>
          <w:rFonts w:ascii="Arial" w:hAnsi="Arial" w:cs="Arial"/>
        </w:rPr>
        <w:t xml:space="preserve">An assessment of the </w:t>
      </w:r>
      <w:r w:rsidR="001C1611">
        <w:rPr>
          <w:rFonts w:ascii="Arial" w:hAnsi="Arial" w:cs="Arial"/>
        </w:rPr>
        <w:t xml:space="preserve">Amendment </w:t>
      </w:r>
      <w:r w:rsidRPr="00BC695B">
        <w:rPr>
          <w:rFonts w:ascii="Arial" w:hAnsi="Arial" w:cs="Arial"/>
        </w:rPr>
        <w:t>Regulation against the rights protected by the HR Act is provided below.</w:t>
      </w:r>
    </w:p>
    <w:p w14:paraId="21100AE3" w14:textId="77777777" w:rsidR="000550CC" w:rsidRPr="00BC695B" w:rsidRDefault="000550CC" w:rsidP="000550CC">
      <w:pPr>
        <w:rPr>
          <w:rFonts w:ascii="Arial" w:hAnsi="Arial" w:cs="Arial"/>
          <w:highlight w:val="yellow"/>
        </w:rPr>
      </w:pPr>
    </w:p>
    <w:p w14:paraId="7F7E6D58" w14:textId="77777777" w:rsidR="000550CC" w:rsidRPr="00BC695B" w:rsidRDefault="000550CC" w:rsidP="000550CC">
      <w:pPr>
        <w:rPr>
          <w:rFonts w:ascii="Arial" w:hAnsi="Arial" w:cs="Arial"/>
          <w:b/>
          <w:bCs/>
          <w:u w:val="single"/>
        </w:rPr>
      </w:pPr>
      <w:r w:rsidRPr="00BC695B">
        <w:rPr>
          <w:rFonts w:ascii="Arial" w:hAnsi="Arial" w:cs="Arial"/>
          <w:b/>
          <w:bCs/>
          <w:u w:val="single"/>
        </w:rPr>
        <w:t>Rights engaged</w:t>
      </w:r>
    </w:p>
    <w:p w14:paraId="16CA0971" w14:textId="29CBBE91" w:rsidR="000550CC" w:rsidRPr="00BC695B" w:rsidRDefault="000550CC"/>
    <w:p w14:paraId="137F92D0" w14:textId="77777777" w:rsidR="00C37E4B" w:rsidRPr="00BC695B" w:rsidRDefault="00C37E4B" w:rsidP="00C37E4B">
      <w:pPr>
        <w:rPr>
          <w:rFonts w:ascii="Arial" w:hAnsi="Arial" w:cs="Arial"/>
        </w:rPr>
      </w:pPr>
      <w:r w:rsidRPr="00BC695B">
        <w:rPr>
          <w:rFonts w:ascii="Arial" w:hAnsi="Arial" w:cs="Arial"/>
        </w:rPr>
        <w:t>Under the HR Act, human rights means:</w:t>
      </w:r>
    </w:p>
    <w:p w14:paraId="202FFDA5" w14:textId="77777777" w:rsidR="00C37E4B" w:rsidRPr="00BC695B" w:rsidRDefault="00C37E4B" w:rsidP="00C37E4B">
      <w:pPr>
        <w:pStyle w:val="ListParagraph"/>
        <w:numPr>
          <w:ilvl w:val="0"/>
          <w:numId w:val="1"/>
        </w:numPr>
        <w:rPr>
          <w:rFonts w:ascii="Arial" w:hAnsi="Arial" w:cs="Arial"/>
        </w:rPr>
      </w:pPr>
      <w:r w:rsidRPr="00BC695B">
        <w:rPr>
          <w:rFonts w:ascii="Arial" w:hAnsi="Arial" w:cs="Arial"/>
        </w:rPr>
        <w:t>the civil and political rights in part 3 of the HR Act; and</w:t>
      </w:r>
    </w:p>
    <w:p w14:paraId="6C2272BD" w14:textId="77777777" w:rsidR="00C37E4B" w:rsidRPr="00BC695B" w:rsidRDefault="00C37E4B" w:rsidP="00C37E4B">
      <w:pPr>
        <w:pStyle w:val="ListParagraph"/>
        <w:numPr>
          <w:ilvl w:val="0"/>
          <w:numId w:val="1"/>
        </w:numPr>
        <w:rPr>
          <w:rFonts w:ascii="Arial" w:hAnsi="Arial" w:cs="Arial"/>
        </w:rPr>
      </w:pPr>
      <w:r w:rsidRPr="00BC695B">
        <w:rPr>
          <w:rFonts w:ascii="Arial" w:hAnsi="Arial" w:cs="Arial"/>
        </w:rPr>
        <w:t>the economic, social and cultural rights in part 3A.</w:t>
      </w:r>
    </w:p>
    <w:p w14:paraId="085A83D1" w14:textId="71ECCC06" w:rsidR="00C37E4B" w:rsidRPr="00BC695B" w:rsidRDefault="00C37E4B">
      <w:pPr>
        <w:rPr>
          <w:highlight w:val="yellow"/>
        </w:rPr>
      </w:pPr>
    </w:p>
    <w:p w14:paraId="7980B396" w14:textId="4C4CE1FB" w:rsidR="00C37E4B" w:rsidRDefault="00C37E4B" w:rsidP="00C37E4B">
      <w:pPr>
        <w:rPr>
          <w:rFonts w:ascii="Arial" w:hAnsi="Arial" w:cs="Arial"/>
        </w:rPr>
      </w:pPr>
      <w:r w:rsidRPr="00D14171">
        <w:rPr>
          <w:rFonts w:ascii="Arial" w:hAnsi="Arial" w:cs="Arial"/>
        </w:rPr>
        <w:t xml:space="preserve">The </w:t>
      </w:r>
      <w:r w:rsidR="00D14171" w:rsidRPr="00D14171">
        <w:rPr>
          <w:rFonts w:ascii="Arial" w:hAnsi="Arial" w:cs="Arial"/>
          <w:i/>
          <w:iCs/>
        </w:rPr>
        <w:t>Liquor</w:t>
      </w:r>
      <w:r w:rsidR="001C1611">
        <w:rPr>
          <w:rFonts w:ascii="Arial" w:hAnsi="Arial" w:cs="Arial"/>
          <w:i/>
          <w:iCs/>
        </w:rPr>
        <w:t xml:space="preserve"> Amendment </w:t>
      </w:r>
      <w:r w:rsidRPr="00D14171">
        <w:rPr>
          <w:rFonts w:ascii="Arial" w:hAnsi="Arial" w:cs="Arial"/>
          <w:i/>
          <w:iCs/>
        </w:rPr>
        <w:t xml:space="preserve">Regulation </w:t>
      </w:r>
      <w:r w:rsidR="001C1611">
        <w:rPr>
          <w:rFonts w:ascii="Arial" w:hAnsi="Arial" w:cs="Arial"/>
          <w:i/>
          <w:iCs/>
        </w:rPr>
        <w:t xml:space="preserve">2023 </w:t>
      </w:r>
      <w:r w:rsidR="002956A8">
        <w:rPr>
          <w:rFonts w:ascii="Arial" w:hAnsi="Arial" w:cs="Arial"/>
          <w:i/>
          <w:iCs/>
        </w:rPr>
        <w:t xml:space="preserve">(No </w:t>
      </w:r>
      <w:r w:rsidR="00DB4F29">
        <w:rPr>
          <w:rFonts w:ascii="Arial" w:hAnsi="Arial" w:cs="Arial"/>
          <w:i/>
          <w:iCs/>
        </w:rPr>
        <w:t>1</w:t>
      </w:r>
      <w:r w:rsidR="002956A8">
        <w:rPr>
          <w:rFonts w:ascii="Arial" w:hAnsi="Arial" w:cs="Arial"/>
          <w:i/>
          <w:iCs/>
        </w:rPr>
        <w:t xml:space="preserve">) </w:t>
      </w:r>
      <w:r w:rsidR="00D14171" w:rsidRPr="00D14171">
        <w:rPr>
          <w:rFonts w:ascii="Arial" w:hAnsi="Arial" w:cs="Arial"/>
        </w:rPr>
        <w:t xml:space="preserve">does not </w:t>
      </w:r>
      <w:r w:rsidRPr="00D14171">
        <w:rPr>
          <w:rFonts w:ascii="Arial" w:hAnsi="Arial" w:cs="Arial"/>
        </w:rPr>
        <w:t>engage</w:t>
      </w:r>
      <w:r w:rsidR="00D14171" w:rsidRPr="00D14171">
        <w:rPr>
          <w:rFonts w:ascii="Arial" w:hAnsi="Arial" w:cs="Arial"/>
        </w:rPr>
        <w:t xml:space="preserve"> any of the rights provided for under the HR Act.</w:t>
      </w:r>
    </w:p>
    <w:p w14:paraId="3E1899F5" w14:textId="77777777" w:rsidR="00165FD5" w:rsidRPr="00D14171" w:rsidRDefault="00165FD5" w:rsidP="00C37E4B">
      <w:pPr>
        <w:rPr>
          <w:rFonts w:ascii="Arial" w:hAnsi="Arial" w:cs="Arial"/>
        </w:rPr>
      </w:pPr>
    </w:p>
    <w:p w14:paraId="6F843BF2" w14:textId="77777777" w:rsidR="006973CE" w:rsidRDefault="006973CE" w:rsidP="007F1313">
      <w:pPr>
        <w:rPr>
          <w:rFonts w:ascii="Arial" w:hAnsi="Arial" w:cs="Arial"/>
          <w:b/>
          <w:bCs/>
        </w:rPr>
      </w:pPr>
    </w:p>
    <w:p w14:paraId="66BF3DC5" w14:textId="7C84036C" w:rsidR="007F1313" w:rsidRDefault="007F1313" w:rsidP="007F1313">
      <w:pPr>
        <w:rPr>
          <w:rFonts w:ascii="Arial" w:hAnsi="Arial" w:cs="Arial"/>
          <w:b/>
          <w:bCs/>
        </w:rPr>
      </w:pPr>
      <w:r w:rsidRPr="00FB2C43">
        <w:rPr>
          <w:rFonts w:ascii="Arial" w:hAnsi="Arial" w:cs="Arial"/>
          <w:b/>
          <w:bCs/>
        </w:rPr>
        <w:t>CLAUSE NOTES</w:t>
      </w:r>
    </w:p>
    <w:p w14:paraId="51B19AB0" w14:textId="77777777" w:rsidR="007F1313" w:rsidRPr="00B7244C" w:rsidRDefault="007F1313" w:rsidP="007F1313">
      <w:pPr>
        <w:rPr>
          <w:rFonts w:ascii="Arial" w:hAnsi="Arial" w:cs="Arial"/>
          <w:b/>
          <w:bCs/>
        </w:rPr>
      </w:pPr>
    </w:p>
    <w:p w14:paraId="25882FE6" w14:textId="19090932" w:rsidR="007F1313" w:rsidRPr="00B7244C" w:rsidRDefault="007F1313" w:rsidP="00AF0764">
      <w:pPr>
        <w:spacing w:after="240"/>
        <w:rPr>
          <w:rFonts w:ascii="Arial" w:hAnsi="Arial" w:cs="Arial"/>
          <w:b/>
          <w:bCs/>
        </w:rPr>
      </w:pPr>
      <w:r>
        <w:rPr>
          <w:rFonts w:ascii="Arial" w:hAnsi="Arial" w:cs="Arial"/>
          <w:b/>
          <w:bCs/>
        </w:rPr>
        <w:t>Clause</w:t>
      </w:r>
      <w:r w:rsidRPr="00B7244C">
        <w:rPr>
          <w:rFonts w:ascii="Arial" w:hAnsi="Arial" w:cs="Arial"/>
          <w:b/>
          <w:bCs/>
        </w:rPr>
        <w:t xml:space="preserve"> 1</w:t>
      </w:r>
      <w:r w:rsidR="00662A49">
        <w:rPr>
          <w:rFonts w:ascii="Arial" w:hAnsi="Arial" w:cs="Arial"/>
          <w:b/>
          <w:bCs/>
        </w:rPr>
        <w:t xml:space="preserve"> – </w:t>
      </w:r>
      <w:r w:rsidR="001C1611">
        <w:rPr>
          <w:rFonts w:ascii="Arial" w:hAnsi="Arial" w:cs="Arial"/>
          <w:b/>
          <w:bCs/>
        </w:rPr>
        <w:t>Name of regulation</w:t>
      </w:r>
    </w:p>
    <w:p w14:paraId="74A25BD9" w14:textId="3C86499A" w:rsidR="007F1313" w:rsidRDefault="001C1611" w:rsidP="007F1313">
      <w:pPr>
        <w:rPr>
          <w:rFonts w:ascii="Arial" w:hAnsi="Arial" w:cs="Arial"/>
        </w:rPr>
      </w:pPr>
      <w:r>
        <w:rPr>
          <w:rFonts w:ascii="Arial" w:hAnsi="Arial" w:cs="Arial"/>
        </w:rPr>
        <w:t xml:space="preserve">This clause names the Regulation the </w:t>
      </w:r>
      <w:r w:rsidRPr="001C1611">
        <w:rPr>
          <w:rFonts w:ascii="Arial" w:hAnsi="Arial" w:cs="Arial"/>
          <w:i/>
          <w:iCs/>
        </w:rPr>
        <w:t>Liquor Amendment Regulation 2023</w:t>
      </w:r>
      <w:r w:rsidR="00375AAA">
        <w:rPr>
          <w:rFonts w:ascii="Arial" w:hAnsi="Arial" w:cs="Arial"/>
        </w:rPr>
        <w:t xml:space="preserve"> </w:t>
      </w:r>
      <w:r w:rsidR="00375AAA" w:rsidRPr="00375AAA">
        <w:rPr>
          <w:rFonts w:ascii="Arial" w:hAnsi="Arial" w:cs="Arial"/>
          <w:i/>
          <w:iCs/>
        </w:rPr>
        <w:t xml:space="preserve">(No </w:t>
      </w:r>
      <w:r w:rsidR="00DB4F29">
        <w:rPr>
          <w:rFonts w:ascii="Arial" w:hAnsi="Arial" w:cs="Arial"/>
          <w:i/>
          <w:iCs/>
        </w:rPr>
        <w:t>1</w:t>
      </w:r>
      <w:r w:rsidR="00375AAA" w:rsidRPr="00375AAA">
        <w:rPr>
          <w:rFonts w:ascii="Arial" w:hAnsi="Arial" w:cs="Arial"/>
          <w:i/>
          <w:iCs/>
        </w:rPr>
        <w:t>)</w:t>
      </w:r>
      <w:r w:rsidR="00375AAA">
        <w:rPr>
          <w:rFonts w:ascii="Arial" w:hAnsi="Arial" w:cs="Arial"/>
        </w:rPr>
        <w:t>.</w:t>
      </w:r>
    </w:p>
    <w:p w14:paraId="34FC7D61" w14:textId="77777777" w:rsidR="001C1611" w:rsidRPr="00B7244C" w:rsidRDefault="001C1611" w:rsidP="007F1313">
      <w:pPr>
        <w:rPr>
          <w:rFonts w:ascii="Arial" w:hAnsi="Arial" w:cs="Arial"/>
        </w:rPr>
      </w:pPr>
    </w:p>
    <w:p w14:paraId="1273C9A4" w14:textId="253E73E2" w:rsidR="007F1313" w:rsidRDefault="007F1313" w:rsidP="00AF0764">
      <w:pPr>
        <w:spacing w:after="240"/>
        <w:rPr>
          <w:rFonts w:ascii="Arial" w:hAnsi="Arial" w:cs="Arial"/>
          <w:b/>
          <w:bCs/>
        </w:rPr>
      </w:pPr>
      <w:r>
        <w:rPr>
          <w:rFonts w:ascii="Arial" w:hAnsi="Arial" w:cs="Arial"/>
          <w:b/>
          <w:bCs/>
        </w:rPr>
        <w:t>Clause</w:t>
      </w:r>
      <w:r w:rsidRPr="00B7244C">
        <w:rPr>
          <w:rFonts w:ascii="Arial" w:hAnsi="Arial" w:cs="Arial"/>
          <w:b/>
          <w:bCs/>
        </w:rPr>
        <w:t xml:space="preserve"> 2</w:t>
      </w:r>
      <w:r w:rsidR="00662A49">
        <w:rPr>
          <w:rFonts w:ascii="Arial" w:hAnsi="Arial" w:cs="Arial"/>
          <w:b/>
          <w:bCs/>
        </w:rPr>
        <w:t xml:space="preserve"> – </w:t>
      </w:r>
      <w:r w:rsidR="001C1611">
        <w:rPr>
          <w:rFonts w:ascii="Arial" w:hAnsi="Arial" w:cs="Arial"/>
          <w:b/>
          <w:bCs/>
        </w:rPr>
        <w:t>Commencement</w:t>
      </w:r>
    </w:p>
    <w:p w14:paraId="7979F3C7" w14:textId="29CB90C5" w:rsidR="000C5FDF" w:rsidRDefault="001C1611" w:rsidP="00165FD5">
      <w:pPr>
        <w:spacing w:after="240"/>
        <w:rPr>
          <w:rFonts w:ascii="Arial" w:hAnsi="Arial" w:cs="Arial"/>
        </w:rPr>
      </w:pPr>
      <w:r>
        <w:rPr>
          <w:rFonts w:ascii="Arial" w:hAnsi="Arial" w:cs="Arial"/>
        </w:rPr>
        <w:t>This clause specifies the commencement date of the Regulation which is 1 January 2024.</w:t>
      </w:r>
    </w:p>
    <w:p w14:paraId="3D894740" w14:textId="1F6B5280" w:rsidR="007F1313" w:rsidRDefault="007F1313" w:rsidP="00AF0764">
      <w:pPr>
        <w:spacing w:after="240"/>
        <w:rPr>
          <w:rFonts w:ascii="Arial" w:hAnsi="Arial" w:cs="Arial"/>
          <w:b/>
          <w:bCs/>
        </w:rPr>
      </w:pPr>
      <w:r>
        <w:rPr>
          <w:rFonts w:ascii="Arial" w:hAnsi="Arial" w:cs="Arial"/>
          <w:b/>
          <w:bCs/>
        </w:rPr>
        <w:t>Clause</w:t>
      </w:r>
      <w:r w:rsidRPr="00B7244C">
        <w:rPr>
          <w:rFonts w:ascii="Arial" w:hAnsi="Arial" w:cs="Arial"/>
          <w:b/>
          <w:bCs/>
        </w:rPr>
        <w:t xml:space="preserve"> 3 </w:t>
      </w:r>
      <w:r w:rsidR="00662A49">
        <w:rPr>
          <w:rFonts w:ascii="Arial" w:hAnsi="Arial" w:cs="Arial"/>
          <w:b/>
          <w:bCs/>
        </w:rPr>
        <w:t>–</w:t>
      </w:r>
      <w:r w:rsidR="001C1611">
        <w:rPr>
          <w:rFonts w:ascii="Arial" w:hAnsi="Arial" w:cs="Arial"/>
          <w:b/>
          <w:bCs/>
        </w:rPr>
        <w:t xml:space="preserve"> Legislation amended</w:t>
      </w:r>
    </w:p>
    <w:p w14:paraId="3357942E" w14:textId="469A021E" w:rsidR="007F1313" w:rsidRDefault="001C1611" w:rsidP="00165FD5">
      <w:pPr>
        <w:spacing w:after="240"/>
        <w:rPr>
          <w:rFonts w:ascii="Arial" w:hAnsi="Arial" w:cs="Arial"/>
        </w:rPr>
      </w:pPr>
      <w:r>
        <w:rPr>
          <w:rFonts w:ascii="Arial" w:hAnsi="Arial" w:cs="Arial"/>
        </w:rPr>
        <w:t xml:space="preserve">This clause specifies the Regulation amends the </w:t>
      </w:r>
      <w:r w:rsidRPr="001C1611">
        <w:rPr>
          <w:rFonts w:ascii="Arial" w:hAnsi="Arial" w:cs="Arial"/>
          <w:i/>
          <w:iCs/>
        </w:rPr>
        <w:t>Liquor Regulation 2010</w:t>
      </w:r>
      <w:r>
        <w:rPr>
          <w:rFonts w:ascii="Arial" w:hAnsi="Arial" w:cs="Arial"/>
        </w:rPr>
        <w:t>.</w:t>
      </w:r>
    </w:p>
    <w:p w14:paraId="7E21B86A" w14:textId="7649394F" w:rsidR="007F1313" w:rsidRDefault="007F1313" w:rsidP="00AF0764">
      <w:pPr>
        <w:spacing w:after="240"/>
        <w:rPr>
          <w:rFonts w:ascii="Arial" w:hAnsi="Arial" w:cs="Arial"/>
          <w:b/>
          <w:bCs/>
        </w:rPr>
      </w:pPr>
      <w:r>
        <w:rPr>
          <w:rFonts w:ascii="Arial" w:hAnsi="Arial" w:cs="Arial"/>
          <w:b/>
          <w:bCs/>
        </w:rPr>
        <w:t>Clause</w:t>
      </w:r>
      <w:r w:rsidRPr="00B7244C">
        <w:rPr>
          <w:rFonts w:ascii="Arial" w:hAnsi="Arial" w:cs="Arial"/>
          <w:b/>
          <w:bCs/>
        </w:rPr>
        <w:t xml:space="preserve"> 4 </w:t>
      </w:r>
      <w:r w:rsidR="00662A49">
        <w:rPr>
          <w:rFonts w:ascii="Arial" w:hAnsi="Arial" w:cs="Arial"/>
          <w:b/>
          <w:bCs/>
        </w:rPr>
        <w:t>–</w:t>
      </w:r>
      <w:r w:rsidR="00B82585">
        <w:rPr>
          <w:rFonts w:ascii="Arial" w:hAnsi="Arial" w:cs="Arial"/>
          <w:b/>
          <w:bCs/>
        </w:rPr>
        <w:t xml:space="preserve"> </w:t>
      </w:r>
      <w:r w:rsidR="001C1611">
        <w:rPr>
          <w:rFonts w:ascii="Arial" w:hAnsi="Arial" w:cs="Arial"/>
          <w:b/>
          <w:bCs/>
        </w:rPr>
        <w:t>Schedule 1, section 1.7</w:t>
      </w:r>
      <w:r w:rsidR="00662A49">
        <w:rPr>
          <w:rFonts w:ascii="Arial" w:hAnsi="Arial" w:cs="Arial"/>
          <w:b/>
          <w:bCs/>
        </w:rPr>
        <w:t xml:space="preserve"> </w:t>
      </w:r>
    </w:p>
    <w:p w14:paraId="6EACAF78" w14:textId="5559A1DF" w:rsidR="007F1313" w:rsidRPr="00B7244C" w:rsidRDefault="001C1611" w:rsidP="00165FD5">
      <w:pPr>
        <w:spacing w:after="240"/>
        <w:rPr>
          <w:rFonts w:ascii="Arial" w:hAnsi="Arial" w:cs="Arial"/>
        </w:rPr>
      </w:pPr>
      <w:r>
        <w:rPr>
          <w:rFonts w:ascii="Arial" w:hAnsi="Arial" w:cs="Arial"/>
        </w:rPr>
        <w:t xml:space="preserve">This clause specifies that section 1.7 of Schedule 1 of the </w:t>
      </w:r>
      <w:r w:rsidRPr="001C1611">
        <w:rPr>
          <w:rFonts w:ascii="Arial" w:hAnsi="Arial" w:cs="Arial"/>
          <w:i/>
          <w:iCs/>
        </w:rPr>
        <w:t>Liquor Regulation 2010</w:t>
      </w:r>
      <w:r>
        <w:rPr>
          <w:rFonts w:ascii="Arial" w:hAnsi="Arial" w:cs="Arial"/>
        </w:rPr>
        <w:t>, which provided for separate on areas and off areas for general licensed premises, is now omitted.</w:t>
      </w:r>
    </w:p>
    <w:p w14:paraId="7FD6581D" w14:textId="542E8D71" w:rsidR="007F1313" w:rsidRPr="002303FF" w:rsidRDefault="007F1313" w:rsidP="00AF0764">
      <w:pPr>
        <w:spacing w:after="240"/>
        <w:rPr>
          <w:rFonts w:ascii="Arial" w:hAnsi="Arial" w:cs="Arial"/>
          <w:b/>
          <w:bCs/>
        </w:rPr>
      </w:pPr>
      <w:r>
        <w:rPr>
          <w:rFonts w:ascii="Arial" w:hAnsi="Arial" w:cs="Arial"/>
          <w:b/>
          <w:bCs/>
        </w:rPr>
        <w:t>Clause</w:t>
      </w:r>
      <w:r w:rsidRPr="002303FF">
        <w:rPr>
          <w:rFonts w:ascii="Arial" w:hAnsi="Arial" w:cs="Arial"/>
          <w:b/>
          <w:bCs/>
        </w:rPr>
        <w:t xml:space="preserve"> </w:t>
      </w:r>
      <w:r w:rsidR="00B82585">
        <w:rPr>
          <w:rFonts w:ascii="Arial" w:hAnsi="Arial" w:cs="Arial"/>
          <w:b/>
          <w:bCs/>
        </w:rPr>
        <w:t>5</w:t>
      </w:r>
      <w:r w:rsidR="00662A49">
        <w:rPr>
          <w:rFonts w:ascii="Arial" w:hAnsi="Arial" w:cs="Arial"/>
          <w:b/>
          <w:bCs/>
        </w:rPr>
        <w:t xml:space="preserve"> –</w:t>
      </w:r>
      <w:r w:rsidR="00B82585">
        <w:rPr>
          <w:rFonts w:ascii="Arial" w:hAnsi="Arial" w:cs="Arial"/>
          <w:b/>
          <w:bCs/>
        </w:rPr>
        <w:t xml:space="preserve"> </w:t>
      </w:r>
      <w:r w:rsidR="001C1611">
        <w:rPr>
          <w:rFonts w:ascii="Arial" w:hAnsi="Arial" w:cs="Arial"/>
          <w:b/>
          <w:bCs/>
        </w:rPr>
        <w:t>Schedule 2, part 2.1, item 2</w:t>
      </w:r>
    </w:p>
    <w:p w14:paraId="66A03F19" w14:textId="7FD604E5" w:rsidR="00FE791E" w:rsidRDefault="001C1611" w:rsidP="00FE791E">
      <w:pPr>
        <w:rPr>
          <w:rFonts w:ascii="Arial" w:hAnsi="Arial" w:cs="Arial"/>
        </w:rPr>
      </w:pPr>
      <w:r>
        <w:rPr>
          <w:rFonts w:ascii="Arial" w:hAnsi="Arial" w:cs="Arial"/>
        </w:rPr>
        <w:t xml:space="preserve">This clause amends </w:t>
      </w:r>
      <w:r w:rsidR="00772361">
        <w:rPr>
          <w:rFonts w:ascii="Arial" w:hAnsi="Arial" w:cs="Arial"/>
        </w:rPr>
        <w:t xml:space="preserve">item </w:t>
      </w:r>
      <w:r>
        <w:rPr>
          <w:rFonts w:ascii="Arial" w:hAnsi="Arial" w:cs="Arial"/>
        </w:rPr>
        <w:t xml:space="preserve">2 </w:t>
      </w:r>
      <w:r w:rsidR="00772361">
        <w:rPr>
          <w:rFonts w:ascii="Arial" w:hAnsi="Arial" w:cs="Arial"/>
        </w:rPr>
        <w:t>of Schedule 2, part 2.1, to provide for standard licensed times for on licences other than those referred to in item 2A. Item 2A is a new item that provides for a change to standard licensed times for on licences, restaurant and café subclass only, where occupancy loading is 80 people</w:t>
      </w:r>
      <w:r w:rsidR="00B82585">
        <w:rPr>
          <w:rFonts w:ascii="Arial" w:hAnsi="Arial" w:cs="Arial"/>
        </w:rPr>
        <w:t xml:space="preserve"> or less</w:t>
      </w:r>
      <w:r w:rsidR="00772361">
        <w:rPr>
          <w:rFonts w:ascii="Arial" w:hAnsi="Arial" w:cs="Arial"/>
        </w:rPr>
        <w:t xml:space="preserve">. The new standard licensed times for this subclass of licence </w:t>
      </w:r>
      <w:r w:rsidR="00375AAA">
        <w:rPr>
          <w:rFonts w:ascii="Arial" w:hAnsi="Arial" w:cs="Arial"/>
        </w:rPr>
        <w:t xml:space="preserve">with a total occupancy loading of 80 people or less </w:t>
      </w:r>
      <w:r w:rsidR="00772361">
        <w:rPr>
          <w:rFonts w:ascii="Arial" w:hAnsi="Arial" w:cs="Arial"/>
        </w:rPr>
        <w:t xml:space="preserve">are 7am – 2am the following day. </w:t>
      </w:r>
    </w:p>
    <w:bookmarkEnd w:id="0"/>
    <w:sectPr w:rsidR="00FE791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D027E" w14:textId="77777777" w:rsidR="00833CEF" w:rsidRDefault="00833CEF" w:rsidP="00833CEF">
      <w:r>
        <w:separator/>
      </w:r>
    </w:p>
  </w:endnote>
  <w:endnote w:type="continuationSeparator" w:id="0">
    <w:p w14:paraId="16C68B31" w14:textId="77777777" w:rsidR="00833CEF" w:rsidRDefault="00833CEF" w:rsidP="00833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Extra Bold">
    <w:altName w:val="Calibri"/>
    <w:panose1 w:val="00000000000000000000"/>
    <w:charset w:val="00"/>
    <w:family w:val="modern"/>
    <w:notTrueType/>
    <w:pitch w:val="variable"/>
    <w:sig w:usb0="00000007" w:usb1="00000000" w:usb2="00000000" w:usb3="00000000" w:csb0="00000093"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altName w:val="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54E52" w14:textId="77777777" w:rsidR="00833CEF" w:rsidRDefault="00833C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55500" w14:textId="7576507F" w:rsidR="00833CEF" w:rsidRPr="00455EAE" w:rsidRDefault="00455EAE" w:rsidP="00455EAE">
    <w:pPr>
      <w:pStyle w:val="Footer"/>
      <w:jc w:val="center"/>
      <w:rPr>
        <w:rFonts w:ascii="Arial" w:hAnsi="Arial" w:cs="Arial"/>
        <w:sz w:val="14"/>
      </w:rPr>
    </w:pPr>
    <w:r w:rsidRPr="00455EAE">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3B3F0" w14:textId="77777777" w:rsidR="00833CEF" w:rsidRDefault="00833C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3F213" w14:textId="77777777" w:rsidR="00833CEF" w:rsidRDefault="00833CEF" w:rsidP="00833CEF">
      <w:r>
        <w:separator/>
      </w:r>
    </w:p>
  </w:footnote>
  <w:footnote w:type="continuationSeparator" w:id="0">
    <w:p w14:paraId="0C79302E" w14:textId="77777777" w:rsidR="00833CEF" w:rsidRDefault="00833CEF" w:rsidP="00833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6BDCE" w14:textId="77777777" w:rsidR="00833CEF" w:rsidRDefault="00833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F0D0D" w14:textId="77777777" w:rsidR="00833CEF" w:rsidRDefault="00833C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4DE0D" w14:textId="77777777" w:rsidR="00833CEF" w:rsidRDefault="00833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42780"/>
    <w:multiLevelType w:val="hybridMultilevel"/>
    <w:tmpl w:val="334AFA7C"/>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 w15:restartNumberingAfterBreak="0">
    <w:nsid w:val="109317F9"/>
    <w:multiLevelType w:val="hybridMultilevel"/>
    <w:tmpl w:val="0C628786"/>
    <w:lvl w:ilvl="0" w:tplc="24147FA2">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122E1D00"/>
    <w:multiLevelType w:val="hybridMultilevel"/>
    <w:tmpl w:val="04C65BE2"/>
    <w:lvl w:ilvl="0" w:tplc="0524B89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35872B8"/>
    <w:multiLevelType w:val="hybridMultilevel"/>
    <w:tmpl w:val="7D661A1E"/>
    <w:lvl w:ilvl="0" w:tplc="FFFFFFFF">
      <w:start w:val="1"/>
      <w:numFmt w:val="decimal"/>
      <w:pStyle w:val="CS-Paragraphnumbering"/>
      <w:lvlText w:val="%1."/>
      <w:lvlJc w:val="left"/>
      <w:pPr>
        <w:ind w:left="643" w:hanging="360"/>
      </w:pPr>
      <w:rPr>
        <w:i w:val="0"/>
        <w:iCs w:val="0"/>
        <w:sz w:val="24"/>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45724D5"/>
    <w:multiLevelType w:val="hybridMultilevel"/>
    <w:tmpl w:val="258E072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6F363DF"/>
    <w:multiLevelType w:val="hybridMultilevel"/>
    <w:tmpl w:val="4538E76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B186E70"/>
    <w:multiLevelType w:val="hybridMultilevel"/>
    <w:tmpl w:val="96ACC3A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C5F6376"/>
    <w:multiLevelType w:val="hybridMultilevel"/>
    <w:tmpl w:val="C71C22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61C461B1"/>
    <w:multiLevelType w:val="hybridMultilevel"/>
    <w:tmpl w:val="F984E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9093B22"/>
    <w:multiLevelType w:val="multilevel"/>
    <w:tmpl w:val="80B65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BC815B6"/>
    <w:multiLevelType w:val="hybridMultilevel"/>
    <w:tmpl w:val="5270E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1F87924"/>
    <w:multiLevelType w:val="hybridMultilevel"/>
    <w:tmpl w:val="64EC173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4FE7599"/>
    <w:multiLevelType w:val="hybridMultilevel"/>
    <w:tmpl w:val="A4E0D14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3" w15:restartNumberingAfterBreak="0">
    <w:nsid w:val="75B606AE"/>
    <w:multiLevelType w:val="hybridMultilevel"/>
    <w:tmpl w:val="BE622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8BB6E54"/>
    <w:multiLevelType w:val="hybridMultilevel"/>
    <w:tmpl w:val="D6C6E2C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5" w15:restartNumberingAfterBreak="0">
    <w:nsid w:val="7F0A74E1"/>
    <w:multiLevelType w:val="hybridMultilevel"/>
    <w:tmpl w:val="64E66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993059">
    <w:abstractNumId w:val="5"/>
  </w:num>
  <w:num w:numId="2" w16cid:durableId="35281831">
    <w:abstractNumId w:val="11"/>
  </w:num>
  <w:num w:numId="3" w16cid:durableId="860126769">
    <w:abstractNumId w:val="14"/>
  </w:num>
  <w:num w:numId="4" w16cid:durableId="1637560944">
    <w:abstractNumId w:val="0"/>
  </w:num>
  <w:num w:numId="5" w16cid:durableId="59333710">
    <w:abstractNumId w:val="3"/>
  </w:num>
  <w:num w:numId="6" w16cid:durableId="324403555">
    <w:abstractNumId w:val="2"/>
  </w:num>
  <w:num w:numId="7" w16cid:durableId="1660840652">
    <w:abstractNumId w:val="12"/>
  </w:num>
  <w:num w:numId="8" w16cid:durableId="567955376">
    <w:abstractNumId w:val="10"/>
  </w:num>
  <w:num w:numId="9" w16cid:durableId="546794939">
    <w:abstractNumId w:val="8"/>
  </w:num>
  <w:num w:numId="10" w16cid:durableId="959337500">
    <w:abstractNumId w:val="15"/>
  </w:num>
  <w:num w:numId="11" w16cid:durableId="298612868">
    <w:abstractNumId w:val="13"/>
  </w:num>
  <w:num w:numId="12" w16cid:durableId="1978144561">
    <w:abstractNumId w:val="7"/>
  </w:num>
  <w:num w:numId="13" w16cid:durableId="1786463253">
    <w:abstractNumId w:val="9"/>
  </w:num>
  <w:num w:numId="14" w16cid:durableId="772558759">
    <w:abstractNumId w:val="4"/>
  </w:num>
  <w:num w:numId="15" w16cid:durableId="1043216851">
    <w:abstractNumId w:val="1"/>
  </w:num>
  <w:num w:numId="16" w16cid:durableId="10216670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550CC"/>
    <w:rsid w:val="000161B4"/>
    <w:rsid w:val="00021CEE"/>
    <w:rsid w:val="00030AAB"/>
    <w:rsid w:val="00047D7C"/>
    <w:rsid w:val="00053B19"/>
    <w:rsid w:val="000550CC"/>
    <w:rsid w:val="00073C05"/>
    <w:rsid w:val="00097645"/>
    <w:rsid w:val="000C5FDF"/>
    <w:rsid w:val="00113B6D"/>
    <w:rsid w:val="00121D89"/>
    <w:rsid w:val="00136A6D"/>
    <w:rsid w:val="00147349"/>
    <w:rsid w:val="00165FD5"/>
    <w:rsid w:val="001C0CD0"/>
    <w:rsid w:val="001C1611"/>
    <w:rsid w:val="001C1A25"/>
    <w:rsid w:val="001C2350"/>
    <w:rsid w:val="002109B3"/>
    <w:rsid w:val="002165CE"/>
    <w:rsid w:val="00234390"/>
    <w:rsid w:val="0024659D"/>
    <w:rsid w:val="00261006"/>
    <w:rsid w:val="0026689C"/>
    <w:rsid w:val="002956A8"/>
    <w:rsid w:val="002A0982"/>
    <w:rsid w:val="002C06C3"/>
    <w:rsid w:val="002C1E48"/>
    <w:rsid w:val="002D501B"/>
    <w:rsid w:val="00315EA1"/>
    <w:rsid w:val="00325CB2"/>
    <w:rsid w:val="00344ADF"/>
    <w:rsid w:val="00364E14"/>
    <w:rsid w:val="00365D0D"/>
    <w:rsid w:val="00373C5A"/>
    <w:rsid w:val="00375AAA"/>
    <w:rsid w:val="00384E49"/>
    <w:rsid w:val="00386098"/>
    <w:rsid w:val="0039166F"/>
    <w:rsid w:val="003A1613"/>
    <w:rsid w:val="003B6387"/>
    <w:rsid w:val="003C30DF"/>
    <w:rsid w:val="003C4F21"/>
    <w:rsid w:val="003C5CE1"/>
    <w:rsid w:val="003E53FB"/>
    <w:rsid w:val="003F0C4C"/>
    <w:rsid w:val="003F7019"/>
    <w:rsid w:val="00421885"/>
    <w:rsid w:val="00431C48"/>
    <w:rsid w:val="0043745F"/>
    <w:rsid w:val="00455EAE"/>
    <w:rsid w:val="00456A7E"/>
    <w:rsid w:val="00456BAF"/>
    <w:rsid w:val="004D15E7"/>
    <w:rsid w:val="004F577E"/>
    <w:rsid w:val="005052A9"/>
    <w:rsid w:val="005133E2"/>
    <w:rsid w:val="00535A00"/>
    <w:rsid w:val="00537D6A"/>
    <w:rsid w:val="005744AB"/>
    <w:rsid w:val="00590934"/>
    <w:rsid w:val="005A6E89"/>
    <w:rsid w:val="005C6B45"/>
    <w:rsid w:val="00624091"/>
    <w:rsid w:val="006346B1"/>
    <w:rsid w:val="00662A49"/>
    <w:rsid w:val="00663542"/>
    <w:rsid w:val="00670800"/>
    <w:rsid w:val="006973CE"/>
    <w:rsid w:val="006E74CB"/>
    <w:rsid w:val="006F58D6"/>
    <w:rsid w:val="007418BD"/>
    <w:rsid w:val="00752BEF"/>
    <w:rsid w:val="00772361"/>
    <w:rsid w:val="007B7A90"/>
    <w:rsid w:val="007D7A2A"/>
    <w:rsid w:val="007E758B"/>
    <w:rsid w:val="007F1313"/>
    <w:rsid w:val="00816147"/>
    <w:rsid w:val="00833CEF"/>
    <w:rsid w:val="00866EBC"/>
    <w:rsid w:val="008B45C5"/>
    <w:rsid w:val="008F5430"/>
    <w:rsid w:val="00910390"/>
    <w:rsid w:val="00927516"/>
    <w:rsid w:val="009328E6"/>
    <w:rsid w:val="009661E0"/>
    <w:rsid w:val="009662A2"/>
    <w:rsid w:val="00995BD3"/>
    <w:rsid w:val="009A05A5"/>
    <w:rsid w:val="009C3A85"/>
    <w:rsid w:val="00A21158"/>
    <w:rsid w:val="00A237D8"/>
    <w:rsid w:val="00A37B34"/>
    <w:rsid w:val="00A4346F"/>
    <w:rsid w:val="00A44A20"/>
    <w:rsid w:val="00A47DC0"/>
    <w:rsid w:val="00A6004B"/>
    <w:rsid w:val="00A86E33"/>
    <w:rsid w:val="00AC0D40"/>
    <w:rsid w:val="00AC29E3"/>
    <w:rsid w:val="00AD506A"/>
    <w:rsid w:val="00AF0764"/>
    <w:rsid w:val="00AF74E7"/>
    <w:rsid w:val="00B017C4"/>
    <w:rsid w:val="00B021C9"/>
    <w:rsid w:val="00B750A0"/>
    <w:rsid w:val="00B82585"/>
    <w:rsid w:val="00B97FB1"/>
    <w:rsid w:val="00BA134D"/>
    <w:rsid w:val="00BA5C18"/>
    <w:rsid w:val="00BC5F2A"/>
    <w:rsid w:val="00BC695B"/>
    <w:rsid w:val="00BC740D"/>
    <w:rsid w:val="00BC7E0B"/>
    <w:rsid w:val="00BD2C3A"/>
    <w:rsid w:val="00BD2C75"/>
    <w:rsid w:val="00BD464B"/>
    <w:rsid w:val="00BD4E5B"/>
    <w:rsid w:val="00BF424E"/>
    <w:rsid w:val="00BF4649"/>
    <w:rsid w:val="00C0462A"/>
    <w:rsid w:val="00C31018"/>
    <w:rsid w:val="00C37E4B"/>
    <w:rsid w:val="00C63544"/>
    <w:rsid w:val="00C8684A"/>
    <w:rsid w:val="00CA29A3"/>
    <w:rsid w:val="00CB4B71"/>
    <w:rsid w:val="00CB7160"/>
    <w:rsid w:val="00CC0D02"/>
    <w:rsid w:val="00CC127F"/>
    <w:rsid w:val="00D14171"/>
    <w:rsid w:val="00D44AA6"/>
    <w:rsid w:val="00D61F3C"/>
    <w:rsid w:val="00D64C8F"/>
    <w:rsid w:val="00D66FB7"/>
    <w:rsid w:val="00D770C5"/>
    <w:rsid w:val="00D8263C"/>
    <w:rsid w:val="00DB4F29"/>
    <w:rsid w:val="00DC05B9"/>
    <w:rsid w:val="00DF14A5"/>
    <w:rsid w:val="00E20938"/>
    <w:rsid w:val="00E44A5A"/>
    <w:rsid w:val="00E54872"/>
    <w:rsid w:val="00E576B2"/>
    <w:rsid w:val="00E93DEE"/>
    <w:rsid w:val="00EB24F9"/>
    <w:rsid w:val="00EB4A56"/>
    <w:rsid w:val="00F042E1"/>
    <w:rsid w:val="00F2440D"/>
    <w:rsid w:val="00F331CC"/>
    <w:rsid w:val="00F361D8"/>
    <w:rsid w:val="00F51C81"/>
    <w:rsid w:val="00FA1D99"/>
    <w:rsid w:val="00FC5D03"/>
    <w:rsid w:val="00FE791E"/>
    <w:rsid w:val="00FF08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9161A1"/>
  <w15:docId w15:val="{AB01436B-6B17-4CE9-A2BF-4242BE9DC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0C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delRulesGuideHeadings">
    <w:name w:val="Model Rules Guide Headings"/>
    <w:basedOn w:val="Normal"/>
    <w:link w:val="ModelRulesGuideHeadingsChar"/>
    <w:qFormat/>
    <w:rsid w:val="00F042E1"/>
    <w:rPr>
      <w:rFonts w:ascii="Montserrat Extra Bold" w:hAnsi="Montserrat Extra Bold"/>
      <w:b/>
      <w:bCs/>
      <w:color w:val="AB4399"/>
      <w:sz w:val="28"/>
      <w:szCs w:val="28"/>
    </w:rPr>
  </w:style>
  <w:style w:type="character" w:customStyle="1" w:styleId="ModelRulesGuideHeadingsChar">
    <w:name w:val="Model Rules Guide Headings Char"/>
    <w:basedOn w:val="DefaultParagraphFont"/>
    <w:link w:val="ModelRulesGuideHeadings"/>
    <w:rsid w:val="00F042E1"/>
    <w:rPr>
      <w:rFonts w:ascii="Montserrat Extra Bold" w:eastAsia="Times New Roman" w:hAnsi="Montserrat Extra Bold" w:cs="Times New Roman"/>
      <w:b/>
      <w:bCs/>
      <w:color w:val="AB4399"/>
      <w:sz w:val="28"/>
      <w:szCs w:val="28"/>
    </w:rPr>
  </w:style>
  <w:style w:type="paragraph" w:customStyle="1" w:styleId="Billname">
    <w:name w:val="Billname"/>
    <w:basedOn w:val="Normal"/>
    <w:rsid w:val="000550CC"/>
    <w:pPr>
      <w:tabs>
        <w:tab w:val="left" w:pos="2400"/>
        <w:tab w:val="left" w:pos="2880"/>
      </w:tabs>
      <w:spacing w:before="1220" w:after="100"/>
    </w:pPr>
    <w:rPr>
      <w:rFonts w:ascii="Arial" w:hAnsi="Arial"/>
      <w:b/>
      <w:sz w:val="40"/>
    </w:rPr>
  </w:style>
  <w:style w:type="paragraph" w:customStyle="1" w:styleId="madeunder">
    <w:name w:val="made under"/>
    <w:basedOn w:val="Normal"/>
    <w:rsid w:val="000550CC"/>
    <w:pPr>
      <w:spacing w:before="180" w:after="60"/>
      <w:jc w:val="both"/>
    </w:pPr>
  </w:style>
  <w:style w:type="paragraph" w:customStyle="1" w:styleId="CoverActName">
    <w:name w:val="CoverActName"/>
    <w:basedOn w:val="Normal"/>
    <w:rsid w:val="000550CC"/>
    <w:pPr>
      <w:tabs>
        <w:tab w:val="left" w:pos="2600"/>
      </w:tabs>
      <w:spacing w:before="200" w:after="60"/>
      <w:jc w:val="both"/>
    </w:pPr>
    <w:rPr>
      <w:rFonts w:ascii="Arial" w:hAnsi="Arial"/>
      <w:b/>
    </w:rPr>
  </w:style>
  <w:style w:type="paragraph" w:styleId="ListParagraph">
    <w:name w:val="List Paragraph"/>
    <w:basedOn w:val="Normal"/>
    <w:uiPriority w:val="34"/>
    <w:qFormat/>
    <w:rsid w:val="00C37E4B"/>
    <w:pPr>
      <w:ind w:left="720"/>
      <w:contextualSpacing/>
    </w:pPr>
  </w:style>
  <w:style w:type="paragraph" w:styleId="CommentText">
    <w:name w:val="annotation text"/>
    <w:basedOn w:val="Normal"/>
    <w:link w:val="CommentTextChar"/>
    <w:uiPriority w:val="99"/>
    <w:unhideWhenUsed/>
    <w:rPr>
      <w:sz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N-line3">
    <w:name w:val="N-line3"/>
    <w:basedOn w:val="Normal"/>
    <w:next w:val="Normal"/>
    <w:rsid w:val="006973CE"/>
    <w:pPr>
      <w:pBdr>
        <w:bottom w:val="single" w:sz="12" w:space="1" w:color="auto"/>
      </w:pBdr>
      <w:jc w:val="both"/>
    </w:pPr>
  </w:style>
  <w:style w:type="paragraph" w:styleId="Revision">
    <w:name w:val="Revision"/>
    <w:hidden/>
    <w:uiPriority w:val="99"/>
    <w:semiHidden/>
    <w:rsid w:val="00D66FB7"/>
    <w:pPr>
      <w:spacing w:after="0" w:line="240" w:lineRule="auto"/>
    </w:pPr>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535A00"/>
    <w:rPr>
      <w:b/>
      <w:bCs/>
    </w:rPr>
  </w:style>
  <w:style w:type="character" w:customStyle="1" w:styleId="CommentSubjectChar">
    <w:name w:val="Comment Subject Char"/>
    <w:basedOn w:val="CommentTextChar"/>
    <w:link w:val="CommentSubject"/>
    <w:uiPriority w:val="99"/>
    <w:semiHidden/>
    <w:rsid w:val="00535A00"/>
    <w:rPr>
      <w:rFonts w:ascii="Times New Roman" w:eastAsia="Times New Roman" w:hAnsi="Times New Roman" w:cs="Times New Roman"/>
      <w:b/>
      <w:bCs/>
      <w:sz w:val="20"/>
      <w:szCs w:val="20"/>
    </w:rPr>
  </w:style>
  <w:style w:type="paragraph" w:customStyle="1" w:styleId="CS-Paragraphnumbering">
    <w:name w:val="CS - Paragraph numbering"/>
    <w:basedOn w:val="Normal"/>
    <w:rsid w:val="006F58D6"/>
    <w:pPr>
      <w:numPr>
        <w:numId w:val="5"/>
      </w:numPr>
      <w:spacing w:after="120" w:line="276" w:lineRule="auto"/>
      <w:ind w:right="-45"/>
    </w:pPr>
    <w:rPr>
      <w:rFonts w:asciiTheme="minorHAnsi" w:eastAsiaTheme="minorHAnsi" w:hAnsiTheme="minorHAnsi" w:cstheme="minorBidi"/>
      <w:szCs w:val="24"/>
    </w:rPr>
  </w:style>
  <w:style w:type="character" w:customStyle="1" w:styleId="Style4">
    <w:name w:val="Style4"/>
    <w:basedOn w:val="DefaultParagraphFont"/>
    <w:uiPriority w:val="1"/>
    <w:qFormat/>
    <w:rsid w:val="006F58D6"/>
    <w:rPr>
      <w:rFonts w:asciiTheme="minorHAnsi" w:hAnsiTheme="minorHAnsi"/>
      <w:color w:val="auto"/>
      <w:sz w:val="24"/>
    </w:rPr>
  </w:style>
  <w:style w:type="paragraph" w:customStyle="1" w:styleId="pf0">
    <w:name w:val="pf0"/>
    <w:basedOn w:val="Normal"/>
    <w:rsid w:val="00C31018"/>
    <w:pPr>
      <w:spacing w:before="100" w:beforeAutospacing="1" w:after="100" w:afterAutospacing="1"/>
    </w:pPr>
    <w:rPr>
      <w:szCs w:val="24"/>
      <w:lang w:eastAsia="en-AU"/>
    </w:rPr>
  </w:style>
  <w:style w:type="character" w:customStyle="1" w:styleId="cf01">
    <w:name w:val="cf01"/>
    <w:basedOn w:val="DefaultParagraphFont"/>
    <w:rsid w:val="00C31018"/>
    <w:rPr>
      <w:rFonts w:ascii="Segoe UI" w:hAnsi="Segoe UI" w:cs="Segoe UI" w:hint="default"/>
      <w:sz w:val="18"/>
      <w:szCs w:val="18"/>
    </w:rPr>
  </w:style>
  <w:style w:type="character" w:customStyle="1" w:styleId="normaltextrun">
    <w:name w:val="normaltextrun"/>
    <w:basedOn w:val="DefaultParagraphFont"/>
    <w:rsid w:val="003F0C4C"/>
  </w:style>
  <w:style w:type="character" w:customStyle="1" w:styleId="eop">
    <w:name w:val="eop"/>
    <w:basedOn w:val="DefaultParagraphFont"/>
    <w:rsid w:val="003F0C4C"/>
  </w:style>
  <w:style w:type="paragraph" w:customStyle="1" w:styleId="paragraph">
    <w:name w:val="paragraph"/>
    <w:basedOn w:val="Normal"/>
    <w:rsid w:val="005C6B45"/>
    <w:pPr>
      <w:spacing w:before="100" w:beforeAutospacing="1" w:after="100" w:afterAutospacing="1"/>
    </w:pPr>
    <w:rPr>
      <w:szCs w:val="24"/>
      <w:lang w:eastAsia="en-AU"/>
    </w:rPr>
  </w:style>
  <w:style w:type="paragraph" w:styleId="Header">
    <w:name w:val="header"/>
    <w:basedOn w:val="Normal"/>
    <w:link w:val="HeaderChar"/>
    <w:uiPriority w:val="99"/>
    <w:unhideWhenUsed/>
    <w:rsid w:val="00833CEF"/>
    <w:pPr>
      <w:tabs>
        <w:tab w:val="center" w:pos="4513"/>
        <w:tab w:val="right" w:pos="9026"/>
      </w:tabs>
    </w:pPr>
  </w:style>
  <w:style w:type="character" w:customStyle="1" w:styleId="HeaderChar">
    <w:name w:val="Header Char"/>
    <w:basedOn w:val="DefaultParagraphFont"/>
    <w:link w:val="Header"/>
    <w:uiPriority w:val="99"/>
    <w:rsid w:val="00833CE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33CEF"/>
    <w:pPr>
      <w:tabs>
        <w:tab w:val="center" w:pos="4513"/>
        <w:tab w:val="right" w:pos="9026"/>
      </w:tabs>
    </w:pPr>
  </w:style>
  <w:style w:type="character" w:customStyle="1" w:styleId="FooterChar">
    <w:name w:val="Footer Char"/>
    <w:basedOn w:val="DefaultParagraphFont"/>
    <w:link w:val="Footer"/>
    <w:uiPriority w:val="99"/>
    <w:rsid w:val="00833CE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432729">
      <w:bodyDiv w:val="1"/>
      <w:marLeft w:val="0"/>
      <w:marRight w:val="0"/>
      <w:marTop w:val="0"/>
      <w:marBottom w:val="0"/>
      <w:divBdr>
        <w:top w:val="none" w:sz="0" w:space="0" w:color="auto"/>
        <w:left w:val="none" w:sz="0" w:space="0" w:color="auto"/>
        <w:bottom w:val="none" w:sz="0" w:space="0" w:color="auto"/>
        <w:right w:val="none" w:sz="0" w:space="0" w:color="auto"/>
      </w:divBdr>
    </w:div>
    <w:div w:id="860582829">
      <w:bodyDiv w:val="1"/>
      <w:marLeft w:val="0"/>
      <w:marRight w:val="0"/>
      <w:marTop w:val="0"/>
      <w:marBottom w:val="0"/>
      <w:divBdr>
        <w:top w:val="none" w:sz="0" w:space="0" w:color="auto"/>
        <w:left w:val="none" w:sz="0" w:space="0" w:color="auto"/>
        <w:bottom w:val="none" w:sz="0" w:space="0" w:color="auto"/>
        <w:right w:val="none" w:sz="0" w:space="0" w:color="auto"/>
      </w:divBdr>
      <w:divsChild>
        <w:div w:id="35739597">
          <w:marLeft w:val="0"/>
          <w:marRight w:val="0"/>
          <w:marTop w:val="0"/>
          <w:marBottom w:val="0"/>
          <w:divBdr>
            <w:top w:val="none" w:sz="0" w:space="0" w:color="auto"/>
            <w:left w:val="none" w:sz="0" w:space="0" w:color="auto"/>
            <w:bottom w:val="none" w:sz="0" w:space="0" w:color="auto"/>
            <w:right w:val="none" w:sz="0" w:space="0" w:color="auto"/>
          </w:divBdr>
        </w:div>
        <w:div w:id="54596481">
          <w:marLeft w:val="0"/>
          <w:marRight w:val="0"/>
          <w:marTop w:val="0"/>
          <w:marBottom w:val="0"/>
          <w:divBdr>
            <w:top w:val="none" w:sz="0" w:space="0" w:color="auto"/>
            <w:left w:val="none" w:sz="0" w:space="0" w:color="auto"/>
            <w:bottom w:val="none" w:sz="0" w:space="0" w:color="auto"/>
            <w:right w:val="none" w:sz="0" w:space="0" w:color="auto"/>
          </w:divBdr>
        </w:div>
        <w:div w:id="66388165">
          <w:marLeft w:val="0"/>
          <w:marRight w:val="0"/>
          <w:marTop w:val="0"/>
          <w:marBottom w:val="0"/>
          <w:divBdr>
            <w:top w:val="none" w:sz="0" w:space="0" w:color="auto"/>
            <w:left w:val="none" w:sz="0" w:space="0" w:color="auto"/>
            <w:bottom w:val="none" w:sz="0" w:space="0" w:color="auto"/>
            <w:right w:val="none" w:sz="0" w:space="0" w:color="auto"/>
          </w:divBdr>
        </w:div>
        <w:div w:id="222446306">
          <w:marLeft w:val="0"/>
          <w:marRight w:val="0"/>
          <w:marTop w:val="0"/>
          <w:marBottom w:val="0"/>
          <w:divBdr>
            <w:top w:val="none" w:sz="0" w:space="0" w:color="auto"/>
            <w:left w:val="none" w:sz="0" w:space="0" w:color="auto"/>
            <w:bottom w:val="none" w:sz="0" w:space="0" w:color="auto"/>
            <w:right w:val="none" w:sz="0" w:space="0" w:color="auto"/>
          </w:divBdr>
        </w:div>
        <w:div w:id="235553197">
          <w:marLeft w:val="0"/>
          <w:marRight w:val="0"/>
          <w:marTop w:val="0"/>
          <w:marBottom w:val="0"/>
          <w:divBdr>
            <w:top w:val="none" w:sz="0" w:space="0" w:color="auto"/>
            <w:left w:val="none" w:sz="0" w:space="0" w:color="auto"/>
            <w:bottom w:val="none" w:sz="0" w:space="0" w:color="auto"/>
            <w:right w:val="none" w:sz="0" w:space="0" w:color="auto"/>
          </w:divBdr>
        </w:div>
        <w:div w:id="436602640">
          <w:marLeft w:val="0"/>
          <w:marRight w:val="0"/>
          <w:marTop w:val="0"/>
          <w:marBottom w:val="0"/>
          <w:divBdr>
            <w:top w:val="none" w:sz="0" w:space="0" w:color="auto"/>
            <w:left w:val="none" w:sz="0" w:space="0" w:color="auto"/>
            <w:bottom w:val="none" w:sz="0" w:space="0" w:color="auto"/>
            <w:right w:val="none" w:sz="0" w:space="0" w:color="auto"/>
          </w:divBdr>
        </w:div>
        <w:div w:id="489249808">
          <w:marLeft w:val="0"/>
          <w:marRight w:val="0"/>
          <w:marTop w:val="0"/>
          <w:marBottom w:val="0"/>
          <w:divBdr>
            <w:top w:val="none" w:sz="0" w:space="0" w:color="auto"/>
            <w:left w:val="none" w:sz="0" w:space="0" w:color="auto"/>
            <w:bottom w:val="none" w:sz="0" w:space="0" w:color="auto"/>
            <w:right w:val="none" w:sz="0" w:space="0" w:color="auto"/>
          </w:divBdr>
        </w:div>
        <w:div w:id="534581771">
          <w:marLeft w:val="0"/>
          <w:marRight w:val="0"/>
          <w:marTop w:val="0"/>
          <w:marBottom w:val="0"/>
          <w:divBdr>
            <w:top w:val="none" w:sz="0" w:space="0" w:color="auto"/>
            <w:left w:val="none" w:sz="0" w:space="0" w:color="auto"/>
            <w:bottom w:val="none" w:sz="0" w:space="0" w:color="auto"/>
            <w:right w:val="none" w:sz="0" w:space="0" w:color="auto"/>
          </w:divBdr>
        </w:div>
        <w:div w:id="822428850">
          <w:marLeft w:val="0"/>
          <w:marRight w:val="0"/>
          <w:marTop w:val="0"/>
          <w:marBottom w:val="0"/>
          <w:divBdr>
            <w:top w:val="none" w:sz="0" w:space="0" w:color="auto"/>
            <w:left w:val="none" w:sz="0" w:space="0" w:color="auto"/>
            <w:bottom w:val="none" w:sz="0" w:space="0" w:color="auto"/>
            <w:right w:val="none" w:sz="0" w:space="0" w:color="auto"/>
          </w:divBdr>
        </w:div>
        <w:div w:id="830951859">
          <w:marLeft w:val="0"/>
          <w:marRight w:val="0"/>
          <w:marTop w:val="0"/>
          <w:marBottom w:val="0"/>
          <w:divBdr>
            <w:top w:val="none" w:sz="0" w:space="0" w:color="auto"/>
            <w:left w:val="none" w:sz="0" w:space="0" w:color="auto"/>
            <w:bottom w:val="none" w:sz="0" w:space="0" w:color="auto"/>
            <w:right w:val="none" w:sz="0" w:space="0" w:color="auto"/>
          </w:divBdr>
        </w:div>
        <w:div w:id="862668730">
          <w:marLeft w:val="0"/>
          <w:marRight w:val="0"/>
          <w:marTop w:val="0"/>
          <w:marBottom w:val="0"/>
          <w:divBdr>
            <w:top w:val="none" w:sz="0" w:space="0" w:color="auto"/>
            <w:left w:val="none" w:sz="0" w:space="0" w:color="auto"/>
            <w:bottom w:val="none" w:sz="0" w:space="0" w:color="auto"/>
            <w:right w:val="none" w:sz="0" w:space="0" w:color="auto"/>
          </w:divBdr>
        </w:div>
        <w:div w:id="886527435">
          <w:marLeft w:val="0"/>
          <w:marRight w:val="0"/>
          <w:marTop w:val="0"/>
          <w:marBottom w:val="0"/>
          <w:divBdr>
            <w:top w:val="none" w:sz="0" w:space="0" w:color="auto"/>
            <w:left w:val="none" w:sz="0" w:space="0" w:color="auto"/>
            <w:bottom w:val="none" w:sz="0" w:space="0" w:color="auto"/>
            <w:right w:val="none" w:sz="0" w:space="0" w:color="auto"/>
          </w:divBdr>
        </w:div>
        <w:div w:id="919019679">
          <w:marLeft w:val="0"/>
          <w:marRight w:val="0"/>
          <w:marTop w:val="0"/>
          <w:marBottom w:val="0"/>
          <w:divBdr>
            <w:top w:val="none" w:sz="0" w:space="0" w:color="auto"/>
            <w:left w:val="none" w:sz="0" w:space="0" w:color="auto"/>
            <w:bottom w:val="none" w:sz="0" w:space="0" w:color="auto"/>
            <w:right w:val="none" w:sz="0" w:space="0" w:color="auto"/>
          </w:divBdr>
        </w:div>
        <w:div w:id="968046253">
          <w:marLeft w:val="0"/>
          <w:marRight w:val="0"/>
          <w:marTop w:val="0"/>
          <w:marBottom w:val="0"/>
          <w:divBdr>
            <w:top w:val="none" w:sz="0" w:space="0" w:color="auto"/>
            <w:left w:val="none" w:sz="0" w:space="0" w:color="auto"/>
            <w:bottom w:val="none" w:sz="0" w:space="0" w:color="auto"/>
            <w:right w:val="none" w:sz="0" w:space="0" w:color="auto"/>
          </w:divBdr>
        </w:div>
        <w:div w:id="1045132511">
          <w:marLeft w:val="0"/>
          <w:marRight w:val="0"/>
          <w:marTop w:val="0"/>
          <w:marBottom w:val="0"/>
          <w:divBdr>
            <w:top w:val="none" w:sz="0" w:space="0" w:color="auto"/>
            <w:left w:val="none" w:sz="0" w:space="0" w:color="auto"/>
            <w:bottom w:val="none" w:sz="0" w:space="0" w:color="auto"/>
            <w:right w:val="none" w:sz="0" w:space="0" w:color="auto"/>
          </w:divBdr>
        </w:div>
        <w:div w:id="1114639687">
          <w:marLeft w:val="0"/>
          <w:marRight w:val="0"/>
          <w:marTop w:val="0"/>
          <w:marBottom w:val="0"/>
          <w:divBdr>
            <w:top w:val="none" w:sz="0" w:space="0" w:color="auto"/>
            <w:left w:val="none" w:sz="0" w:space="0" w:color="auto"/>
            <w:bottom w:val="none" w:sz="0" w:space="0" w:color="auto"/>
            <w:right w:val="none" w:sz="0" w:space="0" w:color="auto"/>
          </w:divBdr>
        </w:div>
        <w:div w:id="1126504878">
          <w:marLeft w:val="0"/>
          <w:marRight w:val="0"/>
          <w:marTop w:val="0"/>
          <w:marBottom w:val="0"/>
          <w:divBdr>
            <w:top w:val="none" w:sz="0" w:space="0" w:color="auto"/>
            <w:left w:val="none" w:sz="0" w:space="0" w:color="auto"/>
            <w:bottom w:val="none" w:sz="0" w:space="0" w:color="auto"/>
            <w:right w:val="none" w:sz="0" w:space="0" w:color="auto"/>
          </w:divBdr>
        </w:div>
        <w:div w:id="1210146994">
          <w:marLeft w:val="0"/>
          <w:marRight w:val="0"/>
          <w:marTop w:val="0"/>
          <w:marBottom w:val="0"/>
          <w:divBdr>
            <w:top w:val="none" w:sz="0" w:space="0" w:color="auto"/>
            <w:left w:val="none" w:sz="0" w:space="0" w:color="auto"/>
            <w:bottom w:val="none" w:sz="0" w:space="0" w:color="auto"/>
            <w:right w:val="none" w:sz="0" w:space="0" w:color="auto"/>
          </w:divBdr>
        </w:div>
        <w:div w:id="1304963977">
          <w:marLeft w:val="0"/>
          <w:marRight w:val="0"/>
          <w:marTop w:val="0"/>
          <w:marBottom w:val="0"/>
          <w:divBdr>
            <w:top w:val="none" w:sz="0" w:space="0" w:color="auto"/>
            <w:left w:val="none" w:sz="0" w:space="0" w:color="auto"/>
            <w:bottom w:val="none" w:sz="0" w:space="0" w:color="auto"/>
            <w:right w:val="none" w:sz="0" w:space="0" w:color="auto"/>
          </w:divBdr>
        </w:div>
        <w:div w:id="1311669851">
          <w:marLeft w:val="0"/>
          <w:marRight w:val="0"/>
          <w:marTop w:val="0"/>
          <w:marBottom w:val="0"/>
          <w:divBdr>
            <w:top w:val="none" w:sz="0" w:space="0" w:color="auto"/>
            <w:left w:val="none" w:sz="0" w:space="0" w:color="auto"/>
            <w:bottom w:val="none" w:sz="0" w:space="0" w:color="auto"/>
            <w:right w:val="none" w:sz="0" w:space="0" w:color="auto"/>
          </w:divBdr>
        </w:div>
        <w:div w:id="1456093876">
          <w:marLeft w:val="0"/>
          <w:marRight w:val="0"/>
          <w:marTop w:val="0"/>
          <w:marBottom w:val="0"/>
          <w:divBdr>
            <w:top w:val="none" w:sz="0" w:space="0" w:color="auto"/>
            <w:left w:val="none" w:sz="0" w:space="0" w:color="auto"/>
            <w:bottom w:val="none" w:sz="0" w:space="0" w:color="auto"/>
            <w:right w:val="none" w:sz="0" w:space="0" w:color="auto"/>
          </w:divBdr>
        </w:div>
        <w:div w:id="1670476792">
          <w:marLeft w:val="0"/>
          <w:marRight w:val="0"/>
          <w:marTop w:val="0"/>
          <w:marBottom w:val="0"/>
          <w:divBdr>
            <w:top w:val="none" w:sz="0" w:space="0" w:color="auto"/>
            <w:left w:val="none" w:sz="0" w:space="0" w:color="auto"/>
            <w:bottom w:val="none" w:sz="0" w:space="0" w:color="auto"/>
            <w:right w:val="none" w:sz="0" w:space="0" w:color="auto"/>
          </w:divBdr>
        </w:div>
        <w:div w:id="1687710070">
          <w:marLeft w:val="0"/>
          <w:marRight w:val="0"/>
          <w:marTop w:val="0"/>
          <w:marBottom w:val="0"/>
          <w:divBdr>
            <w:top w:val="none" w:sz="0" w:space="0" w:color="auto"/>
            <w:left w:val="none" w:sz="0" w:space="0" w:color="auto"/>
            <w:bottom w:val="none" w:sz="0" w:space="0" w:color="auto"/>
            <w:right w:val="none" w:sz="0" w:space="0" w:color="auto"/>
          </w:divBdr>
        </w:div>
        <w:div w:id="1751190810">
          <w:marLeft w:val="0"/>
          <w:marRight w:val="0"/>
          <w:marTop w:val="0"/>
          <w:marBottom w:val="0"/>
          <w:divBdr>
            <w:top w:val="none" w:sz="0" w:space="0" w:color="auto"/>
            <w:left w:val="none" w:sz="0" w:space="0" w:color="auto"/>
            <w:bottom w:val="none" w:sz="0" w:space="0" w:color="auto"/>
            <w:right w:val="none" w:sz="0" w:space="0" w:color="auto"/>
          </w:divBdr>
        </w:div>
        <w:div w:id="1789543547">
          <w:marLeft w:val="0"/>
          <w:marRight w:val="0"/>
          <w:marTop w:val="0"/>
          <w:marBottom w:val="0"/>
          <w:divBdr>
            <w:top w:val="none" w:sz="0" w:space="0" w:color="auto"/>
            <w:left w:val="none" w:sz="0" w:space="0" w:color="auto"/>
            <w:bottom w:val="none" w:sz="0" w:space="0" w:color="auto"/>
            <w:right w:val="none" w:sz="0" w:space="0" w:color="auto"/>
          </w:divBdr>
        </w:div>
        <w:div w:id="1992981480">
          <w:marLeft w:val="0"/>
          <w:marRight w:val="0"/>
          <w:marTop w:val="0"/>
          <w:marBottom w:val="0"/>
          <w:divBdr>
            <w:top w:val="none" w:sz="0" w:space="0" w:color="auto"/>
            <w:left w:val="none" w:sz="0" w:space="0" w:color="auto"/>
            <w:bottom w:val="none" w:sz="0" w:space="0" w:color="auto"/>
            <w:right w:val="none" w:sz="0" w:space="0" w:color="auto"/>
          </w:divBdr>
        </w:div>
        <w:div w:id="2124764164">
          <w:marLeft w:val="0"/>
          <w:marRight w:val="0"/>
          <w:marTop w:val="0"/>
          <w:marBottom w:val="0"/>
          <w:divBdr>
            <w:top w:val="none" w:sz="0" w:space="0" w:color="auto"/>
            <w:left w:val="none" w:sz="0" w:space="0" w:color="auto"/>
            <w:bottom w:val="none" w:sz="0" w:space="0" w:color="auto"/>
            <w:right w:val="none" w:sz="0" w:space="0" w:color="auto"/>
          </w:divBdr>
        </w:div>
      </w:divsChild>
    </w:div>
    <w:div w:id="11037638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899</Words>
  <Characters>4773</Characters>
  <Application>Microsoft Office Word</Application>
  <DocSecurity>0</DocSecurity>
  <Lines>130</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Brunsdon, Hannah</dc:creator>
  <cp:keywords>2</cp:keywords>
  <dc:description/>
  <cp:lastModifiedBy>PCODCS</cp:lastModifiedBy>
  <cp:revision>4</cp:revision>
  <dcterms:created xsi:type="dcterms:W3CDTF">2023-12-14T22:51:00Z</dcterms:created>
  <dcterms:modified xsi:type="dcterms:W3CDTF">2023-12-14T22:51:00Z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ID">
    <vt:lpwstr>11342347</vt:lpwstr>
  </property>
  <property fmtid="{D5CDD505-2E9C-101B-9397-08002B2CF9AE}" pid="3" name="CHECKEDOUTFROMJMS">
    <vt:lpwstr/>
  </property>
  <property fmtid="{D5CDD505-2E9C-101B-9397-08002B2CF9AE}" pid="4" name="JMSREQUIREDCHECKIN">
    <vt:lpwstr/>
  </property>
</Properties>
</file>