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8E25" w14:textId="780B89C9" w:rsidR="001B2AFE" w:rsidRDefault="001B2AFE" w:rsidP="001B2AFE">
      <w:pPr>
        <w:pStyle w:val="billname"/>
        <w:shd w:val="clear" w:color="auto" w:fill="FFFFFF"/>
        <w:spacing w:before="700" w:beforeAutospacing="0" w:afterAutospacing="0"/>
        <w:rPr>
          <w:rFonts w:ascii="Arial" w:hAnsi="Arial" w:cs="Arial"/>
          <w:b/>
          <w:bCs/>
          <w:color w:val="000000"/>
          <w:sz w:val="40"/>
          <w:szCs w:val="40"/>
        </w:rPr>
      </w:pPr>
      <w:r>
        <w:rPr>
          <w:rFonts w:ascii="Arial" w:hAnsi="Arial" w:cs="Arial"/>
          <w:b/>
          <w:bCs/>
          <w:color w:val="000000"/>
          <w:sz w:val="40"/>
          <w:szCs w:val="40"/>
        </w:rPr>
        <w:t xml:space="preserve">Urban Forest </w:t>
      </w:r>
      <w:r w:rsidR="00733FC3">
        <w:rPr>
          <w:rFonts w:ascii="Arial" w:hAnsi="Arial" w:cs="Arial"/>
          <w:b/>
          <w:bCs/>
          <w:color w:val="000000"/>
          <w:sz w:val="40"/>
          <w:szCs w:val="40"/>
        </w:rPr>
        <w:t xml:space="preserve">(Transitional Provisions) </w:t>
      </w:r>
      <w:r>
        <w:rPr>
          <w:rFonts w:ascii="Arial" w:hAnsi="Arial" w:cs="Arial"/>
          <w:b/>
          <w:bCs/>
          <w:color w:val="000000"/>
          <w:sz w:val="40"/>
          <w:szCs w:val="40"/>
        </w:rPr>
        <w:t>Regulation 202</w:t>
      </w:r>
      <w:r w:rsidR="005C20DD">
        <w:rPr>
          <w:rFonts w:ascii="Arial" w:hAnsi="Arial" w:cs="Arial"/>
          <w:b/>
          <w:bCs/>
          <w:color w:val="000000"/>
          <w:sz w:val="40"/>
          <w:szCs w:val="40"/>
        </w:rPr>
        <w:t>4</w:t>
      </w:r>
      <w:r>
        <w:rPr>
          <w:rFonts w:ascii="Arial" w:hAnsi="Arial" w:cs="Arial"/>
          <w:b/>
          <w:bCs/>
          <w:color w:val="000000"/>
          <w:sz w:val="40"/>
          <w:szCs w:val="40"/>
        </w:rPr>
        <w:t> </w:t>
      </w:r>
    </w:p>
    <w:p w14:paraId="12731356" w14:textId="4D80FB98" w:rsidR="001B2AFE" w:rsidRDefault="001B2AFE" w:rsidP="001B2AFE">
      <w:pPr>
        <w:pStyle w:val="NormalWeb"/>
        <w:shd w:val="clear" w:color="auto" w:fill="FFFFFF"/>
        <w:spacing w:before="340" w:beforeAutospacing="0" w:after="200" w:afterAutospacing="0"/>
        <w:rPr>
          <w:rFonts w:ascii="Calibri" w:hAnsi="Calibri" w:cs="Calibri"/>
          <w:color w:val="000000"/>
          <w:sz w:val="22"/>
          <w:szCs w:val="22"/>
        </w:rPr>
      </w:pPr>
      <w:r>
        <w:rPr>
          <w:rFonts w:ascii="Arial" w:hAnsi="Arial" w:cs="Arial"/>
          <w:b/>
          <w:bCs/>
          <w:color w:val="000000"/>
          <w:sz w:val="22"/>
          <w:szCs w:val="22"/>
        </w:rPr>
        <w:t>Subordinate law SL202</w:t>
      </w:r>
      <w:r w:rsidR="005C20DD">
        <w:rPr>
          <w:rFonts w:ascii="Arial" w:hAnsi="Arial" w:cs="Arial"/>
          <w:b/>
          <w:bCs/>
          <w:color w:val="000000"/>
          <w:sz w:val="22"/>
          <w:szCs w:val="22"/>
        </w:rPr>
        <w:t>4</w:t>
      </w:r>
      <w:r>
        <w:rPr>
          <w:rFonts w:ascii="Arial" w:hAnsi="Arial" w:cs="Arial"/>
          <w:b/>
          <w:bCs/>
          <w:color w:val="000000"/>
          <w:sz w:val="22"/>
          <w:szCs w:val="22"/>
        </w:rPr>
        <w:t>–</w:t>
      </w:r>
      <w:r w:rsidR="00E95AA6">
        <w:rPr>
          <w:rFonts w:ascii="Arial" w:hAnsi="Arial" w:cs="Arial"/>
          <w:b/>
          <w:bCs/>
          <w:color w:val="000000"/>
          <w:sz w:val="22"/>
          <w:szCs w:val="22"/>
        </w:rPr>
        <w:t>1</w:t>
      </w:r>
    </w:p>
    <w:p w14:paraId="63B98150" w14:textId="77777777" w:rsidR="001B2AFE" w:rsidRDefault="001B2AFE" w:rsidP="001B2AFE">
      <w:pPr>
        <w:pStyle w:val="madeunder"/>
        <w:shd w:val="clear" w:color="auto" w:fill="FFFFFF"/>
        <w:spacing w:before="300" w:beforeAutospacing="0" w:after="0" w:afterAutospacing="0"/>
        <w:jc w:val="both"/>
        <w:rPr>
          <w:color w:val="000000"/>
        </w:rPr>
      </w:pPr>
      <w:r>
        <w:rPr>
          <w:color w:val="000000"/>
        </w:rPr>
        <w:t>made under the </w:t>
      </w:r>
    </w:p>
    <w:p w14:paraId="5EA2C74E" w14:textId="185336AF" w:rsidR="001B2AFE" w:rsidRDefault="001B2AFE" w:rsidP="001B2AFE">
      <w:pPr>
        <w:pStyle w:val="coveractname"/>
        <w:shd w:val="clear" w:color="auto" w:fill="FFFFFF"/>
        <w:spacing w:before="320" w:beforeAutospacing="0" w:after="0" w:afterAutospacing="0"/>
        <w:jc w:val="both"/>
        <w:rPr>
          <w:rFonts w:ascii="Arial" w:hAnsi="Arial" w:cs="Arial"/>
          <w:b/>
          <w:bCs/>
          <w:color w:val="000000"/>
          <w:sz w:val="20"/>
          <w:szCs w:val="20"/>
        </w:rPr>
      </w:pPr>
      <w:r>
        <w:rPr>
          <w:rFonts w:ascii="Arial" w:hAnsi="Arial" w:cs="Arial"/>
          <w:b/>
          <w:bCs/>
          <w:i/>
          <w:iCs/>
          <w:color w:val="000000"/>
          <w:sz w:val="20"/>
          <w:szCs w:val="20"/>
        </w:rPr>
        <w:t>Urban Forest Act 2023</w:t>
      </w:r>
    </w:p>
    <w:p w14:paraId="25C4F519" w14:textId="77777777" w:rsidR="001B2AFE" w:rsidRDefault="001B2AFE" w:rsidP="001B2AFE">
      <w:pPr>
        <w:pStyle w:val="NormalWeb"/>
        <w:shd w:val="clear" w:color="auto" w:fill="FFFFFF"/>
        <w:spacing w:before="360" w:beforeAutospacing="0" w:after="200" w:afterAutospacing="0" w:line="322" w:lineRule="atLeast"/>
        <w:ind w:right="565"/>
        <w:rPr>
          <w:rFonts w:ascii="Calibri" w:hAnsi="Calibri" w:cs="Calibri"/>
          <w:color w:val="000000"/>
          <w:sz w:val="28"/>
          <w:szCs w:val="28"/>
        </w:rPr>
      </w:pPr>
      <w:r>
        <w:rPr>
          <w:rFonts w:ascii="Arial" w:hAnsi="Arial" w:cs="Arial"/>
          <w:b/>
          <w:bCs/>
          <w:color w:val="000000"/>
          <w:sz w:val="28"/>
          <w:szCs w:val="28"/>
        </w:rPr>
        <w:t>EXPLANATORY STATEMENT</w:t>
      </w:r>
    </w:p>
    <w:p w14:paraId="0FFB79EE" w14:textId="77777777" w:rsidR="001B2AFE" w:rsidRDefault="001B2AFE" w:rsidP="001B2AFE">
      <w:pPr>
        <w:pStyle w:val="n-line3"/>
        <w:shd w:val="clear" w:color="auto" w:fill="FFFFFF"/>
        <w:spacing w:before="0" w:beforeAutospacing="0" w:after="0" w:afterAutospacing="0"/>
        <w:jc w:val="both"/>
        <w:rPr>
          <w:color w:val="000000"/>
        </w:rPr>
      </w:pPr>
      <w:r>
        <w:rPr>
          <w:color w:val="000000"/>
        </w:rPr>
        <w:t> </w:t>
      </w:r>
    </w:p>
    <w:p w14:paraId="3D815BA1" w14:textId="77777777" w:rsidR="001B2AFE" w:rsidRDefault="001B2AFE" w:rsidP="001B2AFE">
      <w:pPr>
        <w:pStyle w:val="n-line3"/>
        <w:pBdr>
          <w:top w:val="single" w:sz="12" w:space="1" w:color="000000"/>
        </w:pBdr>
        <w:shd w:val="clear" w:color="auto" w:fill="FFFFFF"/>
        <w:spacing w:before="0" w:beforeAutospacing="0" w:after="0" w:afterAutospacing="0"/>
        <w:jc w:val="both"/>
        <w:rPr>
          <w:color w:val="000000"/>
        </w:rPr>
      </w:pPr>
      <w:r>
        <w:rPr>
          <w:color w:val="000000"/>
        </w:rPr>
        <w:t> </w:t>
      </w:r>
    </w:p>
    <w:p w14:paraId="40BA1635" w14:textId="77777777" w:rsidR="00D74319" w:rsidRPr="00752613" w:rsidRDefault="00D74319" w:rsidP="00752613">
      <w:pPr>
        <w:rPr>
          <w:rFonts w:ascii="Arial" w:hAnsi="Arial" w:cs="Arial"/>
          <w:b/>
          <w:bCs/>
          <w:color w:val="000000" w:themeColor="text1"/>
          <w:sz w:val="24"/>
          <w:szCs w:val="24"/>
        </w:rPr>
      </w:pPr>
      <w:r w:rsidRPr="00752613">
        <w:rPr>
          <w:rFonts w:ascii="Arial" w:hAnsi="Arial" w:cs="Arial"/>
          <w:b/>
          <w:bCs/>
          <w:color w:val="000000" w:themeColor="text1"/>
          <w:sz w:val="24"/>
          <w:szCs w:val="24"/>
        </w:rPr>
        <w:t>Overview</w:t>
      </w:r>
    </w:p>
    <w:p w14:paraId="0A06103C" w14:textId="2E1F9FDE" w:rsidR="00FF426B" w:rsidRPr="00752613" w:rsidRDefault="00FF426B" w:rsidP="00752613">
      <w:pPr>
        <w:rPr>
          <w:rFonts w:ascii="Arial" w:hAnsi="Arial" w:cs="Arial"/>
          <w:color w:val="000000" w:themeColor="text1"/>
          <w:sz w:val="24"/>
          <w:szCs w:val="24"/>
        </w:rPr>
      </w:pPr>
      <w:r w:rsidRPr="00752613">
        <w:rPr>
          <w:rFonts w:ascii="Arial" w:hAnsi="Arial" w:cs="Arial"/>
          <w:color w:val="000000" w:themeColor="text1"/>
          <w:sz w:val="24"/>
          <w:szCs w:val="24"/>
        </w:rPr>
        <w:t>This explanatory statement relates to the Urban Forest</w:t>
      </w:r>
      <w:r w:rsidR="00733FC3" w:rsidRPr="00752613">
        <w:rPr>
          <w:rFonts w:ascii="Arial" w:hAnsi="Arial" w:cs="Arial"/>
          <w:color w:val="000000" w:themeColor="text1"/>
          <w:sz w:val="24"/>
          <w:szCs w:val="24"/>
        </w:rPr>
        <w:t xml:space="preserve"> (Transitional Provi</w:t>
      </w:r>
      <w:r w:rsidR="004A0809" w:rsidRPr="00752613">
        <w:rPr>
          <w:rFonts w:ascii="Arial" w:hAnsi="Arial" w:cs="Arial"/>
          <w:color w:val="000000" w:themeColor="text1"/>
          <w:sz w:val="24"/>
          <w:szCs w:val="24"/>
        </w:rPr>
        <w:t>s</w:t>
      </w:r>
      <w:r w:rsidR="00733FC3" w:rsidRPr="00752613">
        <w:rPr>
          <w:rFonts w:ascii="Arial" w:hAnsi="Arial" w:cs="Arial"/>
          <w:color w:val="000000" w:themeColor="text1"/>
          <w:sz w:val="24"/>
          <w:szCs w:val="24"/>
        </w:rPr>
        <w:t>ions)</w:t>
      </w:r>
      <w:r w:rsidRPr="00752613">
        <w:rPr>
          <w:rFonts w:ascii="Arial" w:hAnsi="Arial" w:cs="Arial"/>
          <w:color w:val="000000" w:themeColor="text1"/>
          <w:sz w:val="24"/>
          <w:szCs w:val="24"/>
        </w:rPr>
        <w:t xml:space="preserve"> Regulation 202</w:t>
      </w:r>
      <w:r w:rsidR="005C20DD" w:rsidRPr="00752613">
        <w:rPr>
          <w:rFonts w:ascii="Arial" w:hAnsi="Arial" w:cs="Arial"/>
          <w:color w:val="000000" w:themeColor="text1"/>
          <w:sz w:val="24"/>
          <w:szCs w:val="24"/>
        </w:rPr>
        <w:t>4</w:t>
      </w:r>
      <w:r w:rsidRPr="00752613">
        <w:rPr>
          <w:rFonts w:ascii="Arial" w:hAnsi="Arial" w:cs="Arial"/>
          <w:color w:val="000000" w:themeColor="text1"/>
          <w:sz w:val="24"/>
          <w:szCs w:val="24"/>
        </w:rPr>
        <w:t xml:space="preserve"> (the Regulation) made under the Urban Forest Act 202</w:t>
      </w:r>
      <w:r w:rsidR="005F2BB1" w:rsidRPr="00752613">
        <w:rPr>
          <w:rFonts w:ascii="Arial" w:hAnsi="Arial" w:cs="Arial"/>
          <w:color w:val="000000" w:themeColor="text1"/>
          <w:sz w:val="24"/>
          <w:szCs w:val="24"/>
        </w:rPr>
        <w:t>3</w:t>
      </w:r>
      <w:r w:rsidR="007C7691" w:rsidRPr="00752613">
        <w:rPr>
          <w:rFonts w:ascii="Arial" w:hAnsi="Arial" w:cs="Arial"/>
          <w:color w:val="000000" w:themeColor="text1"/>
          <w:sz w:val="24"/>
          <w:szCs w:val="24"/>
        </w:rPr>
        <w:t xml:space="preserve"> (the Act)</w:t>
      </w:r>
      <w:r w:rsidRPr="00752613">
        <w:rPr>
          <w:rFonts w:ascii="Arial" w:hAnsi="Arial" w:cs="Arial"/>
          <w:color w:val="000000" w:themeColor="text1"/>
          <w:sz w:val="24"/>
          <w:szCs w:val="24"/>
        </w:rPr>
        <w:t xml:space="preserve">. </w:t>
      </w:r>
      <w:r w:rsidR="00D833E4" w:rsidRPr="00752613">
        <w:rPr>
          <w:rFonts w:ascii="Arial" w:hAnsi="Arial" w:cs="Arial"/>
          <w:color w:val="000000" w:themeColor="text1"/>
          <w:sz w:val="24"/>
          <w:szCs w:val="24"/>
        </w:rPr>
        <w:t>It</w:t>
      </w:r>
      <w:r w:rsidRPr="00752613">
        <w:rPr>
          <w:rFonts w:ascii="Arial" w:hAnsi="Arial" w:cs="Arial"/>
          <w:color w:val="000000" w:themeColor="text1"/>
          <w:sz w:val="24"/>
          <w:szCs w:val="24"/>
        </w:rPr>
        <w:t xml:space="preserve"> has been prepared to assist the reader of the Regulation. It does not form part of the Regulation and has not been endorsed by the Legislative Assembly. </w:t>
      </w:r>
    </w:p>
    <w:p w14:paraId="733B8750" w14:textId="7307F04C" w:rsidR="00FF426B" w:rsidRDefault="00FF426B" w:rsidP="00752613">
      <w:pPr>
        <w:rPr>
          <w:rFonts w:ascii="Arial" w:hAnsi="Arial" w:cs="Arial"/>
          <w:color w:val="000000" w:themeColor="text1"/>
          <w:sz w:val="24"/>
          <w:szCs w:val="24"/>
        </w:rPr>
      </w:pPr>
      <w:r w:rsidRPr="00752613">
        <w:rPr>
          <w:rFonts w:ascii="Arial" w:hAnsi="Arial" w:cs="Arial"/>
          <w:color w:val="000000" w:themeColor="text1"/>
          <w:sz w:val="24"/>
          <w:szCs w:val="24"/>
        </w:rPr>
        <w:t>The statement is to be read in conjunction with</w:t>
      </w:r>
      <w:r w:rsidR="00D833E4" w:rsidRPr="00752613">
        <w:rPr>
          <w:rFonts w:ascii="Arial" w:hAnsi="Arial" w:cs="Arial"/>
          <w:color w:val="000000" w:themeColor="text1"/>
          <w:sz w:val="24"/>
          <w:szCs w:val="24"/>
        </w:rPr>
        <w:t xml:space="preserve"> the Act and</w:t>
      </w:r>
      <w:r w:rsidRPr="00752613">
        <w:rPr>
          <w:rFonts w:ascii="Arial" w:hAnsi="Arial" w:cs="Arial"/>
          <w:color w:val="000000" w:themeColor="text1"/>
          <w:sz w:val="24"/>
          <w:szCs w:val="24"/>
        </w:rPr>
        <w:t xml:space="preserve"> the Regulation. It is not, and is not intended to be, a comprehensive description of the Regulation. What is said about a provision is not to be taken as an authoritative guide to the meaning of a provision, as this is a task for the courts. </w:t>
      </w:r>
    </w:p>
    <w:p w14:paraId="52B12141" w14:textId="5A2BD437" w:rsidR="0053729D" w:rsidRPr="00752613" w:rsidRDefault="0053729D" w:rsidP="00752613">
      <w:pPr>
        <w:rPr>
          <w:rFonts w:ascii="Arial" w:hAnsi="Arial" w:cs="Arial"/>
          <w:color w:val="000000" w:themeColor="text1"/>
          <w:sz w:val="24"/>
          <w:szCs w:val="24"/>
        </w:rPr>
      </w:pPr>
      <w:r>
        <w:rPr>
          <w:rFonts w:ascii="Arial" w:hAnsi="Arial" w:cs="Arial"/>
          <w:color w:val="000000" w:themeColor="text1"/>
          <w:sz w:val="24"/>
          <w:szCs w:val="24"/>
        </w:rPr>
        <w:t>Section 316 of the Act allows the Minister to prescribe transitional matters necessary or convenient to be prescribed.</w:t>
      </w:r>
    </w:p>
    <w:p w14:paraId="7CA7B22E" w14:textId="0B88FCD9" w:rsidR="00FF426B" w:rsidRPr="00752613" w:rsidRDefault="00FF426B" w:rsidP="00752613">
      <w:pPr>
        <w:rPr>
          <w:rFonts w:ascii="Arial" w:hAnsi="Arial" w:cs="Arial"/>
          <w:color w:val="000000" w:themeColor="text1"/>
          <w:sz w:val="24"/>
          <w:szCs w:val="24"/>
        </w:rPr>
      </w:pPr>
      <w:r w:rsidRPr="00752613">
        <w:rPr>
          <w:rFonts w:ascii="Arial" w:hAnsi="Arial" w:cs="Arial"/>
          <w:color w:val="000000" w:themeColor="text1"/>
          <w:sz w:val="24"/>
          <w:szCs w:val="24"/>
        </w:rPr>
        <w:t xml:space="preserve">The Regulation </w:t>
      </w:r>
      <w:r w:rsidR="007C7691" w:rsidRPr="00752613">
        <w:rPr>
          <w:rFonts w:ascii="Arial" w:hAnsi="Arial" w:cs="Arial"/>
          <w:color w:val="000000" w:themeColor="text1"/>
          <w:sz w:val="24"/>
          <w:szCs w:val="24"/>
        </w:rPr>
        <w:t>provide</w:t>
      </w:r>
      <w:r w:rsidR="00363D2F" w:rsidRPr="00752613">
        <w:rPr>
          <w:rFonts w:ascii="Arial" w:hAnsi="Arial" w:cs="Arial"/>
          <w:color w:val="000000" w:themeColor="text1"/>
          <w:sz w:val="24"/>
          <w:szCs w:val="24"/>
        </w:rPr>
        <w:t>s</w:t>
      </w:r>
      <w:r w:rsidR="007C7691" w:rsidRPr="00752613">
        <w:rPr>
          <w:rFonts w:ascii="Arial" w:hAnsi="Arial" w:cs="Arial"/>
          <w:color w:val="000000" w:themeColor="text1"/>
          <w:sz w:val="24"/>
          <w:szCs w:val="24"/>
        </w:rPr>
        <w:t xml:space="preserve"> details </w:t>
      </w:r>
      <w:r w:rsidR="007E48DF" w:rsidRPr="00752613">
        <w:rPr>
          <w:rFonts w:ascii="Arial" w:hAnsi="Arial" w:cs="Arial"/>
          <w:color w:val="000000" w:themeColor="text1"/>
          <w:sz w:val="24"/>
          <w:szCs w:val="24"/>
        </w:rPr>
        <w:t xml:space="preserve">for the assessment of </w:t>
      </w:r>
      <w:r w:rsidR="007E7DE6" w:rsidRPr="00752613">
        <w:rPr>
          <w:rFonts w:ascii="Arial" w:hAnsi="Arial" w:cs="Arial"/>
          <w:color w:val="000000" w:themeColor="text1"/>
          <w:sz w:val="24"/>
          <w:szCs w:val="24"/>
        </w:rPr>
        <w:t xml:space="preserve">protected trees and </w:t>
      </w:r>
      <w:r w:rsidR="007E48DF" w:rsidRPr="00752613">
        <w:rPr>
          <w:rFonts w:ascii="Arial" w:hAnsi="Arial" w:cs="Arial"/>
          <w:color w:val="000000" w:themeColor="text1"/>
          <w:sz w:val="24"/>
          <w:szCs w:val="24"/>
        </w:rPr>
        <w:t>tree management plan</w:t>
      </w:r>
      <w:r w:rsidR="00521F17" w:rsidRPr="00752613">
        <w:rPr>
          <w:rFonts w:ascii="Arial" w:hAnsi="Arial" w:cs="Arial"/>
          <w:color w:val="000000" w:themeColor="text1"/>
          <w:sz w:val="24"/>
          <w:szCs w:val="24"/>
        </w:rPr>
        <w:t xml:space="preserve">s </w:t>
      </w:r>
      <w:r w:rsidR="0053729D">
        <w:rPr>
          <w:rFonts w:ascii="Arial" w:hAnsi="Arial" w:cs="Arial"/>
          <w:color w:val="000000" w:themeColor="text1"/>
          <w:sz w:val="24"/>
          <w:szCs w:val="24"/>
        </w:rPr>
        <w:t>applied for in a development application to</w:t>
      </w:r>
      <w:r w:rsidR="00521F17" w:rsidRPr="00752613">
        <w:rPr>
          <w:rFonts w:ascii="Arial" w:hAnsi="Arial" w:cs="Arial"/>
          <w:color w:val="000000" w:themeColor="text1"/>
          <w:sz w:val="24"/>
          <w:szCs w:val="24"/>
        </w:rPr>
        <w:t xml:space="preserve"> the planning authority</w:t>
      </w:r>
      <w:r w:rsidR="00B0443B">
        <w:rPr>
          <w:rFonts w:ascii="Arial" w:hAnsi="Arial" w:cs="Arial"/>
          <w:color w:val="000000" w:themeColor="text1"/>
          <w:sz w:val="24"/>
          <w:szCs w:val="24"/>
        </w:rPr>
        <w:t xml:space="preserve"> prior to the commencement of the Act</w:t>
      </w:r>
      <w:r w:rsidR="00521F17" w:rsidRPr="00752613">
        <w:rPr>
          <w:rFonts w:ascii="Arial" w:hAnsi="Arial" w:cs="Arial"/>
          <w:color w:val="000000" w:themeColor="text1"/>
          <w:sz w:val="24"/>
          <w:szCs w:val="24"/>
        </w:rPr>
        <w:t>.</w:t>
      </w:r>
      <w:r w:rsidR="007E7DE6" w:rsidRPr="00752613">
        <w:rPr>
          <w:rFonts w:ascii="Arial" w:hAnsi="Arial" w:cs="Arial"/>
          <w:color w:val="000000" w:themeColor="text1"/>
          <w:sz w:val="24"/>
          <w:szCs w:val="24"/>
        </w:rPr>
        <w:t xml:space="preserve">  </w:t>
      </w:r>
    </w:p>
    <w:p w14:paraId="02D50D9F" w14:textId="77777777" w:rsidR="00D74319" w:rsidRPr="00752613" w:rsidRDefault="00D74319">
      <w:pPr>
        <w:rPr>
          <w:rFonts w:ascii="Arial" w:hAnsi="Arial" w:cs="Arial"/>
          <w:b/>
          <w:bCs/>
          <w:color w:val="000000" w:themeColor="text1"/>
          <w:sz w:val="24"/>
          <w:szCs w:val="24"/>
        </w:rPr>
      </w:pPr>
      <w:r w:rsidRPr="00752613">
        <w:rPr>
          <w:rFonts w:ascii="Arial" w:hAnsi="Arial" w:cs="Arial"/>
          <w:b/>
          <w:bCs/>
          <w:color w:val="000000" w:themeColor="text1"/>
          <w:sz w:val="24"/>
          <w:szCs w:val="24"/>
        </w:rPr>
        <w:t>Human rights</w:t>
      </w:r>
    </w:p>
    <w:p w14:paraId="0181761D" w14:textId="69C3DF48" w:rsidR="00F17154" w:rsidRPr="00752613" w:rsidRDefault="00D65A8A" w:rsidP="00F17154">
      <w:pPr>
        <w:rPr>
          <w:rFonts w:ascii="Arial" w:hAnsi="Arial" w:cs="Arial"/>
          <w:color w:val="000000" w:themeColor="text1"/>
          <w:sz w:val="24"/>
          <w:szCs w:val="24"/>
        </w:rPr>
      </w:pPr>
      <w:r w:rsidRPr="00752613">
        <w:rPr>
          <w:rFonts w:ascii="Arial" w:hAnsi="Arial" w:cs="Arial"/>
          <w:color w:val="000000" w:themeColor="text1"/>
          <w:sz w:val="24"/>
          <w:szCs w:val="24"/>
        </w:rPr>
        <w:t>The Standing Committee on Justice and Community Safety (Legislative Scrutiny Role) terms of reference require consideration of human rights impacts, among other matters. In this case, no human rights are impacted.</w:t>
      </w:r>
    </w:p>
    <w:p w14:paraId="6B9CB331" w14:textId="77777777" w:rsidR="00F17154" w:rsidRPr="00E1117C" w:rsidRDefault="00F17154" w:rsidP="00F17154">
      <w:pPr>
        <w:pStyle w:val="Heading1"/>
        <w:jc w:val="left"/>
        <w:rPr>
          <w:rFonts w:cs="Arial"/>
          <w:szCs w:val="24"/>
        </w:rPr>
      </w:pPr>
      <w:r w:rsidRPr="00E1117C">
        <w:rPr>
          <w:rFonts w:cs="Arial"/>
          <w:bCs/>
          <w:szCs w:val="24"/>
        </w:rPr>
        <w:t>CLAUSE NOTES</w:t>
      </w:r>
    </w:p>
    <w:p w14:paraId="31CA59DF" w14:textId="2A64582B" w:rsidR="00F17154" w:rsidRPr="00E1117C" w:rsidRDefault="00F17154" w:rsidP="00F17154">
      <w:pPr>
        <w:spacing w:before="240" w:after="240"/>
        <w:rPr>
          <w:rFonts w:ascii="Arial" w:hAnsi="Arial" w:cs="Arial"/>
          <w:color w:val="000000" w:themeColor="text1"/>
          <w:sz w:val="24"/>
          <w:szCs w:val="24"/>
        </w:rPr>
      </w:pPr>
      <w:r w:rsidRPr="00E1117C">
        <w:rPr>
          <w:rFonts w:ascii="Arial" w:hAnsi="Arial" w:cs="Arial"/>
          <w:b/>
          <w:bCs/>
          <w:color w:val="000000" w:themeColor="text1"/>
          <w:sz w:val="24"/>
          <w:szCs w:val="24"/>
        </w:rPr>
        <w:t>Clause 1</w:t>
      </w:r>
      <w:r w:rsidRPr="00E1117C">
        <w:rPr>
          <w:rFonts w:ascii="Arial" w:hAnsi="Arial" w:cs="Arial"/>
          <w:color w:val="000000" w:themeColor="text1"/>
          <w:sz w:val="24"/>
          <w:szCs w:val="24"/>
        </w:rPr>
        <w:tab/>
      </w:r>
      <w:r w:rsidRPr="00E1117C">
        <w:rPr>
          <w:rFonts w:ascii="Arial" w:hAnsi="Arial" w:cs="Arial"/>
          <w:b/>
          <w:bCs/>
          <w:color w:val="000000" w:themeColor="text1"/>
          <w:sz w:val="24"/>
          <w:szCs w:val="24"/>
        </w:rPr>
        <w:t xml:space="preserve">Name of </w:t>
      </w:r>
      <w:r w:rsidR="00CB3493" w:rsidRPr="00E1117C">
        <w:rPr>
          <w:rFonts w:ascii="Arial" w:hAnsi="Arial" w:cs="Arial"/>
          <w:b/>
          <w:bCs/>
          <w:color w:val="000000" w:themeColor="text1"/>
          <w:sz w:val="24"/>
          <w:szCs w:val="24"/>
        </w:rPr>
        <w:t>Regulation</w:t>
      </w:r>
    </w:p>
    <w:p w14:paraId="3BCB9051" w14:textId="7B4D3564" w:rsidR="00F17154" w:rsidRPr="00E1117C" w:rsidRDefault="00F17154" w:rsidP="00F17154">
      <w:pPr>
        <w:spacing w:before="240" w:after="240"/>
        <w:rPr>
          <w:rFonts w:ascii="Arial" w:hAnsi="Arial" w:cs="Arial"/>
          <w:color w:val="000000" w:themeColor="text1"/>
          <w:sz w:val="24"/>
          <w:szCs w:val="24"/>
        </w:rPr>
      </w:pPr>
      <w:r w:rsidRPr="00E1117C">
        <w:rPr>
          <w:rFonts w:ascii="Arial" w:hAnsi="Arial" w:cs="Arial"/>
          <w:color w:val="000000" w:themeColor="text1"/>
          <w:sz w:val="24"/>
          <w:szCs w:val="24"/>
        </w:rPr>
        <w:t xml:space="preserve">This clause states that the name of the </w:t>
      </w:r>
      <w:r w:rsidR="00CB3493" w:rsidRPr="00E1117C">
        <w:rPr>
          <w:rFonts w:ascii="Arial" w:hAnsi="Arial" w:cs="Arial"/>
          <w:color w:val="000000" w:themeColor="text1"/>
          <w:sz w:val="24"/>
          <w:szCs w:val="24"/>
        </w:rPr>
        <w:t>Regulation</w:t>
      </w:r>
      <w:r w:rsidRPr="00E1117C">
        <w:rPr>
          <w:rFonts w:ascii="Arial" w:hAnsi="Arial" w:cs="Arial"/>
          <w:color w:val="000000" w:themeColor="text1"/>
          <w:sz w:val="24"/>
          <w:szCs w:val="24"/>
        </w:rPr>
        <w:t xml:space="preserve"> is the </w:t>
      </w:r>
      <w:r w:rsidRPr="00D7609E">
        <w:rPr>
          <w:rFonts w:ascii="Arial" w:hAnsi="Arial" w:cs="Arial"/>
          <w:i/>
          <w:iCs/>
          <w:color w:val="000000" w:themeColor="text1"/>
          <w:sz w:val="24"/>
          <w:szCs w:val="24"/>
        </w:rPr>
        <w:t xml:space="preserve">Urban Forest </w:t>
      </w:r>
      <w:r w:rsidR="00D7609E" w:rsidRPr="00D7609E">
        <w:rPr>
          <w:rFonts w:ascii="Arial" w:hAnsi="Arial" w:cs="Arial"/>
          <w:i/>
          <w:iCs/>
          <w:color w:val="000000" w:themeColor="text1"/>
          <w:sz w:val="24"/>
          <w:szCs w:val="24"/>
        </w:rPr>
        <w:t xml:space="preserve">(Transitional Provisions) </w:t>
      </w:r>
      <w:r w:rsidR="00CB3493" w:rsidRPr="00D7609E">
        <w:rPr>
          <w:rFonts w:ascii="Arial" w:hAnsi="Arial" w:cs="Arial"/>
          <w:i/>
          <w:iCs/>
          <w:color w:val="000000" w:themeColor="text1"/>
          <w:sz w:val="24"/>
          <w:szCs w:val="24"/>
        </w:rPr>
        <w:t>Regulation</w:t>
      </w:r>
      <w:r w:rsidRPr="00D7609E">
        <w:rPr>
          <w:rFonts w:ascii="Arial" w:hAnsi="Arial" w:cs="Arial"/>
          <w:i/>
          <w:iCs/>
          <w:color w:val="000000" w:themeColor="text1"/>
          <w:sz w:val="24"/>
          <w:szCs w:val="24"/>
        </w:rPr>
        <w:t xml:space="preserve"> 202</w:t>
      </w:r>
      <w:r w:rsidR="005C20DD">
        <w:rPr>
          <w:rFonts w:ascii="Arial" w:hAnsi="Arial" w:cs="Arial"/>
          <w:i/>
          <w:iCs/>
          <w:color w:val="000000" w:themeColor="text1"/>
          <w:sz w:val="24"/>
          <w:szCs w:val="24"/>
        </w:rPr>
        <w:t>4</w:t>
      </w:r>
      <w:r w:rsidRPr="00C63368">
        <w:rPr>
          <w:rFonts w:ascii="Arial" w:hAnsi="Arial" w:cs="Arial"/>
          <w:color w:val="000000" w:themeColor="text1"/>
          <w:sz w:val="24"/>
          <w:szCs w:val="24"/>
        </w:rPr>
        <w:t xml:space="preserve"> </w:t>
      </w:r>
      <w:r w:rsidRPr="00E1117C">
        <w:rPr>
          <w:rFonts w:ascii="Arial" w:hAnsi="Arial" w:cs="Arial"/>
          <w:color w:val="000000" w:themeColor="text1"/>
          <w:sz w:val="24"/>
          <w:szCs w:val="24"/>
        </w:rPr>
        <w:t xml:space="preserve">(the </w:t>
      </w:r>
      <w:r w:rsidR="00CB3493" w:rsidRPr="00E1117C">
        <w:rPr>
          <w:rFonts w:ascii="Arial" w:hAnsi="Arial" w:cs="Arial"/>
          <w:color w:val="000000" w:themeColor="text1"/>
          <w:sz w:val="24"/>
          <w:szCs w:val="24"/>
        </w:rPr>
        <w:t>Regulation</w:t>
      </w:r>
      <w:r w:rsidRPr="00E1117C">
        <w:rPr>
          <w:rFonts w:ascii="Arial" w:hAnsi="Arial" w:cs="Arial"/>
          <w:color w:val="000000" w:themeColor="text1"/>
          <w:sz w:val="24"/>
          <w:szCs w:val="24"/>
        </w:rPr>
        <w:t>).</w:t>
      </w:r>
    </w:p>
    <w:p w14:paraId="30D9E0EB" w14:textId="77777777" w:rsidR="00CB3493" w:rsidRPr="00E1117C" w:rsidRDefault="00CB3493" w:rsidP="00CB3493">
      <w:pPr>
        <w:spacing w:before="240" w:after="240"/>
        <w:rPr>
          <w:rFonts w:ascii="Arial" w:hAnsi="Arial" w:cs="Arial"/>
          <w:color w:val="000000" w:themeColor="text1"/>
          <w:sz w:val="24"/>
          <w:szCs w:val="24"/>
        </w:rPr>
      </w:pPr>
      <w:r w:rsidRPr="00E1117C">
        <w:rPr>
          <w:rFonts w:ascii="Arial" w:hAnsi="Arial" w:cs="Arial"/>
          <w:b/>
          <w:bCs/>
          <w:color w:val="000000" w:themeColor="text1"/>
          <w:sz w:val="24"/>
          <w:szCs w:val="24"/>
        </w:rPr>
        <w:t>Clause 2</w:t>
      </w:r>
      <w:r w:rsidRPr="00E1117C">
        <w:rPr>
          <w:rFonts w:ascii="Arial" w:hAnsi="Arial" w:cs="Arial"/>
          <w:color w:val="000000" w:themeColor="text1"/>
          <w:sz w:val="24"/>
          <w:szCs w:val="24"/>
        </w:rPr>
        <w:tab/>
      </w:r>
      <w:r w:rsidRPr="00E1117C">
        <w:rPr>
          <w:rFonts w:ascii="Arial" w:hAnsi="Arial" w:cs="Arial"/>
          <w:b/>
          <w:bCs/>
          <w:color w:val="000000" w:themeColor="text1"/>
          <w:sz w:val="24"/>
          <w:szCs w:val="24"/>
        </w:rPr>
        <w:t>Commencement</w:t>
      </w:r>
    </w:p>
    <w:p w14:paraId="319659D5" w14:textId="39AB9DE4" w:rsidR="00CB3493" w:rsidRPr="00E1117C" w:rsidRDefault="00CB3493" w:rsidP="00CB3493">
      <w:pPr>
        <w:spacing w:before="240" w:after="240"/>
        <w:rPr>
          <w:rFonts w:ascii="Arial" w:eastAsia="Arial" w:hAnsi="Arial" w:cs="Arial"/>
          <w:color w:val="000000" w:themeColor="text1"/>
          <w:sz w:val="24"/>
          <w:szCs w:val="24"/>
        </w:rPr>
      </w:pPr>
      <w:r w:rsidRPr="00E1117C">
        <w:rPr>
          <w:rFonts w:ascii="Arial" w:hAnsi="Arial" w:cs="Arial"/>
          <w:color w:val="000000" w:themeColor="text1"/>
          <w:sz w:val="24"/>
          <w:szCs w:val="24"/>
        </w:rPr>
        <w:lastRenderedPageBreak/>
        <w:t xml:space="preserve">This clause provides for the commencement of the Regulation. The Regulation commences on the </w:t>
      </w:r>
      <w:r w:rsidR="00EC72DF">
        <w:rPr>
          <w:rFonts w:ascii="Arial" w:hAnsi="Arial" w:cs="Arial"/>
          <w:color w:val="000000" w:themeColor="text1"/>
          <w:sz w:val="24"/>
          <w:szCs w:val="24"/>
        </w:rPr>
        <w:t>day after it is notified on the ACT Legislation Register.</w:t>
      </w:r>
    </w:p>
    <w:p w14:paraId="70011EA3" w14:textId="7009D33E" w:rsidR="00CB3493" w:rsidRPr="00E1117C" w:rsidRDefault="00CB3493" w:rsidP="00CB3493">
      <w:pPr>
        <w:spacing w:before="240" w:after="240"/>
        <w:rPr>
          <w:rFonts w:ascii="Arial" w:hAnsi="Arial" w:cs="Arial"/>
          <w:b/>
          <w:bCs/>
          <w:color w:val="000000" w:themeColor="text1"/>
          <w:sz w:val="24"/>
          <w:szCs w:val="24"/>
        </w:rPr>
      </w:pPr>
      <w:r w:rsidRPr="00E1117C">
        <w:rPr>
          <w:rFonts w:ascii="Arial" w:hAnsi="Arial" w:cs="Arial"/>
          <w:b/>
          <w:bCs/>
          <w:color w:val="000000" w:themeColor="text1"/>
          <w:sz w:val="24"/>
          <w:szCs w:val="24"/>
        </w:rPr>
        <w:t>Clause 3</w:t>
      </w:r>
      <w:r w:rsidRPr="00E1117C">
        <w:rPr>
          <w:rFonts w:ascii="Arial" w:hAnsi="Arial" w:cs="Arial"/>
          <w:b/>
          <w:bCs/>
          <w:color w:val="000000" w:themeColor="text1"/>
          <w:sz w:val="24"/>
          <w:szCs w:val="24"/>
        </w:rPr>
        <w:tab/>
      </w:r>
      <w:r w:rsidR="00041CA5" w:rsidRPr="00007ECF">
        <w:rPr>
          <w:rFonts w:ascii="Arial" w:hAnsi="Arial" w:cs="Arial"/>
          <w:b/>
          <w:bCs/>
          <w:color w:val="000000" w:themeColor="text1"/>
          <w:sz w:val="24"/>
          <w:szCs w:val="24"/>
        </w:rPr>
        <w:t>Development applications made before commencement day</w:t>
      </w:r>
    </w:p>
    <w:p w14:paraId="76014062" w14:textId="44134000" w:rsidR="00CB3493" w:rsidRPr="00754879" w:rsidRDefault="00CB3493" w:rsidP="00CB3493">
      <w:pPr>
        <w:spacing w:before="240" w:after="240"/>
        <w:rPr>
          <w:rFonts w:ascii="Arial" w:hAnsi="Arial" w:cs="Arial"/>
          <w:color w:val="000000" w:themeColor="text1"/>
          <w:sz w:val="24"/>
          <w:szCs w:val="24"/>
        </w:rPr>
      </w:pPr>
      <w:r w:rsidRPr="00E1117C">
        <w:rPr>
          <w:rFonts w:ascii="Arial" w:hAnsi="Arial" w:cs="Arial"/>
          <w:color w:val="000000" w:themeColor="text1"/>
          <w:sz w:val="24"/>
          <w:szCs w:val="24"/>
        </w:rPr>
        <w:t xml:space="preserve">This clause </w:t>
      </w:r>
      <w:r w:rsidR="00041CA5">
        <w:rPr>
          <w:rFonts w:ascii="Arial" w:hAnsi="Arial" w:cs="Arial"/>
          <w:color w:val="000000" w:themeColor="text1"/>
          <w:sz w:val="24"/>
          <w:szCs w:val="24"/>
        </w:rPr>
        <w:t>provides for development applications that have been applied for under the</w:t>
      </w:r>
      <w:r w:rsidR="00041CA5" w:rsidRPr="007F33AE">
        <w:rPr>
          <w:rFonts w:ascii="Arial" w:hAnsi="Arial" w:cs="Arial"/>
          <w:i/>
          <w:iCs/>
          <w:color w:val="000000" w:themeColor="text1"/>
          <w:sz w:val="24"/>
          <w:szCs w:val="24"/>
        </w:rPr>
        <w:t xml:space="preserve"> Planning Act 2023</w:t>
      </w:r>
      <w:r w:rsidR="007F33AE">
        <w:rPr>
          <w:rFonts w:ascii="Arial" w:hAnsi="Arial" w:cs="Arial"/>
          <w:color w:val="000000" w:themeColor="text1"/>
          <w:sz w:val="24"/>
          <w:szCs w:val="24"/>
        </w:rPr>
        <w:t xml:space="preserve"> and have an application date that is </w:t>
      </w:r>
      <w:r w:rsidR="00041CA5">
        <w:rPr>
          <w:rFonts w:ascii="Arial" w:hAnsi="Arial" w:cs="Arial"/>
          <w:color w:val="000000" w:themeColor="text1"/>
          <w:sz w:val="24"/>
          <w:szCs w:val="24"/>
        </w:rPr>
        <w:t>prior to the commencement of the Act.</w:t>
      </w:r>
      <w:r w:rsidR="00007ECF">
        <w:rPr>
          <w:rFonts w:ascii="Arial" w:hAnsi="Arial" w:cs="Arial"/>
          <w:color w:val="000000" w:themeColor="text1"/>
          <w:sz w:val="24"/>
          <w:szCs w:val="24"/>
        </w:rPr>
        <w:t xml:space="preserve"> </w:t>
      </w:r>
      <w:r w:rsidR="00754879">
        <w:rPr>
          <w:rFonts w:ascii="Arial" w:hAnsi="Arial" w:cs="Arial"/>
          <w:color w:val="000000" w:themeColor="text1"/>
          <w:sz w:val="24"/>
          <w:szCs w:val="24"/>
        </w:rPr>
        <w:t>The repealed Act (</w:t>
      </w:r>
      <w:r w:rsidR="00754879">
        <w:rPr>
          <w:rFonts w:ascii="Arial" w:hAnsi="Arial" w:cs="Arial"/>
          <w:i/>
          <w:iCs/>
          <w:color w:val="000000" w:themeColor="text1"/>
          <w:sz w:val="24"/>
          <w:szCs w:val="24"/>
        </w:rPr>
        <w:t>Tree Protection Act 2005</w:t>
      </w:r>
      <w:r w:rsidR="00754879">
        <w:rPr>
          <w:rFonts w:ascii="Arial" w:hAnsi="Arial" w:cs="Arial"/>
          <w:color w:val="000000" w:themeColor="text1"/>
          <w:sz w:val="24"/>
          <w:szCs w:val="24"/>
        </w:rPr>
        <w:t>) will be applied to tree management plans that are assessed as part of these development applications.</w:t>
      </w:r>
    </w:p>
    <w:p w14:paraId="290FE278" w14:textId="5DE21415" w:rsidR="00CB3493" w:rsidRPr="00E1117C" w:rsidRDefault="00CB3493" w:rsidP="00CB3493">
      <w:pPr>
        <w:spacing w:before="240" w:after="240"/>
        <w:rPr>
          <w:rFonts w:ascii="Arial" w:hAnsi="Arial" w:cs="Arial"/>
          <w:color w:val="000000" w:themeColor="text1"/>
          <w:sz w:val="24"/>
          <w:szCs w:val="24"/>
        </w:rPr>
      </w:pPr>
      <w:r w:rsidRPr="00E1117C">
        <w:rPr>
          <w:rFonts w:ascii="Arial" w:hAnsi="Arial" w:cs="Arial"/>
          <w:b/>
          <w:bCs/>
          <w:color w:val="000000" w:themeColor="text1"/>
          <w:sz w:val="24"/>
          <w:szCs w:val="24"/>
        </w:rPr>
        <w:t>Clause 4</w:t>
      </w:r>
      <w:r w:rsidRPr="00E1117C">
        <w:rPr>
          <w:rFonts w:ascii="Arial" w:hAnsi="Arial" w:cs="Arial"/>
          <w:b/>
          <w:bCs/>
          <w:color w:val="000000" w:themeColor="text1"/>
          <w:sz w:val="24"/>
          <w:szCs w:val="24"/>
        </w:rPr>
        <w:tab/>
      </w:r>
      <w:r w:rsidR="0047685D">
        <w:rPr>
          <w:rFonts w:ascii="Arial" w:hAnsi="Arial" w:cs="Arial"/>
          <w:b/>
          <w:bCs/>
          <w:color w:val="000000" w:themeColor="text1"/>
          <w:sz w:val="24"/>
          <w:szCs w:val="24"/>
        </w:rPr>
        <w:t>Expiry</w:t>
      </w:r>
    </w:p>
    <w:p w14:paraId="616FDA9A" w14:textId="0752DCB7" w:rsidR="00CB3493" w:rsidRPr="00E1117C" w:rsidRDefault="00CB3493" w:rsidP="00CB3493">
      <w:pPr>
        <w:spacing w:before="240" w:after="240"/>
        <w:rPr>
          <w:rFonts w:ascii="Arial" w:hAnsi="Arial" w:cs="Arial"/>
          <w:color w:val="000000" w:themeColor="text1"/>
          <w:sz w:val="24"/>
          <w:szCs w:val="24"/>
        </w:rPr>
      </w:pPr>
      <w:r w:rsidRPr="00E1117C">
        <w:rPr>
          <w:rFonts w:ascii="Arial" w:hAnsi="Arial" w:cs="Arial"/>
          <w:color w:val="000000" w:themeColor="text1"/>
          <w:sz w:val="24"/>
          <w:szCs w:val="24"/>
        </w:rPr>
        <w:t xml:space="preserve">This clause states that this Regulation </w:t>
      </w:r>
      <w:r w:rsidR="00F40E59">
        <w:rPr>
          <w:rFonts w:ascii="Arial" w:hAnsi="Arial" w:cs="Arial"/>
          <w:color w:val="000000" w:themeColor="text1"/>
          <w:sz w:val="24"/>
          <w:szCs w:val="24"/>
        </w:rPr>
        <w:t>expires</w:t>
      </w:r>
      <w:r w:rsidR="00752613">
        <w:rPr>
          <w:rFonts w:ascii="Arial" w:hAnsi="Arial" w:cs="Arial"/>
          <w:color w:val="000000" w:themeColor="text1"/>
          <w:sz w:val="24"/>
          <w:szCs w:val="24"/>
        </w:rPr>
        <w:t xml:space="preserve"> on the day that part 20 of the Act (Transitional) expires.</w:t>
      </w:r>
    </w:p>
    <w:p w14:paraId="6B21734B" w14:textId="714BDC7E" w:rsidR="00CB3493" w:rsidRPr="00FE7F66" w:rsidRDefault="00CB3493" w:rsidP="00752613">
      <w:pPr>
        <w:pStyle w:val="Heading4"/>
        <w:spacing w:before="240" w:after="240"/>
        <w:rPr>
          <w:rFonts w:ascii="Arial" w:hAnsi="Arial" w:cs="Arial"/>
          <w:color w:val="000000" w:themeColor="text1"/>
          <w:sz w:val="24"/>
          <w:szCs w:val="24"/>
        </w:rPr>
      </w:pPr>
    </w:p>
    <w:p w14:paraId="46815833" w14:textId="77777777" w:rsidR="00CB3493" w:rsidRPr="00CB3493" w:rsidRDefault="00CB3493" w:rsidP="00CB3493">
      <w:pPr>
        <w:spacing w:before="240" w:after="240"/>
        <w:rPr>
          <w:rFonts w:ascii="Arial" w:hAnsi="Arial" w:cs="Arial"/>
          <w:b/>
          <w:bCs/>
          <w:color w:val="000000" w:themeColor="text1"/>
        </w:rPr>
      </w:pPr>
    </w:p>
    <w:sectPr w:rsidR="00CB3493" w:rsidRPr="00CB34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17EB" w14:textId="77777777" w:rsidR="005E6077" w:rsidRDefault="005E6077" w:rsidP="00B92B26">
      <w:pPr>
        <w:spacing w:after="0" w:line="240" w:lineRule="auto"/>
      </w:pPr>
      <w:r>
        <w:separator/>
      </w:r>
    </w:p>
  </w:endnote>
  <w:endnote w:type="continuationSeparator" w:id="0">
    <w:p w14:paraId="3D1C6790" w14:textId="77777777" w:rsidR="005E6077" w:rsidRDefault="005E6077" w:rsidP="00B9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AE5C" w14:textId="77777777" w:rsidR="00D370B2" w:rsidRDefault="00D3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2B53" w14:textId="5BE2B695" w:rsidR="00D370B2" w:rsidRPr="00D370B2" w:rsidRDefault="00D370B2" w:rsidP="00D370B2">
    <w:pPr>
      <w:pStyle w:val="Footer"/>
      <w:jc w:val="center"/>
      <w:rPr>
        <w:rFonts w:ascii="Arial" w:hAnsi="Arial" w:cs="Arial"/>
        <w:sz w:val="14"/>
      </w:rPr>
    </w:pPr>
    <w:r w:rsidRPr="00D370B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CBEB" w14:textId="77777777" w:rsidR="00D370B2" w:rsidRDefault="00D37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C618" w14:textId="77777777" w:rsidR="005E6077" w:rsidRDefault="005E6077" w:rsidP="00B92B26">
      <w:pPr>
        <w:spacing w:after="0" w:line="240" w:lineRule="auto"/>
      </w:pPr>
      <w:r>
        <w:separator/>
      </w:r>
    </w:p>
  </w:footnote>
  <w:footnote w:type="continuationSeparator" w:id="0">
    <w:p w14:paraId="22921365" w14:textId="77777777" w:rsidR="005E6077" w:rsidRDefault="005E6077" w:rsidP="00B9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C42A" w14:textId="77777777" w:rsidR="00D370B2" w:rsidRDefault="00D37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1A86" w14:textId="77777777" w:rsidR="00D370B2" w:rsidRDefault="00D37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9AD5" w14:textId="77777777" w:rsidR="00D370B2" w:rsidRDefault="00D37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FC9"/>
    <w:multiLevelType w:val="hybridMultilevel"/>
    <w:tmpl w:val="8624A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003E55"/>
    <w:multiLevelType w:val="multilevel"/>
    <w:tmpl w:val="EA0A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A3E11"/>
    <w:multiLevelType w:val="hybridMultilevel"/>
    <w:tmpl w:val="88245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E506F3"/>
    <w:multiLevelType w:val="hybridMultilevel"/>
    <w:tmpl w:val="95C6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82696">
    <w:abstractNumId w:val="0"/>
  </w:num>
  <w:num w:numId="2" w16cid:durableId="519901787">
    <w:abstractNumId w:val="3"/>
  </w:num>
  <w:num w:numId="3" w16cid:durableId="109129544">
    <w:abstractNumId w:val="2"/>
  </w:num>
  <w:num w:numId="4" w16cid:durableId="207311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6F"/>
    <w:rsid w:val="00007ECF"/>
    <w:rsid w:val="00041CA5"/>
    <w:rsid w:val="0004216F"/>
    <w:rsid w:val="00082532"/>
    <w:rsid w:val="00085FD2"/>
    <w:rsid w:val="000A4F25"/>
    <w:rsid w:val="00124540"/>
    <w:rsid w:val="00131183"/>
    <w:rsid w:val="001B2AFE"/>
    <w:rsid w:val="00217038"/>
    <w:rsid w:val="002B5206"/>
    <w:rsid w:val="002F1C12"/>
    <w:rsid w:val="003158D3"/>
    <w:rsid w:val="003168F1"/>
    <w:rsid w:val="0034137F"/>
    <w:rsid w:val="003414A2"/>
    <w:rsid w:val="00363D2F"/>
    <w:rsid w:val="003859CE"/>
    <w:rsid w:val="003C1EDF"/>
    <w:rsid w:val="00413FE0"/>
    <w:rsid w:val="00473D22"/>
    <w:rsid w:val="0047685D"/>
    <w:rsid w:val="004A0809"/>
    <w:rsid w:val="004D519D"/>
    <w:rsid w:val="00521F17"/>
    <w:rsid w:val="005341C9"/>
    <w:rsid w:val="0053729D"/>
    <w:rsid w:val="005C20DD"/>
    <w:rsid w:val="005C5780"/>
    <w:rsid w:val="005E6077"/>
    <w:rsid w:val="005F2BB1"/>
    <w:rsid w:val="005F48B5"/>
    <w:rsid w:val="00605866"/>
    <w:rsid w:val="00606A2C"/>
    <w:rsid w:val="00656AB9"/>
    <w:rsid w:val="006E1115"/>
    <w:rsid w:val="00733FC3"/>
    <w:rsid w:val="00752613"/>
    <w:rsid w:val="00754879"/>
    <w:rsid w:val="007559ED"/>
    <w:rsid w:val="00765AEF"/>
    <w:rsid w:val="00784AEE"/>
    <w:rsid w:val="007C124F"/>
    <w:rsid w:val="007C7691"/>
    <w:rsid w:val="007E48DF"/>
    <w:rsid w:val="007E7DE6"/>
    <w:rsid w:val="007F33AE"/>
    <w:rsid w:val="008378A5"/>
    <w:rsid w:val="0087354D"/>
    <w:rsid w:val="008A2CDF"/>
    <w:rsid w:val="008D0485"/>
    <w:rsid w:val="009441D9"/>
    <w:rsid w:val="009A01A7"/>
    <w:rsid w:val="00A6000D"/>
    <w:rsid w:val="00A61B77"/>
    <w:rsid w:val="00A73882"/>
    <w:rsid w:val="00AE583B"/>
    <w:rsid w:val="00B025C9"/>
    <w:rsid w:val="00B0443B"/>
    <w:rsid w:val="00B92B26"/>
    <w:rsid w:val="00C63368"/>
    <w:rsid w:val="00C66737"/>
    <w:rsid w:val="00C749D6"/>
    <w:rsid w:val="00CB3493"/>
    <w:rsid w:val="00CD2CBD"/>
    <w:rsid w:val="00D370B2"/>
    <w:rsid w:val="00D65A8A"/>
    <w:rsid w:val="00D74319"/>
    <w:rsid w:val="00D7609E"/>
    <w:rsid w:val="00D833E4"/>
    <w:rsid w:val="00DC78B4"/>
    <w:rsid w:val="00DE135F"/>
    <w:rsid w:val="00E1117C"/>
    <w:rsid w:val="00E87633"/>
    <w:rsid w:val="00E95AA6"/>
    <w:rsid w:val="00EB3F24"/>
    <w:rsid w:val="00EB57DC"/>
    <w:rsid w:val="00EC72DF"/>
    <w:rsid w:val="00EE70D1"/>
    <w:rsid w:val="00EE7BB8"/>
    <w:rsid w:val="00F17154"/>
    <w:rsid w:val="00F40E59"/>
    <w:rsid w:val="00F56EA0"/>
    <w:rsid w:val="00F815A2"/>
    <w:rsid w:val="00FE7F66"/>
    <w:rsid w:val="00FF4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84526"/>
  <w15:chartTrackingRefBased/>
  <w15:docId w15:val="{B62E9857-EB60-42FF-BF5A-FEF86AB9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26B"/>
    <w:pPr>
      <w:keepNext/>
      <w:keepLines/>
      <w:spacing w:before="400" w:after="40" w:line="240" w:lineRule="auto"/>
      <w:jc w:val="center"/>
      <w:outlineLvl w:val="0"/>
    </w:pPr>
    <w:rPr>
      <w:rFonts w:ascii="Arial" w:eastAsiaTheme="majorEastAsia" w:hAnsi="Arial" w:cstheme="majorBidi"/>
      <w:b/>
      <w:color w:val="000000" w:themeColor="text1"/>
      <w:sz w:val="24"/>
      <w:szCs w:val="36"/>
    </w:rPr>
  </w:style>
  <w:style w:type="paragraph" w:styleId="Heading4">
    <w:name w:val="heading 4"/>
    <w:basedOn w:val="Normal"/>
    <w:next w:val="Normal"/>
    <w:link w:val="Heading4Char"/>
    <w:uiPriority w:val="9"/>
    <w:unhideWhenUsed/>
    <w:qFormat/>
    <w:rsid w:val="00F171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6B"/>
    <w:rPr>
      <w:rFonts w:ascii="Arial" w:eastAsiaTheme="majorEastAsia" w:hAnsi="Arial" w:cstheme="majorBidi"/>
      <w:b/>
      <w:color w:val="000000" w:themeColor="text1"/>
      <w:sz w:val="24"/>
      <w:szCs w:val="36"/>
    </w:rPr>
  </w:style>
  <w:style w:type="paragraph" w:styleId="ListParagraph">
    <w:name w:val="List Paragraph"/>
    <w:aliases w:val="lp1,numbered,Paragraphe de liste1,Bulletr List Paragraph,列出段落,列出段落1,List Paragraph2,List Paragraph21,Listeafsnit1,Parágrafo da Lista1,Bullet list,Párrafo de lista1,リスト段落1,List Paragraph11,Foot,FooterText,Bullet List,standard lewis,L"/>
    <w:basedOn w:val="Normal"/>
    <w:link w:val="ListParagraphChar"/>
    <w:uiPriority w:val="34"/>
    <w:qFormat/>
    <w:rsid w:val="00FF426B"/>
    <w:pPr>
      <w:ind w:left="720"/>
      <w:contextualSpacing/>
    </w:pPr>
    <w:rPr>
      <w:rFonts w:eastAsiaTheme="minorEastAsia"/>
    </w:rPr>
  </w:style>
  <w:style w:type="character" w:customStyle="1" w:styleId="ListParagraphChar">
    <w:name w:val="List Paragraph Char"/>
    <w:aliases w:val="lp1 Char,numbered Char,Paragraphe de liste1 Char,Bulletr List Paragraph Char,列出段落 Char,列出段落1 Char,List Paragraph2 Char,List Paragraph21 Char,Listeafsnit1 Char,Parágrafo da Lista1 Char,Bullet list Char,Párrafo de lista1 Char,Foot Char"/>
    <w:link w:val="ListParagraph"/>
    <w:uiPriority w:val="34"/>
    <w:qFormat/>
    <w:locked/>
    <w:rsid w:val="00FF426B"/>
    <w:rPr>
      <w:rFonts w:eastAsiaTheme="minorEastAsia"/>
    </w:rPr>
  </w:style>
  <w:style w:type="character" w:customStyle="1" w:styleId="Heading4Char">
    <w:name w:val="Heading 4 Char"/>
    <w:basedOn w:val="DefaultParagraphFont"/>
    <w:link w:val="Heading4"/>
    <w:uiPriority w:val="9"/>
    <w:rsid w:val="00F17154"/>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61B77"/>
    <w:rPr>
      <w:sz w:val="16"/>
      <w:szCs w:val="16"/>
    </w:rPr>
  </w:style>
  <w:style w:type="paragraph" w:styleId="CommentText">
    <w:name w:val="annotation text"/>
    <w:basedOn w:val="Normal"/>
    <w:link w:val="CommentTextChar"/>
    <w:uiPriority w:val="99"/>
    <w:unhideWhenUsed/>
    <w:rsid w:val="00A61B77"/>
    <w:pPr>
      <w:spacing w:line="240" w:lineRule="auto"/>
    </w:pPr>
    <w:rPr>
      <w:sz w:val="20"/>
      <w:szCs w:val="20"/>
    </w:rPr>
  </w:style>
  <w:style w:type="character" w:customStyle="1" w:styleId="CommentTextChar">
    <w:name w:val="Comment Text Char"/>
    <w:basedOn w:val="DefaultParagraphFont"/>
    <w:link w:val="CommentText"/>
    <w:uiPriority w:val="99"/>
    <w:rsid w:val="00A61B77"/>
    <w:rPr>
      <w:sz w:val="20"/>
      <w:szCs w:val="20"/>
    </w:rPr>
  </w:style>
  <w:style w:type="paragraph" w:styleId="CommentSubject">
    <w:name w:val="annotation subject"/>
    <w:basedOn w:val="CommentText"/>
    <w:next w:val="CommentText"/>
    <w:link w:val="CommentSubjectChar"/>
    <w:uiPriority w:val="99"/>
    <w:semiHidden/>
    <w:unhideWhenUsed/>
    <w:rsid w:val="00A61B77"/>
    <w:rPr>
      <w:b/>
      <w:bCs/>
    </w:rPr>
  </w:style>
  <w:style w:type="character" w:customStyle="1" w:styleId="CommentSubjectChar">
    <w:name w:val="Comment Subject Char"/>
    <w:basedOn w:val="CommentTextChar"/>
    <w:link w:val="CommentSubject"/>
    <w:uiPriority w:val="99"/>
    <w:semiHidden/>
    <w:rsid w:val="00A61B77"/>
    <w:rPr>
      <w:b/>
      <w:bCs/>
      <w:sz w:val="20"/>
      <w:szCs w:val="20"/>
    </w:rPr>
  </w:style>
  <w:style w:type="character" w:styleId="Hyperlink">
    <w:name w:val="Hyperlink"/>
    <w:basedOn w:val="DefaultParagraphFont"/>
    <w:uiPriority w:val="99"/>
    <w:unhideWhenUsed/>
    <w:rsid w:val="00413FE0"/>
    <w:rPr>
      <w:color w:val="0563C1" w:themeColor="hyperlink"/>
      <w:u w:val="single"/>
    </w:rPr>
  </w:style>
  <w:style w:type="character" w:styleId="UnresolvedMention">
    <w:name w:val="Unresolved Mention"/>
    <w:basedOn w:val="DefaultParagraphFont"/>
    <w:uiPriority w:val="99"/>
    <w:semiHidden/>
    <w:unhideWhenUsed/>
    <w:rsid w:val="00413FE0"/>
    <w:rPr>
      <w:color w:val="605E5C"/>
      <w:shd w:val="clear" w:color="auto" w:fill="E1DFDD"/>
    </w:rPr>
  </w:style>
  <w:style w:type="paragraph" w:styleId="Revision">
    <w:name w:val="Revision"/>
    <w:hidden/>
    <w:uiPriority w:val="99"/>
    <w:semiHidden/>
    <w:rsid w:val="00DE135F"/>
    <w:pPr>
      <w:spacing w:after="0" w:line="240" w:lineRule="auto"/>
    </w:pPr>
  </w:style>
  <w:style w:type="paragraph" w:styleId="NormalWeb">
    <w:name w:val="Normal (Web)"/>
    <w:basedOn w:val="Normal"/>
    <w:uiPriority w:val="99"/>
    <w:unhideWhenUsed/>
    <w:rsid w:val="001B2A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illname">
    <w:name w:val="billname"/>
    <w:basedOn w:val="Normal"/>
    <w:rsid w:val="001B2A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deunder">
    <w:name w:val="madeunder"/>
    <w:basedOn w:val="Normal"/>
    <w:rsid w:val="001B2A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actname">
    <w:name w:val="coveractname"/>
    <w:basedOn w:val="Normal"/>
    <w:rsid w:val="001B2A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line3">
    <w:name w:val="n-line3"/>
    <w:basedOn w:val="Normal"/>
    <w:rsid w:val="001B2A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92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B26"/>
  </w:style>
  <w:style w:type="paragraph" w:styleId="Footer">
    <w:name w:val="footer"/>
    <w:basedOn w:val="Normal"/>
    <w:link w:val="FooterChar"/>
    <w:uiPriority w:val="99"/>
    <w:unhideWhenUsed/>
    <w:rsid w:val="00B92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B26"/>
  </w:style>
  <w:style w:type="paragraph" w:customStyle="1" w:styleId="ah5sec">
    <w:name w:val="ah5sec"/>
    <w:basedOn w:val="Normal"/>
    <w:rsid w:val="005372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3729D"/>
  </w:style>
  <w:style w:type="paragraph" w:customStyle="1" w:styleId="amainreturn">
    <w:name w:val="amainreturn"/>
    <w:basedOn w:val="Normal"/>
    <w:rsid w:val="0053729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A45085726</value>
    </field>
    <field name="Objective-Title">
      <value order="0">Attachment B - Urban Forest (Transitional Provisions) Regulation 2024 - Explanatory Statement</value>
    </field>
    <field name="Objective-Description">
      <value order="0"/>
    </field>
    <field name="Objective-CreationStamp">
      <value order="0">2024-01-01T23:53:40Z</value>
    </field>
    <field name="Objective-IsApproved">
      <value order="0">false</value>
    </field>
    <field name="Objective-IsPublished">
      <value order="0">true</value>
    </field>
    <field name="Objective-DatePublished">
      <value order="0">2024-01-01T23:53:40Z</value>
    </field>
    <field name="Objective-ModificationStamp">
      <value order="0">2024-01-01T23:53:43Z</value>
    </field>
    <field name="Objective-Owner">
      <value order="0">Mark Pye</value>
    </field>
    <field name="Objective-Path">
      <value order="0">Whole of ACT Government:TCCS STRUCTURE - Content Restriction Hierarchy:01. Assembly, Cabinet, Ministerial:03. Ministerials:02. Active:Minister Brief :CS - MIN C2024/00002 - Urban Forest Transitional Regulation - Minister Brief</value>
    </field>
    <field name="Objective-Parent">
      <value order="0">CS - MIN C2024/00002 - Urban Forest Transitional Regulation - Minister Brief</value>
    </field>
    <field name="Objective-State">
      <value order="0">Published</value>
    </field>
    <field name="Objective-VersionId">
      <value order="0">vA56337585</value>
    </field>
    <field name="Objective-Version">
      <value order="0">1.0</value>
    </field>
    <field name="Objective-VersionNumber">
      <value order="0">1</value>
    </field>
    <field name="Objective-VersionComment">
      <value order="0">First version</value>
    </field>
    <field name="Objective-FileNumber">
      <value order="0">qA1171827</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1827</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Strupitis-Haddrick, Madelin</dc:creator>
  <cp:keywords/>
  <dc:description/>
  <cp:lastModifiedBy>PCODCS</cp:lastModifiedBy>
  <cp:revision>4</cp:revision>
  <dcterms:created xsi:type="dcterms:W3CDTF">2024-01-11T04:10:00Z</dcterms:created>
  <dcterms:modified xsi:type="dcterms:W3CDTF">2024-01-11T04:10:00Z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A45085726</vt:lpwstr>
  </property>
  <property fmtid="{D5CDD505-2E9C-101B-9397-08002B2CF9AE}" pid="4" name="Objective-Title">
    <vt:lpwstr>Attachment B - Urban Forest (Transitional Provisions) Regulation 2024 - Explanatory Statement</vt:lpwstr>
  </property>
  <property fmtid="{D5CDD505-2E9C-101B-9397-08002B2CF9AE}" pid="5" name="Objective-Comment">
    <vt:lpwstr/>
  </property>
  <property fmtid="{D5CDD505-2E9C-101B-9397-08002B2CF9AE}" pid="6" name="Objective-CreationStamp">
    <vt:filetime>2024-01-01T23:53:40Z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2024-01-01T23:53:40Z</vt:filetime>
  </property>
  <property fmtid="{D5CDD505-2E9C-101B-9397-08002B2CF9AE}" pid="10" name="Objective-ModificationStamp">
    <vt:filetime>2024-01-01T23:53:43Z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Ministerials:02. Active:Minister Brief :CS - MIN C2024/00002 - Urban Forest Transitional Regulation - Minister Brief:</vt:lpwstr>
  </property>
  <property fmtid="{D5CDD505-2E9C-101B-9397-08002B2CF9AE}" pid="13" name="Objective-Parent">
    <vt:lpwstr>CS - MIN C2024/00002 - Urban Forest Transitional Regulation - Minister Brief</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qA1171827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vA56337585</vt:lpwstr>
  </property>
  <property fmtid="{D5CDD505-2E9C-101B-9397-08002B2CF9AE}" pid="34" name="Objective-OM Author">
    <vt:lpwstr/>
  </property>
  <property fmtid="{D5CDD505-2E9C-101B-9397-08002B2CF9AE}" pid="35" name="Objective-OM Author Organisation">
    <vt:lpwstr/>
  </property>
  <property fmtid="{D5CDD505-2E9C-101B-9397-08002B2CF9AE}" pid="36" name="Objective-OM Author Type">
    <vt:lpwstr/>
  </property>
  <property fmtid="{D5CDD505-2E9C-101B-9397-08002B2CF9AE}" pid="37" name="Objective-OM Date Received">
    <vt:lpwstr/>
  </property>
  <property fmtid="{D5CDD505-2E9C-101B-9397-08002B2CF9AE}" pid="38" name="Objective-OM Date of Document">
    <vt:lpwstr/>
  </property>
  <property fmtid="{D5CDD505-2E9C-101B-9397-08002B2CF9AE}" pid="39" name="Objective-OM External Reference">
    <vt:lpwstr/>
  </property>
  <property fmtid="{D5CDD505-2E9C-101B-9397-08002B2CF9AE}" pid="40" name="Objective-OM Reference">
    <vt:lpwstr/>
  </property>
  <property fmtid="{D5CDD505-2E9C-101B-9397-08002B2CF9AE}" pid="41" name="Objective-OM Topic">
    <vt:lpwstr/>
  </property>
  <property fmtid="{D5CDD505-2E9C-101B-9397-08002B2CF9AE}" pid="42" name="Objective-Suburb">
    <vt:lpwstr/>
  </property>
</Properties>
</file>