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1D726" w14:textId="77777777" w:rsidR="007367A6" w:rsidRPr="00E6786F" w:rsidRDefault="007367A6" w:rsidP="007367A6">
      <w:pPr>
        <w:spacing w:before="120"/>
        <w:rPr>
          <w:rFonts w:ascii="Arial" w:hAnsi="Arial" w:cs="Arial"/>
        </w:rPr>
      </w:pPr>
      <w:r w:rsidRPr="00E6786F">
        <w:rPr>
          <w:rFonts w:ascii="Arial" w:hAnsi="Arial" w:cs="Arial"/>
        </w:rPr>
        <w:t>Australian Capital Territory</w:t>
      </w:r>
    </w:p>
    <w:p w14:paraId="2F57B854" w14:textId="14120B92" w:rsidR="007367A6" w:rsidRPr="00E6786F" w:rsidRDefault="00771BD2" w:rsidP="007367A6">
      <w:pPr>
        <w:spacing w:before="700" w:after="100"/>
        <w:rPr>
          <w:rFonts w:ascii="Arial" w:hAnsi="Arial" w:cs="Arial"/>
          <w:b/>
          <w:sz w:val="40"/>
          <w:szCs w:val="40"/>
        </w:rPr>
      </w:pPr>
      <w:r>
        <w:rPr>
          <w:rFonts w:ascii="Arial" w:hAnsi="Arial" w:cs="Arial"/>
          <w:b/>
          <w:bCs/>
          <w:sz w:val="40"/>
          <w:szCs w:val="40"/>
        </w:rPr>
        <w:t>Water Resources (Water Available from Areas) Determination 202</w:t>
      </w:r>
      <w:r w:rsidR="00FD790E">
        <w:rPr>
          <w:rFonts w:ascii="Arial" w:hAnsi="Arial" w:cs="Arial"/>
          <w:b/>
          <w:bCs/>
          <w:sz w:val="40"/>
          <w:szCs w:val="40"/>
        </w:rPr>
        <w:t>4</w:t>
      </w:r>
    </w:p>
    <w:p w14:paraId="53473B17" w14:textId="102F69E4" w:rsidR="007367A6" w:rsidRPr="00870077" w:rsidRDefault="007367A6" w:rsidP="007367A6">
      <w:pPr>
        <w:spacing w:before="340"/>
        <w:rPr>
          <w:rFonts w:ascii="Arial" w:hAnsi="Arial" w:cs="Arial"/>
          <w:b/>
        </w:rPr>
      </w:pPr>
      <w:bookmarkStart w:id="0" w:name="Citation"/>
      <w:r>
        <w:rPr>
          <w:rFonts w:ascii="Arial" w:hAnsi="Arial" w:cs="Arial"/>
          <w:b/>
        </w:rPr>
        <w:t>Disallowable instrument DI202</w:t>
      </w:r>
      <w:r w:rsidR="00FD790E">
        <w:rPr>
          <w:rFonts w:ascii="Arial" w:hAnsi="Arial" w:cs="Arial"/>
          <w:b/>
        </w:rPr>
        <w:t>4</w:t>
      </w:r>
      <w:r>
        <w:rPr>
          <w:rFonts w:ascii="Arial" w:hAnsi="Arial" w:cs="Arial"/>
          <w:b/>
          <w:bCs/>
        </w:rPr>
        <w:t>–</w:t>
      </w:r>
      <w:r w:rsidR="00542F48">
        <w:rPr>
          <w:rFonts w:ascii="Arial" w:hAnsi="Arial" w:cs="Arial"/>
          <w:b/>
          <w:bCs/>
        </w:rPr>
        <w:t>8</w:t>
      </w:r>
    </w:p>
    <w:p w14:paraId="6EB2D39E" w14:textId="77777777" w:rsidR="007367A6" w:rsidRPr="006272BF" w:rsidRDefault="007367A6" w:rsidP="007367A6">
      <w:pPr>
        <w:spacing w:after="240"/>
        <w:rPr>
          <w:rFonts w:ascii="Times New Roman" w:hAnsi="Times New Roman" w:cs="Times New Roman"/>
          <w:sz w:val="24"/>
          <w:szCs w:val="24"/>
        </w:rPr>
      </w:pPr>
      <w:r w:rsidRPr="006272BF">
        <w:rPr>
          <w:rFonts w:ascii="Times New Roman" w:hAnsi="Times New Roman" w:cs="Times New Roman"/>
          <w:sz w:val="24"/>
          <w:szCs w:val="24"/>
        </w:rPr>
        <w:t>made under the</w:t>
      </w:r>
    </w:p>
    <w:bookmarkEnd w:id="0"/>
    <w:p w14:paraId="5D6D54AD" w14:textId="54DC4A50" w:rsidR="007367A6" w:rsidRPr="00E23576" w:rsidRDefault="007367A6" w:rsidP="007367A6">
      <w:pPr>
        <w:spacing w:before="320"/>
        <w:rPr>
          <w:rFonts w:ascii="Arial" w:hAnsi="Arial" w:cs="Arial"/>
          <w:b/>
          <w:bCs/>
          <w:sz w:val="20"/>
          <w:szCs w:val="20"/>
          <w:vertAlign w:val="superscript"/>
        </w:rPr>
      </w:pPr>
      <w:r w:rsidRPr="00E027CB">
        <w:rPr>
          <w:rFonts w:ascii="Arial" w:hAnsi="Arial" w:cs="Arial"/>
          <w:b/>
          <w:bCs/>
          <w:sz w:val="20"/>
          <w:szCs w:val="20"/>
        </w:rPr>
        <w:t>Water Resources Act 2007</w:t>
      </w:r>
      <w:r w:rsidRPr="002C69D0">
        <w:rPr>
          <w:rFonts w:ascii="Arial" w:hAnsi="Arial" w:cs="Arial"/>
          <w:b/>
          <w:bCs/>
          <w:sz w:val="20"/>
          <w:szCs w:val="20"/>
        </w:rPr>
        <w:t>,</w:t>
      </w:r>
      <w:r w:rsidRPr="00E23576">
        <w:rPr>
          <w:rFonts w:ascii="Arial" w:hAnsi="Arial" w:cs="Arial"/>
          <w:b/>
          <w:bCs/>
          <w:sz w:val="20"/>
          <w:szCs w:val="20"/>
        </w:rPr>
        <w:t xml:space="preserve"> </w:t>
      </w:r>
      <w:r w:rsidR="00326570">
        <w:rPr>
          <w:rFonts w:ascii="Arial" w:hAnsi="Arial" w:cs="Arial"/>
          <w:b/>
          <w:bCs/>
          <w:sz w:val="20"/>
          <w:szCs w:val="20"/>
        </w:rPr>
        <w:t>s 17 (Amounts of water available from areas)</w:t>
      </w:r>
    </w:p>
    <w:p w14:paraId="4656497D" w14:textId="77777777" w:rsidR="007367A6" w:rsidRDefault="007367A6" w:rsidP="007367A6">
      <w:pPr>
        <w:pStyle w:val="Header"/>
        <w:tabs>
          <w:tab w:val="clear" w:pos="4153"/>
          <w:tab w:val="clear" w:pos="8306"/>
        </w:tabs>
        <w:spacing w:before="360"/>
        <w:rPr>
          <w:rFonts w:ascii="Arial" w:hAnsi="Arial" w:cs="Arial"/>
          <w:b/>
          <w:bCs/>
          <w:sz w:val="28"/>
          <w:szCs w:val="28"/>
        </w:rPr>
      </w:pPr>
      <w:r>
        <w:rPr>
          <w:rFonts w:ascii="Arial" w:hAnsi="Arial" w:cs="Arial"/>
          <w:b/>
          <w:bCs/>
          <w:sz w:val="28"/>
          <w:szCs w:val="28"/>
        </w:rPr>
        <w:t>EXPLANATORY STATEMENT</w:t>
      </w:r>
    </w:p>
    <w:p w14:paraId="774E15AD" w14:textId="77777777" w:rsidR="007367A6" w:rsidRPr="00D1528B" w:rsidRDefault="007367A6" w:rsidP="007367A6">
      <w:pPr>
        <w:pStyle w:val="Header"/>
        <w:pBdr>
          <w:bottom w:val="single" w:sz="12" w:space="1" w:color="auto"/>
        </w:pBdr>
        <w:tabs>
          <w:tab w:val="clear" w:pos="4153"/>
          <w:tab w:val="clear" w:pos="8306"/>
        </w:tabs>
        <w:rPr>
          <w:bCs/>
        </w:rPr>
      </w:pPr>
    </w:p>
    <w:p w14:paraId="09A282D0" w14:textId="77777777" w:rsidR="007367A6" w:rsidRPr="00D1528B" w:rsidRDefault="007367A6" w:rsidP="007367A6">
      <w:pPr>
        <w:pStyle w:val="Header"/>
        <w:tabs>
          <w:tab w:val="clear" w:pos="4153"/>
          <w:tab w:val="clear" w:pos="8306"/>
        </w:tabs>
        <w:rPr>
          <w:bCs/>
        </w:rPr>
      </w:pPr>
    </w:p>
    <w:p w14:paraId="3A812DDE" w14:textId="7E311134" w:rsidR="007367A6" w:rsidRDefault="007367A6" w:rsidP="007367A6">
      <w:pPr>
        <w:spacing w:after="0" w:line="240" w:lineRule="auto"/>
        <w:rPr>
          <w:rFonts w:ascii="Times New Roman" w:hAnsi="Times New Roman" w:cs="Times New Roman"/>
          <w:sz w:val="24"/>
          <w:szCs w:val="24"/>
        </w:rPr>
      </w:pPr>
      <w:r w:rsidRPr="00F125A7">
        <w:rPr>
          <w:rFonts w:ascii="Times New Roman" w:hAnsi="Times New Roman" w:cs="Times New Roman"/>
          <w:sz w:val="24"/>
          <w:szCs w:val="24"/>
        </w:rPr>
        <w:t xml:space="preserve">Section 17 of the </w:t>
      </w:r>
      <w:r w:rsidRPr="00F125A7">
        <w:rPr>
          <w:rFonts w:ascii="Times New Roman" w:hAnsi="Times New Roman" w:cs="Times New Roman"/>
          <w:i/>
          <w:iCs/>
          <w:color w:val="000000"/>
          <w:sz w:val="24"/>
          <w:szCs w:val="24"/>
        </w:rPr>
        <w:t xml:space="preserve">Water Resources Act 2007 </w:t>
      </w:r>
      <w:r w:rsidRPr="00F125A7">
        <w:rPr>
          <w:rFonts w:ascii="Times New Roman" w:hAnsi="Times New Roman" w:cs="Times New Roman"/>
          <w:sz w:val="24"/>
          <w:szCs w:val="24"/>
        </w:rPr>
        <w:t xml:space="preserve">(the </w:t>
      </w:r>
      <w:r w:rsidRPr="00F125A7">
        <w:rPr>
          <w:rFonts w:ascii="Times New Roman" w:hAnsi="Times New Roman" w:cs="Times New Roman"/>
          <w:b/>
          <w:i/>
          <w:sz w:val="24"/>
          <w:szCs w:val="24"/>
        </w:rPr>
        <w:t>Act</w:t>
      </w:r>
      <w:r w:rsidRPr="00F125A7">
        <w:rPr>
          <w:rFonts w:ascii="Times New Roman" w:hAnsi="Times New Roman" w:cs="Times New Roman"/>
          <w:iCs/>
          <w:sz w:val="24"/>
          <w:szCs w:val="24"/>
        </w:rPr>
        <w:t>)</w:t>
      </w:r>
      <w:r w:rsidRPr="00F125A7">
        <w:rPr>
          <w:rFonts w:ascii="Times New Roman" w:hAnsi="Times New Roman" w:cs="Times New Roman"/>
          <w:sz w:val="24"/>
          <w:szCs w:val="24"/>
        </w:rPr>
        <w:t xml:space="preserve"> </w:t>
      </w:r>
      <w:r w:rsidR="00162CA0">
        <w:rPr>
          <w:rFonts w:ascii="Times New Roman" w:hAnsi="Times New Roman" w:cs="Times New Roman"/>
          <w:sz w:val="24"/>
          <w:szCs w:val="24"/>
        </w:rPr>
        <w:t>requires</w:t>
      </w:r>
      <w:r w:rsidRPr="00F125A7">
        <w:rPr>
          <w:rFonts w:ascii="Times New Roman" w:hAnsi="Times New Roman" w:cs="Times New Roman"/>
          <w:sz w:val="24"/>
          <w:szCs w:val="24"/>
        </w:rPr>
        <w:t xml:space="preserve"> the Minister to determine </w:t>
      </w:r>
      <w:r w:rsidR="00754789">
        <w:rPr>
          <w:rFonts w:ascii="Times New Roman" w:hAnsi="Times New Roman" w:cs="Times New Roman"/>
          <w:sz w:val="24"/>
          <w:szCs w:val="24"/>
        </w:rPr>
        <w:t>the total amounts of surface and ground water available for taking in each water management area</w:t>
      </w:r>
      <w:r w:rsidRPr="00F125A7">
        <w:rPr>
          <w:rFonts w:ascii="Times New Roman" w:hAnsi="Times New Roman" w:cs="Times New Roman"/>
          <w:sz w:val="24"/>
          <w:szCs w:val="24"/>
        </w:rPr>
        <w:t>.</w:t>
      </w:r>
      <w:r w:rsidR="006C1722">
        <w:rPr>
          <w:rFonts w:ascii="Times New Roman" w:hAnsi="Times New Roman" w:cs="Times New Roman"/>
          <w:sz w:val="24"/>
          <w:szCs w:val="24"/>
        </w:rPr>
        <w:t xml:space="preserve"> </w:t>
      </w:r>
      <w:r w:rsidR="006C1722" w:rsidRPr="006C1722">
        <w:rPr>
          <w:rFonts w:ascii="Times New Roman" w:hAnsi="Times New Roman" w:cs="Times New Roman"/>
          <w:sz w:val="24"/>
          <w:szCs w:val="24"/>
        </w:rPr>
        <w:t xml:space="preserve">The determination is also required to meet the Territory’s obligations under the </w:t>
      </w:r>
      <w:r w:rsidR="006C1722" w:rsidRPr="006C1722">
        <w:rPr>
          <w:rFonts w:ascii="Times New Roman" w:hAnsi="Times New Roman" w:cs="Times New Roman"/>
          <w:i/>
          <w:iCs/>
          <w:sz w:val="24"/>
          <w:szCs w:val="24"/>
        </w:rPr>
        <w:t>Basin Plan</w:t>
      </w:r>
      <w:r w:rsidR="006C1722">
        <w:rPr>
          <w:rFonts w:ascii="Times New Roman" w:hAnsi="Times New Roman" w:cs="Times New Roman"/>
          <w:sz w:val="24"/>
          <w:szCs w:val="24"/>
        </w:rPr>
        <w:t xml:space="preserve"> </w:t>
      </w:r>
      <w:r w:rsidR="006C1722" w:rsidRPr="006C1722">
        <w:rPr>
          <w:rFonts w:ascii="Times New Roman" w:hAnsi="Times New Roman" w:cs="Times New Roman"/>
          <w:i/>
          <w:iCs/>
          <w:sz w:val="24"/>
          <w:szCs w:val="24"/>
        </w:rPr>
        <w:t>2012</w:t>
      </w:r>
      <w:r w:rsidR="006C1722">
        <w:rPr>
          <w:rFonts w:ascii="Times New Roman" w:hAnsi="Times New Roman" w:cs="Times New Roman"/>
          <w:sz w:val="24"/>
          <w:szCs w:val="24"/>
        </w:rPr>
        <w:t xml:space="preserve"> (Cwlth)</w:t>
      </w:r>
      <w:r w:rsidR="006C1722" w:rsidRPr="006C1722">
        <w:rPr>
          <w:rFonts w:ascii="Times New Roman" w:hAnsi="Times New Roman" w:cs="Times New Roman"/>
          <w:sz w:val="24"/>
          <w:szCs w:val="24"/>
        </w:rPr>
        <w:t xml:space="preserve">, made under the </w:t>
      </w:r>
      <w:r w:rsidR="006C1722" w:rsidRPr="006C1722">
        <w:rPr>
          <w:rFonts w:ascii="Times New Roman" w:hAnsi="Times New Roman" w:cs="Times New Roman"/>
          <w:i/>
          <w:iCs/>
          <w:sz w:val="24"/>
          <w:szCs w:val="24"/>
        </w:rPr>
        <w:t>Water Act 2007</w:t>
      </w:r>
      <w:r w:rsidR="006C1722" w:rsidRPr="006C1722">
        <w:rPr>
          <w:rFonts w:ascii="Times New Roman" w:hAnsi="Times New Roman" w:cs="Times New Roman"/>
          <w:sz w:val="24"/>
          <w:szCs w:val="24"/>
        </w:rPr>
        <w:t xml:space="preserve"> (Cwlth).</w:t>
      </w:r>
    </w:p>
    <w:p w14:paraId="6D83561C" w14:textId="77777777" w:rsidR="006C1722" w:rsidRDefault="006C1722" w:rsidP="007367A6">
      <w:pPr>
        <w:spacing w:after="0" w:line="240" w:lineRule="auto"/>
        <w:rPr>
          <w:rFonts w:ascii="Times New Roman" w:hAnsi="Times New Roman" w:cs="Times New Roman"/>
          <w:sz w:val="24"/>
          <w:szCs w:val="24"/>
        </w:rPr>
      </w:pPr>
    </w:p>
    <w:p w14:paraId="539F1BC0" w14:textId="41932197" w:rsidR="006C1722" w:rsidRPr="006C1722" w:rsidRDefault="006C1722" w:rsidP="007367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Minister determined the amounts of water available for taking through the </w:t>
      </w:r>
      <w:r w:rsidRPr="00F125A7">
        <w:rPr>
          <w:rFonts w:ascii="Times New Roman" w:hAnsi="Times New Roman" w:cs="Times New Roman"/>
          <w:i/>
          <w:sz w:val="24"/>
          <w:szCs w:val="24"/>
          <w:lang w:val="x-none"/>
        </w:rPr>
        <w:t>Water Resources (</w:t>
      </w:r>
      <w:r w:rsidRPr="00754789">
        <w:rPr>
          <w:rFonts w:ascii="Times New Roman" w:hAnsi="Times New Roman" w:cs="Times New Roman"/>
          <w:i/>
          <w:sz w:val="24"/>
          <w:szCs w:val="24"/>
          <w:lang w:val="x-none"/>
        </w:rPr>
        <w:t>Water Available from Areas</w:t>
      </w:r>
      <w:r w:rsidRPr="00F125A7">
        <w:rPr>
          <w:rFonts w:ascii="Times New Roman" w:hAnsi="Times New Roman" w:cs="Times New Roman"/>
          <w:i/>
          <w:sz w:val="24"/>
          <w:szCs w:val="24"/>
          <w:lang w:val="x-none"/>
        </w:rPr>
        <w:t>) Determination 20</w:t>
      </w:r>
      <w:r>
        <w:rPr>
          <w:rFonts w:ascii="Times New Roman" w:hAnsi="Times New Roman" w:cs="Times New Roman"/>
          <w:i/>
          <w:sz w:val="24"/>
          <w:szCs w:val="24"/>
          <w:lang w:val="en-US"/>
        </w:rPr>
        <w:t>19</w:t>
      </w:r>
      <w:r w:rsidRPr="00F125A7">
        <w:rPr>
          <w:rFonts w:ascii="Times New Roman" w:hAnsi="Times New Roman" w:cs="Times New Roman"/>
          <w:i/>
          <w:sz w:val="24"/>
          <w:szCs w:val="24"/>
          <w:lang w:val="en-US"/>
        </w:rPr>
        <w:t xml:space="preserve"> (No 2) </w:t>
      </w:r>
      <w:r w:rsidRPr="00F125A7">
        <w:rPr>
          <w:rFonts w:ascii="Times New Roman" w:hAnsi="Times New Roman" w:cs="Times New Roman"/>
          <w:sz w:val="24"/>
          <w:szCs w:val="24"/>
          <w:lang w:val="x-none"/>
        </w:rPr>
        <w:t>(</w:t>
      </w:r>
      <w:r>
        <w:rPr>
          <w:rFonts w:ascii="Times New Roman" w:hAnsi="Times New Roman" w:cs="Times New Roman"/>
          <w:sz w:val="24"/>
          <w:szCs w:val="24"/>
        </w:rPr>
        <w:t>DI2019-191</w:t>
      </w:r>
      <w:r w:rsidRPr="00F125A7">
        <w:rPr>
          <w:rFonts w:ascii="Times New Roman" w:hAnsi="Times New Roman" w:cs="Times New Roman"/>
          <w:sz w:val="24"/>
          <w:szCs w:val="24"/>
          <w:lang w:val="x-none"/>
        </w:rPr>
        <w:t>)</w:t>
      </w:r>
      <w:r>
        <w:rPr>
          <w:rFonts w:ascii="Times New Roman" w:hAnsi="Times New Roman" w:cs="Times New Roman"/>
          <w:sz w:val="24"/>
          <w:szCs w:val="24"/>
        </w:rPr>
        <w:t xml:space="preserve">. </w:t>
      </w:r>
      <w:r w:rsidR="004B32FB">
        <w:rPr>
          <w:rFonts w:ascii="Times New Roman" w:hAnsi="Times New Roman" w:cs="Times New Roman"/>
          <w:sz w:val="24"/>
          <w:szCs w:val="24"/>
        </w:rPr>
        <w:t xml:space="preserve">This </w:t>
      </w:r>
      <w:r w:rsidR="004B32FB" w:rsidRPr="004B32FB">
        <w:rPr>
          <w:rFonts w:ascii="Times New Roman" w:hAnsi="Times New Roman" w:cs="Times New Roman"/>
          <w:sz w:val="24"/>
          <w:szCs w:val="24"/>
        </w:rPr>
        <w:t>instrument does not change the amounts of water available for taking, which remain the same as determined in DI2019-191.</w:t>
      </w:r>
      <w:r w:rsidR="004B32FB">
        <w:rPr>
          <w:rFonts w:ascii="Times New Roman" w:hAnsi="Times New Roman" w:cs="Times New Roman"/>
          <w:sz w:val="24"/>
          <w:szCs w:val="24"/>
        </w:rPr>
        <w:t xml:space="preserve"> The basis for the amounts determined in 2019 is described further below.</w:t>
      </w:r>
    </w:p>
    <w:p w14:paraId="08C9825B" w14:textId="77777777" w:rsidR="007367A6" w:rsidRPr="00F125A7" w:rsidRDefault="007367A6" w:rsidP="007367A6">
      <w:pPr>
        <w:spacing w:after="0" w:line="240" w:lineRule="auto"/>
        <w:rPr>
          <w:rFonts w:ascii="Times New Roman" w:hAnsi="Times New Roman" w:cs="Times New Roman"/>
          <w:sz w:val="24"/>
          <w:szCs w:val="24"/>
        </w:rPr>
      </w:pPr>
    </w:p>
    <w:p w14:paraId="1DB6A672" w14:textId="380BCCBC" w:rsidR="007367A6" w:rsidRPr="00F125A7" w:rsidRDefault="007367A6" w:rsidP="007367A6">
      <w:pPr>
        <w:pStyle w:val="LongTitle"/>
        <w:spacing w:before="0" w:after="0"/>
        <w:jc w:val="left"/>
        <w:rPr>
          <w:color w:val="000000"/>
        </w:rPr>
      </w:pPr>
      <w:r w:rsidRPr="00F125A7">
        <w:rPr>
          <w:color w:val="000000"/>
        </w:rPr>
        <w:t xml:space="preserve">This instrument </w:t>
      </w:r>
      <w:r w:rsidR="00FA25BF">
        <w:rPr>
          <w:color w:val="000000"/>
        </w:rPr>
        <w:t>correct</w:t>
      </w:r>
      <w:r w:rsidR="004B32FB">
        <w:rPr>
          <w:color w:val="000000"/>
        </w:rPr>
        <w:t>s</w:t>
      </w:r>
      <w:r w:rsidR="00FA25BF">
        <w:rPr>
          <w:color w:val="000000"/>
        </w:rPr>
        <w:t xml:space="preserve"> the volumes and </w:t>
      </w:r>
      <w:r w:rsidR="004B32FB">
        <w:rPr>
          <w:color w:val="000000"/>
        </w:rPr>
        <w:t xml:space="preserve">descriptions of the </w:t>
      </w:r>
      <w:r w:rsidR="00FA25BF">
        <w:rPr>
          <w:color w:val="000000"/>
        </w:rPr>
        <w:t>components of the ACT’s Sustainable</w:t>
      </w:r>
      <w:r w:rsidR="00585D76">
        <w:rPr>
          <w:color w:val="000000"/>
        </w:rPr>
        <w:t xml:space="preserve"> Diversion Limit so that they are consistent with </w:t>
      </w:r>
      <w:r>
        <w:rPr>
          <w:color w:val="000000"/>
        </w:rPr>
        <w:t>the Territory</w:t>
      </w:r>
      <w:r w:rsidR="0060333B">
        <w:rPr>
          <w:color w:val="000000"/>
        </w:rPr>
        <w:t xml:space="preserve">’s </w:t>
      </w:r>
      <w:r w:rsidR="00FA25BF">
        <w:rPr>
          <w:color w:val="000000"/>
        </w:rPr>
        <w:t xml:space="preserve">Water Resource </w:t>
      </w:r>
      <w:r w:rsidR="00585D76">
        <w:rPr>
          <w:color w:val="000000"/>
        </w:rPr>
        <w:t>Plan accredited</w:t>
      </w:r>
      <w:r w:rsidRPr="00F125A7">
        <w:rPr>
          <w:color w:val="000000"/>
        </w:rPr>
        <w:t xml:space="preserve"> under the </w:t>
      </w:r>
      <w:r w:rsidRPr="00F125A7">
        <w:rPr>
          <w:i/>
          <w:iCs/>
          <w:color w:val="000000"/>
        </w:rPr>
        <w:t>Basin Plan 2012</w:t>
      </w:r>
      <w:r w:rsidRPr="00F125A7">
        <w:rPr>
          <w:color w:val="000000"/>
        </w:rPr>
        <w:t xml:space="preserve"> (Cwlth).</w:t>
      </w:r>
    </w:p>
    <w:p w14:paraId="031C2342" w14:textId="77777777" w:rsidR="007367A6" w:rsidRPr="00F125A7" w:rsidRDefault="007367A6" w:rsidP="007367A6">
      <w:pPr>
        <w:spacing w:after="0" w:line="240" w:lineRule="auto"/>
        <w:rPr>
          <w:rFonts w:ascii="Times New Roman" w:hAnsi="Times New Roman" w:cs="Times New Roman"/>
          <w:sz w:val="24"/>
          <w:szCs w:val="24"/>
          <w:lang w:eastAsia="en-AU"/>
        </w:rPr>
      </w:pPr>
    </w:p>
    <w:p w14:paraId="69814529" w14:textId="3757CE54" w:rsidR="007367A6" w:rsidRDefault="007367A6" w:rsidP="007367A6">
      <w:pPr>
        <w:pStyle w:val="LongTitle"/>
        <w:spacing w:before="0" w:after="0"/>
        <w:jc w:val="left"/>
      </w:pPr>
      <w:r w:rsidRPr="00F125A7">
        <w:rPr>
          <w:color w:val="000000"/>
        </w:rPr>
        <w:t xml:space="preserve">The instrument </w:t>
      </w:r>
      <w:r w:rsidR="00B2655D">
        <w:rPr>
          <w:color w:val="000000"/>
        </w:rPr>
        <w:t>corrects</w:t>
      </w:r>
      <w:r w:rsidR="00B2655D" w:rsidRPr="00B2655D">
        <w:rPr>
          <w:color w:val="000000"/>
        </w:rPr>
        <w:t xml:space="preserve"> the runoff dam take volume from 4.2 GL</w:t>
      </w:r>
      <w:r w:rsidR="00B216E3">
        <w:rPr>
          <w:rStyle w:val="FootnoteReference"/>
          <w:color w:val="000000"/>
        </w:rPr>
        <w:footnoteReference w:id="1"/>
      </w:r>
      <w:r w:rsidR="00B2655D" w:rsidRPr="00B2655D">
        <w:rPr>
          <w:color w:val="000000"/>
        </w:rPr>
        <w:t xml:space="preserve"> to 4.64 GL and </w:t>
      </w:r>
      <w:r w:rsidR="0098585F">
        <w:rPr>
          <w:color w:val="000000"/>
        </w:rPr>
        <w:t xml:space="preserve">inserts a reference to the </w:t>
      </w:r>
      <w:r w:rsidR="00B2655D" w:rsidRPr="00D13FFD">
        <w:t>4.9 GL per annum shared reduction amount (towards the Basin-wide water recovery target)</w:t>
      </w:r>
      <w:r w:rsidR="0098585F">
        <w:t xml:space="preserve">. </w:t>
      </w:r>
    </w:p>
    <w:p w14:paraId="33482303" w14:textId="77777777" w:rsidR="006C1722" w:rsidRDefault="006C1722" w:rsidP="006C1722">
      <w:pPr>
        <w:pStyle w:val="LongTitle"/>
        <w:spacing w:before="0" w:after="0"/>
        <w:jc w:val="left"/>
        <w:rPr>
          <w:color w:val="000000"/>
        </w:rPr>
      </w:pPr>
    </w:p>
    <w:p w14:paraId="25091D35" w14:textId="1A6922EA" w:rsidR="006C1722" w:rsidRPr="006C1722" w:rsidRDefault="004B32FB" w:rsidP="004B32FB">
      <w:pPr>
        <w:pStyle w:val="LongTitle"/>
        <w:spacing w:before="0" w:after="0"/>
        <w:jc w:val="left"/>
        <w:rPr>
          <w:color w:val="000000"/>
        </w:rPr>
      </w:pPr>
      <w:r>
        <w:rPr>
          <w:color w:val="000000"/>
        </w:rPr>
        <w:t>In 2019, in determining the amounts of water available for taking</w:t>
      </w:r>
      <w:r w:rsidR="006C1722" w:rsidRPr="006C1722">
        <w:rPr>
          <w:color w:val="000000"/>
        </w:rPr>
        <w:t xml:space="preserve">, </w:t>
      </w:r>
      <w:r w:rsidRPr="006C1722">
        <w:rPr>
          <w:color w:val="000000"/>
        </w:rPr>
        <w:t>the Minister to</w:t>
      </w:r>
      <w:r>
        <w:rPr>
          <w:color w:val="000000"/>
        </w:rPr>
        <w:t>o</w:t>
      </w:r>
      <w:r w:rsidRPr="006C1722">
        <w:rPr>
          <w:color w:val="000000"/>
        </w:rPr>
        <w:t xml:space="preserve">k the following into account </w:t>
      </w:r>
      <w:r>
        <w:rPr>
          <w:color w:val="000000"/>
        </w:rPr>
        <w:t xml:space="preserve">as required under </w:t>
      </w:r>
      <w:r w:rsidR="006C1722" w:rsidRPr="006C1722">
        <w:rPr>
          <w:color w:val="000000"/>
        </w:rPr>
        <w:t>section 17 (2) of the Act:</w:t>
      </w:r>
    </w:p>
    <w:p w14:paraId="74FE402E" w14:textId="4F61BCBD" w:rsidR="006C1722" w:rsidRPr="006C1722" w:rsidRDefault="006C1722" w:rsidP="006C1722">
      <w:pPr>
        <w:pStyle w:val="LongTitle"/>
        <w:numPr>
          <w:ilvl w:val="0"/>
          <w:numId w:val="4"/>
        </w:numPr>
        <w:spacing w:before="0" w:after="0"/>
        <w:jc w:val="left"/>
        <w:rPr>
          <w:color w:val="000000"/>
        </w:rPr>
      </w:pPr>
      <w:r w:rsidRPr="006C1722">
        <w:rPr>
          <w:color w:val="000000"/>
        </w:rPr>
        <w:t>the Environmental Flow Guidelines;</w:t>
      </w:r>
    </w:p>
    <w:p w14:paraId="58F10BD0" w14:textId="55EBEF3F" w:rsidR="006C1722" w:rsidRPr="006C1722" w:rsidRDefault="006C1722" w:rsidP="006C1722">
      <w:pPr>
        <w:pStyle w:val="LongTitle"/>
        <w:numPr>
          <w:ilvl w:val="0"/>
          <w:numId w:val="4"/>
        </w:numPr>
        <w:spacing w:before="0" w:after="0"/>
        <w:jc w:val="left"/>
        <w:rPr>
          <w:color w:val="000000"/>
        </w:rPr>
      </w:pPr>
      <w:r w:rsidRPr="006C1722">
        <w:rPr>
          <w:color w:val="000000"/>
        </w:rPr>
        <w:t>the total water resources of the Territory;</w:t>
      </w:r>
    </w:p>
    <w:p w14:paraId="325F0201" w14:textId="7104A58C" w:rsidR="006C1722" w:rsidRPr="006C1722" w:rsidRDefault="006C1722" w:rsidP="006C1722">
      <w:pPr>
        <w:pStyle w:val="LongTitle"/>
        <w:numPr>
          <w:ilvl w:val="0"/>
          <w:numId w:val="4"/>
        </w:numPr>
        <w:spacing w:before="0" w:after="0"/>
        <w:jc w:val="left"/>
        <w:rPr>
          <w:color w:val="000000"/>
        </w:rPr>
      </w:pPr>
      <w:r w:rsidRPr="006C1722">
        <w:rPr>
          <w:color w:val="000000"/>
        </w:rPr>
        <w:t>any studies and research undertaken by the Environment Protection Authority to establish sustainable yields for the water management area.</w:t>
      </w:r>
    </w:p>
    <w:p w14:paraId="5DE27547" w14:textId="5A4FDC40" w:rsidR="006C1722" w:rsidRDefault="006C1722" w:rsidP="006C1722">
      <w:pPr>
        <w:pStyle w:val="LongTitle"/>
        <w:spacing w:before="0" w:after="0"/>
        <w:jc w:val="left"/>
        <w:rPr>
          <w:color w:val="000000"/>
        </w:rPr>
      </w:pPr>
    </w:p>
    <w:p w14:paraId="18D3C321" w14:textId="23733D22" w:rsidR="006C1722" w:rsidRPr="006C1722" w:rsidRDefault="006C1722" w:rsidP="006C1722">
      <w:pPr>
        <w:pStyle w:val="LongTitle"/>
        <w:spacing w:before="0" w:after="0"/>
        <w:jc w:val="left"/>
        <w:rPr>
          <w:color w:val="000000"/>
        </w:rPr>
      </w:pPr>
      <w:r w:rsidRPr="006C1722">
        <w:rPr>
          <w:color w:val="000000"/>
        </w:rPr>
        <w:t>This instrument determines the total annual water available from water and sub-water management areas available to the ACT and reflects the current Environmental Flow Guidelines.</w:t>
      </w:r>
    </w:p>
    <w:p w14:paraId="3430D842" w14:textId="5FA3B537" w:rsidR="006C1722" w:rsidRDefault="006C1722" w:rsidP="006C1722">
      <w:pPr>
        <w:pStyle w:val="LongTitle"/>
        <w:spacing w:before="0" w:after="0"/>
        <w:jc w:val="left"/>
        <w:rPr>
          <w:color w:val="000000"/>
        </w:rPr>
      </w:pPr>
      <w:r w:rsidRPr="006C1722">
        <w:rPr>
          <w:color w:val="000000"/>
        </w:rPr>
        <w:lastRenderedPageBreak/>
        <w:t xml:space="preserve">For all water and sub-water management areas except Cotter and </w:t>
      </w:r>
      <w:proofErr w:type="spellStart"/>
      <w:r w:rsidRPr="006C1722">
        <w:rPr>
          <w:color w:val="000000"/>
        </w:rPr>
        <w:t>Googong</w:t>
      </w:r>
      <w:proofErr w:type="spellEnd"/>
      <w:r w:rsidRPr="006C1722">
        <w:rPr>
          <w:color w:val="000000"/>
        </w:rPr>
        <w:t xml:space="preserve">, total surface water available for taking is 10% of the flow greater than the 80th percentile. </w:t>
      </w:r>
    </w:p>
    <w:p w14:paraId="6F5D93AA" w14:textId="266BF3F2" w:rsidR="006C1722" w:rsidRDefault="006C1722" w:rsidP="006C1722">
      <w:pPr>
        <w:pStyle w:val="LongTitle"/>
        <w:spacing w:before="0" w:after="0"/>
        <w:jc w:val="left"/>
        <w:rPr>
          <w:color w:val="000000"/>
        </w:rPr>
      </w:pPr>
    </w:p>
    <w:p w14:paraId="43B985C0" w14:textId="76C13A5F" w:rsidR="006C1722" w:rsidRDefault="006C1722" w:rsidP="006C1722">
      <w:pPr>
        <w:pStyle w:val="LongTitle"/>
        <w:spacing w:before="0" w:after="0"/>
        <w:jc w:val="left"/>
        <w:rPr>
          <w:color w:val="000000"/>
        </w:rPr>
      </w:pPr>
      <w:r w:rsidRPr="006C1722">
        <w:rPr>
          <w:color w:val="000000"/>
        </w:rPr>
        <w:t xml:space="preserve">In the Cotter and </w:t>
      </w:r>
      <w:proofErr w:type="spellStart"/>
      <w:r w:rsidRPr="006C1722">
        <w:rPr>
          <w:color w:val="000000"/>
        </w:rPr>
        <w:t>Googong</w:t>
      </w:r>
      <w:proofErr w:type="spellEnd"/>
      <w:r w:rsidRPr="006C1722">
        <w:rPr>
          <w:color w:val="000000"/>
        </w:rPr>
        <w:t xml:space="preserve"> water management areas, the 80th percentile is protected and available take is total flow less the 80th percentile flow.</w:t>
      </w:r>
    </w:p>
    <w:p w14:paraId="1332174E" w14:textId="6DE94AD1" w:rsidR="004B32FB" w:rsidRPr="006C1722" w:rsidRDefault="004B32FB" w:rsidP="006C1722">
      <w:pPr>
        <w:pStyle w:val="LongTitle"/>
        <w:spacing w:before="0" w:after="0"/>
        <w:jc w:val="left"/>
        <w:rPr>
          <w:color w:val="000000"/>
        </w:rPr>
      </w:pPr>
    </w:p>
    <w:p w14:paraId="3F4CEE91" w14:textId="44FA3218" w:rsidR="006C1722" w:rsidRPr="006C1722" w:rsidRDefault="006C1722" w:rsidP="006C1722">
      <w:pPr>
        <w:pStyle w:val="LongTitle"/>
        <w:spacing w:before="0" w:after="0"/>
        <w:jc w:val="left"/>
        <w:rPr>
          <w:color w:val="000000"/>
        </w:rPr>
      </w:pPr>
      <w:r w:rsidRPr="006C1722">
        <w:rPr>
          <w:color w:val="000000"/>
        </w:rPr>
        <w:t xml:space="preserve">In the Lower Molonglo and Central Molonglo water management areas, water available for take can include, treated effluent returned to </w:t>
      </w:r>
      <w:r w:rsidR="004E5BC0">
        <w:rPr>
          <w:color w:val="000000"/>
        </w:rPr>
        <w:t xml:space="preserve">the </w:t>
      </w:r>
      <w:r w:rsidRPr="006C1722">
        <w:rPr>
          <w:color w:val="000000"/>
        </w:rPr>
        <w:t>river from the Molonglo Water Quality Control Centre and the Queanbeyan Sewage Treatment Plant</w:t>
      </w:r>
      <w:r w:rsidR="004E5BC0" w:rsidRPr="004E5BC0">
        <w:rPr>
          <w:color w:val="000000"/>
        </w:rPr>
        <w:t xml:space="preserve"> </w:t>
      </w:r>
      <w:r w:rsidR="004E5BC0" w:rsidRPr="006C1722">
        <w:rPr>
          <w:color w:val="000000"/>
        </w:rPr>
        <w:t>respectively</w:t>
      </w:r>
      <w:r w:rsidR="004E5BC0">
        <w:rPr>
          <w:color w:val="000000"/>
        </w:rPr>
        <w:t>. T</w:t>
      </w:r>
      <w:r w:rsidRPr="006C1722">
        <w:rPr>
          <w:color w:val="000000"/>
        </w:rPr>
        <w:t>otal net water take</w:t>
      </w:r>
      <w:r w:rsidR="004E5BC0">
        <w:rPr>
          <w:color w:val="000000"/>
        </w:rPr>
        <w:t xml:space="preserve"> must </w:t>
      </w:r>
      <w:r w:rsidRPr="006C1722">
        <w:rPr>
          <w:color w:val="000000"/>
        </w:rPr>
        <w:t>remain below the ACT net Sustainable Diversion Limit.</w:t>
      </w:r>
    </w:p>
    <w:p w14:paraId="55B0A9A3" w14:textId="4D609EBB" w:rsidR="006C1722" w:rsidRDefault="006C1722" w:rsidP="006C1722">
      <w:pPr>
        <w:pStyle w:val="LongTitle"/>
        <w:spacing w:before="0" w:after="0"/>
        <w:jc w:val="left"/>
        <w:rPr>
          <w:color w:val="000000"/>
        </w:rPr>
      </w:pPr>
    </w:p>
    <w:p w14:paraId="165AC404" w14:textId="01F00AFC" w:rsidR="006C1722" w:rsidRPr="006C1722" w:rsidRDefault="006C1722" w:rsidP="006C1722">
      <w:pPr>
        <w:pStyle w:val="LongTitle"/>
        <w:spacing w:before="0" w:after="0"/>
        <w:jc w:val="left"/>
        <w:rPr>
          <w:color w:val="000000"/>
        </w:rPr>
      </w:pPr>
      <w:r w:rsidRPr="006C1722">
        <w:rPr>
          <w:color w:val="000000"/>
        </w:rPr>
        <w:t>Total groundwater available for taking is equal to 10% of the estimated recharge to groundwater.</w:t>
      </w:r>
    </w:p>
    <w:p w14:paraId="64A1BCE4" w14:textId="70E21845" w:rsidR="006C1722" w:rsidRDefault="006C1722" w:rsidP="006C1722">
      <w:pPr>
        <w:pStyle w:val="LongTitle"/>
        <w:spacing w:before="0" w:after="0"/>
        <w:jc w:val="left"/>
        <w:rPr>
          <w:color w:val="000000"/>
        </w:rPr>
      </w:pPr>
    </w:p>
    <w:p w14:paraId="6F7A3725" w14:textId="431216FF" w:rsidR="006C1722" w:rsidRPr="00F125A7" w:rsidRDefault="006C1722" w:rsidP="006C1722">
      <w:pPr>
        <w:pStyle w:val="LongTitle"/>
        <w:spacing w:before="0" w:after="0"/>
        <w:jc w:val="left"/>
        <w:rPr>
          <w:color w:val="000000"/>
        </w:rPr>
      </w:pPr>
      <w:r w:rsidRPr="006C1722">
        <w:rPr>
          <w:color w:val="000000"/>
        </w:rPr>
        <w:t xml:space="preserve">The amounts in schedule 1 </w:t>
      </w:r>
      <w:r w:rsidR="004E5BC0">
        <w:rPr>
          <w:color w:val="000000"/>
        </w:rPr>
        <w:t>were</w:t>
      </w:r>
      <w:r w:rsidRPr="006C1722">
        <w:rPr>
          <w:color w:val="000000"/>
        </w:rPr>
        <w:t xml:space="preserve"> developed </w:t>
      </w:r>
      <w:r w:rsidR="004E5BC0">
        <w:rPr>
          <w:color w:val="000000"/>
        </w:rPr>
        <w:t xml:space="preserve">in 2019 </w:t>
      </w:r>
      <w:r w:rsidRPr="006C1722">
        <w:rPr>
          <w:color w:val="000000"/>
        </w:rPr>
        <w:t>through the ACT Source model and are based on the rules in the current environmental flow guidelines, the total water resources of the Territory, the requirements of the Basin Plan and specific investigations undertaken by the ACT Government to establish sustainable yields of surface and groundwater within catchments under ACT responsibility.</w:t>
      </w:r>
    </w:p>
    <w:p w14:paraId="1F4719DB" w14:textId="77777777" w:rsidR="007367A6" w:rsidRPr="00F125A7" w:rsidRDefault="007367A6" w:rsidP="007367A6">
      <w:pPr>
        <w:pStyle w:val="LongTitle"/>
        <w:spacing w:before="0" w:after="0"/>
        <w:jc w:val="left"/>
        <w:rPr>
          <w:color w:val="000000"/>
        </w:rPr>
      </w:pPr>
    </w:p>
    <w:p w14:paraId="3A7EB214" w14:textId="77777777" w:rsidR="007367A6" w:rsidRPr="00F125A7" w:rsidRDefault="007367A6" w:rsidP="007367A6">
      <w:pPr>
        <w:widowControl w:val="0"/>
        <w:spacing w:after="0" w:line="240" w:lineRule="auto"/>
        <w:rPr>
          <w:rFonts w:ascii="Times New Roman" w:hAnsi="Times New Roman" w:cs="Times New Roman"/>
          <w:sz w:val="24"/>
          <w:szCs w:val="24"/>
          <w:lang w:val="x-none"/>
        </w:rPr>
      </w:pPr>
      <w:r w:rsidRPr="00F125A7">
        <w:rPr>
          <w:rFonts w:ascii="Times New Roman" w:hAnsi="Times New Roman" w:cs="Times New Roman"/>
          <w:sz w:val="24"/>
          <w:szCs w:val="24"/>
          <w:lang w:val="x-none"/>
        </w:rPr>
        <w:t xml:space="preserve">The instrument commences on </w:t>
      </w:r>
      <w:r>
        <w:rPr>
          <w:rFonts w:ascii="Times New Roman" w:hAnsi="Times New Roman" w:cs="Times New Roman"/>
          <w:sz w:val="24"/>
          <w:szCs w:val="24"/>
        </w:rPr>
        <w:t>the day after its notification day</w:t>
      </w:r>
      <w:r w:rsidRPr="00F125A7">
        <w:rPr>
          <w:rFonts w:ascii="Times New Roman" w:hAnsi="Times New Roman" w:cs="Times New Roman"/>
          <w:sz w:val="24"/>
          <w:szCs w:val="24"/>
          <w:lang w:val="x-none"/>
        </w:rPr>
        <w:t>.</w:t>
      </w:r>
    </w:p>
    <w:p w14:paraId="29828C66" w14:textId="77777777" w:rsidR="007367A6" w:rsidRPr="00F125A7" w:rsidRDefault="007367A6" w:rsidP="007367A6">
      <w:pPr>
        <w:pStyle w:val="Header"/>
        <w:tabs>
          <w:tab w:val="clear" w:pos="4153"/>
          <w:tab w:val="clear" w:pos="8306"/>
        </w:tabs>
      </w:pPr>
    </w:p>
    <w:p w14:paraId="387A8767" w14:textId="10CAE20A" w:rsidR="002E5AA0" w:rsidRPr="003107B3" w:rsidRDefault="002E5AA0" w:rsidP="002E5AA0">
      <w:pPr>
        <w:widowControl w:val="0"/>
        <w:spacing w:after="0" w:line="240" w:lineRule="auto"/>
        <w:rPr>
          <w:rFonts w:ascii="Times New Roman" w:hAnsi="Times New Roman" w:cs="Times New Roman"/>
          <w:sz w:val="24"/>
          <w:szCs w:val="24"/>
        </w:rPr>
      </w:pPr>
      <w:r w:rsidRPr="00F125A7">
        <w:rPr>
          <w:rFonts w:ascii="Times New Roman" w:hAnsi="Times New Roman" w:cs="Times New Roman"/>
          <w:sz w:val="24"/>
          <w:szCs w:val="24"/>
          <w:lang w:val="x-none"/>
        </w:rPr>
        <w:t xml:space="preserve">This instrument </w:t>
      </w:r>
      <w:r>
        <w:rPr>
          <w:rFonts w:ascii="Times New Roman" w:hAnsi="Times New Roman" w:cs="Times New Roman"/>
          <w:sz w:val="24"/>
          <w:szCs w:val="24"/>
        </w:rPr>
        <w:t>repeals</w:t>
      </w:r>
      <w:r w:rsidRPr="00F125A7">
        <w:rPr>
          <w:rFonts w:ascii="Times New Roman" w:hAnsi="Times New Roman" w:cs="Times New Roman"/>
          <w:sz w:val="24"/>
          <w:szCs w:val="24"/>
          <w:lang w:val="x-none"/>
        </w:rPr>
        <w:t xml:space="preserve"> </w:t>
      </w:r>
      <w:r w:rsidRPr="00F125A7">
        <w:rPr>
          <w:rFonts w:ascii="Times New Roman" w:hAnsi="Times New Roman" w:cs="Times New Roman"/>
          <w:sz w:val="24"/>
          <w:szCs w:val="24"/>
        </w:rPr>
        <w:t xml:space="preserve">the </w:t>
      </w:r>
      <w:bookmarkStart w:id="1" w:name="_Hlk149565430"/>
      <w:r w:rsidRPr="00F125A7">
        <w:rPr>
          <w:rFonts w:ascii="Times New Roman" w:hAnsi="Times New Roman" w:cs="Times New Roman"/>
          <w:i/>
          <w:sz w:val="24"/>
          <w:szCs w:val="24"/>
          <w:lang w:val="x-none"/>
        </w:rPr>
        <w:t>Water Resources (</w:t>
      </w:r>
      <w:r w:rsidRPr="00754789">
        <w:rPr>
          <w:rFonts w:ascii="Times New Roman" w:hAnsi="Times New Roman" w:cs="Times New Roman"/>
          <w:i/>
          <w:sz w:val="24"/>
          <w:szCs w:val="24"/>
          <w:lang w:val="x-none"/>
        </w:rPr>
        <w:t>Water Available from Areas</w:t>
      </w:r>
      <w:r w:rsidRPr="00F125A7">
        <w:rPr>
          <w:rFonts w:ascii="Times New Roman" w:hAnsi="Times New Roman" w:cs="Times New Roman"/>
          <w:i/>
          <w:sz w:val="24"/>
          <w:szCs w:val="24"/>
          <w:lang w:val="x-none"/>
        </w:rPr>
        <w:t>) Determination 20</w:t>
      </w:r>
      <w:r>
        <w:rPr>
          <w:rFonts w:ascii="Times New Roman" w:hAnsi="Times New Roman" w:cs="Times New Roman"/>
          <w:i/>
          <w:sz w:val="24"/>
          <w:szCs w:val="24"/>
          <w:lang w:val="en-US"/>
        </w:rPr>
        <w:t>19</w:t>
      </w:r>
      <w:r w:rsidRPr="00F125A7">
        <w:rPr>
          <w:rFonts w:ascii="Times New Roman" w:hAnsi="Times New Roman" w:cs="Times New Roman"/>
          <w:i/>
          <w:sz w:val="24"/>
          <w:szCs w:val="24"/>
          <w:lang w:val="en-US"/>
        </w:rPr>
        <w:t xml:space="preserve"> (No 2) </w:t>
      </w:r>
      <w:r w:rsidRPr="00F125A7">
        <w:rPr>
          <w:rFonts w:ascii="Times New Roman" w:hAnsi="Times New Roman" w:cs="Times New Roman"/>
          <w:sz w:val="24"/>
          <w:szCs w:val="24"/>
          <w:lang w:val="x-none"/>
        </w:rPr>
        <w:t>(</w:t>
      </w:r>
      <w:r>
        <w:rPr>
          <w:rFonts w:ascii="Times New Roman" w:hAnsi="Times New Roman" w:cs="Times New Roman"/>
          <w:sz w:val="24"/>
          <w:szCs w:val="24"/>
        </w:rPr>
        <w:t>DI2019-191</w:t>
      </w:r>
      <w:r w:rsidRPr="00F125A7">
        <w:rPr>
          <w:rFonts w:ascii="Times New Roman" w:hAnsi="Times New Roman" w:cs="Times New Roman"/>
          <w:sz w:val="24"/>
          <w:szCs w:val="24"/>
          <w:lang w:val="x-none"/>
        </w:rPr>
        <w:t>)</w:t>
      </w:r>
      <w:bookmarkEnd w:id="1"/>
      <w:r>
        <w:rPr>
          <w:rFonts w:ascii="Times New Roman" w:hAnsi="Times New Roman" w:cs="Times New Roman"/>
          <w:sz w:val="24"/>
          <w:szCs w:val="24"/>
        </w:rPr>
        <w:t>.</w:t>
      </w:r>
    </w:p>
    <w:p w14:paraId="4FA949EB" w14:textId="77777777" w:rsidR="002E5AA0" w:rsidRPr="00F125A7" w:rsidRDefault="002E5AA0" w:rsidP="002E5AA0">
      <w:pPr>
        <w:widowControl w:val="0"/>
        <w:spacing w:after="0" w:line="240" w:lineRule="auto"/>
        <w:rPr>
          <w:rFonts w:ascii="Times New Roman" w:hAnsi="Times New Roman" w:cs="Times New Roman"/>
          <w:sz w:val="24"/>
          <w:szCs w:val="24"/>
          <w:lang w:val="x-none"/>
        </w:rPr>
      </w:pPr>
    </w:p>
    <w:p w14:paraId="085EBC46" w14:textId="77777777" w:rsidR="007367A6" w:rsidRPr="00F125A7" w:rsidRDefault="007367A6" w:rsidP="007367A6">
      <w:pPr>
        <w:autoSpaceDE w:val="0"/>
        <w:autoSpaceDN w:val="0"/>
        <w:adjustRightInd w:val="0"/>
        <w:spacing w:after="0" w:line="240" w:lineRule="auto"/>
        <w:rPr>
          <w:rFonts w:ascii="Times New Roman" w:hAnsi="Times New Roman" w:cs="Times New Roman"/>
          <w:b/>
          <w:sz w:val="24"/>
          <w:szCs w:val="24"/>
          <w:lang w:eastAsia="en-AU"/>
        </w:rPr>
      </w:pPr>
      <w:r w:rsidRPr="00F125A7">
        <w:rPr>
          <w:rFonts w:ascii="Times New Roman" w:hAnsi="Times New Roman" w:cs="Times New Roman"/>
          <w:b/>
          <w:sz w:val="24"/>
          <w:szCs w:val="24"/>
          <w:lang w:eastAsia="en-AU"/>
        </w:rPr>
        <w:t>Regulatory Impact Statement (RIS)</w:t>
      </w:r>
    </w:p>
    <w:p w14:paraId="3569867F" w14:textId="043B85C2" w:rsidR="007367A6" w:rsidRPr="00F125A7" w:rsidRDefault="007367A6" w:rsidP="007367A6">
      <w:pPr>
        <w:autoSpaceDE w:val="0"/>
        <w:autoSpaceDN w:val="0"/>
        <w:adjustRightInd w:val="0"/>
        <w:spacing w:after="0" w:line="240" w:lineRule="auto"/>
        <w:rPr>
          <w:rFonts w:ascii="Times New Roman" w:hAnsi="Times New Roman" w:cs="Times New Roman"/>
          <w:sz w:val="24"/>
          <w:szCs w:val="24"/>
          <w:lang w:eastAsia="en-AU"/>
        </w:rPr>
      </w:pPr>
      <w:r w:rsidRPr="00F125A7">
        <w:rPr>
          <w:rFonts w:ascii="Times New Roman" w:hAnsi="Times New Roman" w:cs="Times New Roman"/>
          <w:sz w:val="24"/>
          <w:szCs w:val="24"/>
          <w:lang w:eastAsia="en-AU"/>
        </w:rPr>
        <w:t xml:space="preserve">A RIS is not required for this determination due to section </w:t>
      </w:r>
      <w:r w:rsidRPr="0091019E">
        <w:rPr>
          <w:rFonts w:ascii="Times New Roman" w:hAnsi="Times New Roman" w:cs="Times New Roman"/>
          <w:sz w:val="24"/>
          <w:szCs w:val="24"/>
          <w:lang w:eastAsia="en-AU"/>
        </w:rPr>
        <w:t>36 (1) (</w:t>
      </w:r>
      <w:r w:rsidR="00883B32" w:rsidRPr="0091019E">
        <w:rPr>
          <w:rFonts w:ascii="Times New Roman" w:hAnsi="Times New Roman" w:cs="Times New Roman"/>
          <w:sz w:val="24"/>
          <w:szCs w:val="24"/>
          <w:lang w:eastAsia="en-AU"/>
        </w:rPr>
        <w:t>a</w:t>
      </w:r>
      <w:r w:rsidRPr="0091019E">
        <w:rPr>
          <w:rFonts w:ascii="Times New Roman" w:hAnsi="Times New Roman" w:cs="Times New Roman"/>
          <w:sz w:val="24"/>
          <w:szCs w:val="24"/>
          <w:lang w:eastAsia="en-AU"/>
        </w:rPr>
        <w:t xml:space="preserve">) of the Legislation Act, which provides that a RIS need not be prepared for </w:t>
      </w:r>
      <w:r w:rsidR="00883B32" w:rsidRPr="0091019E">
        <w:rPr>
          <w:rFonts w:ascii="Times New Roman" w:hAnsi="Times New Roman" w:cs="Times New Roman"/>
          <w:sz w:val="24"/>
          <w:szCs w:val="24"/>
          <w:lang w:eastAsia="en-AU"/>
        </w:rPr>
        <w:t>a matter that is not of a legislative nature, including, for example, a matter of a machinery, administrative, drafting or formal nature</w:t>
      </w:r>
      <w:r w:rsidRPr="0091019E">
        <w:rPr>
          <w:rFonts w:ascii="Times New Roman" w:hAnsi="Times New Roman" w:cs="Times New Roman"/>
          <w:sz w:val="24"/>
          <w:szCs w:val="24"/>
          <w:lang w:eastAsia="en-AU"/>
        </w:rPr>
        <w:t>.</w:t>
      </w:r>
    </w:p>
    <w:p w14:paraId="2C599167" w14:textId="77777777" w:rsidR="007367A6" w:rsidRPr="00F125A7" w:rsidRDefault="007367A6" w:rsidP="007367A6">
      <w:pPr>
        <w:autoSpaceDE w:val="0"/>
        <w:autoSpaceDN w:val="0"/>
        <w:adjustRightInd w:val="0"/>
        <w:spacing w:after="0" w:line="240" w:lineRule="auto"/>
        <w:rPr>
          <w:rFonts w:ascii="Times New Roman" w:hAnsi="Times New Roman" w:cs="Times New Roman"/>
          <w:sz w:val="24"/>
          <w:szCs w:val="24"/>
          <w:lang w:eastAsia="en-AU"/>
        </w:rPr>
      </w:pPr>
    </w:p>
    <w:p w14:paraId="032BD90A" w14:textId="77777777" w:rsidR="007367A6" w:rsidRPr="00F125A7" w:rsidRDefault="007367A6" w:rsidP="007367A6">
      <w:pPr>
        <w:autoSpaceDE w:val="0"/>
        <w:autoSpaceDN w:val="0"/>
        <w:adjustRightInd w:val="0"/>
        <w:spacing w:after="0" w:line="240" w:lineRule="auto"/>
        <w:rPr>
          <w:rFonts w:ascii="Times New Roman" w:hAnsi="Times New Roman" w:cs="Times New Roman"/>
          <w:b/>
          <w:color w:val="000000"/>
          <w:sz w:val="24"/>
          <w:szCs w:val="24"/>
        </w:rPr>
      </w:pPr>
      <w:r w:rsidRPr="00F125A7">
        <w:rPr>
          <w:rFonts w:ascii="Times New Roman" w:hAnsi="Times New Roman" w:cs="Times New Roman"/>
          <w:b/>
          <w:color w:val="000000"/>
          <w:sz w:val="24"/>
          <w:szCs w:val="24"/>
        </w:rPr>
        <w:t>Human Rights</w:t>
      </w:r>
    </w:p>
    <w:p w14:paraId="0F640090" w14:textId="2CFA9210" w:rsidR="00E66E2B" w:rsidRPr="00F125A7" w:rsidRDefault="007367A6" w:rsidP="002E5AA0">
      <w:pPr>
        <w:pStyle w:val="Header"/>
        <w:tabs>
          <w:tab w:val="clear" w:pos="4153"/>
          <w:tab w:val="clear" w:pos="8306"/>
        </w:tabs>
      </w:pPr>
      <w:r w:rsidRPr="00F125A7">
        <w:t>The Standing Committee on Justice and Community Safety (Legislative Scrutiny Role) terms of reference require consideration of human rights impacts, among other matters. In this case, no human rights are impacted.</w:t>
      </w:r>
    </w:p>
    <w:sectPr w:rsidR="00E66E2B" w:rsidRPr="00F125A7" w:rsidSect="00B216E3">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2251B" w14:textId="77777777" w:rsidR="00C52D78" w:rsidRDefault="00C52D78" w:rsidP="00B216E3">
      <w:pPr>
        <w:spacing w:after="0" w:line="240" w:lineRule="auto"/>
      </w:pPr>
      <w:r>
        <w:separator/>
      </w:r>
    </w:p>
  </w:endnote>
  <w:endnote w:type="continuationSeparator" w:id="0">
    <w:p w14:paraId="7C2628E0" w14:textId="77777777" w:rsidR="00C52D78" w:rsidRDefault="00C52D78" w:rsidP="00B21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CC3C" w14:textId="77777777" w:rsidR="00A22AC5" w:rsidRDefault="00A22A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81C22" w14:textId="35C82899" w:rsidR="00A22AC5" w:rsidRPr="00A22AC5" w:rsidRDefault="00A22AC5" w:rsidP="00A22AC5">
    <w:pPr>
      <w:pStyle w:val="Footer"/>
      <w:jc w:val="center"/>
      <w:rPr>
        <w:rFonts w:ascii="Arial" w:hAnsi="Arial" w:cs="Arial"/>
        <w:sz w:val="14"/>
      </w:rPr>
    </w:pPr>
    <w:r w:rsidRPr="00A22AC5">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4300" w14:textId="77777777" w:rsidR="00A22AC5" w:rsidRDefault="00A22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D2462" w14:textId="77777777" w:rsidR="00C52D78" w:rsidRDefault="00C52D78" w:rsidP="00B216E3">
      <w:pPr>
        <w:spacing w:after="0" w:line="240" w:lineRule="auto"/>
      </w:pPr>
      <w:r>
        <w:separator/>
      </w:r>
    </w:p>
  </w:footnote>
  <w:footnote w:type="continuationSeparator" w:id="0">
    <w:p w14:paraId="37DCDB42" w14:textId="77777777" w:rsidR="00C52D78" w:rsidRDefault="00C52D78" w:rsidP="00B216E3">
      <w:pPr>
        <w:spacing w:after="0" w:line="240" w:lineRule="auto"/>
      </w:pPr>
      <w:r>
        <w:continuationSeparator/>
      </w:r>
    </w:p>
  </w:footnote>
  <w:footnote w:id="1">
    <w:p w14:paraId="3E934D66" w14:textId="5186862D" w:rsidR="00B216E3" w:rsidRPr="00AA3D59" w:rsidRDefault="00B216E3">
      <w:pPr>
        <w:pStyle w:val="FootnoteText"/>
        <w:rPr>
          <w:rFonts w:ascii="Times New Roman" w:hAnsi="Times New Roman" w:cs="Times New Roman"/>
        </w:rPr>
      </w:pPr>
      <w:r w:rsidRPr="00AA3D59">
        <w:rPr>
          <w:rStyle w:val="FootnoteReference"/>
          <w:rFonts w:ascii="Times New Roman" w:hAnsi="Times New Roman" w:cs="Times New Roman"/>
        </w:rPr>
        <w:footnoteRef/>
      </w:r>
      <w:r w:rsidRPr="00AA3D59">
        <w:rPr>
          <w:rFonts w:ascii="Times New Roman" w:hAnsi="Times New Roman" w:cs="Times New Roman"/>
        </w:rPr>
        <w:t xml:space="preserve"> GL denotes gigalitres, i.e. 1,000,000,000 litres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C7762" w14:textId="77777777" w:rsidR="00A22AC5" w:rsidRDefault="00A22A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5DA1" w14:textId="77777777" w:rsidR="00A22AC5" w:rsidRDefault="00A22A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B72E8" w14:textId="77777777" w:rsidR="00A22AC5" w:rsidRDefault="00A22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50455"/>
    <w:multiLevelType w:val="hybridMultilevel"/>
    <w:tmpl w:val="29726C80"/>
    <w:lvl w:ilvl="0" w:tplc="AD90F50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D155D1F"/>
    <w:multiLevelType w:val="hybridMultilevel"/>
    <w:tmpl w:val="77045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08D1336"/>
    <w:multiLevelType w:val="hybridMultilevel"/>
    <w:tmpl w:val="7F4AA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71D3A35"/>
    <w:multiLevelType w:val="hybridMultilevel"/>
    <w:tmpl w:val="29726C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89036083">
    <w:abstractNumId w:val="0"/>
  </w:num>
  <w:num w:numId="2" w16cid:durableId="1416827870">
    <w:abstractNumId w:val="3"/>
  </w:num>
  <w:num w:numId="3" w16cid:durableId="631861399">
    <w:abstractNumId w:val="1"/>
  </w:num>
  <w:num w:numId="4" w16cid:durableId="909189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57B"/>
    <w:rsid w:val="00051DBC"/>
    <w:rsid w:val="00073852"/>
    <w:rsid w:val="00083B60"/>
    <w:rsid w:val="00087A52"/>
    <w:rsid w:val="00090E0A"/>
    <w:rsid w:val="000A0035"/>
    <w:rsid w:val="000F710F"/>
    <w:rsid w:val="00116A6E"/>
    <w:rsid w:val="00123BCA"/>
    <w:rsid w:val="00162CA0"/>
    <w:rsid w:val="001724AF"/>
    <w:rsid w:val="001944B7"/>
    <w:rsid w:val="0021050D"/>
    <w:rsid w:val="00266CDD"/>
    <w:rsid w:val="002856A7"/>
    <w:rsid w:val="002B31C2"/>
    <w:rsid w:val="002E5AA0"/>
    <w:rsid w:val="002F0F18"/>
    <w:rsid w:val="003107B3"/>
    <w:rsid w:val="00326570"/>
    <w:rsid w:val="00326C5D"/>
    <w:rsid w:val="00351DAF"/>
    <w:rsid w:val="003744C5"/>
    <w:rsid w:val="00377CD6"/>
    <w:rsid w:val="00382DD5"/>
    <w:rsid w:val="003969F8"/>
    <w:rsid w:val="003C4489"/>
    <w:rsid w:val="003E1F2C"/>
    <w:rsid w:val="004174C5"/>
    <w:rsid w:val="004A49D1"/>
    <w:rsid w:val="004B32FB"/>
    <w:rsid w:val="004E5BC0"/>
    <w:rsid w:val="0051529C"/>
    <w:rsid w:val="00542F48"/>
    <w:rsid w:val="005807A0"/>
    <w:rsid w:val="00585D76"/>
    <w:rsid w:val="00591A94"/>
    <w:rsid w:val="005A470A"/>
    <w:rsid w:val="005B4756"/>
    <w:rsid w:val="0060333B"/>
    <w:rsid w:val="00614C28"/>
    <w:rsid w:val="006272BF"/>
    <w:rsid w:val="00641150"/>
    <w:rsid w:val="006518CD"/>
    <w:rsid w:val="00671250"/>
    <w:rsid w:val="00677CCF"/>
    <w:rsid w:val="006B17AA"/>
    <w:rsid w:val="006C1722"/>
    <w:rsid w:val="006D0328"/>
    <w:rsid w:val="0070033F"/>
    <w:rsid w:val="007367A6"/>
    <w:rsid w:val="00754789"/>
    <w:rsid w:val="0075553D"/>
    <w:rsid w:val="00771BD2"/>
    <w:rsid w:val="00784271"/>
    <w:rsid w:val="007D465F"/>
    <w:rsid w:val="007E4E54"/>
    <w:rsid w:val="00883B32"/>
    <w:rsid w:val="00890800"/>
    <w:rsid w:val="00893B84"/>
    <w:rsid w:val="00896EC5"/>
    <w:rsid w:val="008D2F2E"/>
    <w:rsid w:val="00907D90"/>
    <w:rsid w:val="0091019E"/>
    <w:rsid w:val="00920241"/>
    <w:rsid w:val="0098451D"/>
    <w:rsid w:val="0098585F"/>
    <w:rsid w:val="009E3B92"/>
    <w:rsid w:val="009F071B"/>
    <w:rsid w:val="00A22AC5"/>
    <w:rsid w:val="00A80BA7"/>
    <w:rsid w:val="00AA3D59"/>
    <w:rsid w:val="00AF578B"/>
    <w:rsid w:val="00B216E3"/>
    <w:rsid w:val="00B2655D"/>
    <w:rsid w:val="00B32568"/>
    <w:rsid w:val="00B87DB7"/>
    <w:rsid w:val="00B91EE3"/>
    <w:rsid w:val="00BC2A2B"/>
    <w:rsid w:val="00BF3E40"/>
    <w:rsid w:val="00C16E0A"/>
    <w:rsid w:val="00C50FE9"/>
    <w:rsid w:val="00C52D78"/>
    <w:rsid w:val="00D13FFD"/>
    <w:rsid w:val="00D33E88"/>
    <w:rsid w:val="00D630F9"/>
    <w:rsid w:val="00D843AC"/>
    <w:rsid w:val="00D91816"/>
    <w:rsid w:val="00DC479F"/>
    <w:rsid w:val="00E2176C"/>
    <w:rsid w:val="00E66E2B"/>
    <w:rsid w:val="00E771E9"/>
    <w:rsid w:val="00E85A24"/>
    <w:rsid w:val="00EA457B"/>
    <w:rsid w:val="00EC509C"/>
    <w:rsid w:val="00F125A7"/>
    <w:rsid w:val="00FA25BF"/>
    <w:rsid w:val="00FC5C29"/>
    <w:rsid w:val="00FD0939"/>
    <w:rsid w:val="00FD790E"/>
    <w:rsid w:val="00FF3B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26DA27"/>
  <w15:chartTrackingRefBased/>
  <w15:docId w15:val="{BF0A4B64-9285-4176-BF4E-C48E1A06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29C"/>
    <w:pPr>
      <w:ind w:left="720"/>
      <w:contextualSpacing/>
    </w:pPr>
  </w:style>
  <w:style w:type="paragraph" w:styleId="Header">
    <w:name w:val="header"/>
    <w:basedOn w:val="Normal"/>
    <w:link w:val="HeaderChar"/>
    <w:uiPriority w:val="99"/>
    <w:rsid w:val="00E66E2B"/>
    <w:pPr>
      <w:widowControl w:val="0"/>
      <w:tabs>
        <w:tab w:val="center" w:pos="4153"/>
        <w:tab w:val="right" w:pos="8306"/>
      </w:tabs>
      <w:spacing w:after="0" w:line="240" w:lineRule="auto"/>
    </w:pPr>
    <w:rPr>
      <w:rFonts w:ascii="Times New Roman" w:eastAsia="Times New Roman" w:hAnsi="Times New Roman" w:cs="Times New Roman"/>
      <w:sz w:val="24"/>
      <w:szCs w:val="24"/>
      <w:lang w:val="x-none"/>
    </w:rPr>
  </w:style>
  <w:style w:type="character" w:customStyle="1" w:styleId="HeaderChar">
    <w:name w:val="Header Char"/>
    <w:basedOn w:val="DefaultParagraphFont"/>
    <w:link w:val="Header"/>
    <w:uiPriority w:val="99"/>
    <w:rsid w:val="00E66E2B"/>
    <w:rPr>
      <w:rFonts w:ascii="Times New Roman" w:eastAsia="Times New Roman" w:hAnsi="Times New Roman" w:cs="Times New Roman"/>
      <w:sz w:val="24"/>
      <w:szCs w:val="24"/>
      <w:lang w:val="x-none"/>
    </w:rPr>
  </w:style>
  <w:style w:type="paragraph" w:customStyle="1" w:styleId="LongTitle">
    <w:name w:val="LongTitle"/>
    <w:basedOn w:val="Normal"/>
    <w:rsid w:val="00E66E2B"/>
    <w:pPr>
      <w:spacing w:before="240" w:after="60" w:line="240" w:lineRule="auto"/>
      <w:jc w:val="both"/>
    </w:pPr>
    <w:rPr>
      <w:rFonts w:ascii="Times New Roman" w:eastAsia="Times New Roman" w:hAnsi="Times New Roman" w:cs="Times New Roman"/>
      <w:sz w:val="24"/>
      <w:szCs w:val="24"/>
    </w:rPr>
  </w:style>
  <w:style w:type="paragraph" w:styleId="Revision">
    <w:name w:val="Revision"/>
    <w:hidden/>
    <w:uiPriority w:val="99"/>
    <w:semiHidden/>
    <w:rsid w:val="00641150"/>
    <w:pPr>
      <w:spacing w:after="0" w:line="240" w:lineRule="auto"/>
    </w:pPr>
  </w:style>
  <w:style w:type="paragraph" w:styleId="FootnoteText">
    <w:name w:val="footnote text"/>
    <w:basedOn w:val="Normal"/>
    <w:link w:val="FootnoteTextChar"/>
    <w:uiPriority w:val="99"/>
    <w:semiHidden/>
    <w:unhideWhenUsed/>
    <w:rsid w:val="00B216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16E3"/>
    <w:rPr>
      <w:sz w:val="20"/>
      <w:szCs w:val="20"/>
    </w:rPr>
  </w:style>
  <w:style w:type="character" w:styleId="FootnoteReference">
    <w:name w:val="footnote reference"/>
    <w:basedOn w:val="DefaultParagraphFont"/>
    <w:uiPriority w:val="99"/>
    <w:semiHidden/>
    <w:unhideWhenUsed/>
    <w:rsid w:val="00B216E3"/>
    <w:rPr>
      <w:vertAlign w:val="superscript"/>
    </w:rPr>
  </w:style>
  <w:style w:type="character" w:styleId="CommentReference">
    <w:name w:val="annotation reference"/>
    <w:basedOn w:val="DefaultParagraphFont"/>
    <w:uiPriority w:val="99"/>
    <w:semiHidden/>
    <w:unhideWhenUsed/>
    <w:rsid w:val="00DC479F"/>
    <w:rPr>
      <w:sz w:val="16"/>
      <w:szCs w:val="16"/>
    </w:rPr>
  </w:style>
  <w:style w:type="paragraph" w:styleId="CommentText">
    <w:name w:val="annotation text"/>
    <w:basedOn w:val="Normal"/>
    <w:link w:val="CommentTextChar"/>
    <w:uiPriority w:val="99"/>
    <w:unhideWhenUsed/>
    <w:rsid w:val="00DC479F"/>
    <w:pPr>
      <w:spacing w:line="240" w:lineRule="auto"/>
    </w:pPr>
    <w:rPr>
      <w:sz w:val="20"/>
      <w:szCs w:val="20"/>
    </w:rPr>
  </w:style>
  <w:style w:type="character" w:customStyle="1" w:styleId="CommentTextChar">
    <w:name w:val="Comment Text Char"/>
    <w:basedOn w:val="DefaultParagraphFont"/>
    <w:link w:val="CommentText"/>
    <w:uiPriority w:val="99"/>
    <w:rsid w:val="00DC479F"/>
    <w:rPr>
      <w:sz w:val="20"/>
      <w:szCs w:val="20"/>
    </w:rPr>
  </w:style>
  <w:style w:type="paragraph" w:styleId="CommentSubject">
    <w:name w:val="annotation subject"/>
    <w:basedOn w:val="CommentText"/>
    <w:next w:val="CommentText"/>
    <w:link w:val="CommentSubjectChar"/>
    <w:uiPriority w:val="99"/>
    <w:semiHidden/>
    <w:unhideWhenUsed/>
    <w:rsid w:val="00DC479F"/>
    <w:rPr>
      <w:b/>
      <w:bCs/>
    </w:rPr>
  </w:style>
  <w:style w:type="character" w:customStyle="1" w:styleId="CommentSubjectChar">
    <w:name w:val="Comment Subject Char"/>
    <w:basedOn w:val="CommentTextChar"/>
    <w:link w:val="CommentSubject"/>
    <w:uiPriority w:val="99"/>
    <w:semiHidden/>
    <w:rsid w:val="00DC479F"/>
    <w:rPr>
      <w:b/>
      <w:bCs/>
      <w:sz w:val="20"/>
      <w:szCs w:val="20"/>
    </w:rPr>
  </w:style>
  <w:style w:type="paragraph" w:styleId="Footer">
    <w:name w:val="footer"/>
    <w:basedOn w:val="Normal"/>
    <w:link w:val="FooterChar"/>
    <w:uiPriority w:val="99"/>
    <w:unhideWhenUsed/>
    <w:rsid w:val="00A22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16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A44125595</value>
    </field>
    <field name="Objective-Title">
      <value order="0">Att C -  Water Available Explanatory Statement 2024</value>
    </field>
    <field name="Objective-Description">
      <value order="0"/>
    </field>
    <field name="Objective-CreationStamp">
      <value order="0">2023-10-23T23:49:51Z</value>
    </field>
    <field name="Objective-IsApproved">
      <value order="0">false</value>
    </field>
    <field name="Objective-IsPublished">
      <value order="0">true</value>
    </field>
    <field name="Objective-DatePublished">
      <value order="0">2024-01-14T22:32:04Z</value>
    </field>
    <field name="Objective-ModificationStamp">
      <value order="0">2024-01-14T22:32:04Z</value>
    </field>
    <field name="Objective-Owner">
      <value order="0">Georgianna Fien</value>
    </field>
    <field name="Objective-Path">
      <value order="0">Whole of ACT Government:EPSDD - Environment Planning and Sustainable Development Directorate:07. Ministerial, Cabinet and Government Relations:06. Ministerials:z. 2013 - 2023 Ministerial and Chief Ministerial Correspondence:2023 - Ministerial and Chief Ministerial Briefs / Correspondence:Environment, Heritage and Water (And Conservator):23/127826 Ministerial-lnformation Brief  - Rattenbury - Water recovery - minor corrections to two Disallowable Instruments</value>
    </field>
    <field name="Objective-Parent">
      <value order="0">23/127826 Ministerial-lnformation Brief  - Rattenbury - Water recovery - minor corrections to two Disallowable Instruments</value>
    </field>
    <field name="Objective-State">
      <value order="0">Published</value>
    </field>
    <field name="Objective-VersionId">
      <value order="0">vA56540863</value>
    </field>
    <field name="Objective-Version">
      <value order="0">9.0</value>
    </field>
    <field name="Objective-VersionNumber">
      <value order="0">9</value>
    </field>
    <field name="Objective-VersionComment">
      <value order="0"/>
    </field>
    <field name="Objective-FileNumber">
      <value order="0">1-2023/127826</value>
    </field>
    <field name="Objective-Classification">
      <value order="0"/>
    </field>
    <field name="Objective-Caveats">
      <value order="0"/>
    </field>
  </systemFields>
  <catalogues>
    <catalogue name="0- EPSDD Performance Agreement Form" type="user" ori="id:cA277">
      <field name="Objective-Division">
        <value order="0">Environment, Heritage and Water</value>
      </field>
      <field name="Objective-Section">
        <value order="0">Water - Intergovernment and Governance</value>
      </field>
      <field name="Objective-Officer">
        <value order="0">Georgianna Fien</value>
      </field>
      <field name="Objective-Document Approved By">
        <value order="0"/>
      </field>
      <field name="Objective-Home Agency">
        <value order="0">EPSDD</value>
      </field>
    </catalogue>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3184</Characters>
  <Application>Microsoft Office Word</Application>
  <DocSecurity>0</DocSecurity>
  <Lines>75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Fien, Georgianna</dc:creator>
  <cp:keywords/>
  <dc:description/>
  <cp:lastModifiedBy>PCODCS</cp:lastModifiedBy>
  <cp:revision>4</cp:revision>
  <dcterms:created xsi:type="dcterms:W3CDTF">2024-01-14T22:39:00Z</dcterms:created>
  <dcterms:modified xsi:type="dcterms:W3CDTF">2024-01-14T22:39:00Z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A44125595</vt:lpwstr>
  </property>
  <property fmtid="{D5CDD505-2E9C-101B-9397-08002B2CF9AE}" pid="4" name="Objective-Title">
    <vt:lpwstr>Att C -  Water Available Explanatory Statement 2024</vt:lpwstr>
  </property>
  <property fmtid="{D5CDD505-2E9C-101B-9397-08002B2CF9AE}" pid="5" name="Objective-Comment">
    <vt:lpwstr/>
  </property>
  <property fmtid="{D5CDD505-2E9C-101B-9397-08002B2CF9AE}" pid="6" name="Objective-CreationStamp">
    <vt:filetime>2023-10-23T23:49:51Z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2024-01-14T22:32:04Z</vt:filetime>
  </property>
  <property fmtid="{D5CDD505-2E9C-101B-9397-08002B2CF9AE}" pid="10" name="Objective-ModificationStamp">
    <vt:filetime>2024-01-14T22:32:04Z</vt:filetime>
  </property>
  <property fmtid="{D5CDD505-2E9C-101B-9397-08002B2CF9AE}" pid="11" name="Objective-Owner">
    <vt:lpwstr>Georgianna Fien</vt:lpwstr>
  </property>
  <property fmtid="{D5CDD505-2E9C-101B-9397-08002B2CF9AE}" pid="12" name="Objective-Path">
    <vt:lpwstr>Whole of ACT Government:EPSDD - Environment Planning and Sustainable Development Directorate:07. Ministerial, Cabinet and Government Relations:06. Ministerials:z. 2013 - 2023 Ministerial and Chief Ministerial Correspondence:2023 - Ministerial and Chief Ministerial Briefs / Correspondence:Environment, Heritage and Water (And Conservator):23/127826 Ministerial-lnformation Brief  - Rattenbury - Water recovery - minor corrections to two Disallowable Instruments:</vt:lpwstr>
  </property>
  <property fmtid="{D5CDD505-2E9C-101B-9397-08002B2CF9AE}" pid="13" name="Objective-Parent">
    <vt:lpwstr>23/127826 Ministerial-lnformation Brief  - Rattenbury - Water recovery - minor corrections to two Disallowable Instruments</vt:lpwstr>
  </property>
  <property fmtid="{D5CDD505-2E9C-101B-9397-08002B2CF9AE}" pid="14" name="Objective-State">
    <vt:lpwstr>Published</vt:lpwstr>
  </property>
  <property fmtid="{D5CDD505-2E9C-101B-9397-08002B2CF9AE}" pid="15" name="Objective-Version">
    <vt:lpwstr>9.0</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1-2023/127826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EPSDD</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Objective-Division">
    <vt:lpwstr>Environment, Heritage and Water</vt:lpwstr>
  </property>
  <property fmtid="{D5CDD505-2E9C-101B-9397-08002B2CF9AE}" pid="33" name="Objective-Section">
    <vt:lpwstr>Water - Intergovernment and Governance</vt:lpwstr>
  </property>
  <property fmtid="{D5CDD505-2E9C-101B-9397-08002B2CF9AE}" pid="34" name="Objective-Officer">
    <vt:lpwstr>Georgianna Fien</vt:lpwstr>
  </property>
  <property fmtid="{D5CDD505-2E9C-101B-9397-08002B2CF9AE}" pid="35" name="Objective-Document Approved By">
    <vt:lpwstr/>
  </property>
  <property fmtid="{D5CDD505-2E9C-101B-9397-08002B2CF9AE}" pid="36" name="Objective-Home Agency">
    <vt:lpwstr>EPSDD</vt:lpwstr>
  </property>
  <property fmtid="{D5CDD505-2E9C-101B-9397-08002B2CF9AE}" pid="37" name="Objective-Description">
    <vt:lpwstr/>
  </property>
  <property fmtid="{D5CDD505-2E9C-101B-9397-08002B2CF9AE}" pid="38" name="Objective-VersionId">
    <vt:lpwstr>vA56540863</vt:lpwstr>
  </property>
</Properties>
</file>