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87B0"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E8B3BDD" w14:textId="6DDCD941" w:rsidR="00C17FAB" w:rsidRDefault="00067A86">
      <w:pPr>
        <w:pStyle w:val="Billname"/>
        <w:spacing w:before="700"/>
      </w:pPr>
      <w:r>
        <w:t>Financial Management (Insourcing Framework) Determination 202</w:t>
      </w:r>
      <w:r w:rsidR="004B5266">
        <w:t>4</w:t>
      </w:r>
      <w:r>
        <w:t xml:space="preserve"> (No 1)</w:t>
      </w:r>
    </w:p>
    <w:p w14:paraId="2E84475B" w14:textId="17355964" w:rsidR="00C17FAB" w:rsidRDefault="002D7C60" w:rsidP="00DA3B00">
      <w:pPr>
        <w:spacing w:before="340"/>
        <w:rPr>
          <w:rFonts w:ascii="Arial" w:hAnsi="Arial" w:cs="Arial"/>
          <w:b/>
          <w:bCs/>
        </w:rPr>
      </w:pPr>
      <w:r>
        <w:rPr>
          <w:rFonts w:ascii="Arial" w:hAnsi="Arial" w:cs="Arial"/>
          <w:b/>
          <w:bCs/>
        </w:rPr>
        <w:t>Disallowable instrument DI</w:t>
      </w:r>
      <w:r w:rsidR="00E82814">
        <w:rPr>
          <w:rFonts w:ascii="Arial" w:hAnsi="Arial" w:cs="Arial"/>
          <w:b/>
          <w:bCs/>
        </w:rPr>
        <w:t>2024</w:t>
      </w:r>
      <w:r w:rsidR="00C17FAB">
        <w:rPr>
          <w:rFonts w:ascii="Arial" w:hAnsi="Arial" w:cs="Arial"/>
          <w:b/>
          <w:bCs/>
        </w:rPr>
        <w:t>–</w:t>
      </w:r>
      <w:r w:rsidR="001212D9">
        <w:rPr>
          <w:rFonts w:ascii="Arial" w:hAnsi="Arial" w:cs="Arial"/>
          <w:b/>
          <w:bCs/>
        </w:rPr>
        <w:t>10</w:t>
      </w:r>
    </w:p>
    <w:p w14:paraId="23B23F22" w14:textId="77777777" w:rsidR="00C17FAB" w:rsidRDefault="00C17FAB" w:rsidP="00DA3B00">
      <w:pPr>
        <w:pStyle w:val="madeunder"/>
        <w:spacing w:before="300" w:after="0"/>
      </w:pPr>
      <w:r>
        <w:t xml:space="preserve">made under the  </w:t>
      </w:r>
    </w:p>
    <w:p w14:paraId="082CC35D" w14:textId="77777777" w:rsidR="00C17FAB" w:rsidRDefault="00067A86" w:rsidP="00DA3B00">
      <w:pPr>
        <w:pStyle w:val="CoverActName"/>
        <w:spacing w:before="320" w:after="0"/>
        <w:rPr>
          <w:rFonts w:cs="Arial"/>
          <w:sz w:val="20"/>
        </w:rPr>
      </w:pPr>
      <w:r>
        <w:rPr>
          <w:rFonts w:cs="Arial"/>
          <w:sz w:val="20"/>
        </w:rPr>
        <w:t>Financial Management Act 1996, s 128 (Insourcing Framework)</w:t>
      </w:r>
    </w:p>
    <w:p w14:paraId="384F6941"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985AB5E" w14:textId="77777777" w:rsidR="00C17FAB" w:rsidRDefault="00C17FAB">
      <w:pPr>
        <w:pStyle w:val="N-line3"/>
        <w:pBdr>
          <w:bottom w:val="none" w:sz="0" w:space="0" w:color="auto"/>
        </w:pBdr>
      </w:pPr>
    </w:p>
    <w:p w14:paraId="780C1D4C" w14:textId="77777777" w:rsidR="00C17FAB" w:rsidRDefault="00C17FAB">
      <w:pPr>
        <w:pStyle w:val="N-line3"/>
        <w:pBdr>
          <w:top w:val="single" w:sz="12" w:space="1" w:color="auto"/>
          <w:bottom w:val="none" w:sz="0" w:space="0" w:color="auto"/>
        </w:pBdr>
      </w:pPr>
    </w:p>
    <w:bookmarkEnd w:id="0"/>
    <w:p w14:paraId="03CCD8E2" w14:textId="4A98944E" w:rsidR="00C17FAB" w:rsidRPr="00FF0B5D" w:rsidRDefault="00010E27">
      <w:pPr>
        <w:rPr>
          <w:rFonts w:ascii="Arial" w:hAnsi="Arial" w:cs="Arial"/>
          <w:b/>
          <w:bCs/>
          <w:szCs w:val="24"/>
        </w:rPr>
      </w:pPr>
      <w:r w:rsidRPr="00FF0B5D">
        <w:rPr>
          <w:rFonts w:ascii="Arial" w:hAnsi="Arial" w:cs="Arial"/>
          <w:b/>
          <w:bCs/>
          <w:szCs w:val="24"/>
        </w:rPr>
        <w:t>Introduction</w:t>
      </w:r>
    </w:p>
    <w:p w14:paraId="16EC072F" w14:textId="0C13F2A0" w:rsidR="00010E27" w:rsidRDefault="00D724F7" w:rsidP="00FE7A54">
      <w:pPr>
        <w:pStyle w:val="NormalWeb"/>
        <w:shd w:val="clear" w:color="auto" w:fill="FFFFFF"/>
        <w:spacing w:before="120" w:beforeAutospacing="0" w:after="120" w:afterAutospacing="0" w:line="276" w:lineRule="atLeast"/>
        <w:rPr>
          <w:color w:val="000000"/>
        </w:rPr>
      </w:pPr>
      <w:r w:rsidRPr="00D724F7">
        <w:rPr>
          <w:color w:val="000000"/>
        </w:rPr>
        <w:t>This explanatory statement relates to the</w:t>
      </w:r>
      <w:r w:rsidR="00FE7A54">
        <w:rPr>
          <w:color w:val="000000"/>
        </w:rPr>
        <w:t xml:space="preserve"> </w:t>
      </w:r>
      <w:r w:rsidR="00FE7A54" w:rsidRPr="004B5266">
        <w:rPr>
          <w:i/>
          <w:iCs/>
          <w:color w:val="000000"/>
        </w:rPr>
        <w:t>Financial Management (Insourcing Framework) Determination 202</w:t>
      </w:r>
      <w:r w:rsidR="004B5266" w:rsidRPr="004B5266">
        <w:rPr>
          <w:i/>
          <w:iCs/>
          <w:color w:val="000000"/>
        </w:rPr>
        <w:t>4</w:t>
      </w:r>
      <w:r w:rsidR="00FE7A54" w:rsidRPr="004B5266">
        <w:rPr>
          <w:i/>
          <w:iCs/>
          <w:color w:val="000000"/>
        </w:rPr>
        <w:t xml:space="preserve"> (No 1)</w:t>
      </w:r>
      <w:r w:rsidR="00CA0DA2">
        <w:rPr>
          <w:color w:val="000000"/>
        </w:rPr>
        <w:t>.</w:t>
      </w:r>
    </w:p>
    <w:p w14:paraId="519EF3F3" w14:textId="6FE11C26" w:rsidR="00CA0DA2" w:rsidRDefault="00CA0DA2" w:rsidP="00FE7A54">
      <w:pPr>
        <w:pStyle w:val="NormalWeb"/>
        <w:shd w:val="clear" w:color="auto" w:fill="FFFFFF"/>
        <w:spacing w:before="120" w:beforeAutospacing="0" w:after="120" w:afterAutospacing="0" w:line="276" w:lineRule="atLeast"/>
        <w:rPr>
          <w:color w:val="000000"/>
        </w:rPr>
      </w:pPr>
      <w:r>
        <w:rPr>
          <w:color w:val="000000"/>
        </w:rPr>
        <w:t xml:space="preserve">The </w:t>
      </w:r>
      <w:r w:rsidRPr="003F1382">
        <w:rPr>
          <w:i/>
          <w:iCs/>
          <w:color w:val="000000"/>
        </w:rPr>
        <w:t>Financial Management Act 1996</w:t>
      </w:r>
      <w:r>
        <w:rPr>
          <w:color w:val="000000"/>
        </w:rPr>
        <w:t xml:space="preserve"> (the Act) requires public sector entities to comply with an </w:t>
      </w:r>
      <w:r w:rsidR="008C5DFA">
        <w:rPr>
          <w:color w:val="000000"/>
        </w:rPr>
        <w:t>I</w:t>
      </w:r>
      <w:r>
        <w:rPr>
          <w:color w:val="000000"/>
        </w:rPr>
        <w:t xml:space="preserve">nsourcing </w:t>
      </w:r>
      <w:r w:rsidR="008C5DFA">
        <w:rPr>
          <w:color w:val="000000"/>
        </w:rPr>
        <w:t>F</w:t>
      </w:r>
      <w:r>
        <w:rPr>
          <w:color w:val="000000"/>
        </w:rPr>
        <w:t xml:space="preserve">ramework determined by the Chief Minister.  The </w:t>
      </w:r>
      <w:r w:rsidR="008C5DFA">
        <w:rPr>
          <w:color w:val="000000"/>
        </w:rPr>
        <w:t>I</w:t>
      </w:r>
      <w:r>
        <w:rPr>
          <w:color w:val="000000"/>
        </w:rPr>
        <w:t xml:space="preserve">nsourcing </w:t>
      </w:r>
      <w:r w:rsidR="008C5DFA">
        <w:rPr>
          <w:color w:val="000000"/>
        </w:rPr>
        <w:t>F</w:t>
      </w:r>
      <w:r>
        <w:rPr>
          <w:color w:val="000000"/>
        </w:rPr>
        <w:t>ramework is a rubric that will assist public sector entities to determine the best provider of a service or works – the public sector or an external provider</w:t>
      </w:r>
      <w:r w:rsidR="003F1382">
        <w:rPr>
          <w:color w:val="000000"/>
        </w:rPr>
        <w:t xml:space="preserve"> – and delivers on ACT Government commitments to:</w:t>
      </w:r>
    </w:p>
    <w:p w14:paraId="79575472" w14:textId="6C25EA11" w:rsidR="003F1382" w:rsidRPr="003F1382" w:rsidRDefault="003F1382" w:rsidP="003F1382">
      <w:pPr>
        <w:pStyle w:val="NormalWeb"/>
        <w:numPr>
          <w:ilvl w:val="0"/>
          <w:numId w:val="11"/>
        </w:numPr>
        <w:shd w:val="clear" w:color="auto" w:fill="FFFFFF"/>
        <w:spacing w:before="120" w:beforeAutospacing="0" w:after="120" w:afterAutospacing="0" w:line="276" w:lineRule="atLeast"/>
        <w:rPr>
          <w:color w:val="000000"/>
        </w:rPr>
      </w:pPr>
      <w:r w:rsidRPr="003F1382">
        <w:rPr>
          <w:color w:val="000000"/>
        </w:rPr>
        <w:t>legislate to prevent the outsourcing or privatisation of public sector jobs; and</w:t>
      </w:r>
    </w:p>
    <w:p w14:paraId="264F91D3" w14:textId="7EED1FA7" w:rsidR="003F1382" w:rsidRPr="003F1382" w:rsidRDefault="003F1382" w:rsidP="003F1382">
      <w:pPr>
        <w:pStyle w:val="NormalWeb"/>
        <w:numPr>
          <w:ilvl w:val="0"/>
          <w:numId w:val="11"/>
        </w:numPr>
        <w:shd w:val="clear" w:color="auto" w:fill="FFFFFF"/>
        <w:spacing w:before="120" w:beforeAutospacing="0" w:after="120" w:afterAutospacing="0" w:line="276" w:lineRule="atLeast"/>
        <w:rPr>
          <w:color w:val="000000"/>
        </w:rPr>
      </w:pPr>
      <w:r w:rsidRPr="003F1382">
        <w:rPr>
          <w:color w:val="000000"/>
        </w:rPr>
        <w:t>implement a whole of government policy that government services will not be contracted out where they could be performed by public servants.</w:t>
      </w:r>
    </w:p>
    <w:p w14:paraId="00B36FAA" w14:textId="6C66696D" w:rsidR="00CA0DA2" w:rsidRPr="00D724F7" w:rsidRDefault="00CA0DA2" w:rsidP="00FE7A54">
      <w:pPr>
        <w:pStyle w:val="NormalWeb"/>
        <w:shd w:val="clear" w:color="auto" w:fill="FFFFFF"/>
        <w:spacing w:before="120" w:beforeAutospacing="0" w:after="120" w:afterAutospacing="0" w:line="276" w:lineRule="atLeast"/>
        <w:rPr>
          <w:color w:val="000000"/>
        </w:rPr>
      </w:pPr>
      <w:r>
        <w:rPr>
          <w:color w:val="000000"/>
        </w:rPr>
        <w:t xml:space="preserve">Section </w:t>
      </w:r>
      <w:r w:rsidR="003F1382">
        <w:rPr>
          <w:color w:val="000000"/>
        </w:rPr>
        <w:t>128</w:t>
      </w:r>
      <w:r>
        <w:rPr>
          <w:color w:val="000000"/>
        </w:rPr>
        <w:t xml:space="preserve"> of the Act provides that the </w:t>
      </w:r>
      <w:r w:rsidR="008C5DFA">
        <w:rPr>
          <w:color w:val="000000"/>
        </w:rPr>
        <w:t>I</w:t>
      </w:r>
      <w:r>
        <w:rPr>
          <w:color w:val="000000"/>
        </w:rPr>
        <w:t xml:space="preserve">nsourcing </w:t>
      </w:r>
      <w:r w:rsidR="008C5DFA">
        <w:rPr>
          <w:color w:val="000000"/>
        </w:rPr>
        <w:t>F</w:t>
      </w:r>
      <w:r>
        <w:rPr>
          <w:color w:val="000000"/>
        </w:rPr>
        <w:t xml:space="preserve">ramework will be a disallowable instrument.  </w:t>
      </w:r>
    </w:p>
    <w:p w14:paraId="7AEBD257" w14:textId="77777777" w:rsidR="00FF0B5D" w:rsidRPr="00FF0B5D" w:rsidRDefault="00FF0B5D">
      <w:pPr>
        <w:rPr>
          <w:rFonts w:ascii="Arial" w:hAnsi="Arial" w:cs="Arial"/>
          <w:b/>
          <w:bCs/>
          <w:szCs w:val="24"/>
        </w:rPr>
      </w:pPr>
    </w:p>
    <w:p w14:paraId="6B00331F" w14:textId="7E6D8E7E" w:rsidR="00FF0B5D" w:rsidRPr="00FF0B5D" w:rsidRDefault="00FF0B5D">
      <w:pPr>
        <w:rPr>
          <w:rFonts w:ascii="Arial" w:hAnsi="Arial" w:cs="Arial"/>
          <w:b/>
          <w:bCs/>
          <w:szCs w:val="24"/>
        </w:rPr>
      </w:pPr>
      <w:r w:rsidRPr="00FF0B5D">
        <w:rPr>
          <w:rFonts w:ascii="Arial" w:hAnsi="Arial" w:cs="Arial"/>
          <w:b/>
          <w:bCs/>
          <w:szCs w:val="24"/>
        </w:rPr>
        <w:t xml:space="preserve">Human </w:t>
      </w:r>
      <w:r w:rsidR="00FE7A54">
        <w:rPr>
          <w:rFonts w:ascii="Arial" w:hAnsi="Arial" w:cs="Arial"/>
          <w:b/>
          <w:bCs/>
          <w:szCs w:val="24"/>
        </w:rPr>
        <w:t>rights</w:t>
      </w:r>
    </w:p>
    <w:p w14:paraId="78CD90DE" w14:textId="59F01472" w:rsidR="00FF0B5D" w:rsidRPr="00453FFE" w:rsidRDefault="00FF0B5D" w:rsidP="00453FFE">
      <w:pPr>
        <w:pStyle w:val="NormalWeb"/>
        <w:shd w:val="clear" w:color="auto" w:fill="FFFFFF"/>
        <w:spacing w:before="120" w:beforeAutospacing="0" w:after="120" w:afterAutospacing="0" w:line="276" w:lineRule="atLeast"/>
        <w:rPr>
          <w:color w:val="000000"/>
        </w:rPr>
      </w:pPr>
      <w:r w:rsidRPr="00453FFE">
        <w:rPr>
          <w:color w:val="000000"/>
        </w:rPr>
        <w:t xml:space="preserve">The </w:t>
      </w:r>
      <w:r w:rsidR="003F1382">
        <w:rPr>
          <w:color w:val="000000"/>
        </w:rPr>
        <w:t>disallowable instrument</w:t>
      </w:r>
      <w:r w:rsidRPr="00453FFE">
        <w:rPr>
          <w:color w:val="000000"/>
        </w:rPr>
        <w:t xml:space="preserve"> may both promote and limit the right to work. The right to work is promoted by the Insourcing Framework’s aim of delivering secure work through formal employment in the ACT Public Service.</w:t>
      </w:r>
    </w:p>
    <w:p w14:paraId="013B9C59" w14:textId="2FE76A51" w:rsidR="00FF0B5D" w:rsidRPr="00453FFE" w:rsidRDefault="00FF0B5D" w:rsidP="00453FFE">
      <w:pPr>
        <w:pStyle w:val="NormalWeb"/>
        <w:shd w:val="clear" w:color="auto" w:fill="FFFFFF"/>
        <w:spacing w:before="120" w:beforeAutospacing="0" w:after="120" w:afterAutospacing="0" w:line="276" w:lineRule="atLeast"/>
        <w:rPr>
          <w:color w:val="000000"/>
        </w:rPr>
      </w:pPr>
      <w:r w:rsidRPr="00453FFE">
        <w:rPr>
          <w:color w:val="000000"/>
        </w:rPr>
        <w:t xml:space="preserve">The right to work may also be limited for some people outside of the ACT Public Service who would have previously engaged in contract or labour hire work through ACT Government procurement processes which outsource work. </w:t>
      </w:r>
      <w:r w:rsidR="008C5DFA">
        <w:rPr>
          <w:color w:val="000000"/>
        </w:rPr>
        <w:t xml:space="preserve"> </w:t>
      </w:r>
      <w:r w:rsidRPr="00453FFE">
        <w:rPr>
          <w:color w:val="000000"/>
        </w:rPr>
        <w:t>Any limitation of the right to work in this circumstance may be reasonably justified as promoting the legitimate aim of promoting secure and equal working conditions, and the measures are reasonable, necessary and proportionate to that aim as the legislation will allow for any workers previously benefiting from outsourcing to work within the ACT Public Service.</w:t>
      </w:r>
    </w:p>
    <w:p w14:paraId="1CDF29A8" w14:textId="77777777" w:rsidR="00FF0B5D" w:rsidRDefault="00FF0B5D">
      <w:pPr>
        <w:rPr>
          <w:rFonts w:ascii="Arial" w:hAnsi="Arial" w:cs="Arial"/>
          <w:b/>
          <w:bCs/>
          <w:szCs w:val="24"/>
        </w:rPr>
      </w:pPr>
    </w:p>
    <w:p w14:paraId="2F0A5268" w14:textId="77777777" w:rsidR="003F1382" w:rsidRDefault="003F1382">
      <w:pPr>
        <w:rPr>
          <w:rFonts w:ascii="Arial" w:hAnsi="Arial" w:cs="Arial"/>
          <w:b/>
          <w:bCs/>
          <w:szCs w:val="24"/>
        </w:rPr>
      </w:pPr>
    </w:p>
    <w:p w14:paraId="1D862FA9" w14:textId="77777777" w:rsidR="009C0DF5" w:rsidRPr="009C0DF5" w:rsidRDefault="009C0DF5">
      <w:pPr>
        <w:rPr>
          <w:rFonts w:ascii="Arial" w:hAnsi="Arial" w:cs="Arial"/>
          <w:b/>
          <w:bCs/>
          <w:szCs w:val="24"/>
        </w:rPr>
      </w:pPr>
      <w:r w:rsidRPr="009C0DF5">
        <w:rPr>
          <w:rFonts w:ascii="Arial" w:hAnsi="Arial" w:cs="Arial"/>
          <w:b/>
          <w:bCs/>
          <w:szCs w:val="24"/>
        </w:rPr>
        <w:lastRenderedPageBreak/>
        <w:t xml:space="preserve">Regulatory Impact Statement </w:t>
      </w:r>
    </w:p>
    <w:p w14:paraId="12F59B10" w14:textId="6F2F34B9" w:rsidR="009C0DF5" w:rsidRPr="009C0DF5" w:rsidRDefault="009C0DF5" w:rsidP="009C0DF5">
      <w:pPr>
        <w:pStyle w:val="NormalWeb"/>
        <w:shd w:val="clear" w:color="auto" w:fill="FFFFFF"/>
        <w:spacing w:before="120" w:beforeAutospacing="0" w:after="120" w:afterAutospacing="0" w:line="276" w:lineRule="atLeast"/>
        <w:rPr>
          <w:color w:val="000000"/>
        </w:rPr>
      </w:pPr>
      <w:r w:rsidRPr="009C0DF5">
        <w:rPr>
          <w:color w:val="000000"/>
        </w:rPr>
        <w:t xml:space="preserve">No regulatory impact statement has been prepared in accordance with section 34 of the </w:t>
      </w:r>
      <w:r w:rsidRPr="009C0DF5">
        <w:rPr>
          <w:i/>
          <w:iCs/>
          <w:color w:val="000000"/>
        </w:rPr>
        <w:t>Legislation Act 2001</w:t>
      </w:r>
      <w:r w:rsidRPr="009C0DF5">
        <w:rPr>
          <w:color w:val="000000"/>
        </w:rPr>
        <w:t xml:space="preserve"> as the disallowable instrument is not likely to impose appreciable costs on the community, or part of the community.</w:t>
      </w:r>
    </w:p>
    <w:p w14:paraId="08EBAC6C" w14:textId="77777777" w:rsidR="009C0DF5" w:rsidRPr="00FF0B5D" w:rsidRDefault="009C0DF5">
      <w:pPr>
        <w:rPr>
          <w:rFonts w:ascii="Arial" w:hAnsi="Arial" w:cs="Arial"/>
          <w:b/>
          <w:bCs/>
          <w:szCs w:val="24"/>
        </w:rPr>
      </w:pPr>
    </w:p>
    <w:p w14:paraId="17A2FECA" w14:textId="4B0AFE34" w:rsidR="00AE2B2C" w:rsidRPr="00FF0B5D" w:rsidRDefault="00FF0B5D">
      <w:pPr>
        <w:rPr>
          <w:rFonts w:ascii="Arial" w:hAnsi="Arial" w:cs="Arial"/>
          <w:b/>
          <w:bCs/>
          <w:szCs w:val="24"/>
        </w:rPr>
      </w:pPr>
      <w:r w:rsidRPr="00FF0B5D">
        <w:rPr>
          <w:rFonts w:ascii="Arial" w:hAnsi="Arial" w:cs="Arial"/>
          <w:b/>
          <w:bCs/>
          <w:szCs w:val="24"/>
        </w:rPr>
        <w:t>Clause Notes</w:t>
      </w:r>
    </w:p>
    <w:p w14:paraId="3A47C8FF" w14:textId="77777777" w:rsidR="00010E27" w:rsidRDefault="00010E27"/>
    <w:p w14:paraId="411596F8" w14:textId="2C2CF947" w:rsidR="00FF0B5D" w:rsidRPr="00453FFE" w:rsidRDefault="00FF0B5D">
      <w:pPr>
        <w:rPr>
          <w:rFonts w:ascii="Arial" w:hAnsi="Arial" w:cs="Arial"/>
          <w:b/>
          <w:bCs/>
          <w:szCs w:val="24"/>
        </w:rPr>
      </w:pPr>
      <w:r w:rsidRPr="00453FFE">
        <w:rPr>
          <w:rFonts w:ascii="Arial" w:hAnsi="Arial" w:cs="Arial"/>
          <w:b/>
          <w:bCs/>
          <w:szCs w:val="24"/>
        </w:rPr>
        <w:t>Clause 1 – Name of Instrument</w:t>
      </w:r>
    </w:p>
    <w:p w14:paraId="0871369D" w14:textId="5A9249A3" w:rsidR="00FF0B5D" w:rsidRPr="00453FFE" w:rsidRDefault="00FF0B5D" w:rsidP="00453FFE">
      <w:pPr>
        <w:pStyle w:val="NormalWeb"/>
        <w:shd w:val="clear" w:color="auto" w:fill="FFFFFF"/>
        <w:spacing w:before="120" w:beforeAutospacing="0" w:after="120" w:afterAutospacing="0" w:line="276" w:lineRule="atLeast"/>
        <w:jc w:val="both"/>
        <w:rPr>
          <w:color w:val="000000"/>
        </w:rPr>
      </w:pPr>
      <w:r w:rsidRPr="00453FFE">
        <w:rPr>
          <w:color w:val="000000"/>
        </w:rPr>
        <w:t>This clause names the instrument.</w:t>
      </w:r>
    </w:p>
    <w:p w14:paraId="1440029F" w14:textId="77777777" w:rsidR="00FF0B5D" w:rsidRPr="00453FFE" w:rsidRDefault="00FF0B5D">
      <w:pPr>
        <w:rPr>
          <w:rFonts w:ascii="Arial" w:hAnsi="Arial" w:cs="Arial"/>
          <w:b/>
          <w:bCs/>
          <w:szCs w:val="24"/>
        </w:rPr>
      </w:pPr>
    </w:p>
    <w:p w14:paraId="0C4B2E5E" w14:textId="3787A814" w:rsidR="00FF0B5D" w:rsidRPr="00453FFE" w:rsidRDefault="00453FFE">
      <w:pPr>
        <w:rPr>
          <w:rFonts w:ascii="Arial" w:hAnsi="Arial" w:cs="Arial"/>
          <w:b/>
          <w:bCs/>
          <w:szCs w:val="24"/>
        </w:rPr>
      </w:pPr>
      <w:r w:rsidRPr="00453FFE">
        <w:rPr>
          <w:rFonts w:ascii="Arial" w:hAnsi="Arial" w:cs="Arial"/>
          <w:b/>
          <w:bCs/>
          <w:szCs w:val="24"/>
        </w:rPr>
        <w:t>Clause 2 – Commencement</w:t>
      </w:r>
    </w:p>
    <w:p w14:paraId="704054B1" w14:textId="6B89720B" w:rsidR="00453FFE" w:rsidRPr="00CB1922" w:rsidRDefault="00CB1922">
      <w:pPr>
        <w:rPr>
          <w:color w:val="000000"/>
          <w:szCs w:val="24"/>
          <w:lang w:eastAsia="en-AU"/>
        </w:rPr>
      </w:pPr>
      <w:r w:rsidRPr="00CB1922">
        <w:rPr>
          <w:color w:val="000000"/>
          <w:szCs w:val="24"/>
          <w:lang w:eastAsia="en-AU"/>
        </w:rPr>
        <w:t>This clause provides for the commencement of the instrument.</w:t>
      </w:r>
      <w:r w:rsidR="008C5DFA">
        <w:rPr>
          <w:color w:val="000000"/>
          <w:szCs w:val="24"/>
          <w:lang w:eastAsia="en-AU"/>
        </w:rPr>
        <w:t xml:space="preserve">  </w:t>
      </w:r>
    </w:p>
    <w:p w14:paraId="42730D29" w14:textId="77777777" w:rsidR="00453FFE" w:rsidRPr="00453FFE" w:rsidRDefault="00453FFE">
      <w:pPr>
        <w:rPr>
          <w:rFonts w:ascii="Arial" w:hAnsi="Arial" w:cs="Arial"/>
          <w:b/>
          <w:bCs/>
          <w:szCs w:val="24"/>
        </w:rPr>
      </w:pPr>
    </w:p>
    <w:p w14:paraId="15019E55" w14:textId="6F4A559B" w:rsidR="00453FFE" w:rsidRDefault="00453FFE">
      <w:pPr>
        <w:rPr>
          <w:rFonts w:ascii="Arial" w:hAnsi="Arial" w:cs="Arial"/>
          <w:b/>
          <w:bCs/>
          <w:szCs w:val="24"/>
        </w:rPr>
      </w:pPr>
      <w:r w:rsidRPr="00453FFE">
        <w:rPr>
          <w:rFonts w:ascii="Arial" w:hAnsi="Arial" w:cs="Arial"/>
          <w:b/>
          <w:bCs/>
          <w:szCs w:val="24"/>
        </w:rPr>
        <w:t xml:space="preserve">Clause 3 – Determination of Insourcing Framework </w:t>
      </w:r>
    </w:p>
    <w:p w14:paraId="246999C9" w14:textId="70BB90D8" w:rsidR="00CB1922" w:rsidRPr="00CB1922" w:rsidRDefault="00CB1922">
      <w:pPr>
        <w:rPr>
          <w:color w:val="000000"/>
          <w:szCs w:val="24"/>
          <w:lang w:eastAsia="en-AU"/>
        </w:rPr>
      </w:pPr>
      <w:r w:rsidRPr="00CB1922">
        <w:rPr>
          <w:color w:val="000000"/>
          <w:szCs w:val="24"/>
          <w:lang w:eastAsia="en-AU"/>
        </w:rPr>
        <w:t xml:space="preserve">This clause provides for the establishment of the Insourcing Framework.  </w:t>
      </w:r>
    </w:p>
    <w:p w14:paraId="03C9F083" w14:textId="77777777" w:rsidR="00453FFE" w:rsidRPr="00453FFE" w:rsidRDefault="00453FFE">
      <w:pPr>
        <w:rPr>
          <w:rFonts w:ascii="Arial" w:hAnsi="Arial" w:cs="Arial"/>
          <w:b/>
          <w:bCs/>
          <w:szCs w:val="24"/>
        </w:rPr>
      </w:pPr>
    </w:p>
    <w:p w14:paraId="6282CAD6" w14:textId="057CCE48" w:rsidR="00453FFE" w:rsidRDefault="00453FFE">
      <w:pPr>
        <w:rPr>
          <w:rFonts w:ascii="Arial" w:hAnsi="Arial" w:cs="Arial"/>
          <w:b/>
          <w:bCs/>
          <w:szCs w:val="24"/>
        </w:rPr>
      </w:pPr>
      <w:r w:rsidRPr="00453FFE">
        <w:rPr>
          <w:rFonts w:ascii="Arial" w:hAnsi="Arial" w:cs="Arial"/>
          <w:b/>
          <w:bCs/>
          <w:szCs w:val="24"/>
        </w:rPr>
        <w:t>Schedule 1 – Determination of Insourcing Framework</w:t>
      </w:r>
    </w:p>
    <w:p w14:paraId="272DE114" w14:textId="1203A8A5" w:rsidR="00CB1922" w:rsidRDefault="00CB1922">
      <w:pPr>
        <w:rPr>
          <w:color w:val="000000"/>
          <w:szCs w:val="24"/>
          <w:lang w:eastAsia="en-AU"/>
        </w:rPr>
      </w:pPr>
      <w:r w:rsidRPr="00CB1922">
        <w:rPr>
          <w:color w:val="000000"/>
          <w:szCs w:val="24"/>
          <w:lang w:eastAsia="en-AU"/>
        </w:rPr>
        <w:t>This section provides for the features of the Insourcing Framework</w:t>
      </w:r>
      <w:r w:rsidR="008C5DFA">
        <w:rPr>
          <w:color w:val="000000"/>
          <w:szCs w:val="24"/>
          <w:lang w:eastAsia="en-AU"/>
        </w:rPr>
        <w:t>, including the assessment threshold, inclusion and exclusion criteria, and ministerial discretion</w:t>
      </w:r>
      <w:r w:rsidRPr="00CB1922">
        <w:rPr>
          <w:color w:val="000000"/>
          <w:szCs w:val="24"/>
          <w:lang w:eastAsia="en-AU"/>
        </w:rPr>
        <w:t xml:space="preserve">.  </w:t>
      </w:r>
    </w:p>
    <w:sectPr w:rsidR="00CB1922"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43F8" w14:textId="77777777" w:rsidR="00C17FAB" w:rsidRDefault="00C17FAB" w:rsidP="00C17FAB">
      <w:r>
        <w:separator/>
      </w:r>
    </w:p>
  </w:endnote>
  <w:endnote w:type="continuationSeparator" w:id="0">
    <w:p w14:paraId="782BB101"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D9D7"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C12" w14:textId="4CEB192F" w:rsidR="00DA3B00" w:rsidRPr="001409E8" w:rsidRDefault="001409E8" w:rsidP="001409E8">
    <w:pPr>
      <w:pStyle w:val="Footer"/>
      <w:jc w:val="center"/>
      <w:rPr>
        <w:rFonts w:cs="Arial"/>
        <w:sz w:val="14"/>
      </w:rPr>
    </w:pPr>
    <w:r w:rsidRPr="001409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FDA9"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1BB5" w14:textId="77777777" w:rsidR="00C17FAB" w:rsidRDefault="00C17FAB" w:rsidP="00C17FAB">
      <w:r>
        <w:separator/>
      </w:r>
    </w:p>
  </w:footnote>
  <w:footnote w:type="continuationSeparator" w:id="0">
    <w:p w14:paraId="729B6F9D"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6840"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DADC" w14:textId="041DDC86"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F737"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44C3B71"/>
    <w:multiLevelType w:val="multilevel"/>
    <w:tmpl w:val="4A8C2A8E"/>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1200"/>
        </w:tabs>
        <w:ind w:left="-1200" w:hanging="360"/>
      </w:pPr>
      <w:rPr>
        <w:rFonts w:ascii="Symbol" w:hAnsi="Symbol" w:hint="default"/>
        <w:sz w:val="20"/>
      </w:rPr>
    </w:lvl>
    <w:lvl w:ilvl="3" w:tentative="1">
      <w:start w:val="1"/>
      <w:numFmt w:val="bullet"/>
      <w:lvlText w:val=""/>
      <w:lvlJc w:val="left"/>
      <w:pPr>
        <w:tabs>
          <w:tab w:val="num" w:pos="-480"/>
        </w:tabs>
        <w:ind w:left="-480" w:hanging="360"/>
      </w:pPr>
      <w:rPr>
        <w:rFonts w:ascii="Symbol" w:hAnsi="Symbol" w:hint="default"/>
        <w:sz w:val="20"/>
      </w:rPr>
    </w:lvl>
    <w:lvl w:ilvl="4" w:tentative="1">
      <w:start w:val="1"/>
      <w:numFmt w:val="bullet"/>
      <w:lvlText w:val=""/>
      <w:lvlJc w:val="left"/>
      <w:pPr>
        <w:tabs>
          <w:tab w:val="num" w:pos="240"/>
        </w:tabs>
        <w:ind w:left="240" w:hanging="360"/>
      </w:pPr>
      <w:rPr>
        <w:rFonts w:ascii="Symbol" w:hAnsi="Symbol" w:hint="default"/>
        <w:sz w:val="20"/>
      </w:rPr>
    </w:lvl>
    <w:lvl w:ilvl="5" w:tentative="1">
      <w:start w:val="1"/>
      <w:numFmt w:val="bullet"/>
      <w:lvlText w:val=""/>
      <w:lvlJc w:val="left"/>
      <w:pPr>
        <w:tabs>
          <w:tab w:val="num" w:pos="960"/>
        </w:tabs>
        <w:ind w:left="960" w:hanging="360"/>
      </w:pPr>
      <w:rPr>
        <w:rFonts w:ascii="Symbol" w:hAnsi="Symbol" w:hint="default"/>
        <w:sz w:val="20"/>
      </w:rPr>
    </w:lvl>
    <w:lvl w:ilvl="6" w:tentative="1">
      <w:start w:val="1"/>
      <w:numFmt w:val="bullet"/>
      <w:lvlText w:val=""/>
      <w:lvlJc w:val="left"/>
      <w:pPr>
        <w:tabs>
          <w:tab w:val="num" w:pos="1680"/>
        </w:tabs>
        <w:ind w:left="1680" w:hanging="360"/>
      </w:pPr>
      <w:rPr>
        <w:rFonts w:ascii="Symbol" w:hAnsi="Symbol" w:hint="default"/>
        <w:sz w:val="20"/>
      </w:rPr>
    </w:lvl>
    <w:lvl w:ilvl="7" w:tentative="1">
      <w:start w:val="1"/>
      <w:numFmt w:val="bullet"/>
      <w:lvlText w:val=""/>
      <w:lvlJc w:val="left"/>
      <w:pPr>
        <w:tabs>
          <w:tab w:val="num" w:pos="2400"/>
        </w:tabs>
        <w:ind w:left="2400" w:hanging="360"/>
      </w:pPr>
      <w:rPr>
        <w:rFonts w:ascii="Symbol" w:hAnsi="Symbol" w:hint="default"/>
        <w:sz w:val="20"/>
      </w:rPr>
    </w:lvl>
    <w:lvl w:ilvl="8" w:tentative="1">
      <w:start w:val="1"/>
      <w:numFmt w:val="bullet"/>
      <w:lvlText w:val=""/>
      <w:lvlJc w:val="left"/>
      <w:pPr>
        <w:tabs>
          <w:tab w:val="num" w:pos="3120"/>
        </w:tabs>
        <w:ind w:left="3120" w:hanging="360"/>
      </w:pPr>
      <w:rPr>
        <w:rFonts w:ascii="Symbol" w:hAnsi="Symbol" w:hint="default"/>
        <w:sz w:val="20"/>
      </w:rPr>
    </w:lvl>
  </w:abstractNum>
  <w:abstractNum w:abstractNumId="8" w15:restartNumberingAfterBreak="0">
    <w:nsid w:val="568730E4"/>
    <w:multiLevelType w:val="hybridMultilevel"/>
    <w:tmpl w:val="C77C6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515415519">
    <w:abstractNumId w:val="2"/>
  </w:num>
  <w:num w:numId="2" w16cid:durableId="1661225712">
    <w:abstractNumId w:val="0"/>
  </w:num>
  <w:num w:numId="3" w16cid:durableId="1803842036">
    <w:abstractNumId w:val="3"/>
  </w:num>
  <w:num w:numId="4" w16cid:durableId="1561019623">
    <w:abstractNumId w:val="6"/>
  </w:num>
  <w:num w:numId="5" w16cid:durableId="637301345">
    <w:abstractNumId w:val="9"/>
  </w:num>
  <w:num w:numId="6" w16cid:durableId="1038700005">
    <w:abstractNumId w:val="1"/>
  </w:num>
  <w:num w:numId="7" w16cid:durableId="1447887732">
    <w:abstractNumId w:val="4"/>
  </w:num>
  <w:num w:numId="8" w16cid:durableId="752625492">
    <w:abstractNumId w:val="5"/>
  </w:num>
  <w:num w:numId="9" w16cid:durableId="1863352293">
    <w:abstractNumId w:val="10"/>
  </w:num>
  <w:num w:numId="10" w16cid:durableId="711154225">
    <w:abstractNumId w:val="7"/>
  </w:num>
  <w:num w:numId="11" w16cid:durableId="1743798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0E27"/>
    <w:rsid w:val="00067A86"/>
    <w:rsid w:val="00117A58"/>
    <w:rsid w:val="001212D9"/>
    <w:rsid w:val="001409E8"/>
    <w:rsid w:val="001858A6"/>
    <w:rsid w:val="002D7C60"/>
    <w:rsid w:val="003518CD"/>
    <w:rsid w:val="00386EB9"/>
    <w:rsid w:val="003F1382"/>
    <w:rsid w:val="00453FFE"/>
    <w:rsid w:val="004B5266"/>
    <w:rsid w:val="005F3D03"/>
    <w:rsid w:val="005F5749"/>
    <w:rsid w:val="007346AC"/>
    <w:rsid w:val="008C5DFA"/>
    <w:rsid w:val="009508A5"/>
    <w:rsid w:val="009C0DF5"/>
    <w:rsid w:val="00AE2B2C"/>
    <w:rsid w:val="00C17FAB"/>
    <w:rsid w:val="00CA0DA2"/>
    <w:rsid w:val="00CB1922"/>
    <w:rsid w:val="00CE599C"/>
    <w:rsid w:val="00D724F7"/>
    <w:rsid w:val="00DA3B00"/>
    <w:rsid w:val="00E82814"/>
    <w:rsid w:val="00EB0CC1"/>
    <w:rsid w:val="00F57C5F"/>
    <w:rsid w:val="00FD75CE"/>
    <w:rsid w:val="00FE7A54"/>
    <w:rsid w:val="00FF0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F49F4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FF0B5D"/>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2999">
      <w:bodyDiv w:val="1"/>
      <w:marLeft w:val="0"/>
      <w:marRight w:val="0"/>
      <w:marTop w:val="0"/>
      <w:marBottom w:val="0"/>
      <w:divBdr>
        <w:top w:val="none" w:sz="0" w:space="0" w:color="auto"/>
        <w:left w:val="none" w:sz="0" w:space="0" w:color="auto"/>
        <w:bottom w:val="none" w:sz="0" w:space="0" w:color="auto"/>
        <w:right w:val="none" w:sz="0" w:space="0" w:color="auto"/>
      </w:divBdr>
    </w:div>
    <w:div w:id="19037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2226</Characters>
  <Application>Microsoft Office Word</Application>
  <DocSecurity>0</DocSecurity>
  <Lines>56</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2024-01-17T04:17:00Z</dcterms:created>
  <dcterms:modified xsi:type="dcterms:W3CDTF">2024-01-17T04:17:00Z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11476920</vt:lpwstr>
  </property>
  <property fmtid="{D5CDD505-2E9C-101B-9397-08002B2CF9AE}" pid="4" name="JMSREQUIREDCHECKIN">
    <vt:lpwstr/>
  </property>
</Properties>
</file>