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E042" w14:textId="53EDAF88" w:rsidR="00C17FAB" w:rsidRDefault="00C17FAB">
      <w:pPr>
        <w:spacing w:before="120"/>
        <w:rPr>
          <w:rFonts w:ascii="Arial" w:hAnsi="Arial" w:cs="Arial"/>
        </w:rPr>
      </w:pPr>
      <w:bookmarkStart w:id="0" w:name="_Toc44738651"/>
      <w:r>
        <w:rPr>
          <w:rFonts w:ascii="Arial" w:hAnsi="Arial" w:cs="Arial"/>
        </w:rPr>
        <w:t>Australian Capital Territory</w:t>
      </w:r>
    </w:p>
    <w:p w14:paraId="2BCEFD53" w14:textId="77777777" w:rsidR="001E78C1" w:rsidRDefault="001E78C1">
      <w:pPr>
        <w:spacing w:before="120"/>
        <w:rPr>
          <w:rFonts w:ascii="Arial" w:hAnsi="Arial" w:cs="Arial"/>
        </w:rPr>
      </w:pPr>
    </w:p>
    <w:p w14:paraId="69A18486" w14:textId="5CB3B57A" w:rsidR="001E78C1" w:rsidRPr="001E78C1" w:rsidRDefault="001E78C1" w:rsidP="00DB0529">
      <w:pPr>
        <w:spacing w:before="240" w:after="120"/>
        <w:rPr>
          <w:rFonts w:ascii="Arial" w:hAnsi="Arial"/>
          <w:b/>
          <w:sz w:val="40"/>
        </w:rPr>
      </w:pPr>
      <w:r w:rsidRPr="001E78C1">
        <w:rPr>
          <w:rFonts w:ascii="Arial" w:hAnsi="Arial"/>
          <w:b/>
          <w:sz w:val="40"/>
        </w:rPr>
        <w:t>Electronic Conveyancing National Law (ACT) Participation Rules 202</w:t>
      </w:r>
      <w:r w:rsidR="00B965D2">
        <w:rPr>
          <w:rFonts w:ascii="Arial" w:hAnsi="Arial"/>
          <w:b/>
          <w:sz w:val="40"/>
        </w:rPr>
        <w:t>4</w:t>
      </w:r>
    </w:p>
    <w:p w14:paraId="2ECDAE8E" w14:textId="570B3A4A" w:rsidR="00C17FAB" w:rsidRDefault="002D7C60" w:rsidP="00DA3B00">
      <w:pPr>
        <w:spacing w:before="340"/>
        <w:rPr>
          <w:rFonts w:ascii="Arial" w:hAnsi="Arial" w:cs="Arial"/>
          <w:b/>
          <w:bCs/>
        </w:rPr>
      </w:pPr>
      <w:r>
        <w:rPr>
          <w:rFonts w:ascii="Arial" w:hAnsi="Arial" w:cs="Arial"/>
          <w:b/>
          <w:bCs/>
        </w:rPr>
        <w:t>Disallowable instrument DI</w:t>
      </w:r>
      <w:r w:rsidR="00E926A0">
        <w:rPr>
          <w:rFonts w:ascii="Arial" w:hAnsi="Arial" w:cs="Arial"/>
          <w:b/>
          <w:bCs/>
        </w:rPr>
        <w:t>202</w:t>
      </w:r>
      <w:r w:rsidR="00B965D2">
        <w:rPr>
          <w:rFonts w:ascii="Arial" w:hAnsi="Arial" w:cs="Arial"/>
          <w:b/>
          <w:bCs/>
        </w:rPr>
        <w:t>4</w:t>
      </w:r>
      <w:r w:rsidR="00C17FAB">
        <w:rPr>
          <w:rFonts w:ascii="Arial" w:hAnsi="Arial" w:cs="Arial"/>
          <w:b/>
          <w:bCs/>
        </w:rPr>
        <w:t>–</w:t>
      </w:r>
      <w:r w:rsidR="00186C24">
        <w:rPr>
          <w:rFonts w:ascii="Arial" w:hAnsi="Arial" w:cs="Arial"/>
          <w:b/>
          <w:bCs/>
        </w:rPr>
        <w:t>29</w:t>
      </w:r>
    </w:p>
    <w:p w14:paraId="23AE4EBC" w14:textId="77777777" w:rsidR="00C17FAB" w:rsidRDefault="00C17FAB" w:rsidP="00DA3B00">
      <w:pPr>
        <w:pStyle w:val="madeunder"/>
        <w:spacing w:before="300" w:after="0"/>
      </w:pPr>
      <w:r>
        <w:t xml:space="preserve">made under the  </w:t>
      </w:r>
    </w:p>
    <w:p w14:paraId="710F5145" w14:textId="3F5234B1" w:rsidR="00C17FAB" w:rsidRDefault="001E78C1" w:rsidP="00F0170D">
      <w:pPr>
        <w:pStyle w:val="CoverActName"/>
        <w:spacing w:before="320" w:after="0" w:line="276" w:lineRule="auto"/>
        <w:rPr>
          <w:rFonts w:cs="Arial"/>
          <w:sz w:val="20"/>
        </w:rPr>
      </w:pPr>
      <w:r w:rsidRPr="001E78C1">
        <w:rPr>
          <w:rFonts w:cs="Arial"/>
          <w:sz w:val="20"/>
        </w:rPr>
        <w:t>Electronic Conveyancing National Law (ACT), s 23 (Participation rules) and s25</w:t>
      </w:r>
      <w:r w:rsidR="004318DC" w:rsidRPr="004318DC">
        <w:rPr>
          <w:rFonts w:cs="Arial"/>
          <w:sz w:val="20"/>
        </w:rPr>
        <w:t>(1)</w:t>
      </w:r>
      <w:r>
        <w:rPr>
          <w:rFonts w:cs="Arial"/>
          <w:sz w:val="20"/>
        </w:rPr>
        <w:t xml:space="preserve"> </w:t>
      </w:r>
      <w:r w:rsidRPr="001E78C1">
        <w:rPr>
          <w:rFonts w:cs="Arial"/>
          <w:sz w:val="20"/>
        </w:rPr>
        <w:t>(Publication of operating requirements and participation rules)</w:t>
      </w:r>
    </w:p>
    <w:p w14:paraId="73ADAF2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924C148" w14:textId="77777777" w:rsidR="00C17FAB" w:rsidRDefault="00C17FAB">
      <w:pPr>
        <w:pStyle w:val="N-line3"/>
        <w:pBdr>
          <w:bottom w:val="none" w:sz="0" w:space="0" w:color="auto"/>
        </w:pBdr>
      </w:pPr>
    </w:p>
    <w:p w14:paraId="4217D2D4" w14:textId="77777777" w:rsidR="00C17FAB" w:rsidRDefault="00C17FAB">
      <w:pPr>
        <w:pStyle w:val="N-line3"/>
        <w:pBdr>
          <w:top w:val="single" w:sz="12" w:space="1" w:color="auto"/>
          <w:bottom w:val="none" w:sz="0" w:space="0" w:color="auto"/>
        </w:pBdr>
      </w:pPr>
    </w:p>
    <w:bookmarkEnd w:id="0"/>
    <w:p w14:paraId="507254D8" w14:textId="77777777" w:rsidR="00E926A0" w:rsidRDefault="00E926A0" w:rsidP="00E926A0">
      <w:pPr>
        <w:rPr>
          <w:b/>
        </w:rPr>
      </w:pPr>
      <w:r>
        <w:rPr>
          <w:b/>
        </w:rPr>
        <w:t>Overview</w:t>
      </w:r>
    </w:p>
    <w:p w14:paraId="4D2DC3F3" w14:textId="77777777" w:rsidR="00E926A0" w:rsidRDefault="00E926A0" w:rsidP="00E926A0">
      <w:pPr>
        <w:rPr>
          <w:b/>
        </w:rPr>
      </w:pPr>
    </w:p>
    <w:p w14:paraId="2CE25974" w14:textId="4DBDAA2F" w:rsidR="00F0170D" w:rsidRPr="00F0170D" w:rsidRDefault="00F0170D" w:rsidP="00F0170D">
      <w:pPr>
        <w:spacing w:after="200" w:line="276" w:lineRule="auto"/>
        <w:rPr>
          <w:rFonts w:eastAsia="Calibri"/>
          <w:szCs w:val="22"/>
        </w:rPr>
      </w:pPr>
      <w:r w:rsidRPr="00F0170D">
        <w:rPr>
          <w:rFonts w:eastAsia="Calibri"/>
          <w:szCs w:val="22"/>
        </w:rPr>
        <w:t xml:space="preserve">The purpose of this </w:t>
      </w:r>
      <w:r>
        <w:rPr>
          <w:rFonts w:eastAsia="Calibri"/>
          <w:szCs w:val="22"/>
        </w:rPr>
        <w:t>explanatory statement</w:t>
      </w:r>
      <w:r w:rsidRPr="00F0170D">
        <w:rPr>
          <w:rFonts w:eastAsia="Calibri"/>
          <w:szCs w:val="22"/>
        </w:rPr>
        <w:t xml:space="preserve"> is to </w:t>
      </w:r>
      <w:r w:rsidR="002C14D8">
        <w:rPr>
          <w:rFonts w:eastAsia="Calibri"/>
          <w:szCs w:val="22"/>
        </w:rPr>
        <w:t>describe</w:t>
      </w:r>
      <w:r>
        <w:rPr>
          <w:rFonts w:eastAsia="Calibri"/>
          <w:szCs w:val="22"/>
        </w:rPr>
        <w:t xml:space="preserve"> the</w:t>
      </w:r>
      <w:r w:rsidR="00A46C39">
        <w:rPr>
          <w:rFonts w:eastAsia="Calibri"/>
          <w:szCs w:val="22"/>
        </w:rPr>
        <w:t xml:space="preserve"> </w:t>
      </w:r>
      <w:r w:rsidR="00370725">
        <w:rPr>
          <w:rFonts w:eastAsia="Calibri"/>
          <w:szCs w:val="22"/>
        </w:rPr>
        <w:t>amendments</w:t>
      </w:r>
      <w:r w:rsidR="00A46C39">
        <w:rPr>
          <w:rFonts w:eastAsia="Calibri"/>
          <w:szCs w:val="22"/>
        </w:rPr>
        <w:t xml:space="preserve"> to the</w:t>
      </w:r>
      <w:r w:rsidRPr="00F0170D">
        <w:rPr>
          <w:rFonts w:eastAsia="Calibri"/>
          <w:szCs w:val="22"/>
        </w:rPr>
        <w:t xml:space="preserve"> Participation Rules for </w:t>
      </w:r>
      <w:r w:rsidR="001B280C">
        <w:rPr>
          <w:rFonts w:eastAsia="Calibri"/>
          <w:szCs w:val="22"/>
        </w:rPr>
        <w:t>s</w:t>
      </w:r>
      <w:r w:rsidRPr="00F0170D">
        <w:rPr>
          <w:rFonts w:eastAsia="Calibri"/>
          <w:szCs w:val="22"/>
        </w:rPr>
        <w:t xml:space="preserve">ubscribers to </w:t>
      </w:r>
      <w:r w:rsidR="001B280C">
        <w:rPr>
          <w:rFonts w:eastAsia="Calibri"/>
          <w:szCs w:val="22"/>
        </w:rPr>
        <w:t>a</w:t>
      </w:r>
      <w:r w:rsidR="00FE6AD7">
        <w:rPr>
          <w:rFonts w:eastAsia="Calibri"/>
          <w:szCs w:val="22"/>
        </w:rPr>
        <w:t>n</w:t>
      </w:r>
      <w:r w:rsidRPr="00F0170D">
        <w:rPr>
          <w:rFonts w:eastAsia="Calibri"/>
          <w:szCs w:val="22"/>
        </w:rPr>
        <w:t xml:space="preserve"> Electronic </w:t>
      </w:r>
      <w:proofErr w:type="spellStart"/>
      <w:r w:rsidRPr="00F0170D">
        <w:rPr>
          <w:rFonts w:eastAsia="Calibri"/>
          <w:szCs w:val="22"/>
        </w:rPr>
        <w:t>Lodgment</w:t>
      </w:r>
      <w:proofErr w:type="spellEnd"/>
      <w:r w:rsidRPr="00F0170D">
        <w:rPr>
          <w:rFonts w:eastAsia="Calibri"/>
          <w:szCs w:val="22"/>
        </w:rPr>
        <w:t xml:space="preserve"> Network</w:t>
      </w:r>
      <w:r w:rsidR="003B58C4">
        <w:rPr>
          <w:rFonts w:eastAsia="Calibri"/>
          <w:szCs w:val="22"/>
        </w:rPr>
        <w:t xml:space="preserve"> (ELN)</w:t>
      </w:r>
      <w:r w:rsidRPr="00F0170D">
        <w:rPr>
          <w:rFonts w:eastAsia="Calibri"/>
          <w:szCs w:val="22"/>
        </w:rPr>
        <w:t xml:space="preserve"> in the Australian Capital Territory.  The rules have been determined pursuant to section 23 of the </w:t>
      </w:r>
      <w:r w:rsidR="00C70A92" w:rsidRPr="00EC1A05">
        <w:rPr>
          <w:rFonts w:eastAsia="Calibri"/>
          <w:i/>
          <w:iCs/>
          <w:szCs w:val="22"/>
        </w:rPr>
        <w:t>Electronic Conveyancing National Law (ACT)</w:t>
      </w:r>
      <w:r w:rsidR="00C70A92">
        <w:rPr>
          <w:rFonts w:eastAsia="Calibri"/>
          <w:szCs w:val="22"/>
        </w:rPr>
        <w:t xml:space="preserve"> (ECNL)</w:t>
      </w:r>
      <w:r w:rsidR="00C70A92" w:rsidRPr="00F0170D">
        <w:rPr>
          <w:rFonts w:eastAsia="Calibri"/>
          <w:szCs w:val="22"/>
        </w:rPr>
        <w:t>.</w:t>
      </w:r>
      <w:r w:rsidR="00C70A92">
        <w:rPr>
          <w:rFonts w:eastAsia="Calibri"/>
          <w:szCs w:val="22"/>
        </w:rPr>
        <w:t xml:space="preserve"> Commencement complies with section 25(1)(b) of the </w:t>
      </w:r>
      <w:r w:rsidR="00C70A92" w:rsidRPr="00EC1A05">
        <w:rPr>
          <w:rFonts w:eastAsia="Calibri"/>
          <w:i/>
          <w:iCs/>
          <w:szCs w:val="22"/>
        </w:rPr>
        <w:t>ECNL</w:t>
      </w:r>
      <w:r w:rsidR="00C70A92">
        <w:rPr>
          <w:rFonts w:eastAsia="Calibri"/>
          <w:szCs w:val="22"/>
        </w:rPr>
        <w:t>.</w:t>
      </w:r>
    </w:p>
    <w:p w14:paraId="028E8884" w14:textId="64BFFB40" w:rsidR="00F0170D" w:rsidRPr="00F0170D" w:rsidRDefault="00F0170D" w:rsidP="00F0170D">
      <w:pPr>
        <w:spacing w:after="200" w:line="276" w:lineRule="auto"/>
        <w:rPr>
          <w:rFonts w:eastAsia="Calibri"/>
          <w:szCs w:val="22"/>
        </w:rPr>
      </w:pPr>
      <w:r w:rsidRPr="00F0170D">
        <w:rPr>
          <w:rFonts w:eastAsia="Calibri"/>
          <w:szCs w:val="22"/>
        </w:rPr>
        <w:t xml:space="preserve">The Participation Rules made by this instrument have adopted the Model Participation Rules Version </w:t>
      </w:r>
      <w:r w:rsidR="00B965D2" w:rsidRPr="00CA5FA8">
        <w:rPr>
          <w:rFonts w:eastAsia="Calibri"/>
          <w:szCs w:val="22"/>
        </w:rPr>
        <w:t>7</w:t>
      </w:r>
      <w:r w:rsidRPr="00F0170D">
        <w:rPr>
          <w:rFonts w:eastAsia="Calibri"/>
          <w:szCs w:val="22"/>
        </w:rPr>
        <w:t xml:space="preserve"> developed and approved by the Australian Registrars' National Electronic Conveyancing Council (ARNECC) in full. The Model Participation Rules have been determined by ARNECC for promulgation by each Registrar before coming into effect in that jurisdiction as Participation Rules.</w:t>
      </w:r>
    </w:p>
    <w:p w14:paraId="3117ED78" w14:textId="77777777" w:rsidR="00F0170D" w:rsidRPr="00F0170D" w:rsidRDefault="00F0170D" w:rsidP="00F0170D">
      <w:pPr>
        <w:spacing w:after="200" w:line="276" w:lineRule="auto"/>
        <w:rPr>
          <w:rFonts w:eastAsia="Calibri"/>
          <w:szCs w:val="22"/>
        </w:rPr>
      </w:pPr>
      <w:r w:rsidRPr="00F0170D">
        <w:rPr>
          <w:rFonts w:eastAsia="Calibri"/>
          <w:szCs w:val="22"/>
        </w:rPr>
        <w:t>The Participation Rules covers topics such as the eligibility criteria for subscribers, representations or warranties to be given by subscribers, suspension or termination of a subscriber’s access, client authorisations, obligations of subscribers to verify the identity of their client, certification of registry instruments, digital signatures and the retention of documents.</w:t>
      </w:r>
    </w:p>
    <w:p w14:paraId="2B3A9027" w14:textId="098AAD5C" w:rsidR="00E926A0" w:rsidRDefault="00F0170D" w:rsidP="00CA5FA8">
      <w:pPr>
        <w:spacing w:after="200" w:line="276" w:lineRule="auto"/>
      </w:pPr>
      <w:r w:rsidRPr="00F0170D">
        <w:rPr>
          <w:rFonts w:eastAsia="Calibri"/>
          <w:szCs w:val="22"/>
        </w:rPr>
        <w:t xml:space="preserve">Pursuant to section 36(1)(g) of the </w:t>
      </w:r>
      <w:r w:rsidRPr="00377D3A">
        <w:rPr>
          <w:rFonts w:eastAsia="Calibri"/>
          <w:i/>
          <w:iCs/>
          <w:szCs w:val="22"/>
        </w:rPr>
        <w:t>Legislation Act 2001</w:t>
      </w:r>
      <w:r w:rsidRPr="00F0170D">
        <w:rPr>
          <w:rFonts w:eastAsia="Calibri"/>
          <w:szCs w:val="22"/>
        </w:rPr>
        <w:t xml:space="preserve"> a regulatory impact statement is not required for these Participation Rules as they are part of a nationally uniform scheme of legislation.</w:t>
      </w:r>
    </w:p>
    <w:p w14:paraId="00B8F3DA" w14:textId="77777777" w:rsidR="00E926A0" w:rsidRDefault="00E926A0" w:rsidP="00E926A0">
      <w:pPr>
        <w:rPr>
          <w:b/>
        </w:rPr>
      </w:pPr>
      <w:r>
        <w:rPr>
          <w:b/>
        </w:rPr>
        <w:t xml:space="preserve">Human Rights </w:t>
      </w:r>
    </w:p>
    <w:p w14:paraId="526F90D7" w14:textId="77777777" w:rsidR="00E926A0" w:rsidRDefault="00E926A0" w:rsidP="00E926A0">
      <w:pPr>
        <w:rPr>
          <w:b/>
        </w:rPr>
      </w:pPr>
    </w:p>
    <w:p w14:paraId="014D7A91" w14:textId="7C4301E2" w:rsidR="002872F0" w:rsidRDefault="005558D5" w:rsidP="009C1B53">
      <w:pPr>
        <w:spacing w:line="276" w:lineRule="auto"/>
        <w:rPr>
          <w:rFonts w:eastAsia="Calibri"/>
          <w:szCs w:val="22"/>
        </w:rPr>
      </w:pPr>
      <w:r w:rsidRPr="00AE2290">
        <w:rPr>
          <w:rFonts w:eastAsia="Calibri"/>
          <w:szCs w:val="22"/>
        </w:rPr>
        <w:t xml:space="preserve">Section 12 of the </w:t>
      </w:r>
      <w:r w:rsidRPr="00AE2290">
        <w:rPr>
          <w:rFonts w:eastAsia="Calibri"/>
          <w:i/>
          <w:iCs/>
          <w:szCs w:val="22"/>
        </w:rPr>
        <w:t>Human Rights Act 2004</w:t>
      </w:r>
      <w:r w:rsidRPr="00AE2290">
        <w:rPr>
          <w:rFonts w:eastAsia="Calibri"/>
          <w:szCs w:val="22"/>
        </w:rPr>
        <w:t xml:space="preserve"> (HRA) provides that everyone has the right not to have his or her privacy, family, home or correspondence interfered with unlawfully or arbitrarily and not to have his or her reputation unlawfully attacked. The </w:t>
      </w:r>
      <w:r w:rsidRPr="00AE2290">
        <w:rPr>
          <w:rFonts w:eastAsia="Calibri"/>
          <w:szCs w:val="22"/>
        </w:rPr>
        <w:lastRenderedPageBreak/>
        <w:t>proposed disallowable instrument introduces</w:t>
      </w:r>
      <w:r w:rsidR="00B965D2">
        <w:rPr>
          <w:rFonts w:eastAsia="Calibri"/>
          <w:szCs w:val="22"/>
        </w:rPr>
        <w:t xml:space="preserve"> minor </w:t>
      </w:r>
      <w:r w:rsidRPr="00AE2290">
        <w:rPr>
          <w:rFonts w:eastAsia="Calibri"/>
          <w:szCs w:val="22"/>
        </w:rPr>
        <w:t xml:space="preserve">changes to the </w:t>
      </w:r>
      <w:r w:rsidR="00D41AEB" w:rsidRPr="00AE2290">
        <w:rPr>
          <w:rFonts w:eastAsia="Calibri"/>
          <w:szCs w:val="22"/>
        </w:rPr>
        <w:t>Participat</w:t>
      </w:r>
      <w:r w:rsidR="00654EE6">
        <w:rPr>
          <w:rFonts w:eastAsia="Calibri"/>
          <w:szCs w:val="22"/>
        </w:rPr>
        <w:t>ion</w:t>
      </w:r>
      <w:r w:rsidR="00D41AEB" w:rsidRPr="00AE2290">
        <w:rPr>
          <w:rFonts w:eastAsia="Calibri"/>
          <w:szCs w:val="22"/>
        </w:rPr>
        <w:t xml:space="preserve"> Rules</w:t>
      </w:r>
      <w:r w:rsidR="003B58C4" w:rsidRPr="00AE2290">
        <w:rPr>
          <w:rFonts w:eastAsia="Calibri"/>
          <w:szCs w:val="22"/>
        </w:rPr>
        <w:t xml:space="preserve"> for subscribers of the </w:t>
      </w:r>
      <w:r w:rsidRPr="00AE2290">
        <w:rPr>
          <w:rFonts w:eastAsia="Calibri"/>
          <w:szCs w:val="22"/>
        </w:rPr>
        <w:t>ELN</w:t>
      </w:r>
      <w:r w:rsidR="003B58C4" w:rsidRPr="00AE2290">
        <w:rPr>
          <w:rFonts w:eastAsia="Calibri"/>
          <w:szCs w:val="22"/>
        </w:rPr>
        <w:t xml:space="preserve"> in the Australian Capital Territory</w:t>
      </w:r>
      <w:r w:rsidR="00B965D2">
        <w:rPr>
          <w:rFonts w:eastAsia="Calibri"/>
          <w:szCs w:val="22"/>
        </w:rPr>
        <w:t xml:space="preserve"> that primarily relate to changes in the Model Operating Requirements Version 7 </w:t>
      </w:r>
      <w:r w:rsidR="00A8255E">
        <w:rPr>
          <w:rFonts w:eastAsia="Calibri"/>
          <w:szCs w:val="22"/>
        </w:rPr>
        <w:t>about</w:t>
      </w:r>
      <w:r w:rsidR="00B965D2">
        <w:rPr>
          <w:rFonts w:eastAsia="Calibri"/>
          <w:szCs w:val="22"/>
        </w:rPr>
        <w:t xml:space="preserve"> interoperability of ELNOs</w:t>
      </w:r>
      <w:r w:rsidRPr="00AE2290">
        <w:rPr>
          <w:rFonts w:eastAsia="Calibri"/>
          <w:szCs w:val="22"/>
        </w:rPr>
        <w:t>. As the ELN contain</w:t>
      </w:r>
      <w:r w:rsidR="003B58C4" w:rsidRPr="00AE2290">
        <w:rPr>
          <w:rFonts w:eastAsia="Calibri"/>
          <w:szCs w:val="22"/>
        </w:rPr>
        <w:t>s</w:t>
      </w:r>
      <w:r w:rsidRPr="00AE2290">
        <w:rPr>
          <w:rFonts w:eastAsia="Calibri"/>
          <w:szCs w:val="22"/>
        </w:rPr>
        <w:t xml:space="preserve"> </w:t>
      </w:r>
      <w:r w:rsidR="003B58C4" w:rsidRPr="00AE2290">
        <w:rPr>
          <w:rFonts w:eastAsia="Calibri"/>
          <w:szCs w:val="22"/>
        </w:rPr>
        <w:t xml:space="preserve">individual’s </w:t>
      </w:r>
      <w:r w:rsidRPr="00AE2290">
        <w:rPr>
          <w:rFonts w:eastAsia="Calibri"/>
          <w:szCs w:val="22"/>
        </w:rPr>
        <w:t>personal information for the purpose of lodging land title registry instruments and other documents, the</w:t>
      </w:r>
      <w:r w:rsidR="00FE6AD7">
        <w:rPr>
          <w:rFonts w:eastAsia="Calibri"/>
          <w:szCs w:val="22"/>
        </w:rPr>
        <w:t xml:space="preserve"> changes</w:t>
      </w:r>
      <w:r w:rsidR="001B280C">
        <w:rPr>
          <w:rFonts w:eastAsia="Calibri"/>
          <w:szCs w:val="22"/>
        </w:rPr>
        <w:t xml:space="preserve"> </w:t>
      </w:r>
      <w:r w:rsidRPr="00AE2290">
        <w:rPr>
          <w:rFonts w:eastAsia="Calibri"/>
          <w:szCs w:val="22"/>
        </w:rPr>
        <w:t xml:space="preserve">engage the right to privacy under section 12.   </w:t>
      </w:r>
    </w:p>
    <w:p w14:paraId="5DC963A4" w14:textId="77777777" w:rsidR="00F0170D" w:rsidRDefault="00F0170D" w:rsidP="00F0170D">
      <w:pPr>
        <w:rPr>
          <w:b/>
          <w:bCs/>
        </w:rPr>
      </w:pPr>
    </w:p>
    <w:p w14:paraId="42D69AE3" w14:textId="12006EE9" w:rsidR="00F0170D" w:rsidRDefault="00F0170D" w:rsidP="00F0170D">
      <w:pPr>
        <w:rPr>
          <w:b/>
          <w:bCs/>
        </w:rPr>
      </w:pPr>
      <w:r w:rsidRPr="0049086C">
        <w:rPr>
          <w:b/>
          <w:bCs/>
        </w:rPr>
        <w:t>Detail</w:t>
      </w:r>
    </w:p>
    <w:p w14:paraId="35AB9C70" w14:textId="77777777" w:rsidR="00F0170D" w:rsidRPr="0049086C" w:rsidRDefault="00F0170D" w:rsidP="00F0170D">
      <w:pPr>
        <w:rPr>
          <w:b/>
          <w:bCs/>
        </w:rPr>
      </w:pPr>
    </w:p>
    <w:p w14:paraId="61C6F956" w14:textId="09A10BB1" w:rsidR="00D24F61" w:rsidRDefault="00F0170D" w:rsidP="00D24F61">
      <w:pPr>
        <w:spacing w:after="200" w:line="276" w:lineRule="auto"/>
        <w:rPr>
          <w:rFonts w:eastAsia="Calibri"/>
          <w:szCs w:val="22"/>
        </w:rPr>
      </w:pPr>
      <w:r>
        <w:t xml:space="preserve">This Explanatory Statement deals with the </w:t>
      </w:r>
      <w:r w:rsidR="00AE4ED5">
        <w:t xml:space="preserve">changes in </w:t>
      </w:r>
      <w:r>
        <w:t xml:space="preserve">provisions of the Participation Rules in groups rather than </w:t>
      </w:r>
      <w:r w:rsidR="00C95E74">
        <w:t>Rule</w:t>
      </w:r>
      <w:r>
        <w:t>-by-</w:t>
      </w:r>
      <w:r w:rsidR="00C95E74">
        <w:t>Rule</w:t>
      </w:r>
      <w:r>
        <w:t>.  The Participation Rules are largely self-explanatory</w:t>
      </w:r>
      <w:r w:rsidR="00406AC9">
        <w:t xml:space="preserve"> and for the purposes of Version 7 are to be read alongside the more substantial changes to the Model Operating Requirements Version 7 which relate to the implementation of interoperability in 2025</w:t>
      </w:r>
      <w:r w:rsidR="001B280C">
        <w:t>. The</w:t>
      </w:r>
      <w:r w:rsidR="00FE6AD7">
        <w:t>se</w:t>
      </w:r>
      <w:r w:rsidR="001B280C">
        <w:t xml:space="preserve"> amendments will</w:t>
      </w:r>
      <w:r>
        <w:t xml:space="preserve"> be well understood by subscribers, particularly those who are already involved in electronic conveyancing in other jurisdictions. </w:t>
      </w:r>
      <w:bookmarkStart w:id="1" w:name="_Hlk66789513"/>
      <w:r w:rsidR="00D24F61" w:rsidRPr="00D24F61">
        <w:rPr>
          <w:rFonts w:eastAsia="Calibri"/>
          <w:szCs w:val="22"/>
        </w:rPr>
        <w:t xml:space="preserve">ARNECC </w:t>
      </w:r>
      <w:r w:rsidR="00D24F61">
        <w:rPr>
          <w:rFonts w:eastAsia="Calibri"/>
          <w:szCs w:val="22"/>
        </w:rPr>
        <w:t>will publish</w:t>
      </w:r>
      <w:r w:rsidR="00D24F61" w:rsidRPr="00D24F61">
        <w:rPr>
          <w:rFonts w:eastAsia="Calibri"/>
          <w:szCs w:val="22"/>
        </w:rPr>
        <w:t xml:space="preserve"> </w:t>
      </w:r>
      <w:r w:rsidR="0073107F">
        <w:rPr>
          <w:rFonts w:eastAsia="Calibri"/>
          <w:szCs w:val="22"/>
        </w:rPr>
        <w:t xml:space="preserve">updated </w:t>
      </w:r>
      <w:r w:rsidR="00D24F61" w:rsidRPr="00D24F61">
        <w:rPr>
          <w:rFonts w:eastAsia="Calibri"/>
          <w:szCs w:val="22"/>
        </w:rPr>
        <w:t xml:space="preserve">Guidance Notes on the Participation Rules </w:t>
      </w:r>
      <w:r w:rsidR="00D24F61">
        <w:rPr>
          <w:rFonts w:eastAsia="Calibri"/>
          <w:szCs w:val="22"/>
        </w:rPr>
        <w:t xml:space="preserve">on the ARNECC website </w:t>
      </w:r>
      <w:r w:rsidR="00D24F61" w:rsidRPr="00D24F61">
        <w:rPr>
          <w:rFonts w:eastAsia="Calibri"/>
          <w:szCs w:val="22"/>
        </w:rPr>
        <w:t xml:space="preserve">to assist </w:t>
      </w:r>
      <w:r w:rsidR="00D24F61">
        <w:rPr>
          <w:rFonts w:eastAsia="Calibri"/>
          <w:szCs w:val="22"/>
        </w:rPr>
        <w:t xml:space="preserve">subscribers in </w:t>
      </w:r>
      <w:r w:rsidR="00D24F61" w:rsidRPr="00D24F61">
        <w:rPr>
          <w:rFonts w:eastAsia="Calibri"/>
          <w:szCs w:val="22"/>
        </w:rPr>
        <w:t xml:space="preserve">understanding what is expected in complying with </w:t>
      </w:r>
      <w:bookmarkEnd w:id="1"/>
      <w:r w:rsidR="009D4CF4">
        <w:rPr>
          <w:rFonts w:eastAsia="Calibri"/>
          <w:szCs w:val="22"/>
        </w:rPr>
        <w:t xml:space="preserve">the </w:t>
      </w:r>
      <w:r w:rsidR="00A8255E">
        <w:rPr>
          <w:rFonts w:eastAsia="Calibri"/>
          <w:szCs w:val="22"/>
        </w:rPr>
        <w:t>R</w:t>
      </w:r>
      <w:r w:rsidR="009D4CF4">
        <w:rPr>
          <w:rFonts w:eastAsia="Calibri"/>
          <w:szCs w:val="22"/>
        </w:rPr>
        <w:t>ules.</w:t>
      </w:r>
    </w:p>
    <w:p w14:paraId="2469E49E" w14:textId="6EC8697C" w:rsidR="007F356E" w:rsidRPr="00F0170D" w:rsidRDefault="007F356E" w:rsidP="007F356E">
      <w:pPr>
        <w:spacing w:after="200" w:line="276" w:lineRule="auto"/>
        <w:rPr>
          <w:rFonts w:eastAsia="Calibri"/>
          <w:szCs w:val="22"/>
        </w:rPr>
      </w:pPr>
      <w:r w:rsidRPr="007F356E">
        <w:rPr>
          <w:rFonts w:eastAsia="Calibri"/>
          <w:szCs w:val="22"/>
        </w:rPr>
        <w:t>Unless otherwise defined in this document, each capitalised word has the meaning given to</w:t>
      </w:r>
      <w:r>
        <w:rPr>
          <w:rFonts w:eastAsia="Calibri"/>
          <w:szCs w:val="22"/>
        </w:rPr>
        <w:t xml:space="preserve"> </w:t>
      </w:r>
      <w:r w:rsidRPr="007F356E">
        <w:rPr>
          <w:rFonts w:eastAsia="Calibri"/>
          <w:szCs w:val="22"/>
        </w:rPr>
        <w:t xml:space="preserve">it in the </w:t>
      </w:r>
      <w:r>
        <w:rPr>
          <w:rFonts w:eastAsia="Calibri"/>
          <w:szCs w:val="22"/>
        </w:rPr>
        <w:t>Participation Rules</w:t>
      </w:r>
      <w:r w:rsidRPr="007F356E">
        <w:rPr>
          <w:rFonts w:eastAsia="Calibri"/>
          <w:szCs w:val="22"/>
        </w:rPr>
        <w:t>.</w:t>
      </w:r>
    </w:p>
    <w:p w14:paraId="196BE293" w14:textId="77777777" w:rsidR="0047692D" w:rsidRDefault="00406AC9" w:rsidP="00F0170D">
      <w:pPr>
        <w:spacing w:line="276" w:lineRule="auto"/>
        <w:rPr>
          <w:rFonts w:eastAsia="Calibri"/>
          <w:szCs w:val="22"/>
          <w:u w:val="single"/>
        </w:rPr>
      </w:pPr>
      <w:r w:rsidRPr="00A8255E">
        <w:rPr>
          <w:rFonts w:eastAsia="Calibri"/>
          <w:szCs w:val="22"/>
          <w:u w:val="single"/>
        </w:rPr>
        <w:t>ELNO Participation Agreements</w:t>
      </w:r>
    </w:p>
    <w:p w14:paraId="7430B09F" w14:textId="44B03ABD" w:rsidR="00406AC9" w:rsidRPr="0047692D" w:rsidRDefault="00406AC9" w:rsidP="00F0170D">
      <w:pPr>
        <w:spacing w:line="276" w:lineRule="auto"/>
        <w:rPr>
          <w:rFonts w:eastAsia="Calibri"/>
          <w:i/>
          <w:iCs/>
          <w:szCs w:val="22"/>
        </w:rPr>
      </w:pPr>
      <w:r w:rsidRPr="0047692D">
        <w:rPr>
          <w:rFonts w:eastAsia="Calibri"/>
          <w:i/>
          <w:iCs/>
          <w:szCs w:val="22"/>
        </w:rPr>
        <w:t>Participation Rule</w:t>
      </w:r>
      <w:r w:rsidR="00CA783F" w:rsidRPr="0047692D">
        <w:rPr>
          <w:rFonts w:eastAsia="Calibri"/>
          <w:i/>
          <w:iCs/>
          <w:szCs w:val="22"/>
        </w:rPr>
        <w:t>s</w:t>
      </w:r>
      <w:r w:rsidRPr="0047692D">
        <w:rPr>
          <w:rFonts w:eastAsia="Calibri"/>
          <w:i/>
          <w:iCs/>
          <w:szCs w:val="22"/>
        </w:rPr>
        <w:t xml:space="preserve"> 5.5,</w:t>
      </w:r>
      <w:r w:rsidR="00683C60" w:rsidRPr="0047692D">
        <w:rPr>
          <w:rFonts w:eastAsia="Calibri"/>
          <w:i/>
          <w:iCs/>
          <w:szCs w:val="22"/>
        </w:rPr>
        <w:t xml:space="preserve"> 7.1, 7.3, 7.8</w:t>
      </w:r>
      <w:r w:rsidR="00CA783F" w:rsidRPr="0047692D">
        <w:rPr>
          <w:rFonts w:eastAsia="Calibri"/>
          <w:i/>
          <w:iCs/>
          <w:szCs w:val="22"/>
        </w:rPr>
        <w:t>, and 10</w:t>
      </w:r>
    </w:p>
    <w:p w14:paraId="16EED694" w14:textId="11390BC8" w:rsidR="00406AC9" w:rsidRDefault="00406AC9" w:rsidP="00F0170D">
      <w:pPr>
        <w:spacing w:line="276" w:lineRule="auto"/>
        <w:rPr>
          <w:rFonts w:eastAsia="Calibri"/>
          <w:szCs w:val="22"/>
        </w:rPr>
      </w:pPr>
      <w:r>
        <w:rPr>
          <w:rFonts w:eastAsia="Calibri"/>
          <w:szCs w:val="22"/>
        </w:rPr>
        <w:t xml:space="preserve">The </w:t>
      </w:r>
      <w:r w:rsidR="0047692D">
        <w:rPr>
          <w:rFonts w:eastAsia="Calibri"/>
          <w:szCs w:val="22"/>
        </w:rPr>
        <w:t>changes</w:t>
      </w:r>
      <w:r>
        <w:rPr>
          <w:rFonts w:eastAsia="Calibri"/>
          <w:szCs w:val="22"/>
        </w:rPr>
        <w:t xml:space="preserve"> </w:t>
      </w:r>
      <w:r w:rsidR="00A8255E">
        <w:rPr>
          <w:rFonts w:eastAsia="Calibri"/>
          <w:szCs w:val="22"/>
        </w:rPr>
        <w:t xml:space="preserve">to </w:t>
      </w:r>
      <w:r>
        <w:rPr>
          <w:rFonts w:eastAsia="Calibri"/>
          <w:szCs w:val="22"/>
        </w:rPr>
        <w:t xml:space="preserve">these Rules </w:t>
      </w:r>
      <w:r w:rsidR="0047692D">
        <w:rPr>
          <w:rFonts w:eastAsia="Calibri"/>
          <w:szCs w:val="22"/>
        </w:rPr>
        <w:t xml:space="preserve">compels </w:t>
      </w:r>
      <w:r w:rsidR="001B280C">
        <w:rPr>
          <w:rFonts w:eastAsia="Calibri"/>
          <w:szCs w:val="22"/>
        </w:rPr>
        <w:t>s</w:t>
      </w:r>
      <w:r>
        <w:rPr>
          <w:rFonts w:eastAsia="Calibri"/>
          <w:szCs w:val="22"/>
        </w:rPr>
        <w:t>ubscriber</w:t>
      </w:r>
      <w:r w:rsidR="001B280C">
        <w:rPr>
          <w:rFonts w:eastAsia="Calibri"/>
          <w:szCs w:val="22"/>
        </w:rPr>
        <w:t>s</w:t>
      </w:r>
      <w:r>
        <w:rPr>
          <w:rFonts w:eastAsia="Calibri"/>
          <w:szCs w:val="22"/>
        </w:rPr>
        <w:t xml:space="preserve"> </w:t>
      </w:r>
      <w:r w:rsidR="0047692D">
        <w:rPr>
          <w:rFonts w:eastAsia="Calibri"/>
          <w:szCs w:val="22"/>
        </w:rPr>
        <w:t xml:space="preserve">to </w:t>
      </w:r>
      <w:r>
        <w:rPr>
          <w:rFonts w:eastAsia="Calibri"/>
          <w:szCs w:val="22"/>
        </w:rPr>
        <w:t>consider any Participation</w:t>
      </w:r>
      <w:r w:rsidR="00683C60">
        <w:rPr>
          <w:rFonts w:eastAsia="Calibri"/>
          <w:szCs w:val="22"/>
        </w:rPr>
        <w:t xml:space="preserve"> Agreement that may be entered into not just with the existing ELNO but also any other ELNO that it may have such an agreement with for the purposes of interoperation </w:t>
      </w:r>
      <w:r w:rsidR="00CA783F">
        <w:rPr>
          <w:rFonts w:eastAsia="Calibri"/>
          <w:szCs w:val="22"/>
        </w:rPr>
        <w:t>- in</w:t>
      </w:r>
      <w:r w:rsidR="00683C60">
        <w:rPr>
          <w:rFonts w:eastAsia="Calibri"/>
          <w:szCs w:val="22"/>
        </w:rPr>
        <w:t xml:space="preserve"> effect allowing for multiple Participation Agreements.</w:t>
      </w:r>
    </w:p>
    <w:p w14:paraId="7DC21BCE" w14:textId="77777777" w:rsidR="00CA783F" w:rsidRDefault="00CA783F" w:rsidP="00F0170D">
      <w:pPr>
        <w:spacing w:line="276" w:lineRule="auto"/>
        <w:rPr>
          <w:rFonts w:eastAsia="Calibri"/>
          <w:szCs w:val="22"/>
        </w:rPr>
      </w:pPr>
    </w:p>
    <w:p w14:paraId="1F341785" w14:textId="2396BDD5" w:rsidR="0047692D" w:rsidRDefault="0047692D" w:rsidP="00F0170D">
      <w:pPr>
        <w:spacing w:line="276" w:lineRule="auto"/>
        <w:rPr>
          <w:rFonts w:eastAsia="Calibri"/>
          <w:szCs w:val="22"/>
          <w:u w:val="single"/>
        </w:rPr>
      </w:pPr>
      <w:r>
        <w:rPr>
          <w:rFonts w:eastAsia="Calibri"/>
          <w:szCs w:val="22"/>
          <w:u w:val="single"/>
        </w:rPr>
        <w:t>Comprised Security Items</w:t>
      </w:r>
    </w:p>
    <w:p w14:paraId="7B3EC00E" w14:textId="4A183EF5" w:rsidR="00CA783F" w:rsidRPr="00A56A16" w:rsidRDefault="00CA783F" w:rsidP="00F0170D">
      <w:pPr>
        <w:spacing w:line="276" w:lineRule="auto"/>
        <w:rPr>
          <w:rFonts w:eastAsia="Calibri"/>
          <w:i/>
          <w:iCs/>
          <w:szCs w:val="22"/>
        </w:rPr>
      </w:pPr>
      <w:r w:rsidRPr="00A56A16">
        <w:rPr>
          <w:rFonts w:eastAsia="Calibri"/>
          <w:i/>
          <w:iCs/>
          <w:szCs w:val="22"/>
        </w:rPr>
        <w:t>Participation Rule 7.9</w:t>
      </w:r>
    </w:p>
    <w:p w14:paraId="48DA763E" w14:textId="2B0732A7" w:rsidR="00CA783F" w:rsidRDefault="00CA783F" w:rsidP="00F0170D">
      <w:pPr>
        <w:spacing w:line="276" w:lineRule="auto"/>
        <w:rPr>
          <w:rFonts w:eastAsia="Calibri"/>
          <w:szCs w:val="22"/>
        </w:rPr>
      </w:pPr>
      <w:r>
        <w:rPr>
          <w:rFonts w:eastAsia="Calibri"/>
          <w:szCs w:val="22"/>
        </w:rPr>
        <w:t xml:space="preserve">The amendment to this Rule extends the obligation of </w:t>
      </w:r>
      <w:r w:rsidR="007F356E">
        <w:rPr>
          <w:rFonts w:eastAsia="Calibri"/>
          <w:szCs w:val="22"/>
        </w:rPr>
        <w:t>S</w:t>
      </w:r>
      <w:r>
        <w:rPr>
          <w:rFonts w:eastAsia="Calibri"/>
          <w:szCs w:val="22"/>
        </w:rPr>
        <w:t xml:space="preserve">ubscribers to notify all participating ELNOs </w:t>
      </w:r>
      <w:r w:rsidRPr="00CA783F">
        <w:rPr>
          <w:rFonts w:eastAsia="Calibri"/>
          <w:szCs w:val="22"/>
        </w:rPr>
        <w:t xml:space="preserve">of the </w:t>
      </w:r>
      <w:r w:rsidR="002E376E">
        <w:rPr>
          <w:rFonts w:eastAsia="Calibri"/>
          <w:szCs w:val="22"/>
        </w:rPr>
        <w:t>s</w:t>
      </w:r>
      <w:r w:rsidRPr="00CA783F">
        <w:rPr>
          <w:rFonts w:eastAsia="Calibri"/>
          <w:szCs w:val="22"/>
        </w:rPr>
        <w:t xml:space="preserve">ecurity </w:t>
      </w:r>
      <w:r w:rsidR="002E376E">
        <w:rPr>
          <w:rFonts w:eastAsia="Calibri"/>
          <w:szCs w:val="22"/>
        </w:rPr>
        <w:t>i</w:t>
      </w:r>
      <w:r w:rsidR="002F0D03" w:rsidRPr="00CA783F">
        <w:rPr>
          <w:rFonts w:eastAsia="Calibri"/>
          <w:szCs w:val="22"/>
        </w:rPr>
        <w:t xml:space="preserve">tems </w:t>
      </w:r>
      <w:r w:rsidR="002F0D03">
        <w:rPr>
          <w:rFonts w:eastAsia="Calibri"/>
          <w:szCs w:val="22"/>
        </w:rPr>
        <w:t>if</w:t>
      </w:r>
      <w:r w:rsidRPr="00CA783F">
        <w:rPr>
          <w:rFonts w:eastAsia="Calibri"/>
          <w:szCs w:val="22"/>
        </w:rPr>
        <w:t xml:space="preserve"> any of its </w:t>
      </w:r>
      <w:r w:rsidR="007F356E">
        <w:rPr>
          <w:rFonts w:eastAsia="Calibri"/>
          <w:szCs w:val="22"/>
        </w:rPr>
        <w:t>U</w:t>
      </w:r>
      <w:r w:rsidRPr="00CA783F">
        <w:rPr>
          <w:rFonts w:eastAsia="Calibri"/>
          <w:szCs w:val="22"/>
        </w:rPr>
        <w:t xml:space="preserve">sers have been or are likely to be </w:t>
      </w:r>
      <w:r>
        <w:rPr>
          <w:rFonts w:eastAsia="Calibri"/>
          <w:szCs w:val="22"/>
        </w:rPr>
        <w:t>c</w:t>
      </w:r>
      <w:r w:rsidRPr="00CA783F">
        <w:rPr>
          <w:rFonts w:eastAsia="Calibri"/>
          <w:szCs w:val="22"/>
        </w:rPr>
        <w:t>ompromise</w:t>
      </w:r>
      <w:r>
        <w:rPr>
          <w:rFonts w:eastAsia="Calibri"/>
          <w:szCs w:val="22"/>
        </w:rPr>
        <w:t>d.</w:t>
      </w:r>
    </w:p>
    <w:p w14:paraId="095F2099" w14:textId="099222FC" w:rsidR="00165E95" w:rsidRDefault="00165E95" w:rsidP="003F4FA5">
      <w:pPr>
        <w:spacing w:line="276" w:lineRule="auto"/>
      </w:pPr>
      <w:bookmarkStart w:id="2" w:name="_Hlk68601144"/>
    </w:p>
    <w:p w14:paraId="4654D9CA" w14:textId="3A97AABF" w:rsidR="00165E95" w:rsidRPr="00165E95" w:rsidRDefault="00165E95" w:rsidP="003F4FA5">
      <w:pPr>
        <w:spacing w:line="276" w:lineRule="auto"/>
        <w:rPr>
          <w:u w:val="single"/>
        </w:rPr>
      </w:pPr>
      <w:r w:rsidRPr="00165E95">
        <w:rPr>
          <w:u w:val="single"/>
        </w:rPr>
        <w:t>Definitions</w:t>
      </w:r>
    </w:p>
    <w:p w14:paraId="6CB63815" w14:textId="47CDE914" w:rsidR="00CA783F" w:rsidRPr="00CA783F" w:rsidRDefault="0065784D" w:rsidP="00CA783F">
      <w:pPr>
        <w:spacing w:line="276" w:lineRule="auto"/>
        <w:rPr>
          <w:bCs/>
          <w:u w:val="single"/>
        </w:rPr>
      </w:pPr>
      <w:r>
        <w:t>Amendments</w:t>
      </w:r>
      <w:r w:rsidR="00CA783F">
        <w:t xml:space="preserve"> and </w:t>
      </w:r>
      <w:r w:rsidR="002F0D03">
        <w:t>insertions have</w:t>
      </w:r>
      <w:r>
        <w:t xml:space="preserve"> been made to the d</w:t>
      </w:r>
      <w:r w:rsidR="00F34B3E">
        <w:t>efinition</w:t>
      </w:r>
      <w:r w:rsidR="00CA783F">
        <w:t>s to include the below:</w:t>
      </w:r>
    </w:p>
    <w:p w14:paraId="16098878" w14:textId="77777777" w:rsidR="00CA783F" w:rsidRDefault="00CA783F" w:rsidP="00CA783F">
      <w:pPr>
        <w:spacing w:line="276" w:lineRule="auto"/>
        <w:rPr>
          <w:bCs/>
          <w:u w:val="single"/>
        </w:rPr>
      </w:pPr>
    </w:p>
    <w:p w14:paraId="597E2BFC" w14:textId="4C1E73D3" w:rsidR="00E94505" w:rsidRPr="001B280C" w:rsidRDefault="00E94505" w:rsidP="00CA783F">
      <w:pPr>
        <w:spacing w:line="276" w:lineRule="auto"/>
        <w:rPr>
          <w:b/>
          <w:bCs/>
        </w:rPr>
      </w:pPr>
      <w:r w:rsidRPr="001B280C">
        <w:rPr>
          <w:b/>
          <w:bCs/>
        </w:rPr>
        <w:t>Interoperability</w:t>
      </w:r>
      <w:r w:rsidR="001B280C" w:rsidRPr="001B280C">
        <w:rPr>
          <w:b/>
          <w:bCs/>
        </w:rPr>
        <w:t xml:space="preserve"> </w:t>
      </w:r>
      <w:r w:rsidRPr="001B280C">
        <w:t>has the meaning given to it in the ECNL</w:t>
      </w:r>
      <w:r w:rsidRPr="001B280C">
        <w:rPr>
          <w:b/>
          <w:bCs/>
        </w:rPr>
        <w:t xml:space="preserve">.  </w:t>
      </w:r>
    </w:p>
    <w:p w14:paraId="1E8DC2AB" w14:textId="77777777" w:rsidR="00E94505" w:rsidRDefault="00E94505" w:rsidP="00CA783F">
      <w:pPr>
        <w:spacing w:line="276" w:lineRule="auto"/>
        <w:rPr>
          <w:b/>
          <w:bCs/>
          <w:u w:val="single"/>
        </w:rPr>
      </w:pPr>
    </w:p>
    <w:p w14:paraId="289C30C4" w14:textId="4E15348C" w:rsidR="00CA783F" w:rsidRDefault="00CA783F" w:rsidP="00CA783F">
      <w:pPr>
        <w:spacing w:line="276" w:lineRule="auto"/>
      </w:pPr>
      <w:r w:rsidRPr="001B280C">
        <w:rPr>
          <w:b/>
          <w:bCs/>
        </w:rPr>
        <w:t>Interoperable Electronic Workspace</w:t>
      </w:r>
      <w:r w:rsidRPr="001B280C">
        <w:t xml:space="preserve"> </w:t>
      </w:r>
      <w:r w:rsidRPr="00A8255E">
        <w:t xml:space="preserve">means an Electronic Workspace generated by an ELN and containing at least one Interoperable </w:t>
      </w:r>
      <w:proofErr w:type="spellStart"/>
      <w:r w:rsidRPr="00A8255E">
        <w:t>Lodgment</w:t>
      </w:r>
      <w:proofErr w:type="spellEnd"/>
      <w:r w:rsidRPr="00A8255E">
        <w:t xml:space="preserve"> Case.</w:t>
      </w:r>
      <w:r w:rsidRPr="00CA783F">
        <w:t> </w:t>
      </w:r>
    </w:p>
    <w:p w14:paraId="1F8071CD" w14:textId="77777777" w:rsidR="00E94505" w:rsidRPr="00CA783F" w:rsidRDefault="00E94505" w:rsidP="00CA783F">
      <w:pPr>
        <w:spacing w:line="276" w:lineRule="auto"/>
      </w:pPr>
    </w:p>
    <w:p w14:paraId="0B07853B" w14:textId="77777777" w:rsidR="00CA783F" w:rsidRPr="001B280C" w:rsidRDefault="00CA783F" w:rsidP="00CA783F">
      <w:pPr>
        <w:spacing w:line="276" w:lineRule="auto"/>
      </w:pPr>
      <w:r w:rsidRPr="001B280C">
        <w:rPr>
          <w:b/>
          <w:bCs/>
        </w:rPr>
        <w:t xml:space="preserve">Interoperable </w:t>
      </w:r>
      <w:proofErr w:type="spellStart"/>
      <w:r w:rsidRPr="001B280C">
        <w:rPr>
          <w:b/>
          <w:bCs/>
        </w:rPr>
        <w:t>Lodgment</w:t>
      </w:r>
      <w:proofErr w:type="spellEnd"/>
      <w:r w:rsidRPr="001B280C">
        <w:rPr>
          <w:b/>
          <w:bCs/>
        </w:rPr>
        <w:t xml:space="preserve"> Case </w:t>
      </w:r>
      <w:r w:rsidRPr="001B280C">
        <w:t xml:space="preserve">means an electronic Registry Instrument or other electronic Document or related electronic Registry Instruments or other electronic </w:t>
      </w:r>
      <w:r w:rsidRPr="001B280C">
        <w:lastRenderedPageBreak/>
        <w:t xml:space="preserve">Documents, conducted by means of Interoperability, which are or will be presented for </w:t>
      </w:r>
      <w:proofErr w:type="spellStart"/>
      <w:r w:rsidRPr="001B280C">
        <w:t>Lodgment</w:t>
      </w:r>
      <w:proofErr w:type="spellEnd"/>
      <w:r w:rsidRPr="001B280C">
        <w:t xml:space="preserve"> at the same time, together with the relevant </w:t>
      </w:r>
      <w:proofErr w:type="spellStart"/>
      <w:r w:rsidRPr="001B280C">
        <w:t>Lodgment</w:t>
      </w:r>
      <w:proofErr w:type="spellEnd"/>
      <w:r w:rsidRPr="001B280C">
        <w:t xml:space="preserve"> instructions. </w:t>
      </w:r>
    </w:p>
    <w:p w14:paraId="2E2ED4F3" w14:textId="77777777" w:rsidR="00E94505" w:rsidRDefault="00E94505" w:rsidP="00CA783F">
      <w:pPr>
        <w:spacing w:line="276" w:lineRule="auto"/>
      </w:pPr>
    </w:p>
    <w:p w14:paraId="4225DB41" w14:textId="566A29A3" w:rsidR="00E94505" w:rsidRPr="00CA783F" w:rsidRDefault="00E94505" w:rsidP="00CA783F">
      <w:pPr>
        <w:spacing w:line="276" w:lineRule="auto"/>
      </w:pPr>
      <w:r>
        <w:t>As above, these amendments relate to</w:t>
      </w:r>
      <w:r w:rsidRPr="00E94505">
        <w:t xml:space="preserve"> and should be read in conjunction with</w:t>
      </w:r>
      <w:r>
        <w:t xml:space="preserve"> the amendments in the Model Operating Requirements</w:t>
      </w:r>
      <w:r w:rsidR="002F0D03">
        <w:t xml:space="preserve"> and the</w:t>
      </w:r>
      <w:r w:rsidR="002F0D03" w:rsidRPr="002F0D03">
        <w:rPr>
          <w:rFonts w:eastAsia="Calibri"/>
          <w:szCs w:val="22"/>
        </w:rPr>
        <w:t xml:space="preserve"> </w:t>
      </w:r>
      <w:r w:rsidR="002F0D03" w:rsidRPr="002F0D03">
        <w:t>Guidance Notes on the Participation Rules</w:t>
      </w:r>
      <w:r w:rsidR="002F0D03">
        <w:t xml:space="preserve"> once published </w:t>
      </w:r>
      <w:r>
        <w:t xml:space="preserve">. </w:t>
      </w:r>
    </w:p>
    <w:p w14:paraId="6C02B8DC" w14:textId="77777777" w:rsidR="00F34B3E" w:rsidRDefault="00F34B3E" w:rsidP="003F4FA5">
      <w:pPr>
        <w:spacing w:line="276" w:lineRule="auto"/>
      </w:pPr>
    </w:p>
    <w:bookmarkEnd w:id="2"/>
    <w:p w14:paraId="677E462A" w14:textId="6B9E834F" w:rsidR="00165E95" w:rsidRDefault="00F34B3E" w:rsidP="003F4FA5">
      <w:pPr>
        <w:spacing w:line="276" w:lineRule="auto"/>
      </w:pPr>
      <w:r>
        <w:t>Other d</w:t>
      </w:r>
      <w:r w:rsidR="00165E95">
        <w:t xml:space="preserve">efinitions </w:t>
      </w:r>
      <w:r w:rsidR="00F413B0">
        <w:t xml:space="preserve">adjusted </w:t>
      </w:r>
      <w:r w:rsidR="00165E95">
        <w:t>as appropriate to reflect the amendments.</w:t>
      </w:r>
    </w:p>
    <w:p w14:paraId="4EBB4151" w14:textId="20935BC1" w:rsidR="003F4FA5" w:rsidRDefault="003F4FA5" w:rsidP="003F4FA5">
      <w:pPr>
        <w:spacing w:line="276" w:lineRule="auto"/>
      </w:pPr>
    </w:p>
    <w:p w14:paraId="5033BBED" w14:textId="77777777" w:rsidR="003F4FA5" w:rsidRDefault="003F4FA5" w:rsidP="003F4FA5">
      <w:pPr>
        <w:spacing w:line="276" w:lineRule="auto"/>
      </w:pPr>
    </w:p>
    <w:sectPr w:rsidR="003F4FA5" w:rsidSect="007346A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5445" w14:textId="77777777" w:rsidR="00055C9B" w:rsidRDefault="00055C9B" w:rsidP="00C17FAB">
      <w:r>
        <w:separator/>
      </w:r>
    </w:p>
  </w:endnote>
  <w:endnote w:type="continuationSeparator" w:id="0">
    <w:p w14:paraId="0F63E78A" w14:textId="77777777" w:rsidR="00055C9B" w:rsidRDefault="00055C9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46E8" w14:textId="77777777" w:rsidR="00774C14" w:rsidRDefault="00774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4ABF" w14:textId="2F5C9813" w:rsidR="00DA3B00" w:rsidRPr="00774C14" w:rsidRDefault="00774C14" w:rsidP="00774C14">
    <w:pPr>
      <w:pStyle w:val="Footer"/>
      <w:jc w:val="center"/>
      <w:rPr>
        <w:rFonts w:cs="Arial"/>
        <w:sz w:val="14"/>
      </w:rPr>
    </w:pPr>
    <w:r w:rsidRPr="00774C1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805E" w14:textId="77777777" w:rsidR="00774C14" w:rsidRDefault="00774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5F01" w14:textId="77777777" w:rsidR="00055C9B" w:rsidRDefault="00055C9B" w:rsidP="00C17FAB">
      <w:r>
        <w:separator/>
      </w:r>
    </w:p>
  </w:footnote>
  <w:footnote w:type="continuationSeparator" w:id="0">
    <w:p w14:paraId="798C1FFA" w14:textId="77777777" w:rsidR="00055C9B" w:rsidRDefault="00055C9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54B3" w14:textId="77777777" w:rsidR="00774C14" w:rsidRDefault="00774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41EC" w14:textId="77777777" w:rsidR="00774C14" w:rsidRDefault="00774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873D" w14:textId="77777777" w:rsidR="00774C14" w:rsidRDefault="00774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BE72BE"/>
    <w:multiLevelType w:val="hybridMultilevel"/>
    <w:tmpl w:val="F8962A34"/>
    <w:lvl w:ilvl="0" w:tplc="FB988EA6">
      <w:start w:val="12"/>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850159C"/>
    <w:multiLevelType w:val="hybridMultilevel"/>
    <w:tmpl w:val="E8D00B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749843609">
    <w:abstractNumId w:val="2"/>
  </w:num>
  <w:num w:numId="2" w16cid:durableId="1114251003">
    <w:abstractNumId w:val="0"/>
  </w:num>
  <w:num w:numId="3" w16cid:durableId="2116823280">
    <w:abstractNumId w:val="3"/>
  </w:num>
  <w:num w:numId="4" w16cid:durableId="1690133583">
    <w:abstractNumId w:val="8"/>
  </w:num>
  <w:num w:numId="5" w16cid:durableId="976378526">
    <w:abstractNumId w:val="10"/>
  </w:num>
  <w:num w:numId="6" w16cid:durableId="122819581">
    <w:abstractNumId w:val="1"/>
  </w:num>
  <w:num w:numId="7" w16cid:durableId="1055741273">
    <w:abstractNumId w:val="6"/>
  </w:num>
  <w:num w:numId="8" w16cid:durableId="1844973464">
    <w:abstractNumId w:val="7"/>
  </w:num>
  <w:num w:numId="9" w16cid:durableId="1042560882">
    <w:abstractNumId w:val="11"/>
  </w:num>
  <w:num w:numId="10" w16cid:durableId="312220274">
    <w:abstractNumId w:val="9"/>
  </w:num>
  <w:num w:numId="11" w16cid:durableId="1166164646">
    <w:abstractNumId w:val="4"/>
  </w:num>
  <w:num w:numId="12" w16cid:durableId="2041543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55C9B"/>
    <w:rsid w:val="000A196D"/>
    <w:rsid w:val="000C7335"/>
    <w:rsid w:val="000E7E3D"/>
    <w:rsid w:val="00102D22"/>
    <w:rsid w:val="00165E95"/>
    <w:rsid w:val="00186C24"/>
    <w:rsid w:val="001A5FA1"/>
    <w:rsid w:val="001B280C"/>
    <w:rsid w:val="001C1061"/>
    <w:rsid w:val="001E78C1"/>
    <w:rsid w:val="00200C90"/>
    <w:rsid w:val="00246EB1"/>
    <w:rsid w:val="002865B5"/>
    <w:rsid w:val="002872F0"/>
    <w:rsid w:val="002C14D8"/>
    <w:rsid w:val="002C4FE2"/>
    <w:rsid w:val="002D5184"/>
    <w:rsid w:val="002D7C60"/>
    <w:rsid w:val="002E376E"/>
    <w:rsid w:val="002E7ACF"/>
    <w:rsid w:val="002F0D03"/>
    <w:rsid w:val="00316E47"/>
    <w:rsid w:val="0035294B"/>
    <w:rsid w:val="00370725"/>
    <w:rsid w:val="00377D3A"/>
    <w:rsid w:val="003B58C4"/>
    <w:rsid w:val="003F45EE"/>
    <w:rsid w:val="003F4FA5"/>
    <w:rsid w:val="00406AC9"/>
    <w:rsid w:val="004157E0"/>
    <w:rsid w:val="0042422E"/>
    <w:rsid w:val="004318DC"/>
    <w:rsid w:val="004416C9"/>
    <w:rsid w:val="0047692D"/>
    <w:rsid w:val="005558D5"/>
    <w:rsid w:val="00556AFA"/>
    <w:rsid w:val="00643855"/>
    <w:rsid w:val="00654EE6"/>
    <w:rsid w:val="0065784D"/>
    <w:rsid w:val="006814BD"/>
    <w:rsid w:val="00683C60"/>
    <w:rsid w:val="006D7B31"/>
    <w:rsid w:val="00717E8C"/>
    <w:rsid w:val="00723D30"/>
    <w:rsid w:val="0073107F"/>
    <w:rsid w:val="007346AC"/>
    <w:rsid w:val="007620B5"/>
    <w:rsid w:val="00774C14"/>
    <w:rsid w:val="007800B1"/>
    <w:rsid w:val="007D36C8"/>
    <w:rsid w:val="007F356E"/>
    <w:rsid w:val="0086352C"/>
    <w:rsid w:val="0086559D"/>
    <w:rsid w:val="00877E32"/>
    <w:rsid w:val="0088388D"/>
    <w:rsid w:val="008C7DD9"/>
    <w:rsid w:val="008F08AE"/>
    <w:rsid w:val="009069DF"/>
    <w:rsid w:val="009508A5"/>
    <w:rsid w:val="00970396"/>
    <w:rsid w:val="009C1B53"/>
    <w:rsid w:val="009D0F22"/>
    <w:rsid w:val="009D4CF4"/>
    <w:rsid w:val="00A352F5"/>
    <w:rsid w:val="00A37583"/>
    <w:rsid w:val="00A46C39"/>
    <w:rsid w:val="00A56A16"/>
    <w:rsid w:val="00A711B8"/>
    <w:rsid w:val="00A72F7D"/>
    <w:rsid w:val="00A8255E"/>
    <w:rsid w:val="00AE2290"/>
    <w:rsid w:val="00AE4ED5"/>
    <w:rsid w:val="00B27169"/>
    <w:rsid w:val="00B530D6"/>
    <w:rsid w:val="00B965D2"/>
    <w:rsid w:val="00BD23A7"/>
    <w:rsid w:val="00BE24F1"/>
    <w:rsid w:val="00C17FAB"/>
    <w:rsid w:val="00C21B6B"/>
    <w:rsid w:val="00C21D70"/>
    <w:rsid w:val="00C70A92"/>
    <w:rsid w:val="00C73DB3"/>
    <w:rsid w:val="00C75E85"/>
    <w:rsid w:val="00C91B26"/>
    <w:rsid w:val="00C95E74"/>
    <w:rsid w:val="00CA5FA8"/>
    <w:rsid w:val="00CA783F"/>
    <w:rsid w:val="00CE599C"/>
    <w:rsid w:val="00D24F61"/>
    <w:rsid w:val="00D41AEB"/>
    <w:rsid w:val="00DA3B00"/>
    <w:rsid w:val="00DB0529"/>
    <w:rsid w:val="00DE020F"/>
    <w:rsid w:val="00E225A4"/>
    <w:rsid w:val="00E2347B"/>
    <w:rsid w:val="00E926A0"/>
    <w:rsid w:val="00E94505"/>
    <w:rsid w:val="00EB38A8"/>
    <w:rsid w:val="00EE07F2"/>
    <w:rsid w:val="00EF3921"/>
    <w:rsid w:val="00F0170D"/>
    <w:rsid w:val="00F115DD"/>
    <w:rsid w:val="00F14E31"/>
    <w:rsid w:val="00F34B3E"/>
    <w:rsid w:val="00F413B0"/>
    <w:rsid w:val="00F46B0E"/>
    <w:rsid w:val="00F81419"/>
    <w:rsid w:val="00FD75CE"/>
    <w:rsid w:val="00FE6AD7"/>
    <w:rsid w:val="00FF2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C49A1"/>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E926A0"/>
    <w:pPr>
      <w:ind w:left="720"/>
      <w:contextualSpacing/>
    </w:pPr>
  </w:style>
  <w:style w:type="character" w:styleId="CommentReference">
    <w:name w:val="annotation reference"/>
    <w:basedOn w:val="DefaultParagraphFont"/>
    <w:uiPriority w:val="99"/>
    <w:semiHidden/>
    <w:unhideWhenUsed/>
    <w:rsid w:val="00AE4ED5"/>
    <w:rPr>
      <w:sz w:val="16"/>
      <w:szCs w:val="16"/>
    </w:rPr>
  </w:style>
  <w:style w:type="paragraph" w:styleId="CommentText">
    <w:name w:val="annotation text"/>
    <w:basedOn w:val="Normal"/>
    <w:link w:val="CommentTextChar"/>
    <w:uiPriority w:val="99"/>
    <w:unhideWhenUsed/>
    <w:rsid w:val="00AE4ED5"/>
    <w:rPr>
      <w:sz w:val="20"/>
    </w:rPr>
  </w:style>
  <w:style w:type="character" w:customStyle="1" w:styleId="CommentTextChar">
    <w:name w:val="Comment Text Char"/>
    <w:basedOn w:val="DefaultParagraphFont"/>
    <w:link w:val="CommentText"/>
    <w:uiPriority w:val="99"/>
    <w:rsid w:val="00AE4ED5"/>
    <w:rPr>
      <w:lang w:eastAsia="en-US"/>
    </w:rPr>
  </w:style>
  <w:style w:type="paragraph" w:styleId="CommentSubject">
    <w:name w:val="annotation subject"/>
    <w:basedOn w:val="CommentText"/>
    <w:next w:val="CommentText"/>
    <w:link w:val="CommentSubjectChar"/>
    <w:uiPriority w:val="99"/>
    <w:semiHidden/>
    <w:unhideWhenUsed/>
    <w:rsid w:val="00AE4ED5"/>
    <w:rPr>
      <w:b/>
      <w:bCs/>
    </w:rPr>
  </w:style>
  <w:style w:type="character" w:customStyle="1" w:styleId="CommentSubjectChar">
    <w:name w:val="Comment Subject Char"/>
    <w:basedOn w:val="CommentTextChar"/>
    <w:link w:val="CommentSubject"/>
    <w:uiPriority w:val="99"/>
    <w:semiHidden/>
    <w:rsid w:val="00AE4ED5"/>
    <w:rPr>
      <w:b/>
      <w:bCs/>
      <w:lang w:eastAsia="en-US"/>
    </w:rPr>
  </w:style>
  <w:style w:type="paragraph" w:styleId="BalloonText">
    <w:name w:val="Balloon Text"/>
    <w:basedOn w:val="Normal"/>
    <w:link w:val="BalloonTextChar"/>
    <w:uiPriority w:val="99"/>
    <w:semiHidden/>
    <w:unhideWhenUsed/>
    <w:rsid w:val="00AE4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ED5"/>
    <w:rPr>
      <w:rFonts w:ascii="Segoe UI" w:hAnsi="Segoe UI" w:cs="Segoe UI"/>
      <w:sz w:val="18"/>
      <w:szCs w:val="18"/>
      <w:lang w:eastAsia="en-US"/>
    </w:rPr>
  </w:style>
  <w:style w:type="paragraph" w:customStyle="1" w:styleId="CS-Paragraphnumbering">
    <w:name w:val="CS - Paragraph numbering"/>
    <w:basedOn w:val="Normal"/>
    <w:rsid w:val="0042422E"/>
    <w:pPr>
      <w:numPr>
        <w:numId w:val="12"/>
      </w:numPr>
      <w:spacing w:after="120" w:line="276" w:lineRule="auto"/>
      <w:ind w:right="-45"/>
    </w:pPr>
    <w:rPr>
      <w:rFonts w:asciiTheme="minorHAnsi" w:eastAsiaTheme="minorHAnsi" w:hAnsiTheme="minorHAnsi" w:cstheme="minorBidi"/>
      <w:szCs w:val="24"/>
    </w:rPr>
  </w:style>
  <w:style w:type="paragraph" w:styleId="Revision">
    <w:name w:val="Revision"/>
    <w:hidden/>
    <w:uiPriority w:val="99"/>
    <w:semiHidden/>
    <w:rsid w:val="00B965D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26263">
      <w:bodyDiv w:val="1"/>
      <w:marLeft w:val="0"/>
      <w:marRight w:val="0"/>
      <w:marTop w:val="0"/>
      <w:marBottom w:val="0"/>
      <w:divBdr>
        <w:top w:val="none" w:sz="0" w:space="0" w:color="auto"/>
        <w:left w:val="none" w:sz="0" w:space="0" w:color="auto"/>
        <w:bottom w:val="none" w:sz="0" w:space="0" w:color="auto"/>
        <w:right w:val="none" w:sz="0" w:space="0" w:color="auto"/>
      </w:divBdr>
      <w:divsChild>
        <w:div w:id="495608296">
          <w:marLeft w:val="0"/>
          <w:marRight w:val="0"/>
          <w:marTop w:val="0"/>
          <w:marBottom w:val="0"/>
          <w:divBdr>
            <w:top w:val="none" w:sz="0" w:space="0" w:color="auto"/>
            <w:left w:val="none" w:sz="0" w:space="0" w:color="auto"/>
            <w:bottom w:val="none" w:sz="0" w:space="0" w:color="auto"/>
            <w:right w:val="none" w:sz="0" w:space="0" w:color="auto"/>
          </w:divBdr>
        </w:div>
        <w:div w:id="884297507">
          <w:marLeft w:val="0"/>
          <w:marRight w:val="0"/>
          <w:marTop w:val="0"/>
          <w:marBottom w:val="0"/>
          <w:divBdr>
            <w:top w:val="none" w:sz="0" w:space="0" w:color="auto"/>
            <w:left w:val="none" w:sz="0" w:space="0" w:color="auto"/>
            <w:bottom w:val="none" w:sz="0" w:space="0" w:color="auto"/>
            <w:right w:val="none" w:sz="0" w:space="0" w:color="auto"/>
          </w:divBdr>
        </w:div>
        <w:div w:id="360597560">
          <w:marLeft w:val="0"/>
          <w:marRight w:val="0"/>
          <w:marTop w:val="0"/>
          <w:marBottom w:val="0"/>
          <w:divBdr>
            <w:top w:val="none" w:sz="0" w:space="0" w:color="auto"/>
            <w:left w:val="none" w:sz="0" w:space="0" w:color="auto"/>
            <w:bottom w:val="none" w:sz="0" w:space="0" w:color="auto"/>
            <w:right w:val="none" w:sz="0" w:space="0" w:color="auto"/>
          </w:divBdr>
        </w:div>
      </w:divsChild>
    </w:div>
    <w:div w:id="992491118">
      <w:bodyDiv w:val="1"/>
      <w:marLeft w:val="0"/>
      <w:marRight w:val="0"/>
      <w:marTop w:val="0"/>
      <w:marBottom w:val="0"/>
      <w:divBdr>
        <w:top w:val="none" w:sz="0" w:space="0" w:color="auto"/>
        <w:left w:val="none" w:sz="0" w:space="0" w:color="auto"/>
        <w:bottom w:val="none" w:sz="0" w:space="0" w:color="auto"/>
        <w:right w:val="none" w:sz="0" w:space="0" w:color="auto"/>
      </w:divBdr>
      <w:divsChild>
        <w:div w:id="15232519">
          <w:marLeft w:val="0"/>
          <w:marRight w:val="0"/>
          <w:marTop w:val="0"/>
          <w:marBottom w:val="0"/>
          <w:divBdr>
            <w:top w:val="none" w:sz="0" w:space="0" w:color="auto"/>
            <w:left w:val="none" w:sz="0" w:space="0" w:color="auto"/>
            <w:bottom w:val="none" w:sz="0" w:space="0" w:color="auto"/>
            <w:right w:val="none" w:sz="0" w:space="0" w:color="auto"/>
          </w:divBdr>
        </w:div>
        <w:div w:id="607658395">
          <w:marLeft w:val="0"/>
          <w:marRight w:val="0"/>
          <w:marTop w:val="0"/>
          <w:marBottom w:val="0"/>
          <w:divBdr>
            <w:top w:val="none" w:sz="0" w:space="0" w:color="auto"/>
            <w:left w:val="none" w:sz="0" w:space="0" w:color="auto"/>
            <w:bottom w:val="none" w:sz="0" w:space="0" w:color="auto"/>
            <w:right w:val="none" w:sz="0" w:space="0" w:color="auto"/>
          </w:divBdr>
        </w:div>
        <w:div w:id="1127892121">
          <w:marLeft w:val="0"/>
          <w:marRight w:val="0"/>
          <w:marTop w:val="0"/>
          <w:marBottom w:val="0"/>
          <w:divBdr>
            <w:top w:val="none" w:sz="0" w:space="0" w:color="auto"/>
            <w:left w:val="none" w:sz="0" w:space="0" w:color="auto"/>
            <w:bottom w:val="none" w:sz="0" w:space="0" w:color="auto"/>
            <w:right w:val="none" w:sz="0" w:space="0" w:color="auto"/>
          </w:divBdr>
        </w:div>
        <w:div w:id="1009218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A45029036</value>
    </field>
    <field name="Objective-Title">
      <value order="0">Attachment F - Electronic Conveyancing National Law (ACT) Participation Rules 2024 Explanatory Statement</value>
    </field>
    <field name="Objective-Description">
      <value order="0"/>
    </field>
    <field name="Objective-CreationStamp">
      <value order="0">2023-12-20T06:07:38Z</value>
    </field>
    <field name="Objective-IsApproved">
      <value order="0">false</value>
    </field>
    <field name="Objective-IsPublished">
      <value order="0">true</value>
    </field>
    <field name="Objective-DatePublished">
      <value order="0">2024-02-24T23:09:32Z</value>
    </field>
    <field name="Objective-ModificationStamp">
      <value order="0">2024-02-26T01:20:37Z</value>
    </field>
    <field name="Objective-Owner">
      <value order="0">Jarrah Robbins</value>
    </field>
    <field name="Objective-Path">
      <value order="0">Whole of ACT Government:AC - Access Canberra:07. Executive:06. Executive Correspondence:Correspondence - Deputy Director-General:2024 - Environment, Land &amp; Technical Regulation to Deputy Director-General:24/16855 - Registrar-General - minute - ACT Operating Requirements and Participation Rules:01. Minute</value>
    </field>
    <field name="Objective-Parent">
      <value order="0">01. Minute</value>
    </field>
    <field name="Objective-State">
      <value order="0">Published</value>
    </field>
    <field name="Objective-VersionId">
      <value order="0">vA57191476</value>
    </field>
    <field name="Objective-Version">
      <value order="0">8.0</value>
    </field>
    <field name="Objective-VersionNumber">
      <value order="0">8</value>
    </field>
    <field name="Objective-VersionComment">
      <value order="0"/>
    </field>
    <field name="Objective-FileNumber">
      <value order="0">1-2024/16855</value>
    </field>
    <field name="Objective-Classification">
      <value order="0"/>
    </field>
    <field name="Objective-Caveats">
      <value order="0"/>
    </field>
  </systemFields>
  <catalogues>
    <catalogue name="Document Type Catalogue" type="type" ori="id:cA11">
      <field name="Objective-Owner Agency">
        <value order="0">ACCESS CANBERRA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299BCD4B-D826-4E37-B730-045516B0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4000</Characters>
  <Application>Microsoft Office Word</Application>
  <DocSecurity>0</DocSecurity>
  <Lines>88</Lines>
  <Paragraphs>29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2024-02-27T05:37:00Z</dcterms:created>
  <dcterms:modified xsi:type="dcterms:W3CDTF">2024-02-27T05:37:00Z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A45029036</vt:lpwstr>
  </property>
  <property fmtid="{D5CDD505-2E9C-101B-9397-08002B2CF9AE}" pid="4" name="Objective-Title">
    <vt:lpwstr>Attachment F - Electronic Conveyancing National Law (ACT) Participation Rules 2024 Explanatory Statement</vt:lpwstr>
  </property>
  <property fmtid="{D5CDD505-2E9C-101B-9397-08002B2CF9AE}" pid="5" name="Objective-Comment">
    <vt:lpwstr/>
  </property>
  <property fmtid="{D5CDD505-2E9C-101B-9397-08002B2CF9AE}" pid="6" name="Objective-CreationStamp">
    <vt:filetime>2023-12-20T06:07:38Z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2024-02-24T23:09:32Z</vt:filetime>
  </property>
  <property fmtid="{D5CDD505-2E9C-101B-9397-08002B2CF9AE}" pid="10" name="Objective-ModificationStamp">
    <vt:filetime>2024-02-26T01:20:37Z</vt:filetime>
  </property>
  <property fmtid="{D5CDD505-2E9C-101B-9397-08002B2CF9AE}" pid="11" name="Objective-Owner">
    <vt:lpwstr>Jarrah Robbins</vt:lpwstr>
  </property>
  <property fmtid="{D5CDD505-2E9C-101B-9397-08002B2CF9AE}" pid="12" name="Objective-Path">
    <vt:lpwstr>Whole of ACT Government:AC - Access Canberra:07. Executive:06. Executive Correspondence:Correspondence - Deputy Director-General:2024 - Environment, Land &amp; Technical Regulation to Deputy Director-General:24/16855 - Registrar-General - minute - ACT Operating Requirements and Participation Rules:01. Minute</vt:lpwstr>
  </property>
  <property fmtid="{D5CDD505-2E9C-101B-9397-08002B2CF9AE}" pid="13" name="Objective-Parent">
    <vt:lpwstr>01. Minute</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1-2024/16855</vt:lpwstr>
  </property>
  <property fmtid="{D5CDD505-2E9C-101B-9397-08002B2CF9AE}" pid="19" name="Objective-Classification">
    <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ACCESS CANBERRA</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escription">
    <vt:lpwstr/>
  </property>
  <property fmtid="{D5CDD505-2E9C-101B-9397-08002B2CF9AE}" pid="44" name="Objective-VersionId">
    <vt:lpwstr>vA57191476</vt:lpwstr>
  </property>
  <property fmtid="{D5CDD505-2E9C-101B-9397-08002B2CF9AE}" pid="45" name="CHECKEDOUTFROMJMS">
    <vt:lpwstr/>
  </property>
  <property fmtid="{D5CDD505-2E9C-101B-9397-08002B2CF9AE}" pid="46" name="DMSID">
    <vt:lpwstr>11674040</vt:lpwstr>
  </property>
  <property fmtid="{D5CDD505-2E9C-101B-9397-08002B2CF9AE}" pid="47" name="JMSREQUIREDCHECKIN">
    <vt:lpwstr/>
  </property>
</Properties>
</file>