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F854" w14:textId="77777777" w:rsidR="006815C9" w:rsidRDefault="006815C9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61BB204" w14:textId="2AD056E3" w:rsidR="006815C9" w:rsidRDefault="00F97581">
      <w:pPr>
        <w:pStyle w:val="Billname"/>
        <w:spacing w:before="700"/>
      </w:pPr>
      <w:r>
        <w:t>Magistrates Court (Building Infringement Notices) Amendment Regulation 2024</w:t>
      </w:r>
      <w:r w:rsidR="0023212C">
        <w:t xml:space="preserve"> (No</w:t>
      </w:r>
      <w:r w:rsidR="009D714F">
        <w:t> </w:t>
      </w:r>
      <w:r w:rsidR="00442E95">
        <w:t>1</w:t>
      </w:r>
      <w:r w:rsidR="0023212C">
        <w:t>)</w:t>
      </w:r>
    </w:p>
    <w:p w14:paraId="0F8914E7" w14:textId="2EDE2C8C" w:rsidR="006815C9" w:rsidRDefault="00F5371D" w:rsidP="00091D34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Subordinate law SL</w:t>
      </w:r>
      <w:r w:rsidR="00F97581">
        <w:rPr>
          <w:rFonts w:ascii="Arial" w:hAnsi="Arial" w:cs="Arial"/>
          <w:b/>
          <w:bCs/>
        </w:rPr>
        <w:t>2024</w:t>
      </w:r>
      <w:r w:rsidR="006815C9">
        <w:rPr>
          <w:rFonts w:ascii="Arial" w:hAnsi="Arial" w:cs="Arial"/>
          <w:b/>
          <w:bCs/>
        </w:rPr>
        <w:t>–</w:t>
      </w:r>
      <w:r w:rsidR="00442E95">
        <w:rPr>
          <w:rFonts w:ascii="Arial" w:hAnsi="Arial" w:cs="Arial"/>
          <w:b/>
          <w:bCs/>
        </w:rPr>
        <w:t>2</w:t>
      </w:r>
    </w:p>
    <w:p w14:paraId="18F3A668" w14:textId="77777777" w:rsidR="006815C9" w:rsidRPr="0044787D" w:rsidRDefault="006815C9" w:rsidP="00091D34">
      <w:pPr>
        <w:pStyle w:val="madeunder"/>
        <w:spacing w:before="300" w:after="0"/>
      </w:pPr>
      <w:r w:rsidRPr="0044787D">
        <w:t xml:space="preserve">made under the  </w:t>
      </w:r>
    </w:p>
    <w:p w14:paraId="56439801" w14:textId="2A1F28E9" w:rsidR="006815C9" w:rsidRPr="0044787D" w:rsidRDefault="0044787D" w:rsidP="00091D34">
      <w:pPr>
        <w:pStyle w:val="CoverActName"/>
        <w:spacing w:before="320" w:after="0"/>
        <w:rPr>
          <w:rFonts w:cs="Arial"/>
          <w:sz w:val="20"/>
        </w:rPr>
      </w:pPr>
      <w:r w:rsidRPr="0044787D">
        <w:rPr>
          <w:rFonts w:cs="Arial"/>
          <w:sz w:val="20"/>
        </w:rPr>
        <w:t>Magistrates Court Act 1930</w:t>
      </w:r>
    </w:p>
    <w:p w14:paraId="7A2B4F5A" w14:textId="77777777" w:rsidR="006815C9" w:rsidRDefault="006815C9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 w:rsidRPr="0044787D"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6A902C99" w14:textId="77777777" w:rsidR="006815C9" w:rsidRDefault="006815C9">
      <w:pPr>
        <w:pStyle w:val="N-line3"/>
        <w:pBdr>
          <w:bottom w:val="none" w:sz="0" w:space="0" w:color="auto"/>
        </w:pBdr>
      </w:pPr>
    </w:p>
    <w:p w14:paraId="380BE1FE" w14:textId="77777777" w:rsidR="006815C9" w:rsidRDefault="006815C9">
      <w:pPr>
        <w:pStyle w:val="N-line3"/>
        <w:pBdr>
          <w:top w:val="single" w:sz="12" w:space="1" w:color="auto"/>
          <w:bottom w:val="none" w:sz="0" w:space="0" w:color="auto"/>
        </w:pBdr>
      </w:pPr>
    </w:p>
    <w:p w14:paraId="4DC59D86" w14:textId="1C5FD44C" w:rsidR="00E13776" w:rsidRDefault="00E13776" w:rsidP="00154DEC">
      <w:pPr>
        <w:rPr>
          <w:rFonts w:ascii="Arial" w:hAnsi="Arial" w:cs="Arial"/>
          <w:iCs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This explanatory statement relates to the </w:t>
      </w:r>
      <w:r w:rsidRPr="00327337">
        <w:rPr>
          <w:rFonts w:ascii="Arial" w:hAnsi="Arial" w:cs="Arial"/>
          <w:i/>
          <w:szCs w:val="24"/>
        </w:rPr>
        <w:t xml:space="preserve">Magistrates Court (Building Infringement Notices) </w:t>
      </w:r>
      <w:r w:rsidR="0023212C">
        <w:rPr>
          <w:rFonts w:ascii="Arial" w:hAnsi="Arial" w:cs="Arial"/>
          <w:i/>
          <w:szCs w:val="24"/>
        </w:rPr>
        <w:t xml:space="preserve">Amendment </w:t>
      </w:r>
      <w:r w:rsidRPr="00327337">
        <w:rPr>
          <w:rFonts w:ascii="Arial" w:hAnsi="Arial" w:cs="Arial"/>
          <w:i/>
          <w:szCs w:val="24"/>
        </w:rPr>
        <w:t xml:space="preserve">Regulation </w:t>
      </w:r>
      <w:r w:rsidR="0023212C">
        <w:rPr>
          <w:rFonts w:ascii="Arial" w:hAnsi="Arial" w:cs="Arial"/>
          <w:i/>
          <w:szCs w:val="24"/>
        </w:rPr>
        <w:t xml:space="preserve">2024 (No </w:t>
      </w:r>
      <w:r w:rsidR="00442E95">
        <w:rPr>
          <w:rFonts w:ascii="Arial" w:hAnsi="Arial" w:cs="Arial"/>
          <w:i/>
          <w:szCs w:val="24"/>
        </w:rPr>
        <w:t>1</w:t>
      </w:r>
      <w:r w:rsidR="0023212C">
        <w:rPr>
          <w:rFonts w:ascii="Arial" w:hAnsi="Arial" w:cs="Arial"/>
          <w:i/>
          <w:szCs w:val="24"/>
        </w:rPr>
        <w:t>)</w:t>
      </w:r>
      <w:r>
        <w:rPr>
          <w:rFonts w:ascii="Arial" w:hAnsi="Arial" w:cs="Arial"/>
          <w:iCs/>
          <w:szCs w:val="24"/>
        </w:rPr>
        <w:t xml:space="preserve"> (the </w:t>
      </w:r>
      <w:r w:rsidR="004D5F1A">
        <w:rPr>
          <w:rFonts w:ascii="Arial" w:hAnsi="Arial" w:cs="Arial"/>
          <w:iCs/>
          <w:szCs w:val="24"/>
        </w:rPr>
        <w:t>r</w:t>
      </w:r>
      <w:r>
        <w:rPr>
          <w:rFonts w:ascii="Arial" w:hAnsi="Arial" w:cs="Arial"/>
          <w:iCs/>
          <w:szCs w:val="24"/>
        </w:rPr>
        <w:t>egulation) as made by the Executive.</w:t>
      </w:r>
    </w:p>
    <w:p w14:paraId="675AD535" w14:textId="77777777" w:rsidR="00E13776" w:rsidRDefault="00E13776" w:rsidP="00154DEC">
      <w:pPr>
        <w:rPr>
          <w:rFonts w:ascii="Arial" w:hAnsi="Arial" w:cs="Arial"/>
          <w:iCs/>
          <w:szCs w:val="24"/>
        </w:rPr>
      </w:pPr>
    </w:p>
    <w:p w14:paraId="61BA7E8E" w14:textId="4081EFC8" w:rsidR="00E13776" w:rsidRDefault="00E13776" w:rsidP="00154DEC">
      <w:pPr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It has been prepared to assist the reader of the </w:t>
      </w:r>
      <w:r w:rsidR="004D5F1A">
        <w:rPr>
          <w:rFonts w:ascii="Arial" w:hAnsi="Arial" w:cs="Arial"/>
          <w:iCs/>
          <w:szCs w:val="24"/>
        </w:rPr>
        <w:t>r</w:t>
      </w:r>
      <w:r>
        <w:rPr>
          <w:rFonts w:ascii="Arial" w:hAnsi="Arial" w:cs="Arial"/>
          <w:iCs/>
          <w:szCs w:val="24"/>
        </w:rPr>
        <w:t xml:space="preserve">egulation. It does not form part of the </w:t>
      </w:r>
      <w:r w:rsidR="004D5F1A">
        <w:rPr>
          <w:rFonts w:ascii="Arial" w:hAnsi="Arial" w:cs="Arial"/>
          <w:iCs/>
          <w:szCs w:val="24"/>
        </w:rPr>
        <w:t>r</w:t>
      </w:r>
      <w:r>
        <w:rPr>
          <w:rFonts w:ascii="Arial" w:hAnsi="Arial" w:cs="Arial"/>
          <w:iCs/>
          <w:szCs w:val="24"/>
        </w:rPr>
        <w:t>egulation and has not b</w:t>
      </w:r>
      <w:r w:rsidR="00950776">
        <w:rPr>
          <w:rFonts w:ascii="Arial" w:hAnsi="Arial" w:cs="Arial"/>
          <w:iCs/>
          <w:szCs w:val="24"/>
        </w:rPr>
        <w:t>e</w:t>
      </w:r>
      <w:r>
        <w:rPr>
          <w:rFonts w:ascii="Arial" w:hAnsi="Arial" w:cs="Arial"/>
          <w:iCs/>
          <w:szCs w:val="24"/>
        </w:rPr>
        <w:t>en endorsed by the Legislative Assembly.</w:t>
      </w:r>
    </w:p>
    <w:p w14:paraId="7F6D98E4" w14:textId="77777777" w:rsidR="00E13776" w:rsidRDefault="00E13776" w:rsidP="00154DEC">
      <w:pPr>
        <w:rPr>
          <w:rFonts w:ascii="Arial" w:hAnsi="Arial" w:cs="Arial"/>
          <w:iCs/>
          <w:szCs w:val="24"/>
        </w:rPr>
      </w:pPr>
    </w:p>
    <w:p w14:paraId="1C1E2F0F" w14:textId="361BAFCC" w:rsidR="00E13776" w:rsidRDefault="00E13776" w:rsidP="00154DEC">
      <w:pPr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This statement must be read </w:t>
      </w:r>
      <w:r w:rsidR="00B302E7">
        <w:rPr>
          <w:rFonts w:ascii="Arial" w:hAnsi="Arial" w:cs="Arial"/>
          <w:iCs/>
          <w:szCs w:val="24"/>
        </w:rPr>
        <w:t xml:space="preserve">in conjunction with the </w:t>
      </w:r>
      <w:r w:rsidR="004D5F1A">
        <w:rPr>
          <w:rFonts w:ascii="Arial" w:hAnsi="Arial" w:cs="Arial"/>
          <w:iCs/>
          <w:szCs w:val="24"/>
        </w:rPr>
        <w:t>r</w:t>
      </w:r>
      <w:r w:rsidR="00B302E7">
        <w:rPr>
          <w:rFonts w:ascii="Arial" w:hAnsi="Arial" w:cs="Arial"/>
          <w:iCs/>
          <w:szCs w:val="24"/>
        </w:rPr>
        <w:t xml:space="preserve">egulation. It is not, and is not meant to be, a comprehensive description of the </w:t>
      </w:r>
      <w:r w:rsidR="004D5F1A">
        <w:rPr>
          <w:rFonts w:ascii="Arial" w:hAnsi="Arial" w:cs="Arial"/>
          <w:iCs/>
          <w:szCs w:val="24"/>
        </w:rPr>
        <w:t>r</w:t>
      </w:r>
      <w:r w:rsidR="00B302E7">
        <w:rPr>
          <w:rFonts w:ascii="Arial" w:hAnsi="Arial" w:cs="Arial"/>
          <w:iCs/>
          <w:szCs w:val="24"/>
        </w:rPr>
        <w:t>egulation. What is said about a provision is not taken as an authoritative guide to the meaning of a provision, this being a task for the courts.</w:t>
      </w:r>
    </w:p>
    <w:p w14:paraId="111E61A8" w14:textId="77777777" w:rsidR="00B302E7" w:rsidRPr="00247EF3" w:rsidRDefault="00B302E7" w:rsidP="00154DEC">
      <w:pPr>
        <w:rPr>
          <w:rFonts w:ascii="Arial" w:hAnsi="Arial" w:cs="Arial"/>
          <w:iCs/>
          <w:color w:val="000000" w:themeColor="text1"/>
          <w:szCs w:val="24"/>
        </w:rPr>
      </w:pPr>
    </w:p>
    <w:p w14:paraId="50EA115D" w14:textId="27BB0BEF" w:rsidR="008A5FE4" w:rsidRPr="008A5FE4" w:rsidRDefault="008A5FE4" w:rsidP="00154DEC">
      <w:pPr>
        <w:spacing w:after="240"/>
        <w:rPr>
          <w:rFonts w:ascii="Arial" w:hAnsi="Arial" w:cs="Arial"/>
          <w:b/>
          <w:bCs/>
          <w:color w:val="000000" w:themeColor="text1"/>
          <w:szCs w:val="24"/>
        </w:rPr>
      </w:pPr>
      <w:r w:rsidRPr="008A5FE4">
        <w:rPr>
          <w:rFonts w:ascii="Arial" w:hAnsi="Arial" w:cs="Arial"/>
          <w:b/>
          <w:bCs/>
          <w:color w:val="000000" w:themeColor="text1"/>
          <w:szCs w:val="24"/>
        </w:rPr>
        <w:t>OVERVIEW</w:t>
      </w:r>
    </w:p>
    <w:p w14:paraId="3EA8FA12" w14:textId="1E13BF58" w:rsidR="008A5FE4" w:rsidRDefault="008A5FE4" w:rsidP="00154DEC">
      <w:pPr>
        <w:ind w:right="-45"/>
        <w:rPr>
          <w:rFonts w:ascii="Arial" w:hAnsi="Arial" w:cs="Arial"/>
          <w:iCs/>
          <w:szCs w:val="24"/>
        </w:rPr>
      </w:pPr>
      <w:r w:rsidRPr="008A5FE4">
        <w:rPr>
          <w:rFonts w:ascii="Arial" w:hAnsi="Arial" w:cs="Arial"/>
          <w:iCs/>
          <w:szCs w:val="24"/>
        </w:rPr>
        <w:t xml:space="preserve">The </w:t>
      </w:r>
      <w:r w:rsidR="004D5F1A">
        <w:rPr>
          <w:rFonts w:ascii="Arial" w:hAnsi="Arial" w:cs="Arial"/>
          <w:iCs/>
          <w:szCs w:val="24"/>
        </w:rPr>
        <w:t>r</w:t>
      </w:r>
      <w:r w:rsidRPr="008A5FE4">
        <w:rPr>
          <w:rFonts w:ascii="Arial" w:hAnsi="Arial" w:cs="Arial"/>
          <w:iCs/>
          <w:szCs w:val="24"/>
        </w:rPr>
        <w:t xml:space="preserve">egulation is being made in accordance with part 3.8 of the </w:t>
      </w:r>
      <w:r w:rsidRPr="008A5FE4">
        <w:rPr>
          <w:rFonts w:ascii="Arial" w:hAnsi="Arial" w:cs="Arial"/>
          <w:i/>
          <w:szCs w:val="24"/>
        </w:rPr>
        <w:t>Magistrates Court Act 1930</w:t>
      </w:r>
      <w:r w:rsidRPr="008A5FE4">
        <w:rPr>
          <w:rFonts w:ascii="Arial" w:hAnsi="Arial" w:cs="Arial"/>
          <w:iCs/>
          <w:szCs w:val="24"/>
        </w:rPr>
        <w:t xml:space="preserve"> and will enable infringement notices to be issued for certain offences against the </w:t>
      </w:r>
      <w:r w:rsidRPr="008A5FE4">
        <w:rPr>
          <w:rFonts w:ascii="Arial" w:hAnsi="Arial" w:cs="Arial"/>
          <w:i/>
          <w:szCs w:val="24"/>
        </w:rPr>
        <w:t>Building Act 2004</w:t>
      </w:r>
      <w:r w:rsidR="00D058A2">
        <w:rPr>
          <w:rFonts w:ascii="Arial" w:hAnsi="Arial" w:cs="Arial"/>
          <w:i/>
          <w:szCs w:val="24"/>
        </w:rPr>
        <w:t xml:space="preserve"> </w:t>
      </w:r>
      <w:r w:rsidR="00D058A2">
        <w:rPr>
          <w:rFonts w:ascii="Arial" w:hAnsi="Arial" w:cs="Arial"/>
          <w:iCs/>
          <w:szCs w:val="24"/>
        </w:rPr>
        <w:t>(the Building Act)</w:t>
      </w:r>
      <w:r w:rsidRPr="008A5FE4">
        <w:rPr>
          <w:rFonts w:ascii="Arial" w:hAnsi="Arial" w:cs="Arial"/>
          <w:iCs/>
          <w:szCs w:val="24"/>
        </w:rPr>
        <w:t>.</w:t>
      </w:r>
    </w:p>
    <w:p w14:paraId="31AF768D" w14:textId="77777777" w:rsidR="00154DEC" w:rsidRDefault="00154DEC" w:rsidP="00154DEC">
      <w:pPr>
        <w:ind w:right="-45"/>
        <w:rPr>
          <w:rFonts w:ascii="Arial" w:hAnsi="Arial" w:cs="Arial"/>
          <w:iCs/>
          <w:szCs w:val="24"/>
        </w:rPr>
      </w:pPr>
    </w:p>
    <w:p w14:paraId="5F08EC8C" w14:textId="35A46EF7" w:rsidR="008A5FE4" w:rsidRDefault="008A5FE4" w:rsidP="00154DEC">
      <w:pPr>
        <w:ind w:right="-45"/>
        <w:rPr>
          <w:rFonts w:ascii="Arial" w:hAnsi="Arial" w:cs="Arial"/>
          <w:iCs/>
          <w:szCs w:val="24"/>
        </w:rPr>
      </w:pPr>
      <w:r w:rsidRPr="008A5FE4">
        <w:rPr>
          <w:rFonts w:ascii="Arial" w:hAnsi="Arial" w:cs="Arial"/>
          <w:iCs/>
          <w:szCs w:val="24"/>
        </w:rPr>
        <w:t xml:space="preserve">Infringement notices under the </w:t>
      </w:r>
      <w:r w:rsidRPr="008A5FE4">
        <w:rPr>
          <w:rFonts w:ascii="Arial" w:hAnsi="Arial" w:cs="Arial"/>
          <w:i/>
          <w:szCs w:val="24"/>
        </w:rPr>
        <w:t>Magistrates Court Act 1930</w:t>
      </w:r>
      <w:r w:rsidRPr="008A5FE4">
        <w:rPr>
          <w:rFonts w:ascii="Arial" w:hAnsi="Arial" w:cs="Arial"/>
          <w:iCs/>
          <w:szCs w:val="24"/>
        </w:rPr>
        <w:t xml:space="preserve"> are an additional compliance mechanism which allows the Construction Occupations Registrar to </w:t>
      </w:r>
      <w:r w:rsidRPr="00D058A2">
        <w:rPr>
          <w:rFonts w:ascii="Arial" w:hAnsi="Arial" w:cs="Arial"/>
          <w:iCs/>
          <w:szCs w:val="24"/>
        </w:rPr>
        <w:t>issue a notice to a person who has committed a strict liability offence under the Building Act. This can be an efficient and more cost</w:t>
      </w:r>
      <w:r w:rsidRPr="00D058A2">
        <w:rPr>
          <w:rFonts w:ascii="Cambria Math" w:hAnsi="Cambria Math" w:cs="Cambria Math"/>
          <w:iCs/>
          <w:szCs w:val="24"/>
        </w:rPr>
        <w:t>‐</w:t>
      </w:r>
      <w:r w:rsidRPr="00D058A2">
        <w:rPr>
          <w:rFonts w:ascii="Arial" w:hAnsi="Arial" w:cs="Arial"/>
          <w:iCs/>
          <w:szCs w:val="24"/>
        </w:rPr>
        <w:t>effective alternative to respond to breaches of</w:t>
      </w:r>
      <w:r w:rsidRPr="008A5FE4">
        <w:rPr>
          <w:rFonts w:ascii="Arial" w:hAnsi="Arial" w:cs="Arial"/>
          <w:iCs/>
          <w:szCs w:val="24"/>
        </w:rPr>
        <w:t xml:space="preserve"> the Act, rather than seeking a prosecution.</w:t>
      </w:r>
    </w:p>
    <w:p w14:paraId="7475BEA9" w14:textId="77777777" w:rsidR="00154DEC" w:rsidRDefault="00154DEC" w:rsidP="00154DEC">
      <w:pPr>
        <w:ind w:right="-45"/>
        <w:rPr>
          <w:rFonts w:ascii="Arial" w:hAnsi="Arial" w:cs="Arial"/>
          <w:iCs/>
          <w:szCs w:val="24"/>
        </w:rPr>
      </w:pPr>
    </w:p>
    <w:p w14:paraId="43DA67B4" w14:textId="490B71EE" w:rsidR="008A5FE4" w:rsidRDefault="008A5FE4" w:rsidP="00154DEC">
      <w:pPr>
        <w:ind w:right="-45"/>
        <w:rPr>
          <w:rFonts w:ascii="Arial" w:hAnsi="Arial" w:cs="Arial"/>
          <w:iCs/>
          <w:szCs w:val="24"/>
        </w:rPr>
      </w:pPr>
      <w:r w:rsidRPr="008A5FE4">
        <w:rPr>
          <w:rFonts w:ascii="Arial" w:hAnsi="Arial" w:cs="Arial"/>
          <w:iCs/>
          <w:szCs w:val="24"/>
        </w:rPr>
        <w:t>It should be noted that paying an infringement notice is not an acceptance of guilt. If a person declines to pay an infringement notice, the Construction Occupations Registrar has the discretion to either proceed with a prosecution or cease action.</w:t>
      </w:r>
    </w:p>
    <w:p w14:paraId="1C632EE6" w14:textId="77777777" w:rsidR="00154DEC" w:rsidRDefault="00154DEC" w:rsidP="00154DEC">
      <w:pPr>
        <w:ind w:right="-45"/>
        <w:rPr>
          <w:rFonts w:ascii="Arial" w:hAnsi="Arial" w:cs="Arial"/>
          <w:iCs/>
          <w:szCs w:val="24"/>
        </w:rPr>
      </w:pPr>
    </w:p>
    <w:p w14:paraId="6F9879FB" w14:textId="2B419D72" w:rsidR="008A5FE4" w:rsidRDefault="008A5FE4" w:rsidP="00154DEC">
      <w:pPr>
        <w:ind w:right="-45"/>
        <w:rPr>
          <w:rFonts w:ascii="Arial" w:hAnsi="Arial" w:cs="Arial"/>
          <w:iCs/>
          <w:szCs w:val="24"/>
        </w:rPr>
      </w:pPr>
      <w:r w:rsidRPr="008A5FE4">
        <w:rPr>
          <w:rFonts w:ascii="Arial" w:hAnsi="Arial" w:cs="Arial"/>
          <w:iCs/>
          <w:szCs w:val="24"/>
        </w:rPr>
        <w:lastRenderedPageBreak/>
        <w:t xml:space="preserve">There </w:t>
      </w:r>
      <w:r w:rsidRPr="00D058A2">
        <w:rPr>
          <w:rFonts w:ascii="Arial" w:hAnsi="Arial" w:cs="Arial"/>
          <w:iCs/>
          <w:szCs w:val="24"/>
        </w:rPr>
        <w:t xml:space="preserve">are currently only a small number of infringement notices for the Building Act set out in the </w:t>
      </w:r>
      <w:r w:rsidRPr="00247EF3">
        <w:rPr>
          <w:rFonts w:ascii="Arial" w:hAnsi="Arial" w:cs="Arial"/>
          <w:i/>
          <w:szCs w:val="24"/>
        </w:rPr>
        <w:t xml:space="preserve">Magistrates Court (Building Infringement Notices) </w:t>
      </w:r>
      <w:r w:rsidRPr="002D255B">
        <w:rPr>
          <w:rFonts w:ascii="Arial" w:hAnsi="Arial" w:cs="Arial"/>
          <w:i/>
          <w:szCs w:val="24"/>
        </w:rPr>
        <w:t>Regulation 2008.</w:t>
      </w:r>
      <w:r>
        <w:rPr>
          <w:rFonts w:ascii="Arial" w:hAnsi="Arial" w:cs="Arial"/>
          <w:iCs/>
          <w:szCs w:val="24"/>
        </w:rPr>
        <w:t xml:space="preserve"> This </w:t>
      </w:r>
      <w:r w:rsidR="00F2096C">
        <w:rPr>
          <w:rFonts w:ascii="Arial" w:hAnsi="Arial" w:cs="Arial"/>
          <w:iCs/>
          <w:szCs w:val="24"/>
        </w:rPr>
        <w:t>r</w:t>
      </w:r>
      <w:r>
        <w:rPr>
          <w:rFonts w:ascii="Arial" w:hAnsi="Arial" w:cs="Arial"/>
          <w:iCs/>
          <w:szCs w:val="24"/>
        </w:rPr>
        <w:t>egulation includes a range of additional infringement notices.</w:t>
      </w:r>
    </w:p>
    <w:p w14:paraId="199F40C0" w14:textId="77777777" w:rsidR="00154DEC" w:rsidRDefault="00154DEC" w:rsidP="00154DEC">
      <w:pPr>
        <w:ind w:right="-45"/>
        <w:rPr>
          <w:rFonts w:ascii="Arial" w:hAnsi="Arial" w:cs="Arial"/>
          <w:iCs/>
          <w:szCs w:val="24"/>
        </w:rPr>
      </w:pPr>
    </w:p>
    <w:p w14:paraId="50D891EE" w14:textId="77BE9B69" w:rsidR="00247EF3" w:rsidRDefault="00885763" w:rsidP="00154DEC">
      <w:pPr>
        <w:ind w:right="-45"/>
        <w:rPr>
          <w:rFonts w:ascii="Arial" w:hAnsi="Arial" w:cs="Arial"/>
          <w:iCs/>
          <w:szCs w:val="24"/>
        </w:rPr>
      </w:pPr>
      <w:r w:rsidRPr="00885763">
        <w:rPr>
          <w:rFonts w:ascii="Arial" w:hAnsi="Arial" w:cs="Arial"/>
          <w:iCs/>
          <w:szCs w:val="24"/>
        </w:rPr>
        <w:t xml:space="preserve">A regulatory impact statement is not required for this </w:t>
      </w:r>
      <w:r w:rsidR="00F2096C">
        <w:rPr>
          <w:rFonts w:ascii="Arial" w:hAnsi="Arial" w:cs="Arial"/>
          <w:iCs/>
          <w:szCs w:val="24"/>
        </w:rPr>
        <w:t>r</w:t>
      </w:r>
      <w:r w:rsidRPr="00885763">
        <w:rPr>
          <w:rFonts w:ascii="Arial" w:hAnsi="Arial" w:cs="Arial"/>
          <w:iCs/>
          <w:szCs w:val="24"/>
        </w:rPr>
        <w:t xml:space="preserve">egulation as it </w:t>
      </w:r>
      <w:r w:rsidR="00247EF3">
        <w:rPr>
          <w:rFonts w:ascii="Arial" w:hAnsi="Arial" w:cs="Arial"/>
          <w:iCs/>
          <w:szCs w:val="24"/>
        </w:rPr>
        <w:t xml:space="preserve">is amending an existing </w:t>
      </w:r>
      <w:r w:rsidR="004B5DF5">
        <w:rPr>
          <w:rFonts w:ascii="Arial" w:hAnsi="Arial" w:cs="Arial"/>
          <w:iCs/>
          <w:szCs w:val="24"/>
        </w:rPr>
        <w:t>r</w:t>
      </w:r>
      <w:r w:rsidR="00247EF3">
        <w:rPr>
          <w:rFonts w:ascii="Arial" w:hAnsi="Arial" w:cs="Arial"/>
          <w:iCs/>
          <w:szCs w:val="24"/>
        </w:rPr>
        <w:t>egulation</w:t>
      </w:r>
      <w:r w:rsidR="004B5DF5">
        <w:rPr>
          <w:rFonts w:ascii="Arial" w:hAnsi="Arial" w:cs="Arial"/>
          <w:iCs/>
          <w:szCs w:val="24"/>
        </w:rPr>
        <w:t>, not imposing new regulation on the community.</w:t>
      </w:r>
    </w:p>
    <w:p w14:paraId="4A6971A9" w14:textId="77777777" w:rsidR="00154DEC" w:rsidRDefault="00154DEC" w:rsidP="00154DEC">
      <w:pPr>
        <w:ind w:right="-45"/>
        <w:rPr>
          <w:rFonts w:ascii="Arial" w:hAnsi="Arial" w:cs="Arial"/>
          <w:iCs/>
          <w:szCs w:val="24"/>
        </w:rPr>
      </w:pPr>
    </w:p>
    <w:p w14:paraId="4DB8652C" w14:textId="0294EFA5" w:rsidR="004B49DA" w:rsidRPr="00154DEC" w:rsidRDefault="004B49DA" w:rsidP="00154DEC">
      <w:pPr>
        <w:spacing w:after="240"/>
        <w:rPr>
          <w:rFonts w:ascii="Arial" w:hAnsi="Arial" w:cs="Arial"/>
          <w:b/>
          <w:bCs/>
          <w:color w:val="000000" w:themeColor="text1"/>
          <w:szCs w:val="24"/>
        </w:rPr>
      </w:pPr>
      <w:r w:rsidRPr="00154DEC">
        <w:rPr>
          <w:rFonts w:ascii="Arial" w:hAnsi="Arial" w:cs="Arial"/>
          <w:b/>
          <w:bCs/>
          <w:color w:val="000000" w:themeColor="text1"/>
          <w:szCs w:val="24"/>
        </w:rPr>
        <w:t>CONSISTENCY WITH HUMAN RIGHTS</w:t>
      </w:r>
    </w:p>
    <w:p w14:paraId="360E3123" w14:textId="5717B52B" w:rsidR="004B49DA" w:rsidRDefault="0026395F" w:rsidP="00154DEC">
      <w:pPr>
        <w:shd w:val="clear" w:color="auto" w:fill="FFFFFF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Assessment has already been undertaken </w:t>
      </w:r>
      <w:r w:rsidR="0037358C">
        <w:rPr>
          <w:rFonts w:ascii="Arial" w:hAnsi="Arial" w:cs="Arial"/>
          <w:color w:val="000000" w:themeColor="text1"/>
          <w:szCs w:val="24"/>
        </w:rPr>
        <w:t>d</w:t>
      </w:r>
      <w:r w:rsidR="004B49DA" w:rsidRPr="007E67A5">
        <w:rPr>
          <w:rFonts w:ascii="Arial" w:hAnsi="Arial" w:cs="Arial"/>
          <w:color w:val="000000" w:themeColor="text1"/>
          <w:szCs w:val="24"/>
        </w:rPr>
        <w:t>uring the development of the</w:t>
      </w:r>
      <w:r w:rsidR="004B49DA">
        <w:rPr>
          <w:rFonts w:ascii="Arial" w:hAnsi="Arial" w:cs="Arial"/>
          <w:color w:val="000000" w:themeColor="text1"/>
          <w:szCs w:val="24"/>
        </w:rPr>
        <w:t xml:space="preserve"> </w:t>
      </w:r>
      <w:r w:rsidR="004B5DF5">
        <w:rPr>
          <w:rFonts w:ascii="Arial" w:hAnsi="Arial" w:cs="Arial"/>
          <w:color w:val="000000" w:themeColor="text1"/>
          <w:szCs w:val="24"/>
        </w:rPr>
        <w:t>r</w:t>
      </w:r>
      <w:r w:rsidR="004B49DA">
        <w:rPr>
          <w:rFonts w:ascii="Arial" w:hAnsi="Arial" w:cs="Arial"/>
          <w:color w:val="000000" w:themeColor="text1"/>
          <w:szCs w:val="24"/>
        </w:rPr>
        <w:t>egulation</w:t>
      </w:r>
      <w:r w:rsidR="0037358C">
        <w:rPr>
          <w:rFonts w:ascii="Arial" w:hAnsi="Arial" w:cs="Arial"/>
          <w:color w:val="000000" w:themeColor="text1"/>
          <w:szCs w:val="24"/>
        </w:rPr>
        <w:t>, and</w:t>
      </w:r>
      <w:r w:rsidR="004B49DA" w:rsidRPr="007E67A5">
        <w:rPr>
          <w:rFonts w:ascii="Arial" w:hAnsi="Arial" w:cs="Arial"/>
          <w:color w:val="000000" w:themeColor="text1"/>
          <w:szCs w:val="24"/>
        </w:rPr>
        <w:t xml:space="preserve"> due regard was given to its compatibility with human rights as set out in the</w:t>
      </w:r>
      <w:r w:rsidR="002D255B">
        <w:rPr>
          <w:rFonts w:ascii="Arial" w:hAnsi="Arial" w:cs="Arial"/>
          <w:color w:val="000000" w:themeColor="text1"/>
          <w:szCs w:val="24"/>
        </w:rPr>
        <w:t xml:space="preserve"> </w:t>
      </w:r>
      <w:r w:rsidR="004B49DA" w:rsidRPr="00FB1751">
        <w:rPr>
          <w:rFonts w:ascii="Arial" w:hAnsi="Arial" w:cs="Arial"/>
          <w:i/>
          <w:iCs/>
          <w:color w:val="000000" w:themeColor="text1"/>
          <w:szCs w:val="24"/>
        </w:rPr>
        <w:t>Human Rights Act 2004</w:t>
      </w:r>
      <w:r w:rsidR="004B49DA" w:rsidRPr="007E67A5">
        <w:rPr>
          <w:rFonts w:ascii="Arial" w:hAnsi="Arial" w:cs="Arial"/>
          <w:color w:val="000000" w:themeColor="text1"/>
          <w:szCs w:val="24"/>
        </w:rPr>
        <w:t>.</w:t>
      </w:r>
    </w:p>
    <w:p w14:paraId="5C533E9A" w14:textId="41DFD473" w:rsidR="004B49DA" w:rsidRDefault="004B49DA" w:rsidP="00154DEC">
      <w:pPr>
        <w:rPr>
          <w:rFonts w:ascii="Arial" w:eastAsiaTheme="majorEastAsia" w:hAnsi="Arial" w:cs="Arial"/>
          <w:b/>
          <w:bCs/>
          <w:color w:val="000000" w:themeColor="text1"/>
          <w:szCs w:val="24"/>
        </w:rPr>
      </w:pPr>
    </w:p>
    <w:p w14:paraId="30E14B01" w14:textId="3F9E90B3" w:rsidR="00154DEC" w:rsidRPr="00154DEC" w:rsidRDefault="004B49DA" w:rsidP="00154DEC">
      <w:pPr>
        <w:spacing w:after="240"/>
        <w:rPr>
          <w:rFonts w:ascii="Arial" w:hAnsi="Arial" w:cs="Arial"/>
          <w:b/>
          <w:bCs/>
          <w:color w:val="000000" w:themeColor="text1"/>
          <w:szCs w:val="24"/>
        </w:rPr>
      </w:pPr>
      <w:r w:rsidRPr="00154DEC">
        <w:rPr>
          <w:rFonts w:ascii="Arial" w:hAnsi="Arial" w:cs="Arial"/>
          <w:b/>
          <w:bCs/>
          <w:color w:val="000000" w:themeColor="text1"/>
          <w:szCs w:val="24"/>
        </w:rPr>
        <w:t>SUMMARY OF CLAUSES</w:t>
      </w:r>
    </w:p>
    <w:p w14:paraId="0353777E" w14:textId="77777777" w:rsidR="004B49DA" w:rsidRPr="00154DEC" w:rsidRDefault="004B49DA" w:rsidP="00154DEC">
      <w:pPr>
        <w:spacing w:after="240"/>
        <w:rPr>
          <w:rFonts w:ascii="Arial" w:hAnsi="Arial" w:cs="Arial"/>
          <w:b/>
          <w:bCs/>
          <w:color w:val="000000" w:themeColor="text1"/>
          <w:szCs w:val="24"/>
        </w:rPr>
      </w:pPr>
      <w:r w:rsidRPr="00154DEC">
        <w:rPr>
          <w:rFonts w:ascii="Arial" w:hAnsi="Arial" w:cs="Arial"/>
          <w:b/>
          <w:bCs/>
          <w:color w:val="000000" w:themeColor="text1"/>
          <w:szCs w:val="24"/>
        </w:rPr>
        <w:t>Clause 1 </w:t>
      </w:r>
      <w:r w:rsidRPr="00154DEC">
        <w:rPr>
          <w:rFonts w:ascii="Arial" w:hAnsi="Arial" w:cs="Arial"/>
          <w:b/>
          <w:bCs/>
          <w:color w:val="000000" w:themeColor="text1"/>
          <w:szCs w:val="24"/>
        </w:rPr>
        <w:tab/>
        <w:t>Name of regulation</w:t>
      </w:r>
    </w:p>
    <w:p w14:paraId="341BD978" w14:textId="23602E7E" w:rsidR="004B49DA" w:rsidRDefault="004B49DA" w:rsidP="00154DE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clause provides that the name of the regulation is the </w:t>
      </w:r>
      <w:r w:rsidRPr="002B411F">
        <w:rPr>
          <w:rFonts w:ascii="Arial" w:hAnsi="Arial" w:cs="Arial"/>
          <w:i/>
          <w:iCs/>
          <w:color w:val="000000"/>
        </w:rPr>
        <w:t>Magistrates Court (</w:t>
      </w:r>
      <w:r w:rsidR="0044787D" w:rsidRPr="002B411F">
        <w:rPr>
          <w:rFonts w:ascii="Arial" w:hAnsi="Arial" w:cs="Arial"/>
          <w:i/>
          <w:iCs/>
          <w:color w:val="000000"/>
        </w:rPr>
        <w:t>Building Infringement Notices</w:t>
      </w:r>
      <w:r w:rsidRPr="002B411F">
        <w:rPr>
          <w:rFonts w:ascii="Arial" w:hAnsi="Arial" w:cs="Arial"/>
          <w:i/>
          <w:iCs/>
          <w:color w:val="000000"/>
        </w:rPr>
        <w:t>)</w:t>
      </w:r>
      <w:r w:rsidR="0044787D" w:rsidRPr="002B411F">
        <w:rPr>
          <w:rFonts w:ascii="Arial" w:hAnsi="Arial" w:cs="Arial"/>
          <w:i/>
          <w:iCs/>
          <w:color w:val="000000"/>
        </w:rPr>
        <w:t xml:space="preserve"> Amendment</w:t>
      </w:r>
      <w:r w:rsidRPr="002B411F">
        <w:rPr>
          <w:rFonts w:ascii="Arial" w:hAnsi="Arial" w:cs="Arial"/>
          <w:i/>
          <w:iCs/>
          <w:color w:val="000000"/>
        </w:rPr>
        <w:t xml:space="preserve"> Regulatio</w:t>
      </w:r>
      <w:r w:rsidRPr="00442E95">
        <w:rPr>
          <w:rFonts w:ascii="Arial" w:hAnsi="Arial" w:cs="Arial"/>
          <w:i/>
          <w:iCs/>
          <w:color w:val="000000"/>
        </w:rPr>
        <w:t>n 202</w:t>
      </w:r>
      <w:r w:rsidR="0044787D" w:rsidRPr="00442E95">
        <w:rPr>
          <w:rFonts w:ascii="Arial" w:hAnsi="Arial" w:cs="Arial"/>
          <w:i/>
          <w:iCs/>
          <w:color w:val="000000"/>
        </w:rPr>
        <w:t>4</w:t>
      </w:r>
      <w:r w:rsidR="001A5CBC" w:rsidRPr="00442E95">
        <w:rPr>
          <w:rFonts w:ascii="Arial" w:hAnsi="Arial" w:cs="Arial"/>
          <w:i/>
          <w:iCs/>
          <w:color w:val="000000"/>
        </w:rPr>
        <w:t xml:space="preserve"> (No </w:t>
      </w:r>
      <w:r w:rsidR="00442E95" w:rsidRPr="00442E95">
        <w:rPr>
          <w:rFonts w:ascii="Arial" w:hAnsi="Arial" w:cs="Arial"/>
          <w:i/>
          <w:iCs/>
          <w:color w:val="000000"/>
        </w:rPr>
        <w:t>1</w:t>
      </w:r>
      <w:r w:rsidR="001A5CBC" w:rsidRPr="00442E95">
        <w:rPr>
          <w:rFonts w:ascii="Arial" w:hAnsi="Arial" w:cs="Arial"/>
          <w:i/>
          <w:iCs/>
          <w:color w:val="000000"/>
        </w:rPr>
        <w:t>)</w:t>
      </w:r>
      <w:r>
        <w:rPr>
          <w:rFonts w:ascii="Arial" w:hAnsi="Arial" w:cs="Arial"/>
          <w:color w:val="000000"/>
        </w:rPr>
        <w:t>.</w:t>
      </w:r>
    </w:p>
    <w:p w14:paraId="0DAFE5E7" w14:textId="77777777" w:rsidR="00154DEC" w:rsidRDefault="00154DEC" w:rsidP="00154DE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B729484" w14:textId="77777777" w:rsidR="004B49DA" w:rsidRPr="00154DEC" w:rsidRDefault="004B49DA" w:rsidP="00154DEC">
      <w:pPr>
        <w:spacing w:after="240"/>
        <w:rPr>
          <w:rFonts w:ascii="Arial" w:hAnsi="Arial" w:cs="Arial"/>
          <w:b/>
          <w:bCs/>
          <w:color w:val="000000" w:themeColor="text1"/>
          <w:szCs w:val="24"/>
        </w:rPr>
      </w:pPr>
      <w:r w:rsidRPr="00154DEC">
        <w:rPr>
          <w:rFonts w:ascii="Arial" w:hAnsi="Arial" w:cs="Arial"/>
          <w:b/>
          <w:bCs/>
          <w:color w:val="000000" w:themeColor="text1"/>
          <w:szCs w:val="24"/>
        </w:rPr>
        <w:t>Clause 2 </w:t>
      </w:r>
      <w:r w:rsidRPr="00154DEC">
        <w:rPr>
          <w:rFonts w:ascii="Arial" w:hAnsi="Arial" w:cs="Arial"/>
          <w:b/>
          <w:bCs/>
          <w:color w:val="000000" w:themeColor="text1"/>
          <w:szCs w:val="24"/>
        </w:rPr>
        <w:tab/>
        <w:t>Commencement</w:t>
      </w:r>
    </w:p>
    <w:p w14:paraId="65B854D2" w14:textId="5FF0C710" w:rsidR="004B49DA" w:rsidRDefault="004B49DA" w:rsidP="00154DE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clause provides for the commencement of the regulation on</w:t>
      </w:r>
      <w:r w:rsidR="0044787D">
        <w:rPr>
          <w:rFonts w:ascii="Arial" w:hAnsi="Arial" w:cs="Arial"/>
          <w:color w:val="000000"/>
        </w:rPr>
        <w:t xml:space="preserve"> 1 March 2024.</w:t>
      </w:r>
    </w:p>
    <w:p w14:paraId="17921100" w14:textId="77777777" w:rsidR="00154DEC" w:rsidRPr="00EA20AB" w:rsidRDefault="00154DEC" w:rsidP="00154DE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</w:rPr>
      </w:pPr>
    </w:p>
    <w:p w14:paraId="6B9ADBB5" w14:textId="5C04F4FA" w:rsidR="004B49DA" w:rsidRPr="00154DEC" w:rsidRDefault="004B49DA" w:rsidP="00154DEC">
      <w:pPr>
        <w:spacing w:after="240"/>
        <w:rPr>
          <w:rFonts w:ascii="Arial" w:hAnsi="Arial" w:cs="Arial"/>
          <w:b/>
          <w:bCs/>
          <w:color w:val="000000" w:themeColor="text1"/>
          <w:szCs w:val="24"/>
        </w:rPr>
      </w:pPr>
      <w:r w:rsidRPr="00154DEC">
        <w:rPr>
          <w:rFonts w:ascii="Arial" w:hAnsi="Arial" w:cs="Arial"/>
          <w:b/>
          <w:bCs/>
          <w:color w:val="000000" w:themeColor="text1"/>
          <w:szCs w:val="24"/>
        </w:rPr>
        <w:t>Clause 3 </w:t>
      </w:r>
      <w:r w:rsidRPr="00154DEC">
        <w:rPr>
          <w:rFonts w:ascii="Arial" w:hAnsi="Arial" w:cs="Arial"/>
          <w:b/>
          <w:bCs/>
          <w:color w:val="000000" w:themeColor="text1"/>
          <w:szCs w:val="24"/>
        </w:rPr>
        <w:tab/>
      </w:r>
      <w:r w:rsidR="0044787D" w:rsidRPr="00154DEC">
        <w:rPr>
          <w:rFonts w:ascii="Arial" w:hAnsi="Arial" w:cs="Arial"/>
          <w:b/>
          <w:bCs/>
          <w:color w:val="000000" w:themeColor="text1"/>
          <w:szCs w:val="24"/>
        </w:rPr>
        <w:t>Legislation amended</w:t>
      </w:r>
    </w:p>
    <w:p w14:paraId="2EEBA7FD" w14:textId="54305FEE" w:rsidR="004B49DA" w:rsidRDefault="004B49DA" w:rsidP="00154DE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 xml:space="preserve">This clause provides that the </w:t>
      </w:r>
      <w:r w:rsidR="0044787D">
        <w:rPr>
          <w:rFonts w:ascii="Arial" w:hAnsi="Arial" w:cs="Arial"/>
          <w:color w:val="000000"/>
        </w:rPr>
        <w:t xml:space="preserve">regulation amends the </w:t>
      </w:r>
      <w:r w:rsidR="0044787D">
        <w:rPr>
          <w:rFonts w:ascii="Arial" w:hAnsi="Arial" w:cs="Arial"/>
          <w:i/>
          <w:iCs/>
          <w:color w:val="000000"/>
        </w:rPr>
        <w:t>Magistrates Court (Building Infringement Notices) Regulation 2008.</w:t>
      </w:r>
    </w:p>
    <w:p w14:paraId="6B19B8D4" w14:textId="77777777" w:rsidR="00154DEC" w:rsidRDefault="00154DEC" w:rsidP="00154DE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1986ADB" w14:textId="1AC7CBCA" w:rsidR="004B49DA" w:rsidRPr="00154DEC" w:rsidRDefault="004B49DA" w:rsidP="00154DEC">
      <w:pPr>
        <w:spacing w:after="240"/>
        <w:rPr>
          <w:rFonts w:ascii="Arial" w:hAnsi="Arial" w:cs="Arial"/>
          <w:b/>
          <w:bCs/>
          <w:color w:val="000000" w:themeColor="text1"/>
          <w:szCs w:val="24"/>
        </w:rPr>
      </w:pPr>
      <w:r w:rsidRPr="00154DEC">
        <w:rPr>
          <w:rFonts w:ascii="Arial" w:hAnsi="Arial" w:cs="Arial"/>
          <w:b/>
          <w:bCs/>
          <w:color w:val="000000" w:themeColor="text1"/>
          <w:szCs w:val="24"/>
        </w:rPr>
        <w:t>Clause 4 </w:t>
      </w:r>
      <w:r w:rsidRPr="00154DEC">
        <w:rPr>
          <w:rFonts w:ascii="Arial" w:hAnsi="Arial" w:cs="Arial"/>
          <w:b/>
          <w:bCs/>
          <w:color w:val="000000" w:themeColor="text1"/>
          <w:szCs w:val="24"/>
        </w:rPr>
        <w:tab/>
      </w:r>
      <w:r w:rsidR="0044787D" w:rsidRPr="00154DEC">
        <w:rPr>
          <w:rFonts w:ascii="Arial" w:hAnsi="Arial" w:cs="Arial"/>
          <w:b/>
          <w:bCs/>
          <w:color w:val="000000" w:themeColor="text1"/>
          <w:szCs w:val="24"/>
        </w:rPr>
        <w:t>Schedule 1, part 1.1</w:t>
      </w:r>
    </w:p>
    <w:p w14:paraId="3AE9A324" w14:textId="438E06B1" w:rsidR="006815C9" w:rsidRDefault="004B49DA" w:rsidP="00154DE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This clause</w:t>
      </w:r>
      <w:r w:rsidRPr="00EA20AB">
        <w:rPr>
          <w:rFonts w:ascii="Arial" w:hAnsi="Arial" w:cs="Arial"/>
          <w:color w:val="000000"/>
        </w:rPr>
        <w:t xml:space="preserve"> provides </w:t>
      </w:r>
      <w:r w:rsidR="0044787D">
        <w:rPr>
          <w:rFonts w:ascii="Arial" w:hAnsi="Arial" w:cs="Arial"/>
          <w:color w:val="000000"/>
        </w:rPr>
        <w:t xml:space="preserve">the schedule of offence provisions, offence penalties (penalty units) and infringement penalties, for offences under the </w:t>
      </w:r>
      <w:r w:rsidR="0044787D">
        <w:rPr>
          <w:rFonts w:ascii="Arial" w:hAnsi="Arial" w:cs="Arial"/>
          <w:i/>
          <w:iCs/>
          <w:color w:val="000000"/>
        </w:rPr>
        <w:t>Building Act 2004.</w:t>
      </w:r>
      <w:bookmarkEnd w:id="0"/>
    </w:p>
    <w:sectPr w:rsidR="006815C9" w:rsidSect="00C161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D0ACC" w14:textId="77777777" w:rsidR="00ED5EBF" w:rsidRDefault="00ED5EBF" w:rsidP="006815C9">
      <w:r>
        <w:separator/>
      </w:r>
    </w:p>
  </w:endnote>
  <w:endnote w:type="continuationSeparator" w:id="0">
    <w:p w14:paraId="60EB40A5" w14:textId="77777777" w:rsidR="00ED5EBF" w:rsidRDefault="00ED5EBF" w:rsidP="0068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AA81" w14:textId="77777777" w:rsidR="00091D34" w:rsidRDefault="00091D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25B74" w14:textId="265310DF" w:rsidR="00091D34" w:rsidRPr="00D24722" w:rsidRDefault="00D24722" w:rsidP="00D24722">
    <w:pPr>
      <w:pStyle w:val="Footer"/>
      <w:jc w:val="center"/>
      <w:rPr>
        <w:rFonts w:cs="Arial"/>
        <w:sz w:val="14"/>
      </w:rPr>
    </w:pPr>
    <w:r w:rsidRPr="00D2472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32EE" w14:textId="77777777" w:rsidR="00091D34" w:rsidRDefault="0009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82106" w14:textId="77777777" w:rsidR="00ED5EBF" w:rsidRDefault="00ED5EBF" w:rsidP="006815C9">
      <w:r>
        <w:separator/>
      </w:r>
    </w:p>
  </w:footnote>
  <w:footnote w:type="continuationSeparator" w:id="0">
    <w:p w14:paraId="03C57CA7" w14:textId="77777777" w:rsidR="00ED5EBF" w:rsidRDefault="00ED5EBF" w:rsidP="00681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EE4A" w14:textId="77777777" w:rsidR="00091D34" w:rsidRDefault="00091D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6B4C" w14:textId="77777777" w:rsidR="00091D34" w:rsidRDefault="00091D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9E81" w14:textId="77777777" w:rsidR="00091D34" w:rsidRDefault="0009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D14DC1"/>
    <w:multiLevelType w:val="multilevel"/>
    <w:tmpl w:val="5A78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3331F4"/>
    <w:multiLevelType w:val="hybridMultilevel"/>
    <w:tmpl w:val="4A921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B1062"/>
    <w:multiLevelType w:val="multilevel"/>
    <w:tmpl w:val="7ED64002"/>
    <w:lvl w:ilvl="0">
      <w:start w:val="1"/>
      <w:numFmt w:val="bullet"/>
      <w:lvlText w:val=""/>
      <w:lvlJc w:val="left"/>
      <w:pPr>
        <w:tabs>
          <w:tab w:val="num" w:pos="306"/>
        </w:tabs>
        <w:ind w:left="30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26"/>
        </w:tabs>
        <w:ind w:left="102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26"/>
        </w:tabs>
        <w:ind w:left="462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465A3E11"/>
    <w:multiLevelType w:val="hybridMultilevel"/>
    <w:tmpl w:val="88245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A23CE"/>
    <w:multiLevelType w:val="multilevel"/>
    <w:tmpl w:val="A732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7171CB"/>
    <w:multiLevelType w:val="multilevel"/>
    <w:tmpl w:val="9C24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C93AF7"/>
    <w:multiLevelType w:val="multilevel"/>
    <w:tmpl w:val="B988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3454CF"/>
    <w:multiLevelType w:val="multilevel"/>
    <w:tmpl w:val="B3E8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3011621">
    <w:abstractNumId w:val="2"/>
  </w:num>
  <w:num w:numId="2" w16cid:durableId="1635140523">
    <w:abstractNumId w:val="0"/>
  </w:num>
  <w:num w:numId="3" w16cid:durableId="1561599978">
    <w:abstractNumId w:val="3"/>
  </w:num>
  <w:num w:numId="4" w16cid:durableId="1119229056">
    <w:abstractNumId w:val="9"/>
  </w:num>
  <w:num w:numId="5" w16cid:durableId="277107479">
    <w:abstractNumId w:val="15"/>
  </w:num>
  <w:num w:numId="6" w16cid:durableId="1784033658">
    <w:abstractNumId w:val="1"/>
  </w:num>
  <w:num w:numId="7" w16cid:durableId="1574318800">
    <w:abstractNumId w:val="7"/>
  </w:num>
  <w:num w:numId="8" w16cid:durableId="1614634556">
    <w:abstractNumId w:val="8"/>
  </w:num>
  <w:num w:numId="9" w16cid:durableId="1676884462">
    <w:abstractNumId w:val="14"/>
  </w:num>
  <w:num w:numId="10" w16cid:durableId="1806772387">
    <w:abstractNumId w:val="10"/>
  </w:num>
  <w:num w:numId="11" w16cid:durableId="891574692">
    <w:abstractNumId w:val="5"/>
  </w:num>
  <w:num w:numId="12" w16cid:durableId="472987603">
    <w:abstractNumId w:val="6"/>
  </w:num>
  <w:num w:numId="13" w16cid:durableId="1728526623">
    <w:abstractNumId w:val="4"/>
  </w:num>
  <w:num w:numId="14" w16cid:durableId="1452435135">
    <w:abstractNumId w:val="11"/>
  </w:num>
  <w:num w:numId="15" w16cid:durableId="1893081968">
    <w:abstractNumId w:val="13"/>
  </w:num>
  <w:num w:numId="16" w16cid:durableId="10540816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1D"/>
    <w:rsid w:val="00022420"/>
    <w:rsid w:val="00040E22"/>
    <w:rsid w:val="00045340"/>
    <w:rsid w:val="00091D34"/>
    <w:rsid w:val="00154DEC"/>
    <w:rsid w:val="00196342"/>
    <w:rsid w:val="001A5CBC"/>
    <w:rsid w:val="0023212C"/>
    <w:rsid w:val="0023380C"/>
    <w:rsid w:val="00247EF3"/>
    <w:rsid w:val="00260F01"/>
    <w:rsid w:val="0026395F"/>
    <w:rsid w:val="002B411F"/>
    <w:rsid w:val="002D255B"/>
    <w:rsid w:val="0037358C"/>
    <w:rsid w:val="003936F3"/>
    <w:rsid w:val="00442E95"/>
    <w:rsid w:val="0044787D"/>
    <w:rsid w:val="00453A21"/>
    <w:rsid w:val="004A3A26"/>
    <w:rsid w:val="004B2B28"/>
    <w:rsid w:val="004B49DA"/>
    <w:rsid w:val="004B5DF5"/>
    <w:rsid w:val="004D5F1A"/>
    <w:rsid w:val="004F3D17"/>
    <w:rsid w:val="005F6376"/>
    <w:rsid w:val="006426EB"/>
    <w:rsid w:val="006815C9"/>
    <w:rsid w:val="006940C5"/>
    <w:rsid w:val="006E7046"/>
    <w:rsid w:val="0077123D"/>
    <w:rsid w:val="007D1F0D"/>
    <w:rsid w:val="00810B35"/>
    <w:rsid w:val="008511EC"/>
    <w:rsid w:val="00880449"/>
    <w:rsid w:val="00885763"/>
    <w:rsid w:val="008A5FE4"/>
    <w:rsid w:val="008F2C37"/>
    <w:rsid w:val="00942F43"/>
    <w:rsid w:val="00950776"/>
    <w:rsid w:val="00960284"/>
    <w:rsid w:val="009D714F"/>
    <w:rsid w:val="009E4D9F"/>
    <w:rsid w:val="00A20762"/>
    <w:rsid w:val="00A30575"/>
    <w:rsid w:val="00AB3094"/>
    <w:rsid w:val="00B302E7"/>
    <w:rsid w:val="00B6067B"/>
    <w:rsid w:val="00B65C84"/>
    <w:rsid w:val="00B701BA"/>
    <w:rsid w:val="00BA41B1"/>
    <w:rsid w:val="00BC2159"/>
    <w:rsid w:val="00C1618B"/>
    <w:rsid w:val="00C24C93"/>
    <w:rsid w:val="00CA6E77"/>
    <w:rsid w:val="00D058A2"/>
    <w:rsid w:val="00D24722"/>
    <w:rsid w:val="00DD1038"/>
    <w:rsid w:val="00E13776"/>
    <w:rsid w:val="00EA74FC"/>
    <w:rsid w:val="00ED5EBF"/>
    <w:rsid w:val="00F127B9"/>
    <w:rsid w:val="00F2096C"/>
    <w:rsid w:val="00F5371D"/>
    <w:rsid w:val="00F90D55"/>
    <w:rsid w:val="00F97581"/>
    <w:rsid w:val="00FD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8FA759"/>
  <w15:docId w15:val="{44EDC86D-0069-4582-B49A-2BADA6F7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18B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1618B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1618B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C1618B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C1618B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1618B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C1618B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C1618B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C1618B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C1618B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C1618B"/>
    <w:pPr>
      <w:spacing w:before="180" w:after="60"/>
      <w:jc w:val="both"/>
    </w:pPr>
  </w:style>
  <w:style w:type="paragraph" w:customStyle="1" w:styleId="CoverActName">
    <w:name w:val="CoverActName"/>
    <w:basedOn w:val="Normal"/>
    <w:rsid w:val="00C1618B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C1618B"/>
    <w:pPr>
      <w:tabs>
        <w:tab w:val="left" w:pos="2880"/>
      </w:tabs>
    </w:pPr>
  </w:style>
  <w:style w:type="paragraph" w:customStyle="1" w:styleId="Apara">
    <w:name w:val="A para"/>
    <w:basedOn w:val="Normal"/>
    <w:rsid w:val="00C1618B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C1618B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C1618B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C1618B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C1618B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C1618B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C1618B"/>
  </w:style>
  <w:style w:type="paragraph" w:customStyle="1" w:styleId="CoverInForce">
    <w:name w:val="CoverInForce"/>
    <w:basedOn w:val="Normal"/>
    <w:rsid w:val="00C1618B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C1618B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C1618B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C1618B"/>
  </w:style>
  <w:style w:type="paragraph" w:customStyle="1" w:styleId="Aparabullet">
    <w:name w:val="A para bullet"/>
    <w:basedOn w:val="Normal"/>
    <w:rsid w:val="00C1618B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C1618B"/>
  </w:style>
  <w:style w:type="paragraph" w:styleId="TOC2">
    <w:name w:val="toc 2"/>
    <w:basedOn w:val="Normal"/>
    <w:next w:val="Normal"/>
    <w:autoRedefine/>
    <w:semiHidden/>
    <w:rsid w:val="00C1618B"/>
    <w:pPr>
      <w:ind w:left="240"/>
    </w:pPr>
  </w:style>
  <w:style w:type="paragraph" w:styleId="TOC3">
    <w:name w:val="toc 3"/>
    <w:basedOn w:val="Normal"/>
    <w:next w:val="Normal"/>
    <w:autoRedefine/>
    <w:semiHidden/>
    <w:rsid w:val="00C1618B"/>
    <w:pPr>
      <w:ind w:left="480"/>
    </w:pPr>
  </w:style>
  <w:style w:type="paragraph" w:styleId="TOC4">
    <w:name w:val="toc 4"/>
    <w:basedOn w:val="Normal"/>
    <w:next w:val="Normal"/>
    <w:autoRedefine/>
    <w:semiHidden/>
    <w:rsid w:val="00C1618B"/>
    <w:pPr>
      <w:ind w:left="720"/>
    </w:pPr>
  </w:style>
  <w:style w:type="paragraph" w:styleId="TOC5">
    <w:name w:val="toc 5"/>
    <w:basedOn w:val="Normal"/>
    <w:next w:val="Normal"/>
    <w:autoRedefine/>
    <w:semiHidden/>
    <w:rsid w:val="00C1618B"/>
    <w:pPr>
      <w:ind w:left="960"/>
    </w:pPr>
  </w:style>
  <w:style w:type="paragraph" w:styleId="TOC6">
    <w:name w:val="toc 6"/>
    <w:basedOn w:val="Normal"/>
    <w:next w:val="Normal"/>
    <w:autoRedefine/>
    <w:semiHidden/>
    <w:rsid w:val="00C1618B"/>
    <w:pPr>
      <w:ind w:left="1200"/>
    </w:pPr>
  </w:style>
  <w:style w:type="paragraph" w:styleId="TOC7">
    <w:name w:val="toc 7"/>
    <w:basedOn w:val="Normal"/>
    <w:next w:val="Normal"/>
    <w:autoRedefine/>
    <w:semiHidden/>
    <w:rsid w:val="00C1618B"/>
    <w:pPr>
      <w:ind w:left="1440"/>
    </w:pPr>
  </w:style>
  <w:style w:type="paragraph" w:styleId="TOC8">
    <w:name w:val="toc 8"/>
    <w:basedOn w:val="Normal"/>
    <w:next w:val="Normal"/>
    <w:autoRedefine/>
    <w:semiHidden/>
    <w:rsid w:val="00C1618B"/>
    <w:pPr>
      <w:ind w:left="1680"/>
    </w:pPr>
  </w:style>
  <w:style w:type="paragraph" w:styleId="TOC9">
    <w:name w:val="toc 9"/>
    <w:basedOn w:val="Normal"/>
    <w:next w:val="Normal"/>
    <w:autoRedefine/>
    <w:semiHidden/>
    <w:rsid w:val="00C1618B"/>
    <w:pPr>
      <w:ind w:left="1920"/>
    </w:pPr>
  </w:style>
  <w:style w:type="character" w:styleId="Hyperlink">
    <w:name w:val="Hyperlink"/>
    <w:basedOn w:val="DefaultParagraphFont"/>
    <w:semiHidden/>
    <w:rsid w:val="00C1618B"/>
    <w:rPr>
      <w:color w:val="0000FF"/>
      <w:u w:val="single"/>
    </w:rPr>
  </w:style>
  <w:style w:type="paragraph" w:styleId="BodyTextIndent">
    <w:name w:val="Body Text Indent"/>
    <w:basedOn w:val="Normal"/>
    <w:semiHidden/>
    <w:rsid w:val="00C1618B"/>
    <w:pPr>
      <w:spacing w:before="120" w:after="60"/>
      <w:ind w:left="709"/>
    </w:pPr>
  </w:style>
  <w:style w:type="paragraph" w:customStyle="1" w:styleId="Minister">
    <w:name w:val="Minister"/>
    <w:basedOn w:val="Normal"/>
    <w:rsid w:val="00C1618B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C1618B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C1618B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C1618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C1618B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C1618B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C1618B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C1618B"/>
  </w:style>
  <w:style w:type="paragraph" w:styleId="NormalWeb">
    <w:name w:val="Normal (Web)"/>
    <w:basedOn w:val="Normal"/>
    <w:uiPriority w:val="99"/>
    <w:unhideWhenUsed/>
    <w:rsid w:val="004B49DA"/>
    <w:pPr>
      <w:spacing w:before="100" w:beforeAutospacing="1" w:after="100" w:afterAutospacing="1"/>
    </w:pPr>
    <w:rPr>
      <w:szCs w:val="24"/>
      <w:lang w:eastAsia="en-AU"/>
    </w:rPr>
  </w:style>
  <w:style w:type="paragraph" w:styleId="ListParagraph">
    <w:name w:val="List Paragraph"/>
    <w:aliases w:val="List Paragraph1,List Paragraph11,Recommendation,Bullet point,L,List Paragraph111,F5 List Paragraph,Dot pt,CV text,Table text,Medium Grid 1 - Accent 21,Numbered Paragraph,List Paragraph2,NFP GP Bulleted List,FooterText,numbered,列出段,列出,列"/>
    <w:basedOn w:val="Normal"/>
    <w:link w:val="ListParagraphChar"/>
    <w:uiPriority w:val="34"/>
    <w:qFormat/>
    <w:rsid w:val="004B49D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ListParagraphChar">
    <w:name w:val="List Paragraph Char"/>
    <w:aliases w:val="List Paragraph1 Char,List Paragraph11 Char,Recommendation Char,Bullet point Char,L Char,List Paragraph111 Char,F5 List Paragraph Char,Dot pt Char,CV text Char,Table text Char,Medium Grid 1 - Accent 21 Char,Numbered Paragraph Char"/>
    <w:basedOn w:val="DefaultParagraphFont"/>
    <w:link w:val="ListParagraph"/>
    <w:uiPriority w:val="34"/>
    <w:qFormat/>
    <w:locked/>
    <w:rsid w:val="004B49DA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listparagraph0">
    <w:name w:val="listparagraph"/>
    <w:basedOn w:val="Normal"/>
    <w:rsid w:val="006426EB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Hyperlink1">
    <w:name w:val="Hyperlink1"/>
    <w:basedOn w:val="DefaultParagraphFont"/>
    <w:rsid w:val="004B2B28"/>
  </w:style>
  <w:style w:type="paragraph" w:styleId="Revision">
    <w:name w:val="Revision"/>
    <w:hidden/>
    <w:uiPriority w:val="99"/>
    <w:semiHidden/>
    <w:rsid w:val="00E13776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0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0B3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0B3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B3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5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A44796187</value>
    </field>
    <field name="Objective-Title">
      <value order="0">Att B - Explanatory Statement - Magistrates Court (Building Infringement Notices) Amendment Regulation 2024 (No )</value>
    </field>
    <field name="Objective-Description">
      <value order="0"/>
    </field>
    <field name="Objective-CreationStamp">
      <value order="0">2023-12-05T00:10:58Z</value>
    </field>
    <field name="Objective-IsApproved">
      <value order="0">false</value>
    </field>
    <field name="Objective-IsPublished">
      <value order="0">true</value>
    </field>
    <field name="Objective-DatePublished">
      <value order="0">2024-01-30T04:36:47Z</value>
    </field>
    <field name="Objective-ModificationStamp">
      <value order="0">2024-01-30T04:36:47Z</value>
    </field>
    <field name="Objective-Owner">
      <value order="0">Amy Kingham</value>
    </field>
    <field name="Objective-Path">
      <value order="0">Whole of ACT Government:EPSDD - Environment Planning and Sustainable Development Directorate:07. Ministerial, Cabinet and Government Relations:06. Ministerials:z. 2013 - 2023 Ministerial and Chief Ministerial Correspondence:2023 - Ministerial and Chief Ministerial Briefs / Correspondence:Planning and Urban Policy:2023:23/114994 Ministerial - Information Brief - Rattenbury/Barr - Magistrates Court (Building Infringement Notices) Amendment Regulation 2024 (No )</value>
    </field>
    <field name="Objective-Parent">
      <value order="0">23/114994 Ministerial - Information Brief - Rattenbury/Barr - Magistrates Court (Building Infringement Notices) Amendment Regulation 2024 (No )</value>
    </field>
    <field name="Objective-State">
      <value order="0">Published</value>
    </field>
    <field name="Objective-VersionId">
      <value order="0">vA56776007</value>
    </field>
    <field name="Objective-Version">
      <value order="0">14.0</value>
    </field>
    <field name="Objective-VersionNumber">
      <value order="0">17</value>
    </field>
    <field name="Objective-VersionComment">
      <value order="0"/>
    </field>
    <field name="Objective-FileNumber">
      <value order="0">1-2023/114994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2444</Characters>
  <Application>Microsoft Office Word</Application>
  <DocSecurity>0</DocSecurity>
  <Lines>69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2024-02-29T01:44:00Z</dcterms:created>
  <dcterms:modified xsi:type="dcterms:W3CDTF">2024-02-29T01:44:00Z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A44796187</vt:lpwstr>
  </property>
  <property fmtid="{D5CDD505-2E9C-101B-9397-08002B2CF9AE}" pid="4" name="Objective-Title">
    <vt:lpwstr>Att B - Explanatory Statement - Magistrates Court (Building Infringement Notices) Amendment Regulation 2024 (No )</vt:lpwstr>
  </property>
  <property fmtid="{D5CDD505-2E9C-101B-9397-08002B2CF9AE}" pid="5" name="Objective-Description">
    <vt:lpwstr/>
  </property>
  <property fmtid="{D5CDD505-2E9C-101B-9397-08002B2CF9AE}" pid="6" name="Objective-CreationStamp">
    <vt:filetime>2023-12-05T00:10:58Z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2024-01-30T04:36:47Z</vt:filetime>
  </property>
  <property fmtid="{D5CDD505-2E9C-101B-9397-08002B2CF9AE}" pid="10" name="Objective-ModificationStamp">
    <vt:filetime>2024-01-30T04:36:47Z</vt:filetime>
  </property>
  <property fmtid="{D5CDD505-2E9C-101B-9397-08002B2CF9AE}" pid="11" name="Objective-Owner">
    <vt:lpwstr>Amy Kingham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Ministerials:z. 2013 - 2023 Ministerial and Chief Ministerial Correspondence:2023 - Ministerial and Chief Ministerial Briefs / Correspondence:Planning and Urban Policy:2023:23/114994 Ministerial - Information Brief - Rattenbury/Barr - Magistrates Court (Building Infringement Notices) Amendment Regulation 2024 (No ):</vt:lpwstr>
  </property>
  <property fmtid="{D5CDD505-2E9C-101B-9397-08002B2CF9AE}" pid="13" name="Objective-Parent">
    <vt:lpwstr>23/114994 Ministerial - Information Brief - Rattenbury/Barr - Magistrates Court (Building Infringement Notices) Amendment Regulation 2024 (No )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vA56776007</vt:lpwstr>
  </property>
  <property fmtid="{D5CDD505-2E9C-101B-9397-08002B2CF9AE}" pid="16" name="Objective-Version">
    <vt:lpwstr>14.0</vt:lpwstr>
  </property>
  <property fmtid="{D5CDD505-2E9C-101B-9397-08002B2CF9AE}" pid="17" name="Objective-VersionNumber">
    <vt:r8>17</vt:r8>
  </property>
  <property fmtid="{D5CDD505-2E9C-101B-9397-08002B2CF9AE}" pid="18" name="Objective-VersionComment">
    <vt:lpwstr/>
  </property>
  <property fmtid="{D5CDD505-2E9C-101B-9397-08002B2CF9AE}" pid="19" name="Objective-FileNumber">
    <vt:lpwstr>1-2023/114994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">
    <vt:lpwstr>EPSDD</vt:lpwstr>
  </property>
  <property fmtid="{D5CDD505-2E9C-101B-9397-08002B2CF9AE}" pid="23" name="Objective-Document Type">
    <vt:lpwstr>0-Document</vt:lpwstr>
  </property>
  <property fmtid="{D5CDD505-2E9C-101B-9397-08002B2CF9AE}" pid="24" name="Objective-Language">
    <vt:lpwstr>English (en)</vt:lpwstr>
  </property>
  <property fmtid="{D5CDD505-2E9C-101B-9397-08002B2CF9AE}" pid="25" name="Objective-Jurisdiction">
    <vt:lpwstr>ACT</vt:lpwstr>
  </property>
  <property fmtid="{D5CDD505-2E9C-101B-9397-08002B2CF9AE}" pid="26" name="Objective-Customers">
    <vt:lpwstr/>
  </property>
  <property fmtid="{D5CDD505-2E9C-101B-9397-08002B2CF9AE}" pid="27" name="Objective-Places">
    <vt:lpwstr/>
  </property>
  <property fmtid="{D5CDD505-2E9C-101B-9397-08002B2CF9AE}" pid="28" name="Objective-Transaction Reference">
    <vt:lpwstr/>
  </property>
  <property fmtid="{D5CDD505-2E9C-101B-9397-08002B2CF9AE}" pid="29" name="Objective-Document Created By">
    <vt:lpwstr/>
  </property>
  <property fmtid="{D5CDD505-2E9C-101B-9397-08002B2CF9AE}" pid="30" name="Objective-Document Created On">
    <vt:lpwstr/>
  </property>
  <property fmtid="{D5CDD505-2E9C-101B-9397-08002B2CF9AE}" pid="31" name="Objective-Covers Period From">
    <vt:lpwstr/>
  </property>
  <property fmtid="{D5CDD505-2E9C-101B-9397-08002B2CF9AE}" pid="32" name="Objective-Covers Period To">
    <vt:lpwstr/>
  </property>
  <property fmtid="{D5CDD505-2E9C-101B-9397-08002B2CF9AE}" pid="33" name="Objective-Comment">
    <vt:lpwstr/>
  </property>
</Properties>
</file>