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7648"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1D955DF5" w14:textId="127FA0C3" w:rsidR="006815C9" w:rsidRDefault="00C63C59">
      <w:pPr>
        <w:pStyle w:val="Billname"/>
        <w:spacing w:before="700"/>
      </w:pPr>
      <w:r>
        <w:t>Professional Engineers Regulation 2024</w:t>
      </w:r>
    </w:p>
    <w:p w14:paraId="06424385" w14:textId="25A5BF96" w:rsidR="006815C9" w:rsidRDefault="00F5371D" w:rsidP="00091D34">
      <w:pPr>
        <w:spacing w:before="340"/>
        <w:rPr>
          <w:rFonts w:ascii="Arial" w:hAnsi="Arial" w:cs="Arial"/>
          <w:b/>
          <w:bCs/>
        </w:rPr>
      </w:pPr>
      <w:r>
        <w:rPr>
          <w:rFonts w:ascii="Arial" w:hAnsi="Arial" w:cs="Arial"/>
          <w:b/>
          <w:bCs/>
        </w:rPr>
        <w:t>Subordinate law SL</w:t>
      </w:r>
      <w:r w:rsidR="00C63C59">
        <w:rPr>
          <w:rFonts w:ascii="Arial" w:hAnsi="Arial" w:cs="Arial"/>
          <w:b/>
          <w:bCs/>
        </w:rPr>
        <w:t>2024</w:t>
      </w:r>
      <w:r w:rsidR="006815C9">
        <w:rPr>
          <w:rFonts w:ascii="Arial" w:hAnsi="Arial" w:cs="Arial"/>
          <w:b/>
          <w:bCs/>
        </w:rPr>
        <w:t>–</w:t>
      </w:r>
      <w:r w:rsidR="00142DE2">
        <w:rPr>
          <w:rFonts w:ascii="Arial" w:hAnsi="Arial" w:cs="Arial"/>
          <w:b/>
          <w:bCs/>
        </w:rPr>
        <w:t>3</w:t>
      </w:r>
    </w:p>
    <w:p w14:paraId="3724EBAE" w14:textId="77777777" w:rsidR="006815C9" w:rsidRDefault="006815C9" w:rsidP="00091D34">
      <w:pPr>
        <w:pStyle w:val="madeunder"/>
        <w:spacing w:before="300" w:after="0"/>
      </w:pPr>
      <w:r>
        <w:t xml:space="preserve">made under the  </w:t>
      </w:r>
    </w:p>
    <w:p w14:paraId="1E724C0D" w14:textId="6F150AC4" w:rsidR="006815C9" w:rsidRDefault="004229A6" w:rsidP="00091D34">
      <w:pPr>
        <w:pStyle w:val="CoverActName"/>
        <w:spacing w:before="320" w:after="0"/>
        <w:rPr>
          <w:rFonts w:cs="Arial"/>
          <w:sz w:val="20"/>
        </w:rPr>
      </w:pPr>
      <w:r>
        <w:rPr>
          <w:rFonts w:cs="Arial"/>
          <w:sz w:val="20"/>
        </w:rPr>
        <w:t>Professional Engineers Act 2023</w:t>
      </w:r>
      <w:r w:rsidR="006815C9">
        <w:rPr>
          <w:rFonts w:cs="Arial"/>
          <w:sz w:val="20"/>
        </w:rPr>
        <w:t xml:space="preserve">, </w:t>
      </w:r>
      <w:r w:rsidR="00C63C59">
        <w:rPr>
          <w:rFonts w:cs="Arial"/>
          <w:sz w:val="20"/>
        </w:rPr>
        <w:t xml:space="preserve">s </w:t>
      </w:r>
      <w:r w:rsidR="00577FE5">
        <w:rPr>
          <w:rFonts w:cs="Arial"/>
          <w:sz w:val="20"/>
        </w:rPr>
        <w:t>89</w:t>
      </w:r>
      <w:r w:rsidR="006815C9">
        <w:rPr>
          <w:rFonts w:cs="Arial"/>
          <w:sz w:val="20"/>
        </w:rPr>
        <w:t xml:space="preserve"> (</w:t>
      </w:r>
      <w:bookmarkStart w:id="1" w:name="_Toc120019735"/>
      <w:r w:rsidR="00577FE5" w:rsidRPr="00577FE5">
        <w:rPr>
          <w:rFonts w:cs="Arial"/>
          <w:sz w:val="20"/>
        </w:rPr>
        <w:t>Regulation-making power</w:t>
      </w:r>
      <w:bookmarkEnd w:id="1"/>
      <w:r w:rsidR="006815C9">
        <w:rPr>
          <w:rFonts w:cs="Arial"/>
          <w:sz w:val="20"/>
        </w:rPr>
        <w:t>)</w:t>
      </w:r>
    </w:p>
    <w:p w14:paraId="21DC6066"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1E6ADC15" w14:textId="77777777" w:rsidR="006815C9" w:rsidRDefault="006815C9">
      <w:pPr>
        <w:pStyle w:val="N-line3"/>
        <w:pBdr>
          <w:bottom w:val="none" w:sz="0" w:space="0" w:color="auto"/>
        </w:pBdr>
      </w:pPr>
    </w:p>
    <w:p w14:paraId="0489DFDC" w14:textId="77777777" w:rsidR="006815C9" w:rsidRDefault="006815C9">
      <w:pPr>
        <w:pStyle w:val="N-line3"/>
        <w:pBdr>
          <w:top w:val="single" w:sz="12" w:space="1" w:color="auto"/>
          <w:bottom w:val="none" w:sz="0" w:space="0" w:color="auto"/>
        </w:pBdr>
      </w:pPr>
    </w:p>
    <w:bookmarkEnd w:id="0"/>
    <w:p w14:paraId="2FF90B90" w14:textId="34F02065" w:rsidR="00C63C59" w:rsidRDefault="00C63C59" w:rsidP="00C63C59">
      <w:r>
        <w:t xml:space="preserve">This explanatory statement relates to the </w:t>
      </w:r>
      <w:r>
        <w:rPr>
          <w:i/>
        </w:rPr>
        <w:t>Professional Engineers Regulation 2024</w:t>
      </w:r>
      <w:r>
        <w:t xml:space="preserve"> (the </w:t>
      </w:r>
      <w:r w:rsidRPr="00620F86">
        <w:rPr>
          <w:b/>
          <w:bCs/>
          <w:i/>
          <w:iCs/>
        </w:rPr>
        <w:t>regulation</w:t>
      </w:r>
      <w:r>
        <w:t xml:space="preserve">) as made by the Executive. </w:t>
      </w:r>
      <w:r w:rsidRPr="00530761">
        <w:t>It has been prepared to assist the reader of the regulation. It does not form part of the regulation and has not been endorsed by the Legislative Assembly.</w:t>
      </w:r>
    </w:p>
    <w:p w14:paraId="003D7253" w14:textId="77777777" w:rsidR="00C63C59" w:rsidRDefault="00C63C59" w:rsidP="00C63C59"/>
    <w:p w14:paraId="505799EA" w14:textId="77777777" w:rsidR="00C63C59" w:rsidRDefault="00C63C59" w:rsidP="00C63C59">
      <w:pPr>
        <w:rPr>
          <w:sz w:val="22"/>
        </w:rPr>
      </w:pPr>
      <w:r>
        <w:rPr>
          <w:rStyle w:val="ui-provider"/>
        </w:rPr>
        <w:t>This statement must be read in conjunction with the regulation. It is not, and is not meant to be, a comprehensive description of the regulation. What is said about a provision is not to be taken as an authoritative guide to the meaning of a provision, this being a task for the courts.</w:t>
      </w:r>
    </w:p>
    <w:p w14:paraId="4BB895F4" w14:textId="77777777" w:rsidR="00C63C59" w:rsidRDefault="00C63C59" w:rsidP="00C63C59"/>
    <w:p w14:paraId="035D81BE" w14:textId="47093E05" w:rsidR="00C63C59" w:rsidRDefault="0031124F" w:rsidP="00C63C59">
      <w:pPr>
        <w:rPr>
          <w:b/>
        </w:rPr>
      </w:pPr>
      <w:r>
        <w:rPr>
          <w:b/>
        </w:rPr>
        <w:t>OVERVIEW</w:t>
      </w:r>
    </w:p>
    <w:p w14:paraId="385DA050" w14:textId="78DF817F" w:rsidR="006815C9" w:rsidRDefault="00C63C59">
      <w:r>
        <w:t xml:space="preserve">The regulation is made </w:t>
      </w:r>
      <w:r w:rsidR="00577FE5">
        <w:t>under</w:t>
      </w:r>
      <w:r>
        <w:t xml:space="preserve"> </w:t>
      </w:r>
      <w:r w:rsidR="00D935A6">
        <w:t xml:space="preserve">section 89 </w:t>
      </w:r>
      <w:r w:rsidR="004229A6">
        <w:t>of the</w:t>
      </w:r>
      <w:r>
        <w:t xml:space="preserve"> </w:t>
      </w:r>
      <w:r>
        <w:rPr>
          <w:i/>
          <w:iCs/>
        </w:rPr>
        <w:t xml:space="preserve">Professional Engineers Act 2023 </w:t>
      </w:r>
      <w:r>
        <w:t>(the Act).</w:t>
      </w:r>
      <w:r w:rsidR="0031124F">
        <w:t xml:space="preserve"> </w:t>
      </w:r>
    </w:p>
    <w:p w14:paraId="436336A0" w14:textId="77777777" w:rsidR="0031124F" w:rsidRDefault="0031124F"/>
    <w:p w14:paraId="51AA74C9" w14:textId="2B0BA106" w:rsidR="005E3194" w:rsidRDefault="0031124F" w:rsidP="005E3194">
      <w:r>
        <w:t xml:space="preserve">The Act </w:t>
      </w:r>
      <w:r w:rsidR="005E3194">
        <w:t>establishes</w:t>
      </w:r>
      <w:r w:rsidR="005E3194" w:rsidRPr="005E3194">
        <w:t xml:space="preserve"> </w:t>
      </w:r>
      <w:r w:rsidR="005E3194">
        <w:t>a</w:t>
      </w:r>
      <w:r w:rsidR="005E3194" w:rsidRPr="005E3194">
        <w:t xml:space="preserve"> </w:t>
      </w:r>
      <w:r w:rsidR="005E3194">
        <w:t>registration</w:t>
      </w:r>
      <w:r w:rsidR="005E3194" w:rsidRPr="005E3194">
        <w:t xml:space="preserve"> </w:t>
      </w:r>
      <w:r w:rsidR="005E3194">
        <w:t>scheme</w:t>
      </w:r>
      <w:r w:rsidR="005E3194" w:rsidRPr="005E3194">
        <w:t xml:space="preserve"> </w:t>
      </w:r>
      <w:r w:rsidR="005E3194">
        <w:t>for</w:t>
      </w:r>
      <w:r w:rsidR="005E3194" w:rsidRPr="005E3194">
        <w:t xml:space="preserve"> </w:t>
      </w:r>
      <w:r w:rsidR="005E3194">
        <w:t>professional</w:t>
      </w:r>
      <w:r w:rsidR="005E3194" w:rsidRPr="005E3194">
        <w:t xml:space="preserve"> </w:t>
      </w:r>
      <w:r w:rsidR="005E3194">
        <w:t>engineers; provides</w:t>
      </w:r>
      <w:r w:rsidR="005E3194" w:rsidRPr="005E3194">
        <w:t xml:space="preserve"> </w:t>
      </w:r>
      <w:r w:rsidR="005E3194">
        <w:t>for</w:t>
      </w:r>
      <w:r w:rsidR="005E3194" w:rsidRPr="005E3194">
        <w:t xml:space="preserve"> </w:t>
      </w:r>
      <w:r w:rsidR="005E3194">
        <w:t>the</w:t>
      </w:r>
      <w:r w:rsidR="005E3194" w:rsidRPr="005E3194">
        <w:t xml:space="preserve"> </w:t>
      </w:r>
      <w:r w:rsidR="005E3194">
        <w:t>monitoring</w:t>
      </w:r>
      <w:r w:rsidR="005E3194" w:rsidRPr="005E3194">
        <w:t xml:space="preserve"> </w:t>
      </w:r>
      <w:r w:rsidR="005E3194">
        <w:t>and</w:t>
      </w:r>
      <w:r w:rsidR="005E3194" w:rsidRPr="005E3194">
        <w:t xml:space="preserve"> </w:t>
      </w:r>
      <w:r w:rsidR="005E3194">
        <w:t>enforcement</w:t>
      </w:r>
      <w:r w:rsidR="005E3194" w:rsidRPr="005E3194">
        <w:t xml:space="preserve"> </w:t>
      </w:r>
      <w:r w:rsidR="005E3194">
        <w:t>of</w:t>
      </w:r>
      <w:r w:rsidR="005E3194" w:rsidRPr="005E3194">
        <w:t xml:space="preserve"> </w:t>
      </w:r>
      <w:r w:rsidR="005E3194">
        <w:t>compliance</w:t>
      </w:r>
      <w:r w:rsidR="005E3194" w:rsidRPr="005E3194">
        <w:t xml:space="preserve"> </w:t>
      </w:r>
      <w:r w:rsidR="005E3194">
        <w:t>with the Act and imposes obligations on people registered about the provision of professional engineering</w:t>
      </w:r>
      <w:r w:rsidR="005E3194" w:rsidRPr="005E3194">
        <w:t xml:space="preserve"> </w:t>
      </w:r>
      <w:r w:rsidR="005E3194">
        <w:t>services.</w:t>
      </w:r>
    </w:p>
    <w:p w14:paraId="19FA4A28" w14:textId="77777777" w:rsidR="00421332" w:rsidRDefault="00421332" w:rsidP="005E3194"/>
    <w:p w14:paraId="1537CA12" w14:textId="7C9AC1F7" w:rsidR="00421332" w:rsidRDefault="00421332" w:rsidP="00421332">
      <w:r>
        <w:t>The registration scheme sets standards of practice for</w:t>
      </w:r>
      <w:r w:rsidRPr="00421332">
        <w:t xml:space="preserve"> </w:t>
      </w:r>
      <w:r>
        <w:t>professional engineers; promotes ongoing professional development within the</w:t>
      </w:r>
      <w:r w:rsidRPr="00421332">
        <w:t xml:space="preserve"> </w:t>
      </w:r>
      <w:r>
        <w:t>engineering profession; reduces the risk of loss and harm to the public from</w:t>
      </w:r>
      <w:r w:rsidRPr="00421332">
        <w:t xml:space="preserve"> </w:t>
      </w:r>
      <w:r>
        <w:t>engineering services; and gives consumers more confidence in engaging the services of</w:t>
      </w:r>
      <w:r w:rsidRPr="00421332">
        <w:t xml:space="preserve"> </w:t>
      </w:r>
      <w:r>
        <w:t>a</w:t>
      </w:r>
      <w:r w:rsidRPr="00421332">
        <w:t xml:space="preserve"> </w:t>
      </w:r>
      <w:r>
        <w:t>registered</w:t>
      </w:r>
      <w:r w:rsidRPr="00421332">
        <w:t xml:space="preserve"> </w:t>
      </w:r>
      <w:r>
        <w:t>professional</w:t>
      </w:r>
      <w:r w:rsidRPr="00421332">
        <w:t xml:space="preserve"> </w:t>
      </w:r>
      <w:r>
        <w:t>engineer.</w:t>
      </w:r>
    </w:p>
    <w:p w14:paraId="3679709B" w14:textId="77777777" w:rsidR="00421332" w:rsidRDefault="00421332" w:rsidP="00421332"/>
    <w:p w14:paraId="121CFC9B" w14:textId="77777777" w:rsidR="00421332" w:rsidRDefault="00421332" w:rsidP="00421332">
      <w:r>
        <w:t>There are potential significant risks to health, safety and the economic wellbeing of</w:t>
      </w:r>
      <w:r w:rsidRPr="00421332">
        <w:t xml:space="preserve"> </w:t>
      </w:r>
      <w:r>
        <w:t>individuals and the broader community resulting from the provision of engineering</w:t>
      </w:r>
      <w:r w:rsidRPr="00421332">
        <w:t xml:space="preserve"> </w:t>
      </w:r>
      <w:r>
        <w:t>services where an individual attempts to undertake engineering work without the</w:t>
      </w:r>
      <w:r w:rsidRPr="00421332">
        <w:t xml:space="preserve"> </w:t>
      </w:r>
      <w:r>
        <w:t>adequate qualifications, experience and/or competencies. These impacts can</w:t>
      </w:r>
      <w:r w:rsidRPr="00421332">
        <w:t xml:space="preserve"> </w:t>
      </w:r>
      <w:r>
        <w:t>manifest through:</w:t>
      </w:r>
    </w:p>
    <w:p w14:paraId="7D137330" w14:textId="31D86966" w:rsidR="00421332" w:rsidRDefault="00421332" w:rsidP="00421332">
      <w:pPr>
        <w:pStyle w:val="ListParagraph"/>
        <w:widowControl w:val="0"/>
        <w:numPr>
          <w:ilvl w:val="0"/>
          <w:numId w:val="15"/>
        </w:numPr>
        <w:tabs>
          <w:tab w:val="left" w:pos="905"/>
        </w:tabs>
        <w:autoSpaceDE w:val="0"/>
        <w:autoSpaceDN w:val="0"/>
        <w:spacing w:before="120" w:after="120"/>
        <w:ind w:left="901" w:hanging="357"/>
        <w:contextualSpacing w:val="0"/>
      </w:pPr>
      <w:r>
        <w:rPr>
          <w:b/>
        </w:rPr>
        <w:t xml:space="preserve">Health: </w:t>
      </w:r>
      <w:r>
        <w:t>Poorly designed or ‘sick’ buildings (poor air-conditioning, rising</w:t>
      </w:r>
      <w:r>
        <w:rPr>
          <w:spacing w:val="1"/>
        </w:rPr>
        <w:t xml:space="preserve"> </w:t>
      </w:r>
      <w:r>
        <w:t>damp, low natural light levels). Beyond the building sector, health effects can</w:t>
      </w:r>
      <w:r w:rsidR="00957776">
        <w:t xml:space="preserve"> </w:t>
      </w:r>
      <w:r>
        <w:t>include things such as contaminated drinking water and other environmental</w:t>
      </w:r>
      <w:r w:rsidR="00CA5A1D">
        <w:t xml:space="preserve"> </w:t>
      </w:r>
      <w:r>
        <w:t>incidents.</w:t>
      </w:r>
    </w:p>
    <w:p w14:paraId="6E36F112" w14:textId="77777777" w:rsidR="00421332" w:rsidRDefault="00421332" w:rsidP="00421332">
      <w:pPr>
        <w:pStyle w:val="ListParagraph"/>
        <w:widowControl w:val="0"/>
        <w:numPr>
          <w:ilvl w:val="0"/>
          <w:numId w:val="15"/>
        </w:numPr>
        <w:tabs>
          <w:tab w:val="left" w:pos="905"/>
        </w:tabs>
        <w:autoSpaceDE w:val="0"/>
        <w:autoSpaceDN w:val="0"/>
        <w:spacing w:before="120" w:after="120"/>
        <w:ind w:left="901" w:hanging="357"/>
        <w:contextualSpacing w:val="0"/>
      </w:pPr>
      <w:r>
        <w:rPr>
          <w:b/>
        </w:rPr>
        <w:lastRenderedPageBreak/>
        <w:t xml:space="preserve">Safety: </w:t>
      </w:r>
      <w:r>
        <w:t>through the structural failure of whole or part of buildings, structural</w:t>
      </w:r>
      <w:r>
        <w:rPr>
          <w:spacing w:val="-64"/>
        </w:rPr>
        <w:t xml:space="preserve"> </w:t>
      </w:r>
      <w:r>
        <w:t>failure of infrastructure (for example, bridges) or through the failure of</w:t>
      </w:r>
      <w:r>
        <w:rPr>
          <w:spacing w:val="1"/>
        </w:rPr>
        <w:t xml:space="preserve"> </w:t>
      </w:r>
      <w:r>
        <w:t>hazardous</w:t>
      </w:r>
      <w:r>
        <w:rPr>
          <w:spacing w:val="-1"/>
        </w:rPr>
        <w:t xml:space="preserve"> </w:t>
      </w:r>
      <w:r>
        <w:t>services</w:t>
      </w:r>
      <w:r>
        <w:rPr>
          <w:spacing w:val="-1"/>
        </w:rPr>
        <w:t xml:space="preserve"> </w:t>
      </w:r>
      <w:r>
        <w:t>such as</w:t>
      </w:r>
      <w:r>
        <w:rPr>
          <w:spacing w:val="-3"/>
        </w:rPr>
        <w:t xml:space="preserve"> </w:t>
      </w:r>
      <w:r>
        <w:t>gas,</w:t>
      </w:r>
      <w:r>
        <w:rPr>
          <w:spacing w:val="-3"/>
        </w:rPr>
        <w:t xml:space="preserve"> </w:t>
      </w:r>
      <w:r>
        <w:t>electricity</w:t>
      </w:r>
      <w:r>
        <w:rPr>
          <w:spacing w:val="-1"/>
        </w:rPr>
        <w:t xml:space="preserve"> </w:t>
      </w:r>
      <w:r>
        <w:t>or</w:t>
      </w:r>
      <w:r>
        <w:rPr>
          <w:spacing w:val="-4"/>
        </w:rPr>
        <w:t xml:space="preserve"> </w:t>
      </w:r>
      <w:r>
        <w:t>mechanical</w:t>
      </w:r>
      <w:r>
        <w:rPr>
          <w:spacing w:val="-1"/>
        </w:rPr>
        <w:t xml:space="preserve"> </w:t>
      </w:r>
      <w:r>
        <w:t>works.</w:t>
      </w:r>
    </w:p>
    <w:p w14:paraId="4CCB2A76" w14:textId="77777777" w:rsidR="00421332" w:rsidRDefault="00421332" w:rsidP="00421332">
      <w:pPr>
        <w:pStyle w:val="ListParagraph"/>
        <w:widowControl w:val="0"/>
        <w:numPr>
          <w:ilvl w:val="0"/>
          <w:numId w:val="15"/>
        </w:numPr>
        <w:tabs>
          <w:tab w:val="left" w:pos="905"/>
        </w:tabs>
        <w:autoSpaceDE w:val="0"/>
        <w:autoSpaceDN w:val="0"/>
        <w:spacing w:before="120" w:after="120"/>
        <w:ind w:left="901" w:hanging="357"/>
        <w:contextualSpacing w:val="0"/>
      </w:pPr>
      <w:r>
        <w:rPr>
          <w:b/>
        </w:rPr>
        <w:t xml:space="preserve">Economic: </w:t>
      </w:r>
      <w:r>
        <w:t>involving financial costs such as design and construction costs,</w:t>
      </w:r>
      <w:r>
        <w:rPr>
          <w:spacing w:val="-64"/>
        </w:rPr>
        <w:t xml:space="preserve"> </w:t>
      </w:r>
      <w:r>
        <w:t>litigation</w:t>
      </w:r>
      <w:r>
        <w:rPr>
          <w:spacing w:val="-2"/>
        </w:rPr>
        <w:t xml:space="preserve"> </w:t>
      </w:r>
      <w:r>
        <w:t>expenses,</w:t>
      </w:r>
      <w:r>
        <w:rPr>
          <w:spacing w:val="-3"/>
        </w:rPr>
        <w:t xml:space="preserve"> </w:t>
      </w:r>
      <w:r>
        <w:t>lost production</w:t>
      </w:r>
      <w:r>
        <w:rPr>
          <w:spacing w:val="-2"/>
        </w:rPr>
        <w:t xml:space="preserve"> </w:t>
      </w:r>
      <w:r>
        <w:t>and rectification costs.</w:t>
      </w:r>
    </w:p>
    <w:p w14:paraId="4A03F76C" w14:textId="77777777" w:rsidR="00421332" w:rsidRDefault="00421332" w:rsidP="005E3194"/>
    <w:p w14:paraId="116909DA" w14:textId="4BD26656" w:rsidR="00D935A6" w:rsidRDefault="00D935A6" w:rsidP="005E3194">
      <w:r>
        <w:t>This regulation</w:t>
      </w:r>
      <w:r w:rsidR="00B5176F">
        <w:t>:</w:t>
      </w:r>
    </w:p>
    <w:p w14:paraId="3AF24D94" w14:textId="77777777" w:rsidR="00B5176F" w:rsidRDefault="00B5176F" w:rsidP="005E3194"/>
    <w:p w14:paraId="24B228DC" w14:textId="47B4CB0B" w:rsidR="00B5176F" w:rsidRPr="00942036" w:rsidRDefault="00421332" w:rsidP="00577FE5">
      <w:pPr>
        <w:numPr>
          <w:ilvl w:val="0"/>
          <w:numId w:val="17"/>
        </w:numPr>
        <w:spacing w:after="120"/>
        <w:rPr>
          <w:rFonts w:cstheme="minorHAnsi"/>
          <w:szCs w:val="24"/>
          <w:lang w:eastAsia="en-AU"/>
        </w:rPr>
      </w:pPr>
      <w:r>
        <w:rPr>
          <w:rFonts w:cstheme="minorHAnsi"/>
          <w:szCs w:val="24"/>
          <w:lang w:eastAsia="en-AU"/>
        </w:rPr>
        <w:t>p</w:t>
      </w:r>
      <w:r w:rsidR="00B5176F">
        <w:rPr>
          <w:rFonts w:cstheme="minorHAnsi"/>
          <w:szCs w:val="24"/>
          <w:lang w:eastAsia="en-AU"/>
        </w:rPr>
        <w:t>rovides t</w:t>
      </w:r>
      <w:r w:rsidR="00B5176F" w:rsidRPr="00942036">
        <w:rPr>
          <w:rFonts w:cstheme="minorHAnsi"/>
          <w:szCs w:val="24"/>
          <w:lang w:eastAsia="en-AU"/>
        </w:rPr>
        <w:t xml:space="preserve">he Professional Engineers Registrar with </w:t>
      </w:r>
      <w:r w:rsidR="00B5176F">
        <w:rPr>
          <w:rFonts w:cstheme="minorHAnsi"/>
          <w:szCs w:val="24"/>
          <w:lang w:eastAsia="en-AU"/>
        </w:rPr>
        <w:t xml:space="preserve">the </w:t>
      </w:r>
      <w:r w:rsidR="00B5176F" w:rsidRPr="00C120E2">
        <w:rPr>
          <w:rFonts w:cstheme="minorHAnsi"/>
          <w:szCs w:val="24"/>
          <w:lang w:eastAsia="en-AU"/>
        </w:rPr>
        <w:t>ability to</w:t>
      </w:r>
      <w:r w:rsidR="00B5176F" w:rsidRPr="00942036">
        <w:rPr>
          <w:rFonts w:cstheme="minorHAnsi"/>
          <w:szCs w:val="24"/>
          <w:lang w:eastAsia="en-AU"/>
        </w:rPr>
        <w:t xml:space="preserve"> issue a registration for a shorter registration period than the default 3-year term</w:t>
      </w:r>
      <w:r w:rsidR="00577FE5">
        <w:rPr>
          <w:rFonts w:cstheme="minorHAnsi"/>
          <w:szCs w:val="24"/>
          <w:lang w:eastAsia="en-AU"/>
        </w:rPr>
        <w:t xml:space="preserve">. This is limited at this time to </w:t>
      </w:r>
      <w:r w:rsidR="00B5176F" w:rsidRPr="00C120E2">
        <w:rPr>
          <w:rFonts w:cstheme="minorHAnsi"/>
          <w:szCs w:val="24"/>
          <w:lang w:eastAsia="en-AU"/>
        </w:rPr>
        <w:t xml:space="preserve">circumstances where a person applies </w:t>
      </w:r>
      <w:r w:rsidR="00B5176F" w:rsidRPr="00942036">
        <w:rPr>
          <w:rFonts w:cstheme="minorHAnsi"/>
          <w:szCs w:val="24"/>
          <w:lang w:eastAsia="en-AU"/>
        </w:rPr>
        <w:t xml:space="preserve">for an additional area of engineering following the issuing of their original registration so that </w:t>
      </w:r>
      <w:r w:rsidR="00B5176F" w:rsidRPr="00C120E2">
        <w:rPr>
          <w:rFonts w:cstheme="minorHAnsi"/>
          <w:szCs w:val="24"/>
          <w:lang w:eastAsia="en-AU"/>
        </w:rPr>
        <w:t>registrations for all</w:t>
      </w:r>
      <w:r w:rsidR="00B5176F" w:rsidRPr="00942036">
        <w:rPr>
          <w:rFonts w:cstheme="minorHAnsi"/>
          <w:szCs w:val="24"/>
          <w:lang w:eastAsia="en-AU"/>
        </w:rPr>
        <w:t xml:space="preserve"> areas of engineering expire at the same time.</w:t>
      </w:r>
    </w:p>
    <w:p w14:paraId="61D64EE5" w14:textId="09DA1937" w:rsidR="00B5176F" w:rsidRDefault="00421332" w:rsidP="00577FE5">
      <w:pPr>
        <w:numPr>
          <w:ilvl w:val="0"/>
          <w:numId w:val="17"/>
        </w:numPr>
        <w:spacing w:after="120"/>
        <w:rPr>
          <w:rFonts w:cstheme="minorHAnsi"/>
          <w:szCs w:val="24"/>
          <w:lang w:eastAsia="en-AU"/>
        </w:rPr>
      </w:pPr>
      <w:r>
        <w:rPr>
          <w:rFonts w:cstheme="minorHAnsi"/>
          <w:szCs w:val="24"/>
          <w:lang w:eastAsia="en-AU"/>
        </w:rPr>
        <w:t>p</w:t>
      </w:r>
      <w:r w:rsidR="00B5176F">
        <w:rPr>
          <w:rFonts w:cstheme="minorHAnsi"/>
          <w:szCs w:val="24"/>
          <w:lang w:eastAsia="en-AU"/>
        </w:rPr>
        <w:t xml:space="preserve">rovides for </w:t>
      </w:r>
      <w:r w:rsidR="00B5176F" w:rsidRPr="00C120E2">
        <w:rPr>
          <w:rFonts w:cstheme="minorHAnsi"/>
          <w:szCs w:val="24"/>
          <w:lang w:eastAsia="en-AU"/>
        </w:rPr>
        <w:t>how the</w:t>
      </w:r>
      <w:r w:rsidR="00B5176F" w:rsidRPr="00942036">
        <w:rPr>
          <w:rFonts w:cstheme="minorHAnsi"/>
          <w:szCs w:val="24"/>
          <w:lang w:eastAsia="en-AU"/>
        </w:rPr>
        <w:t xml:space="preserve"> term of registrations issued prior to 6 March 2025</w:t>
      </w:r>
      <w:r w:rsidR="00B5176F" w:rsidRPr="00C120E2">
        <w:rPr>
          <w:rFonts w:cstheme="minorHAnsi"/>
          <w:szCs w:val="24"/>
          <w:lang w:eastAsia="en-AU"/>
        </w:rPr>
        <w:t xml:space="preserve"> will be determined</w:t>
      </w:r>
      <w:r w:rsidR="00B5176F" w:rsidRPr="00942036">
        <w:rPr>
          <w:rFonts w:cstheme="minorHAnsi"/>
          <w:szCs w:val="24"/>
          <w:lang w:eastAsia="en-AU"/>
        </w:rPr>
        <w:t>.</w:t>
      </w:r>
    </w:p>
    <w:p w14:paraId="759D9243" w14:textId="74833010" w:rsidR="00B5176F" w:rsidRDefault="00421332" w:rsidP="00577FE5">
      <w:pPr>
        <w:numPr>
          <w:ilvl w:val="0"/>
          <w:numId w:val="17"/>
        </w:numPr>
        <w:spacing w:after="120"/>
        <w:rPr>
          <w:rFonts w:cstheme="minorHAnsi"/>
          <w:szCs w:val="24"/>
          <w:lang w:eastAsia="en-AU"/>
        </w:rPr>
      </w:pPr>
      <w:r>
        <w:rPr>
          <w:rFonts w:cstheme="minorHAnsi"/>
          <w:szCs w:val="24"/>
          <w:lang w:eastAsia="en-AU"/>
        </w:rPr>
        <w:t>e</w:t>
      </w:r>
      <w:r w:rsidR="00B5176F">
        <w:rPr>
          <w:rFonts w:cstheme="minorHAnsi"/>
          <w:szCs w:val="24"/>
          <w:lang w:eastAsia="en-AU"/>
        </w:rPr>
        <w:t>stablishes statutory conditions on registration in circumstances where an applicant for registration does not meet the additional requirements prescribed in the qualifications, experience and competencies determination for providing professional engineering services to the building and construction industry.</w:t>
      </w:r>
    </w:p>
    <w:p w14:paraId="10EB0F2F" w14:textId="3553A78F" w:rsidR="00B5176F" w:rsidRDefault="00B5176F" w:rsidP="005E3194">
      <w:r w:rsidRPr="00B5176F">
        <w:t>From 6 March 2025, all professional engineers will be required to be registered and the offence provisions in the Act will commence.</w:t>
      </w:r>
    </w:p>
    <w:p w14:paraId="17CB49AF" w14:textId="77777777" w:rsidR="004B73FB" w:rsidRDefault="004B73FB" w:rsidP="005E3194"/>
    <w:p w14:paraId="7B663CEF" w14:textId="5340D47B" w:rsidR="004B73FB" w:rsidRDefault="004B73FB" w:rsidP="005E3194">
      <w:r>
        <w:t xml:space="preserve">The Scheme </w:t>
      </w:r>
      <w:r w:rsidRPr="004B73FB">
        <w:t xml:space="preserve">will initially apply to the following five areas of engineering: Civil; Structural; Mechanical; Electrical; and Fire Safety. Additional eligibility requirements are proposed to apply to a professional engineer working in the building and construction industry. These </w:t>
      </w:r>
      <w:r>
        <w:t>ar</w:t>
      </w:r>
      <w:r w:rsidRPr="004B73FB">
        <w:t xml:space="preserve">e contained in the </w:t>
      </w:r>
      <w:r>
        <w:rPr>
          <w:rFonts w:cstheme="minorHAnsi"/>
          <w:szCs w:val="24"/>
          <w:lang w:eastAsia="en-AU"/>
        </w:rPr>
        <w:t xml:space="preserve">qualifications, experience and competencies determination </w:t>
      </w:r>
      <w:r w:rsidRPr="004B73FB">
        <w:t>and cover knowledge of the National Construction Code (NCC)</w:t>
      </w:r>
      <w:r w:rsidR="0027076D">
        <w:t xml:space="preserve"> </w:t>
      </w:r>
      <w:r w:rsidR="00F716FE">
        <w:t xml:space="preserve">and </w:t>
      </w:r>
      <w:r w:rsidRPr="004B73FB">
        <w:t>a specified period of experience in the building and construction industry.</w:t>
      </w:r>
    </w:p>
    <w:p w14:paraId="45D7D8DF" w14:textId="77777777" w:rsidR="004B73FB" w:rsidRPr="00B5176F" w:rsidRDefault="004B73FB" w:rsidP="005E3194"/>
    <w:p w14:paraId="746A8D53" w14:textId="77777777" w:rsidR="004B73FB" w:rsidRDefault="004B73FB" w:rsidP="004B73FB">
      <w:r>
        <w:t>The scheme will apply to individuals providing professional engineering services</w:t>
      </w:r>
      <w:r w:rsidRPr="004B73FB">
        <w:t xml:space="preserve"> </w:t>
      </w:r>
      <w:r>
        <w:t>(developing or overseeing the development of engineer designs) in the prescribed</w:t>
      </w:r>
      <w:r w:rsidRPr="004B73FB">
        <w:t xml:space="preserve"> </w:t>
      </w:r>
      <w:r>
        <w:t>areas</w:t>
      </w:r>
      <w:r w:rsidRPr="004B73FB">
        <w:t xml:space="preserve"> </w:t>
      </w:r>
      <w:r>
        <w:t>of</w:t>
      </w:r>
      <w:r w:rsidRPr="004B73FB">
        <w:t xml:space="preserve"> </w:t>
      </w:r>
      <w:r>
        <w:t>engineering if</w:t>
      </w:r>
      <w:r w:rsidRPr="004B73FB">
        <w:t xml:space="preserve"> </w:t>
      </w:r>
      <w:r>
        <w:t>the</w:t>
      </w:r>
      <w:r w:rsidRPr="004B73FB">
        <w:t xml:space="preserve"> </w:t>
      </w:r>
      <w:r>
        <w:t>services</w:t>
      </w:r>
      <w:r w:rsidRPr="004B73FB">
        <w:t xml:space="preserve"> </w:t>
      </w:r>
      <w:r>
        <w:t>are</w:t>
      </w:r>
      <w:r w:rsidRPr="004B73FB">
        <w:t xml:space="preserve"> </w:t>
      </w:r>
      <w:r>
        <w:t>provided:</w:t>
      </w:r>
    </w:p>
    <w:p w14:paraId="36BC932E" w14:textId="77777777" w:rsidR="004B73FB" w:rsidRPr="004B73FB" w:rsidRDefault="004B73FB" w:rsidP="004B73FB">
      <w:pPr>
        <w:numPr>
          <w:ilvl w:val="0"/>
          <w:numId w:val="21"/>
        </w:numPr>
        <w:spacing w:before="120" w:after="120"/>
        <w:rPr>
          <w:rFonts w:cstheme="minorHAnsi"/>
          <w:szCs w:val="24"/>
          <w:lang w:eastAsia="en-AU"/>
        </w:rPr>
      </w:pPr>
      <w:r>
        <w:t>in</w:t>
      </w:r>
      <w:r w:rsidRPr="004B73FB">
        <w:t xml:space="preserve"> </w:t>
      </w:r>
      <w:r>
        <w:t>the</w:t>
      </w:r>
      <w:r w:rsidRPr="004B73FB">
        <w:t xml:space="preserve"> </w:t>
      </w:r>
      <w:r w:rsidRPr="004B73FB">
        <w:rPr>
          <w:rFonts w:cstheme="minorHAnsi"/>
          <w:szCs w:val="24"/>
          <w:lang w:eastAsia="en-AU"/>
        </w:rPr>
        <w:t>ACT; and/or</w:t>
      </w:r>
    </w:p>
    <w:p w14:paraId="7B671703" w14:textId="77777777" w:rsidR="004B73FB" w:rsidRDefault="004B73FB" w:rsidP="004B73FB">
      <w:pPr>
        <w:numPr>
          <w:ilvl w:val="0"/>
          <w:numId w:val="21"/>
        </w:numPr>
        <w:spacing w:after="120"/>
      </w:pPr>
      <w:r w:rsidRPr="004B73FB">
        <w:rPr>
          <w:rFonts w:cstheme="minorHAnsi"/>
          <w:szCs w:val="24"/>
          <w:lang w:eastAsia="en-AU"/>
        </w:rPr>
        <w:t>from a location outside the ACT, but the services are provided for projects in the ACT (for example, provided</w:t>
      </w:r>
      <w:r w:rsidRPr="004B73FB">
        <w:t xml:space="preserve"> </w:t>
      </w:r>
      <w:r>
        <w:t>for</w:t>
      </w:r>
      <w:r w:rsidRPr="004B73FB">
        <w:t xml:space="preserve"> </w:t>
      </w:r>
      <w:r>
        <w:t>a</w:t>
      </w:r>
      <w:r w:rsidRPr="004B73FB">
        <w:t xml:space="preserve"> </w:t>
      </w:r>
      <w:r>
        <w:t>project or</w:t>
      </w:r>
      <w:r w:rsidRPr="004B73FB">
        <w:t xml:space="preserve"> </w:t>
      </w:r>
      <w:r>
        <w:t>purpose in the</w:t>
      </w:r>
      <w:r w:rsidRPr="004B73FB">
        <w:t xml:space="preserve"> </w:t>
      </w:r>
      <w:r>
        <w:t>ACT).</w:t>
      </w:r>
    </w:p>
    <w:p w14:paraId="1FEFA50D" w14:textId="73E62683" w:rsidR="004B73FB" w:rsidRDefault="004B73FB" w:rsidP="004B73FB">
      <w:r>
        <w:t>Engineers working under direct supervision of a registered professional engineer or</w:t>
      </w:r>
      <w:r w:rsidRPr="004B73FB">
        <w:t xml:space="preserve"> </w:t>
      </w:r>
      <w:r>
        <w:t xml:space="preserve">only in accordance with prescriptive standards are not required to be registered. </w:t>
      </w:r>
    </w:p>
    <w:p w14:paraId="5C70E574" w14:textId="77777777" w:rsidR="00B5176F" w:rsidRDefault="00B5176F" w:rsidP="005E3194"/>
    <w:p w14:paraId="6A3B4F0C" w14:textId="04C2798F" w:rsidR="0031124F" w:rsidRDefault="0031124F" w:rsidP="0031124F">
      <w:pPr>
        <w:rPr>
          <w:b/>
        </w:rPr>
      </w:pPr>
      <w:r>
        <w:rPr>
          <w:b/>
        </w:rPr>
        <w:t>HUMAN RIGHTS IMPLICATIONS</w:t>
      </w:r>
    </w:p>
    <w:p w14:paraId="2356A7AC" w14:textId="77777777" w:rsidR="00577FE5" w:rsidRDefault="00577FE5" w:rsidP="00577FE5">
      <w:pPr>
        <w:pStyle w:val="NormalWeb"/>
        <w:shd w:val="clear" w:color="auto" w:fill="FFFFFF"/>
        <w:spacing w:before="0" w:beforeAutospacing="0" w:after="0" w:afterAutospacing="0"/>
        <w:rPr>
          <w:color w:val="000000"/>
        </w:rPr>
      </w:pPr>
      <w:r>
        <w:rPr>
          <w:rFonts w:ascii="TimesNewRomanPSMT" w:hAnsi="TimesNewRomanPSMT"/>
          <w:color w:val="000000"/>
        </w:rPr>
        <w:t>The Standing Committee on Justice and Community Safety (Legislative Scrutiny</w:t>
      </w:r>
    </w:p>
    <w:p w14:paraId="4E6B2F13" w14:textId="77777777" w:rsidR="00577FE5" w:rsidRDefault="00577FE5" w:rsidP="00577FE5">
      <w:pPr>
        <w:pStyle w:val="NormalWeb"/>
        <w:shd w:val="clear" w:color="auto" w:fill="FFFFFF"/>
        <w:spacing w:before="0" w:beforeAutospacing="0" w:after="0" w:afterAutospacing="0"/>
        <w:rPr>
          <w:color w:val="000000"/>
        </w:rPr>
      </w:pPr>
      <w:r>
        <w:rPr>
          <w:rFonts w:ascii="TimesNewRomanPSMT" w:hAnsi="TimesNewRomanPSMT"/>
          <w:color w:val="000000"/>
        </w:rPr>
        <w:t>Role) terms of reference require consideration of human rights impacts of subordinate legislation, among other matters. </w:t>
      </w:r>
    </w:p>
    <w:p w14:paraId="5D047E38" w14:textId="77777777" w:rsidR="0089786C" w:rsidRPr="0089786C" w:rsidRDefault="0089786C" w:rsidP="0089786C">
      <w:pPr>
        <w:rPr>
          <w:rFonts w:ascii="Arial" w:hAnsi="Arial" w:cs="Arial"/>
          <w:iCs/>
          <w:szCs w:val="24"/>
        </w:rPr>
      </w:pPr>
    </w:p>
    <w:p w14:paraId="0E05CC7F" w14:textId="50AF1475" w:rsidR="000440F8" w:rsidRDefault="000440F8" w:rsidP="000440F8">
      <w:pPr>
        <w:rPr>
          <w:szCs w:val="24"/>
        </w:rPr>
      </w:pPr>
      <w:r>
        <w:rPr>
          <w:szCs w:val="24"/>
        </w:rPr>
        <w:lastRenderedPageBreak/>
        <w:t xml:space="preserve">This regulation could be seen to engage and limit the </w:t>
      </w:r>
      <w:r w:rsidRPr="000440F8">
        <w:rPr>
          <w:szCs w:val="24"/>
        </w:rPr>
        <w:t xml:space="preserve">right to work (section 27B (1) of the </w:t>
      </w:r>
      <w:r w:rsidRPr="000440F8">
        <w:rPr>
          <w:i/>
          <w:iCs/>
          <w:szCs w:val="24"/>
        </w:rPr>
        <w:t>Human Rights Act 2004</w:t>
      </w:r>
      <w:r>
        <w:rPr>
          <w:i/>
          <w:iCs/>
          <w:szCs w:val="24"/>
        </w:rPr>
        <w:t xml:space="preserve"> </w:t>
      </w:r>
      <w:r>
        <w:t>(HRA)</w:t>
      </w:r>
      <w:r w:rsidRPr="000440F8">
        <w:rPr>
          <w:szCs w:val="24"/>
        </w:rPr>
        <w:t>) by restricting work that an individual can undertake.</w:t>
      </w:r>
    </w:p>
    <w:p w14:paraId="17613212" w14:textId="77777777" w:rsidR="000440F8" w:rsidRPr="000440F8" w:rsidRDefault="000440F8" w:rsidP="000440F8">
      <w:pPr>
        <w:rPr>
          <w:szCs w:val="24"/>
        </w:rPr>
      </w:pPr>
    </w:p>
    <w:p w14:paraId="15E5BFC1" w14:textId="22389B87" w:rsidR="00376329" w:rsidRDefault="00376329" w:rsidP="00376329">
      <w:r>
        <w:t xml:space="preserve">A detailed human rights assessment is contained in the </w:t>
      </w:r>
      <w:hyperlink r:id="rId8" w:history="1">
        <w:r w:rsidRPr="008D44DB">
          <w:rPr>
            <w:rStyle w:val="Hyperlink"/>
          </w:rPr>
          <w:t>Explanatory Statement</w:t>
        </w:r>
      </w:hyperlink>
      <w:r>
        <w:t xml:space="preserve"> to the </w:t>
      </w:r>
      <w:r w:rsidRPr="00376329">
        <w:t>Act</w:t>
      </w:r>
      <w:r>
        <w:t xml:space="preserve"> including consideration of the impact of the introduction of a professional engineers registration scheme in the ACT on section 27B of the </w:t>
      </w:r>
      <w:r w:rsidRPr="00376329">
        <w:t>HRA</w:t>
      </w:r>
      <w:r>
        <w:t>.</w:t>
      </w:r>
    </w:p>
    <w:p w14:paraId="6BEE8BED" w14:textId="77777777" w:rsidR="00376329" w:rsidRDefault="00376329" w:rsidP="0089786C">
      <w:pPr>
        <w:rPr>
          <w:szCs w:val="24"/>
        </w:rPr>
      </w:pPr>
    </w:p>
    <w:p w14:paraId="1898D807" w14:textId="2112CD71" w:rsidR="00376329" w:rsidRDefault="00376329" w:rsidP="00376329">
      <w:r w:rsidRPr="00376329">
        <w:t xml:space="preserve">The statutory condition on registration established in this regulation is considered reasonable and proportionate to the objectives of the Professional Engineers Registration Scheme established by the Act. </w:t>
      </w:r>
      <w:r>
        <w:t>Section 27B (1) of the HRA expressly provides that the practice of a trade, occupation or</w:t>
      </w:r>
      <w:r w:rsidRPr="00376329">
        <w:t xml:space="preserve"> </w:t>
      </w:r>
      <w:r>
        <w:t>profession may be</w:t>
      </w:r>
      <w:r w:rsidRPr="00376329">
        <w:t xml:space="preserve"> </w:t>
      </w:r>
      <w:r>
        <w:t>regulated</w:t>
      </w:r>
      <w:r w:rsidRPr="00376329">
        <w:t xml:space="preserve"> </w:t>
      </w:r>
      <w:r>
        <w:t>by</w:t>
      </w:r>
      <w:r w:rsidRPr="00376329">
        <w:t xml:space="preserve"> </w:t>
      </w:r>
      <w:r>
        <w:t>law.</w:t>
      </w:r>
    </w:p>
    <w:p w14:paraId="3D26B548" w14:textId="3AA440C9" w:rsidR="00D935A6" w:rsidRDefault="00D935A6" w:rsidP="0089786C">
      <w:pPr>
        <w:rPr>
          <w:szCs w:val="24"/>
        </w:rPr>
      </w:pPr>
    </w:p>
    <w:p w14:paraId="143EC9F1" w14:textId="77777777" w:rsidR="00376329" w:rsidRDefault="00376329" w:rsidP="00376329">
      <w:pPr>
        <w:rPr>
          <w:szCs w:val="24"/>
        </w:rPr>
      </w:pPr>
      <w:r w:rsidRPr="00376329">
        <w:rPr>
          <w:szCs w:val="24"/>
        </w:rPr>
        <w:t>There are potential significant risks to health, safety and the economic wellbeing of individuals and the broader community resulting from the provision of engineering services where an individual attempts to undertake engineering work without the adequate qualifications, experience and/or competencies.</w:t>
      </w:r>
    </w:p>
    <w:p w14:paraId="0BAC92C3" w14:textId="77777777" w:rsidR="00376329" w:rsidRPr="00376329" w:rsidRDefault="00376329" w:rsidP="00376329">
      <w:pPr>
        <w:rPr>
          <w:szCs w:val="24"/>
        </w:rPr>
      </w:pPr>
    </w:p>
    <w:p w14:paraId="47D5D19B" w14:textId="77777777" w:rsidR="00376329" w:rsidRDefault="00376329" w:rsidP="00376329">
      <w:pPr>
        <w:rPr>
          <w:szCs w:val="24"/>
        </w:rPr>
      </w:pPr>
      <w:r w:rsidRPr="00376329">
        <w:rPr>
          <w:szCs w:val="24"/>
        </w:rPr>
        <w:t>In developing this Bill, consideration of the significant impact poor engineering services can have on the community has been at the forefront. Requiring registration of professional engineers addresses community and national expectations around professional engineering services.</w:t>
      </w:r>
    </w:p>
    <w:p w14:paraId="0A09635B" w14:textId="77777777" w:rsidR="00376329" w:rsidRPr="00376329" w:rsidRDefault="00376329" w:rsidP="00376329">
      <w:pPr>
        <w:rPr>
          <w:szCs w:val="24"/>
        </w:rPr>
      </w:pPr>
    </w:p>
    <w:p w14:paraId="70D703D8" w14:textId="77777777" w:rsidR="00376329" w:rsidRPr="00376329" w:rsidRDefault="00376329" w:rsidP="00376329">
      <w:pPr>
        <w:rPr>
          <w:szCs w:val="24"/>
        </w:rPr>
      </w:pPr>
      <w:r w:rsidRPr="00376329">
        <w:rPr>
          <w:szCs w:val="24"/>
        </w:rPr>
        <w:t>The objective of the scheme is to ensure that engineers that do not have the necessary qualifications, experience and competencies do not provide their services to the community thus providing confidence in the community in obtaining these services. It is a reasonable expectation of the community that professional engineers are subject to a level of accountability and regulatory oversight in providing professional engineering services.</w:t>
      </w:r>
    </w:p>
    <w:p w14:paraId="692D9AED" w14:textId="77777777" w:rsidR="00376329" w:rsidRPr="00376329" w:rsidRDefault="00376329" w:rsidP="00376329">
      <w:pPr>
        <w:widowControl w:val="0"/>
        <w:autoSpaceDE w:val="0"/>
        <w:autoSpaceDN w:val="0"/>
        <w:spacing w:before="201"/>
        <w:rPr>
          <w:rFonts w:eastAsia="Arial"/>
          <w:szCs w:val="24"/>
        </w:rPr>
      </w:pPr>
      <w:r w:rsidRPr="00376329">
        <w:rPr>
          <w:rFonts w:eastAsia="Arial"/>
          <w:szCs w:val="24"/>
        </w:rPr>
        <w:t>Specific</w:t>
      </w:r>
      <w:r w:rsidRPr="00376329">
        <w:rPr>
          <w:rFonts w:eastAsia="Arial"/>
          <w:spacing w:val="-4"/>
          <w:szCs w:val="24"/>
        </w:rPr>
        <w:t xml:space="preserve"> </w:t>
      </w:r>
      <w:r w:rsidRPr="00376329">
        <w:rPr>
          <w:rFonts w:eastAsia="Arial"/>
          <w:szCs w:val="24"/>
        </w:rPr>
        <w:t>safeguards</w:t>
      </w:r>
      <w:r w:rsidRPr="00376329">
        <w:rPr>
          <w:rFonts w:eastAsia="Arial"/>
          <w:spacing w:val="-3"/>
          <w:szCs w:val="24"/>
        </w:rPr>
        <w:t xml:space="preserve"> </w:t>
      </w:r>
      <w:r w:rsidRPr="00376329">
        <w:rPr>
          <w:rFonts w:eastAsia="Arial"/>
          <w:szCs w:val="24"/>
        </w:rPr>
        <w:t>in</w:t>
      </w:r>
      <w:r w:rsidRPr="00376329">
        <w:rPr>
          <w:rFonts w:eastAsia="Arial"/>
          <w:spacing w:val="-5"/>
          <w:szCs w:val="24"/>
        </w:rPr>
        <w:t xml:space="preserve"> </w:t>
      </w:r>
      <w:r w:rsidRPr="00376329">
        <w:rPr>
          <w:rFonts w:eastAsia="Arial"/>
          <w:szCs w:val="24"/>
        </w:rPr>
        <w:t>the</w:t>
      </w:r>
      <w:r w:rsidRPr="00376329">
        <w:rPr>
          <w:rFonts w:eastAsia="Arial"/>
          <w:spacing w:val="-2"/>
          <w:szCs w:val="24"/>
        </w:rPr>
        <w:t xml:space="preserve"> </w:t>
      </w:r>
      <w:r w:rsidRPr="00376329">
        <w:rPr>
          <w:rFonts w:eastAsia="Arial"/>
          <w:szCs w:val="24"/>
        </w:rPr>
        <w:t>scheme</w:t>
      </w:r>
      <w:r w:rsidRPr="00376329">
        <w:rPr>
          <w:rFonts w:eastAsia="Arial"/>
          <w:spacing w:val="-2"/>
          <w:szCs w:val="24"/>
        </w:rPr>
        <w:t xml:space="preserve"> </w:t>
      </w:r>
      <w:r w:rsidRPr="00376329">
        <w:rPr>
          <w:rFonts w:eastAsia="Arial"/>
          <w:szCs w:val="24"/>
        </w:rPr>
        <w:t>relating</w:t>
      </w:r>
      <w:r w:rsidRPr="00376329">
        <w:rPr>
          <w:rFonts w:eastAsia="Arial"/>
          <w:spacing w:val="-5"/>
          <w:szCs w:val="24"/>
        </w:rPr>
        <w:t xml:space="preserve"> </w:t>
      </w:r>
      <w:r w:rsidRPr="00376329">
        <w:rPr>
          <w:rFonts w:eastAsia="Arial"/>
          <w:szCs w:val="24"/>
        </w:rPr>
        <w:t>to</w:t>
      </w:r>
      <w:r w:rsidRPr="00376329">
        <w:rPr>
          <w:rFonts w:eastAsia="Arial"/>
          <w:spacing w:val="-4"/>
          <w:szCs w:val="24"/>
        </w:rPr>
        <w:t xml:space="preserve"> </w:t>
      </w:r>
      <w:r w:rsidRPr="00376329">
        <w:rPr>
          <w:rFonts w:eastAsia="Arial"/>
          <w:szCs w:val="24"/>
        </w:rPr>
        <w:t>registration</w:t>
      </w:r>
      <w:r w:rsidRPr="00376329">
        <w:rPr>
          <w:rFonts w:eastAsia="Arial"/>
          <w:spacing w:val="-2"/>
          <w:szCs w:val="24"/>
        </w:rPr>
        <w:t xml:space="preserve"> </w:t>
      </w:r>
      <w:r w:rsidRPr="00376329">
        <w:rPr>
          <w:rFonts w:eastAsia="Arial"/>
          <w:szCs w:val="24"/>
        </w:rPr>
        <w:t>include:</w:t>
      </w:r>
    </w:p>
    <w:p w14:paraId="5437E07F" w14:textId="77777777" w:rsidR="00376329" w:rsidRPr="00376329" w:rsidRDefault="00376329" w:rsidP="00376329">
      <w:pPr>
        <w:widowControl w:val="0"/>
        <w:numPr>
          <w:ilvl w:val="1"/>
          <w:numId w:val="18"/>
        </w:numPr>
        <w:tabs>
          <w:tab w:val="left" w:pos="832"/>
          <w:tab w:val="left" w:pos="833"/>
        </w:tabs>
        <w:autoSpaceDE w:val="0"/>
        <w:autoSpaceDN w:val="0"/>
        <w:spacing w:before="125"/>
        <w:ind w:left="833" w:hanging="357"/>
        <w:rPr>
          <w:rFonts w:eastAsia="Arial"/>
          <w:szCs w:val="24"/>
        </w:rPr>
      </w:pPr>
      <w:r w:rsidRPr="00376329">
        <w:rPr>
          <w:rFonts w:eastAsia="Arial"/>
          <w:szCs w:val="24"/>
        </w:rPr>
        <w:t>If</w:t>
      </w:r>
      <w:r w:rsidRPr="00376329">
        <w:rPr>
          <w:rFonts w:eastAsia="Arial"/>
          <w:spacing w:val="-3"/>
          <w:szCs w:val="24"/>
        </w:rPr>
        <w:t xml:space="preserve"> </w:t>
      </w:r>
      <w:r w:rsidRPr="00376329">
        <w:rPr>
          <w:rFonts w:eastAsia="Arial"/>
          <w:szCs w:val="24"/>
        </w:rPr>
        <w:t>the</w:t>
      </w:r>
      <w:r w:rsidRPr="00376329">
        <w:rPr>
          <w:rFonts w:eastAsia="Arial"/>
          <w:spacing w:val="-2"/>
          <w:szCs w:val="24"/>
        </w:rPr>
        <w:t xml:space="preserve"> </w:t>
      </w:r>
      <w:r w:rsidRPr="00376329">
        <w:rPr>
          <w:rFonts w:eastAsia="Arial"/>
          <w:szCs w:val="24"/>
        </w:rPr>
        <w:t>criteria</w:t>
      </w:r>
      <w:r w:rsidRPr="00376329">
        <w:rPr>
          <w:rFonts w:eastAsia="Arial"/>
          <w:spacing w:val="-2"/>
          <w:szCs w:val="24"/>
        </w:rPr>
        <w:t xml:space="preserve"> </w:t>
      </w:r>
      <w:r w:rsidRPr="00376329">
        <w:rPr>
          <w:rFonts w:eastAsia="Arial"/>
          <w:szCs w:val="24"/>
        </w:rPr>
        <w:t>for</w:t>
      </w:r>
      <w:r w:rsidRPr="00376329">
        <w:rPr>
          <w:rFonts w:eastAsia="Arial"/>
          <w:spacing w:val="-4"/>
          <w:szCs w:val="24"/>
        </w:rPr>
        <w:t xml:space="preserve"> </w:t>
      </w:r>
      <w:r w:rsidRPr="00376329">
        <w:rPr>
          <w:rFonts w:eastAsia="Arial"/>
          <w:szCs w:val="24"/>
        </w:rPr>
        <w:t>eligibility</w:t>
      </w:r>
      <w:r w:rsidRPr="00376329">
        <w:rPr>
          <w:rFonts w:eastAsia="Arial"/>
          <w:spacing w:val="-3"/>
          <w:szCs w:val="24"/>
        </w:rPr>
        <w:t xml:space="preserve"> </w:t>
      </w:r>
      <w:r w:rsidRPr="00376329">
        <w:rPr>
          <w:rFonts w:eastAsia="Arial"/>
          <w:szCs w:val="24"/>
        </w:rPr>
        <w:t>are</w:t>
      </w:r>
      <w:r w:rsidRPr="00376329">
        <w:rPr>
          <w:rFonts w:eastAsia="Arial"/>
          <w:spacing w:val="-4"/>
          <w:szCs w:val="24"/>
        </w:rPr>
        <w:t xml:space="preserve"> </w:t>
      </w:r>
      <w:r w:rsidRPr="00376329">
        <w:rPr>
          <w:rFonts w:eastAsia="Arial"/>
          <w:szCs w:val="24"/>
        </w:rPr>
        <w:t>met,</w:t>
      </w:r>
      <w:r w:rsidRPr="00376329">
        <w:rPr>
          <w:rFonts w:eastAsia="Arial"/>
          <w:spacing w:val="-2"/>
          <w:szCs w:val="24"/>
        </w:rPr>
        <w:t xml:space="preserve"> </w:t>
      </w:r>
      <w:r w:rsidRPr="00376329">
        <w:rPr>
          <w:rFonts w:eastAsia="Arial"/>
          <w:szCs w:val="24"/>
        </w:rPr>
        <w:t>the</w:t>
      </w:r>
      <w:r w:rsidRPr="00376329">
        <w:rPr>
          <w:rFonts w:eastAsia="Arial"/>
          <w:spacing w:val="-2"/>
          <w:szCs w:val="24"/>
        </w:rPr>
        <w:t xml:space="preserve"> </w:t>
      </w:r>
      <w:r w:rsidRPr="00376329">
        <w:rPr>
          <w:rFonts w:eastAsia="Arial"/>
          <w:szCs w:val="24"/>
        </w:rPr>
        <w:t>registrar</w:t>
      </w:r>
      <w:r w:rsidRPr="00376329">
        <w:rPr>
          <w:rFonts w:eastAsia="Arial"/>
          <w:spacing w:val="-4"/>
          <w:szCs w:val="24"/>
        </w:rPr>
        <w:t xml:space="preserve"> </w:t>
      </w:r>
      <w:r w:rsidRPr="00376329">
        <w:rPr>
          <w:rFonts w:eastAsia="Arial"/>
          <w:szCs w:val="24"/>
        </w:rPr>
        <w:t>must</w:t>
      </w:r>
      <w:r w:rsidRPr="00376329">
        <w:rPr>
          <w:rFonts w:eastAsia="Arial"/>
          <w:spacing w:val="-2"/>
          <w:szCs w:val="24"/>
        </w:rPr>
        <w:t xml:space="preserve"> </w:t>
      </w:r>
      <w:r w:rsidRPr="00376329">
        <w:rPr>
          <w:rFonts w:eastAsia="Arial"/>
          <w:szCs w:val="24"/>
        </w:rPr>
        <w:t>register</w:t>
      </w:r>
      <w:r w:rsidRPr="00376329">
        <w:rPr>
          <w:rFonts w:eastAsia="Arial"/>
          <w:spacing w:val="-4"/>
          <w:szCs w:val="24"/>
        </w:rPr>
        <w:t xml:space="preserve"> </w:t>
      </w:r>
      <w:r w:rsidRPr="00376329">
        <w:rPr>
          <w:rFonts w:eastAsia="Arial"/>
          <w:szCs w:val="24"/>
        </w:rPr>
        <w:t>the</w:t>
      </w:r>
      <w:r w:rsidRPr="00376329">
        <w:rPr>
          <w:rFonts w:eastAsia="Arial"/>
          <w:spacing w:val="-2"/>
          <w:szCs w:val="24"/>
        </w:rPr>
        <w:t xml:space="preserve"> </w:t>
      </w:r>
      <w:r w:rsidRPr="00376329">
        <w:rPr>
          <w:rFonts w:eastAsia="Arial"/>
          <w:szCs w:val="24"/>
        </w:rPr>
        <w:t>individual.</w:t>
      </w:r>
    </w:p>
    <w:p w14:paraId="7EAC5C1F" w14:textId="782AED20" w:rsidR="00376329" w:rsidRPr="00376329" w:rsidRDefault="00376329" w:rsidP="00376329">
      <w:pPr>
        <w:widowControl w:val="0"/>
        <w:numPr>
          <w:ilvl w:val="1"/>
          <w:numId w:val="18"/>
        </w:numPr>
        <w:tabs>
          <w:tab w:val="left" w:pos="832"/>
          <w:tab w:val="left" w:pos="833"/>
        </w:tabs>
        <w:autoSpaceDE w:val="0"/>
        <w:autoSpaceDN w:val="0"/>
        <w:spacing w:before="160" w:line="271" w:lineRule="auto"/>
        <w:ind w:left="833" w:hanging="357"/>
        <w:rPr>
          <w:rFonts w:eastAsia="Arial"/>
          <w:szCs w:val="24"/>
        </w:rPr>
      </w:pPr>
      <w:r w:rsidRPr="00376329">
        <w:rPr>
          <w:rFonts w:eastAsia="Arial"/>
          <w:szCs w:val="24"/>
        </w:rPr>
        <w:t>A decision to refuse to register a professional engineer, or to refuse to renew</w:t>
      </w:r>
      <w:r w:rsidRPr="00376329">
        <w:rPr>
          <w:rFonts w:eastAsia="Arial"/>
          <w:spacing w:val="-64"/>
          <w:szCs w:val="24"/>
        </w:rPr>
        <w:t xml:space="preserve"> </w:t>
      </w:r>
      <w:r w:rsidRPr="00376329">
        <w:rPr>
          <w:rFonts w:eastAsia="Arial"/>
          <w:szCs w:val="24"/>
        </w:rPr>
        <w:t>their</w:t>
      </w:r>
      <w:r w:rsidRPr="00376329">
        <w:rPr>
          <w:rFonts w:eastAsia="Arial"/>
          <w:spacing w:val="-4"/>
          <w:szCs w:val="24"/>
        </w:rPr>
        <w:t xml:space="preserve"> </w:t>
      </w:r>
      <w:r w:rsidRPr="00376329">
        <w:rPr>
          <w:rFonts w:eastAsia="Arial"/>
          <w:szCs w:val="24"/>
        </w:rPr>
        <w:t>registration,</w:t>
      </w:r>
      <w:r w:rsidRPr="00376329">
        <w:rPr>
          <w:rFonts w:eastAsia="Arial"/>
          <w:spacing w:val="-3"/>
          <w:szCs w:val="24"/>
        </w:rPr>
        <w:t xml:space="preserve"> </w:t>
      </w:r>
      <w:r w:rsidRPr="00376329">
        <w:rPr>
          <w:rFonts w:eastAsia="Arial"/>
          <w:szCs w:val="24"/>
        </w:rPr>
        <w:t>can</w:t>
      </w:r>
      <w:r w:rsidRPr="00376329">
        <w:rPr>
          <w:rFonts w:eastAsia="Arial"/>
          <w:spacing w:val="-4"/>
          <w:szCs w:val="24"/>
        </w:rPr>
        <w:t xml:space="preserve"> </w:t>
      </w:r>
      <w:r w:rsidRPr="00376329">
        <w:rPr>
          <w:rFonts w:eastAsia="Arial"/>
          <w:szCs w:val="24"/>
        </w:rPr>
        <w:t>be</w:t>
      </w:r>
      <w:r w:rsidRPr="00376329">
        <w:rPr>
          <w:rFonts w:eastAsia="Arial"/>
          <w:spacing w:val="-2"/>
          <w:szCs w:val="24"/>
        </w:rPr>
        <w:t xml:space="preserve"> </w:t>
      </w:r>
      <w:r w:rsidRPr="00376329">
        <w:rPr>
          <w:rFonts w:eastAsia="Arial"/>
          <w:szCs w:val="24"/>
        </w:rPr>
        <w:t>internally</w:t>
      </w:r>
      <w:r w:rsidRPr="00376329">
        <w:rPr>
          <w:rFonts w:eastAsia="Arial"/>
          <w:spacing w:val="-3"/>
          <w:szCs w:val="24"/>
        </w:rPr>
        <w:t xml:space="preserve"> </w:t>
      </w:r>
      <w:r w:rsidRPr="00376329">
        <w:rPr>
          <w:rFonts w:eastAsia="Arial"/>
          <w:szCs w:val="24"/>
        </w:rPr>
        <w:t>reviewed</w:t>
      </w:r>
      <w:r w:rsidRPr="00376329">
        <w:rPr>
          <w:rFonts w:eastAsia="Arial"/>
          <w:spacing w:val="-3"/>
          <w:szCs w:val="24"/>
        </w:rPr>
        <w:t xml:space="preserve"> </w:t>
      </w:r>
      <w:r w:rsidRPr="00376329">
        <w:rPr>
          <w:rFonts w:eastAsia="Arial"/>
          <w:szCs w:val="24"/>
        </w:rPr>
        <w:t>by</w:t>
      </w:r>
      <w:r w:rsidRPr="00376329">
        <w:rPr>
          <w:rFonts w:eastAsia="Arial"/>
          <w:spacing w:val="-3"/>
          <w:szCs w:val="24"/>
        </w:rPr>
        <w:t xml:space="preserve"> </w:t>
      </w:r>
      <w:r w:rsidRPr="00376329">
        <w:rPr>
          <w:rFonts w:eastAsia="Arial"/>
          <w:szCs w:val="24"/>
        </w:rPr>
        <w:t>an</w:t>
      </w:r>
      <w:r w:rsidRPr="00376329">
        <w:rPr>
          <w:rFonts w:eastAsia="Arial"/>
          <w:spacing w:val="-4"/>
          <w:szCs w:val="24"/>
        </w:rPr>
        <w:t xml:space="preserve"> </w:t>
      </w:r>
      <w:r w:rsidRPr="00376329">
        <w:rPr>
          <w:rFonts w:eastAsia="Arial"/>
          <w:szCs w:val="24"/>
        </w:rPr>
        <w:t>applicant.</w:t>
      </w:r>
    </w:p>
    <w:p w14:paraId="694E4814" w14:textId="77777777" w:rsidR="00376329" w:rsidRPr="00376329" w:rsidRDefault="00376329" w:rsidP="00376329">
      <w:pPr>
        <w:widowControl w:val="0"/>
        <w:numPr>
          <w:ilvl w:val="1"/>
          <w:numId w:val="18"/>
        </w:numPr>
        <w:tabs>
          <w:tab w:val="left" w:pos="832"/>
          <w:tab w:val="left" w:pos="833"/>
        </w:tabs>
        <w:autoSpaceDE w:val="0"/>
        <w:autoSpaceDN w:val="0"/>
        <w:spacing w:before="128" w:line="271" w:lineRule="auto"/>
        <w:ind w:left="833" w:hanging="357"/>
        <w:rPr>
          <w:rFonts w:eastAsia="Arial"/>
          <w:szCs w:val="24"/>
        </w:rPr>
      </w:pPr>
      <w:r w:rsidRPr="00376329">
        <w:rPr>
          <w:rFonts w:eastAsia="Arial"/>
          <w:szCs w:val="24"/>
        </w:rPr>
        <w:t>The ACAT can also confirm, vary or set aside these internally reviewable</w:t>
      </w:r>
      <w:r w:rsidRPr="00376329">
        <w:rPr>
          <w:rFonts w:eastAsia="Arial"/>
          <w:spacing w:val="-64"/>
          <w:szCs w:val="24"/>
        </w:rPr>
        <w:t xml:space="preserve"> </w:t>
      </w:r>
      <w:r w:rsidRPr="00376329">
        <w:rPr>
          <w:rFonts w:eastAsia="Arial"/>
          <w:szCs w:val="24"/>
        </w:rPr>
        <w:t>decisions.</w:t>
      </w:r>
    </w:p>
    <w:p w14:paraId="1837AACE" w14:textId="79FA520C" w:rsidR="00376329" w:rsidRPr="00376329" w:rsidRDefault="00376329" w:rsidP="00376329">
      <w:pPr>
        <w:widowControl w:val="0"/>
        <w:autoSpaceDE w:val="0"/>
        <w:autoSpaceDN w:val="0"/>
        <w:spacing w:before="201"/>
        <w:rPr>
          <w:rFonts w:eastAsia="Arial"/>
          <w:szCs w:val="24"/>
        </w:rPr>
      </w:pPr>
      <w:r w:rsidRPr="00376329">
        <w:rPr>
          <w:rFonts w:eastAsia="Arial"/>
          <w:szCs w:val="24"/>
        </w:rPr>
        <w:t xml:space="preserve">Under the scheme, if you are registered in another jurisdiction, you will be able to operate in the ACT under that registration </w:t>
      </w:r>
      <w:r>
        <w:rPr>
          <w:rFonts w:eastAsia="Arial"/>
          <w:szCs w:val="24"/>
        </w:rPr>
        <w:t xml:space="preserve">to the extent that the professional engineering services are covered by that registration without needing to be registered in the ACT. </w:t>
      </w:r>
      <w:r w:rsidRPr="00376329">
        <w:rPr>
          <w:rFonts w:eastAsia="Arial"/>
          <w:szCs w:val="24"/>
        </w:rPr>
        <w:t>This will be through the automatic mutual recognition (AMR) scheme that has been gradually implemented across several States and Territories since July 2021.</w:t>
      </w:r>
    </w:p>
    <w:p w14:paraId="2AA060E7" w14:textId="77777777" w:rsidR="00376329" w:rsidRDefault="00376329" w:rsidP="00376329">
      <w:pPr>
        <w:widowControl w:val="0"/>
        <w:autoSpaceDE w:val="0"/>
        <w:autoSpaceDN w:val="0"/>
        <w:spacing w:before="201"/>
        <w:rPr>
          <w:rFonts w:eastAsia="Arial"/>
          <w:szCs w:val="24"/>
        </w:rPr>
      </w:pPr>
      <w:r w:rsidRPr="00376329">
        <w:rPr>
          <w:rFonts w:eastAsia="Arial"/>
          <w:szCs w:val="24"/>
        </w:rPr>
        <w:t xml:space="preserve">The objective of the AMR scheme is to create a more mobile labour force by allowing workers who hold an occupational registration in one Australian State or Territory to work in another Australian State or Territory without needing to pay additional fees or apply for a separate registration. This process gives workers what is called Automatic </w:t>
      </w:r>
      <w:r w:rsidRPr="00376329">
        <w:rPr>
          <w:rFonts w:eastAsia="Arial"/>
          <w:szCs w:val="24"/>
        </w:rPr>
        <w:lastRenderedPageBreak/>
        <w:t>Deemed Registration (ADR). To be eligible for AMR, individuals must hold and maintain a registration or licence in their home state or territory (i.e. their primary place of residence or work) that covers the activity that they intend to carry out in another Australian State or Territory.</w:t>
      </w:r>
    </w:p>
    <w:p w14:paraId="657151F4" w14:textId="299E0871" w:rsidR="00376329" w:rsidRPr="00376329" w:rsidRDefault="004B73FB" w:rsidP="00376329">
      <w:pPr>
        <w:widowControl w:val="0"/>
        <w:autoSpaceDE w:val="0"/>
        <w:autoSpaceDN w:val="0"/>
        <w:spacing w:before="201"/>
        <w:rPr>
          <w:rFonts w:eastAsia="Arial"/>
          <w:szCs w:val="24"/>
        </w:rPr>
      </w:pPr>
      <w:r>
        <w:rPr>
          <w:rFonts w:eastAsia="Arial"/>
          <w:szCs w:val="24"/>
        </w:rPr>
        <w:t xml:space="preserve">Queensland and Victoria have professional engineer registration schemes that cover the provision of professional engineering services across all industries. New South Wales, Northern Territory and Tasmania only </w:t>
      </w:r>
      <w:r w:rsidRPr="004B73FB">
        <w:rPr>
          <w:rFonts w:eastAsia="Arial"/>
          <w:szCs w:val="24"/>
        </w:rPr>
        <w:t xml:space="preserve">register engineers undertaking activities within the building and construction industry. Western Australia will commence their registration scheme on </w:t>
      </w:r>
      <w:r w:rsidR="007A6EF0">
        <w:rPr>
          <w:rFonts w:eastAsia="Arial"/>
          <w:szCs w:val="24"/>
        </w:rPr>
        <w:t xml:space="preserve">1 July </w:t>
      </w:r>
      <w:r w:rsidR="009F19B2">
        <w:rPr>
          <w:rFonts w:eastAsia="Arial"/>
          <w:szCs w:val="24"/>
        </w:rPr>
        <w:t>2024,</w:t>
      </w:r>
      <w:r w:rsidR="007A6EF0">
        <w:rPr>
          <w:rFonts w:eastAsia="Arial"/>
          <w:szCs w:val="24"/>
        </w:rPr>
        <w:t xml:space="preserve"> </w:t>
      </w:r>
      <w:r w:rsidRPr="004B73FB">
        <w:rPr>
          <w:rFonts w:eastAsia="Arial"/>
          <w:szCs w:val="24"/>
        </w:rPr>
        <w:t>and it will also only apply to engineers undertaking activities within the building and construction industry.</w:t>
      </w:r>
    </w:p>
    <w:p w14:paraId="70A22A24" w14:textId="77777777" w:rsidR="00376329" w:rsidRDefault="00376329" w:rsidP="0089786C">
      <w:pPr>
        <w:rPr>
          <w:rFonts w:ascii="Arial" w:hAnsi="Arial" w:cs="Arial"/>
          <w:iCs/>
          <w:szCs w:val="24"/>
        </w:rPr>
      </w:pPr>
    </w:p>
    <w:p w14:paraId="4ECD1913" w14:textId="247D4C69" w:rsidR="0031124F" w:rsidRPr="0031124F" w:rsidRDefault="0031124F" w:rsidP="0031124F">
      <w:pPr>
        <w:rPr>
          <w:b/>
        </w:rPr>
      </w:pPr>
      <w:r w:rsidRPr="0031124F">
        <w:rPr>
          <w:b/>
        </w:rPr>
        <w:t>REGULATORY IMPAC</w:t>
      </w:r>
      <w:r>
        <w:rPr>
          <w:b/>
        </w:rPr>
        <w:t xml:space="preserve">T </w:t>
      </w:r>
      <w:r w:rsidRPr="0031124F">
        <w:rPr>
          <w:b/>
        </w:rPr>
        <w:t>STATEMENT</w:t>
      </w:r>
    </w:p>
    <w:p w14:paraId="773B3020" w14:textId="1BCE9AFE" w:rsidR="0089786C" w:rsidRDefault="00577FE5">
      <w:pPr>
        <w:rPr>
          <w:color w:val="000000"/>
          <w:shd w:val="clear" w:color="auto" w:fill="FFFFFF"/>
        </w:rPr>
      </w:pPr>
      <w:r>
        <w:rPr>
          <w:color w:val="000000"/>
          <w:shd w:val="clear" w:color="auto" w:fill="FFFFFF"/>
        </w:rPr>
        <w:t>A regulatory impact statement is not required as the regulation does not impose any appreciable costs on the community, or part of a community under section 34 (1) of the </w:t>
      </w:r>
      <w:r>
        <w:rPr>
          <w:i/>
          <w:iCs/>
          <w:color w:val="000000"/>
          <w:shd w:val="clear" w:color="auto" w:fill="FFFFFF"/>
        </w:rPr>
        <w:t>Legislation Act 2001</w:t>
      </w:r>
      <w:r>
        <w:rPr>
          <w:color w:val="000000"/>
          <w:shd w:val="clear" w:color="auto" w:fill="FFFFFF"/>
        </w:rPr>
        <w:t>.</w:t>
      </w:r>
    </w:p>
    <w:p w14:paraId="7BA6C4B8" w14:textId="77777777" w:rsidR="00577FE5" w:rsidRDefault="00577FE5" w:rsidP="0089786C"/>
    <w:p w14:paraId="318365E2" w14:textId="5A21939C" w:rsidR="00577FE5" w:rsidRPr="00577FE5" w:rsidRDefault="00376329" w:rsidP="00577FE5">
      <w:pPr>
        <w:rPr>
          <w:b/>
        </w:rPr>
      </w:pPr>
      <w:r w:rsidRPr="00577FE5">
        <w:rPr>
          <w:b/>
        </w:rPr>
        <w:t>SCRUTINY COMMITTEE PRINCIPLES</w:t>
      </w:r>
    </w:p>
    <w:p w14:paraId="263720ED" w14:textId="1B79586C" w:rsidR="00577FE5" w:rsidRDefault="00577FE5" w:rsidP="00577FE5">
      <w:pPr>
        <w:pStyle w:val="NormalWeb"/>
        <w:shd w:val="clear" w:color="auto" w:fill="FFFFFF"/>
        <w:spacing w:before="0" w:beforeAutospacing="0" w:after="0" w:afterAutospacing="0"/>
        <w:rPr>
          <w:color w:val="000000"/>
        </w:rPr>
      </w:pPr>
      <w:r>
        <w:rPr>
          <w:rFonts w:ascii="TimesNewRomanPSMT" w:hAnsi="TimesNewRomanPSMT"/>
          <w:color w:val="000000"/>
        </w:rPr>
        <w:t>The regulation is consistent with Scrutiny Committee (the Committee) principles.</w:t>
      </w:r>
    </w:p>
    <w:p w14:paraId="6D00232C" w14:textId="77777777" w:rsidR="00577FE5" w:rsidRDefault="00577FE5" w:rsidP="0089786C"/>
    <w:p w14:paraId="32607E19" w14:textId="3F20D69B" w:rsidR="0089786C" w:rsidRPr="00B5176F" w:rsidRDefault="0089786C" w:rsidP="0089786C">
      <w:pPr>
        <w:rPr>
          <w:rFonts w:eastAsiaTheme="majorEastAsia"/>
          <w:b/>
          <w:bCs/>
          <w:color w:val="000000" w:themeColor="text1"/>
          <w:szCs w:val="24"/>
        </w:rPr>
      </w:pPr>
      <w:r w:rsidRPr="00B5176F">
        <w:rPr>
          <w:rFonts w:eastAsiaTheme="majorEastAsia"/>
          <w:b/>
          <w:bCs/>
          <w:color w:val="000000" w:themeColor="text1"/>
          <w:szCs w:val="24"/>
        </w:rPr>
        <w:t>CLAUSE</w:t>
      </w:r>
      <w:r w:rsidR="00577FE5">
        <w:rPr>
          <w:rFonts w:eastAsiaTheme="majorEastAsia"/>
          <w:b/>
          <w:bCs/>
          <w:color w:val="000000" w:themeColor="text1"/>
          <w:szCs w:val="24"/>
        </w:rPr>
        <w:t xml:space="preserve"> NOTES</w:t>
      </w:r>
    </w:p>
    <w:p w14:paraId="3AD24AB1" w14:textId="77777777" w:rsidR="0089786C" w:rsidRPr="00B5176F" w:rsidRDefault="0089786C" w:rsidP="0089786C">
      <w:pPr>
        <w:pStyle w:val="NormalWeb"/>
        <w:shd w:val="clear" w:color="auto" w:fill="FFFFFF"/>
        <w:spacing w:before="360" w:beforeAutospacing="0" w:after="120" w:afterAutospacing="0"/>
        <w:rPr>
          <w:b/>
          <w:bCs/>
          <w:color w:val="000000"/>
        </w:rPr>
      </w:pPr>
      <w:r w:rsidRPr="00B5176F">
        <w:rPr>
          <w:b/>
          <w:bCs/>
          <w:color w:val="000000"/>
        </w:rPr>
        <w:t>Clause 1 </w:t>
      </w:r>
      <w:r w:rsidRPr="00B5176F">
        <w:rPr>
          <w:b/>
          <w:bCs/>
          <w:color w:val="000000"/>
        </w:rPr>
        <w:tab/>
        <w:t>Name of regulation</w:t>
      </w:r>
    </w:p>
    <w:p w14:paraId="30883853" w14:textId="2EEA91ED" w:rsidR="0089786C" w:rsidRPr="00B5176F" w:rsidRDefault="0089786C" w:rsidP="0089786C">
      <w:pPr>
        <w:pStyle w:val="NormalWeb"/>
        <w:shd w:val="clear" w:color="auto" w:fill="FFFFFF"/>
        <w:spacing w:before="0" w:beforeAutospacing="0" w:after="240" w:afterAutospacing="0"/>
        <w:rPr>
          <w:color w:val="000000"/>
        </w:rPr>
      </w:pPr>
      <w:r w:rsidRPr="00B5176F">
        <w:rPr>
          <w:color w:val="000000"/>
        </w:rPr>
        <w:t>This clause provides that the name of the regulation is the </w:t>
      </w:r>
      <w:r w:rsidRPr="00B5176F">
        <w:rPr>
          <w:i/>
          <w:iCs/>
          <w:color w:val="000000"/>
        </w:rPr>
        <w:t>Professional Engineers Regulation 2024</w:t>
      </w:r>
      <w:r w:rsidRPr="00B5176F">
        <w:rPr>
          <w:color w:val="000000"/>
        </w:rPr>
        <w:t>.</w:t>
      </w:r>
    </w:p>
    <w:p w14:paraId="74E5A1B0" w14:textId="77777777" w:rsidR="0089786C" w:rsidRPr="00B5176F" w:rsidRDefault="0089786C" w:rsidP="0089786C">
      <w:pPr>
        <w:pStyle w:val="NormalWeb"/>
        <w:shd w:val="clear" w:color="auto" w:fill="FFFFFF"/>
        <w:spacing w:before="360" w:beforeAutospacing="0" w:after="120" w:afterAutospacing="0"/>
        <w:rPr>
          <w:color w:val="000000"/>
        </w:rPr>
      </w:pPr>
      <w:r w:rsidRPr="00B5176F">
        <w:rPr>
          <w:b/>
          <w:bCs/>
          <w:color w:val="000000"/>
        </w:rPr>
        <w:t>Clause 2</w:t>
      </w:r>
      <w:r w:rsidRPr="00B5176F">
        <w:rPr>
          <w:color w:val="000000"/>
        </w:rPr>
        <w:t> </w:t>
      </w:r>
      <w:r w:rsidRPr="00B5176F">
        <w:rPr>
          <w:color w:val="000000"/>
        </w:rPr>
        <w:tab/>
      </w:r>
      <w:r w:rsidRPr="00B5176F">
        <w:rPr>
          <w:b/>
          <w:bCs/>
          <w:color w:val="000000"/>
        </w:rPr>
        <w:t>Commencement</w:t>
      </w:r>
    </w:p>
    <w:p w14:paraId="3E390999" w14:textId="77777777" w:rsidR="00D935A6" w:rsidRPr="00B5176F" w:rsidRDefault="0089786C" w:rsidP="0089786C">
      <w:pPr>
        <w:pStyle w:val="NormalWeb"/>
        <w:shd w:val="clear" w:color="auto" w:fill="FFFFFF"/>
        <w:spacing w:before="0" w:beforeAutospacing="0" w:after="240" w:afterAutospacing="0"/>
        <w:rPr>
          <w:color w:val="000000"/>
        </w:rPr>
      </w:pPr>
      <w:r w:rsidRPr="00B5176F">
        <w:rPr>
          <w:color w:val="000000"/>
        </w:rPr>
        <w:t>This clause provides for the commencement of the regulation</w:t>
      </w:r>
      <w:r w:rsidR="00D935A6" w:rsidRPr="00B5176F">
        <w:rPr>
          <w:color w:val="000000"/>
        </w:rPr>
        <w:t>.</w:t>
      </w:r>
    </w:p>
    <w:p w14:paraId="2878DF77" w14:textId="4019833F" w:rsidR="0089786C" w:rsidRPr="00B5176F" w:rsidRDefault="00D935A6" w:rsidP="0089786C">
      <w:pPr>
        <w:pStyle w:val="NormalWeb"/>
        <w:shd w:val="clear" w:color="auto" w:fill="FFFFFF"/>
        <w:spacing w:before="0" w:beforeAutospacing="0" w:after="240" w:afterAutospacing="0"/>
        <w:rPr>
          <w:i/>
          <w:iCs/>
          <w:color w:val="000000"/>
        </w:rPr>
      </w:pPr>
      <w:r w:rsidRPr="00B5176F">
        <w:rPr>
          <w:color w:val="000000"/>
        </w:rPr>
        <w:t>Section 3 of the regulation commences</w:t>
      </w:r>
      <w:r w:rsidR="0089786C" w:rsidRPr="00B5176F">
        <w:rPr>
          <w:color w:val="000000"/>
        </w:rPr>
        <w:t xml:space="preserve"> on the </w:t>
      </w:r>
      <w:r w:rsidRPr="00B5176F">
        <w:rPr>
          <w:color w:val="000000"/>
        </w:rPr>
        <w:t xml:space="preserve">earlier of </w:t>
      </w:r>
      <w:r w:rsidR="0089786C" w:rsidRPr="00B5176F">
        <w:rPr>
          <w:color w:val="000000"/>
        </w:rPr>
        <w:t xml:space="preserve">section </w:t>
      </w:r>
      <w:r w:rsidRPr="00B5176F">
        <w:rPr>
          <w:color w:val="000000"/>
        </w:rPr>
        <w:t>24 or section 25</w:t>
      </w:r>
      <w:r w:rsidR="0089786C" w:rsidRPr="00B5176F">
        <w:rPr>
          <w:color w:val="000000"/>
        </w:rPr>
        <w:t xml:space="preserve"> of the </w:t>
      </w:r>
      <w:r w:rsidR="0089786C" w:rsidRPr="00B5176F">
        <w:rPr>
          <w:i/>
          <w:iCs/>
          <w:color w:val="000000"/>
        </w:rPr>
        <w:t>Professional Engineers Act 2023</w:t>
      </w:r>
      <w:r w:rsidR="0089786C" w:rsidRPr="00B5176F">
        <w:rPr>
          <w:color w:val="000000"/>
        </w:rPr>
        <w:t xml:space="preserve"> commenc</w:t>
      </w:r>
      <w:r w:rsidRPr="00B5176F">
        <w:rPr>
          <w:color w:val="000000"/>
        </w:rPr>
        <w:t>ing</w:t>
      </w:r>
      <w:r w:rsidR="0089786C" w:rsidRPr="00B5176F">
        <w:rPr>
          <w:i/>
          <w:iCs/>
          <w:color w:val="000000"/>
        </w:rPr>
        <w:t>.</w:t>
      </w:r>
    </w:p>
    <w:p w14:paraId="265BA0FF" w14:textId="1F47B2C1" w:rsidR="00D935A6" w:rsidRPr="00B5176F" w:rsidRDefault="00D935A6" w:rsidP="0089786C">
      <w:pPr>
        <w:pStyle w:val="NormalWeb"/>
        <w:shd w:val="clear" w:color="auto" w:fill="FFFFFF"/>
        <w:spacing w:before="0" w:beforeAutospacing="0" w:after="240" w:afterAutospacing="0"/>
        <w:rPr>
          <w:i/>
          <w:iCs/>
          <w:color w:val="000000"/>
        </w:rPr>
      </w:pPr>
      <w:r w:rsidRPr="00B5176F">
        <w:rPr>
          <w:color w:val="000000"/>
        </w:rPr>
        <w:t>Section 4 commences on the commencement of section 24 of the</w:t>
      </w:r>
      <w:r w:rsidRPr="00B5176F">
        <w:rPr>
          <w:i/>
          <w:iCs/>
          <w:color w:val="000000"/>
        </w:rPr>
        <w:t xml:space="preserve"> Professional Engineers Act 2023.</w:t>
      </w:r>
    </w:p>
    <w:p w14:paraId="728F8A3A" w14:textId="146B396D" w:rsidR="00D935A6" w:rsidRPr="00B5176F" w:rsidRDefault="00D935A6" w:rsidP="00D935A6">
      <w:pPr>
        <w:pStyle w:val="NormalWeb"/>
        <w:shd w:val="clear" w:color="auto" w:fill="FFFFFF"/>
        <w:spacing w:before="0" w:beforeAutospacing="0" w:after="240" w:afterAutospacing="0"/>
        <w:rPr>
          <w:i/>
          <w:iCs/>
          <w:color w:val="000000"/>
        </w:rPr>
      </w:pPr>
      <w:r w:rsidRPr="00B5176F">
        <w:rPr>
          <w:color w:val="000000"/>
        </w:rPr>
        <w:t>Sections 5 and 6 commence on the commencement of section 25 of the</w:t>
      </w:r>
      <w:r w:rsidRPr="00B5176F">
        <w:rPr>
          <w:i/>
          <w:iCs/>
          <w:color w:val="000000"/>
        </w:rPr>
        <w:t xml:space="preserve"> Professional Engineers Act 2023.</w:t>
      </w:r>
    </w:p>
    <w:p w14:paraId="44C4375F" w14:textId="2CA3F6C3" w:rsidR="0089786C" w:rsidRPr="00B5176F" w:rsidRDefault="0089786C" w:rsidP="0089786C">
      <w:pPr>
        <w:pStyle w:val="NormalWeb"/>
        <w:shd w:val="clear" w:color="auto" w:fill="FFFFFF"/>
        <w:spacing w:before="360" w:beforeAutospacing="0" w:after="120" w:afterAutospacing="0"/>
        <w:rPr>
          <w:b/>
          <w:bCs/>
          <w:color w:val="000000"/>
        </w:rPr>
      </w:pPr>
      <w:r w:rsidRPr="00B5176F">
        <w:rPr>
          <w:b/>
          <w:bCs/>
          <w:color w:val="000000"/>
        </w:rPr>
        <w:t xml:space="preserve">Clause </w:t>
      </w:r>
      <w:r w:rsidR="00D935A6" w:rsidRPr="00B5176F">
        <w:rPr>
          <w:b/>
          <w:bCs/>
          <w:color w:val="000000"/>
        </w:rPr>
        <w:t>3</w:t>
      </w:r>
      <w:r w:rsidRPr="00B5176F">
        <w:rPr>
          <w:b/>
          <w:bCs/>
          <w:color w:val="000000"/>
        </w:rPr>
        <w:t> </w:t>
      </w:r>
      <w:r w:rsidRPr="00B5176F">
        <w:rPr>
          <w:b/>
          <w:bCs/>
          <w:color w:val="000000"/>
        </w:rPr>
        <w:tab/>
        <w:t>Notes</w:t>
      </w:r>
    </w:p>
    <w:p w14:paraId="368D09EF" w14:textId="77777777" w:rsidR="0089786C" w:rsidRPr="00B5176F" w:rsidRDefault="0089786C" w:rsidP="0089786C">
      <w:pPr>
        <w:pStyle w:val="NormalWeb"/>
        <w:shd w:val="clear" w:color="auto" w:fill="FFFFFF"/>
        <w:spacing w:before="0" w:beforeAutospacing="0" w:after="120" w:afterAutospacing="0"/>
        <w:rPr>
          <w:color w:val="000000"/>
        </w:rPr>
      </w:pPr>
      <w:r w:rsidRPr="00B5176F">
        <w:rPr>
          <w:color w:val="000000"/>
        </w:rPr>
        <w:t>This clause provides that a note found in the regulation is explanatory and is not part of the regulation.</w:t>
      </w:r>
    </w:p>
    <w:p w14:paraId="5B27DE48" w14:textId="32EAF2E1" w:rsidR="0089786C" w:rsidRPr="00B5176F" w:rsidRDefault="0089786C" w:rsidP="0089786C">
      <w:pPr>
        <w:pStyle w:val="NormalWeb"/>
        <w:shd w:val="clear" w:color="auto" w:fill="FFFFFF"/>
        <w:spacing w:before="360" w:beforeAutospacing="0" w:after="120" w:afterAutospacing="0"/>
        <w:rPr>
          <w:b/>
          <w:bCs/>
          <w:color w:val="000000"/>
        </w:rPr>
      </w:pPr>
      <w:r w:rsidRPr="00B5176F">
        <w:rPr>
          <w:b/>
          <w:bCs/>
          <w:color w:val="000000"/>
        </w:rPr>
        <w:t xml:space="preserve">Clause </w:t>
      </w:r>
      <w:r w:rsidR="00D935A6" w:rsidRPr="00B5176F">
        <w:rPr>
          <w:b/>
          <w:bCs/>
          <w:color w:val="000000"/>
        </w:rPr>
        <w:t>4</w:t>
      </w:r>
      <w:r w:rsidRPr="00B5176F">
        <w:rPr>
          <w:b/>
          <w:bCs/>
          <w:color w:val="000000"/>
        </w:rPr>
        <w:t> </w:t>
      </w:r>
      <w:r w:rsidRPr="00B5176F">
        <w:rPr>
          <w:b/>
          <w:bCs/>
          <w:color w:val="000000"/>
        </w:rPr>
        <w:tab/>
      </w:r>
      <w:r w:rsidR="00D935A6" w:rsidRPr="00B5176F">
        <w:rPr>
          <w:b/>
          <w:bCs/>
          <w:color w:val="000000"/>
        </w:rPr>
        <w:t>Registration conditions</w:t>
      </w:r>
      <w:r w:rsidR="00D935A6" w:rsidRPr="00B5176F">
        <w:rPr>
          <w:b/>
          <w:bCs/>
        </w:rPr>
        <w:t>—</w:t>
      </w:r>
      <w:r w:rsidR="00D935A6" w:rsidRPr="00B5176F">
        <w:rPr>
          <w:b/>
          <w:bCs/>
          <w:color w:val="000000"/>
        </w:rPr>
        <w:t>Act, s 24 (1) (b)</w:t>
      </w:r>
    </w:p>
    <w:p w14:paraId="238765A5" w14:textId="3EB6BE3F" w:rsidR="0089786C" w:rsidRPr="00727BE6" w:rsidRDefault="0089786C" w:rsidP="0089786C">
      <w:pPr>
        <w:pStyle w:val="NormalWeb"/>
        <w:shd w:val="clear" w:color="auto" w:fill="FFFFFF"/>
        <w:spacing w:before="0" w:beforeAutospacing="0" w:after="120" w:afterAutospacing="0"/>
        <w:rPr>
          <w:color w:val="000000"/>
        </w:rPr>
      </w:pPr>
      <w:r w:rsidRPr="00727BE6">
        <w:rPr>
          <w:color w:val="000000"/>
        </w:rPr>
        <w:t xml:space="preserve">This clause </w:t>
      </w:r>
      <w:r w:rsidR="00727BE6" w:rsidRPr="00727BE6">
        <w:rPr>
          <w:color w:val="000000"/>
        </w:rPr>
        <w:t>prescribes a registration condition for the purposes of section 24 (1) (b) of the Act.</w:t>
      </w:r>
    </w:p>
    <w:p w14:paraId="28050384" w14:textId="795EC9F7" w:rsidR="00727BE6" w:rsidRDefault="00727BE6" w:rsidP="0089786C">
      <w:pPr>
        <w:pStyle w:val="NormalWeb"/>
        <w:shd w:val="clear" w:color="auto" w:fill="FFFFFF"/>
        <w:spacing w:before="0" w:beforeAutospacing="0" w:after="120" w:afterAutospacing="0"/>
        <w:rPr>
          <w:color w:val="000000"/>
        </w:rPr>
      </w:pPr>
      <w:r w:rsidRPr="00727BE6">
        <w:rPr>
          <w:color w:val="000000"/>
        </w:rPr>
        <w:t xml:space="preserve">For any registration issued where the applicant has not provided a report with their application for registration from an approved assessment entity that assesses the </w:t>
      </w:r>
      <w:r w:rsidRPr="00727BE6">
        <w:rPr>
          <w:color w:val="000000"/>
        </w:rPr>
        <w:lastRenderedPageBreak/>
        <w:t>applicant as meeting the qualifications and experience requirements contained in the Professional Engineers (Qualifications, Experience and Competencies) Determination for providing professional engineering services in the building and construction industry</w:t>
      </w:r>
      <w:r w:rsidR="00421332">
        <w:rPr>
          <w:color w:val="000000"/>
        </w:rPr>
        <w:t>, will be issued with a condition that prevents them providing professional engineering services in the building and construction industry.</w:t>
      </w:r>
    </w:p>
    <w:p w14:paraId="21A7D84D" w14:textId="3EDE8291" w:rsidR="00421332" w:rsidRPr="00727BE6" w:rsidRDefault="00421332" w:rsidP="0089786C">
      <w:pPr>
        <w:pStyle w:val="NormalWeb"/>
        <w:shd w:val="clear" w:color="auto" w:fill="FFFFFF"/>
        <w:spacing w:before="0" w:beforeAutospacing="0" w:after="120" w:afterAutospacing="0"/>
        <w:rPr>
          <w:color w:val="000000"/>
        </w:rPr>
      </w:pPr>
      <w:r>
        <w:rPr>
          <w:color w:val="000000"/>
        </w:rPr>
        <w:t>To remove the condition, a professional engineer will need to make an application to vary their registration in accordance with section 28 of the Act.</w:t>
      </w:r>
    </w:p>
    <w:p w14:paraId="1C533D97" w14:textId="24728B2A" w:rsidR="0089786C" w:rsidRPr="00B5176F" w:rsidRDefault="0089786C" w:rsidP="0089786C">
      <w:pPr>
        <w:pStyle w:val="NormalWeb"/>
        <w:shd w:val="clear" w:color="auto" w:fill="FFFFFF"/>
        <w:spacing w:before="360" w:beforeAutospacing="0" w:after="120" w:afterAutospacing="0"/>
        <w:rPr>
          <w:b/>
          <w:bCs/>
          <w:color w:val="000000"/>
        </w:rPr>
      </w:pPr>
      <w:r w:rsidRPr="00B5176F">
        <w:rPr>
          <w:b/>
          <w:bCs/>
          <w:color w:val="000000"/>
        </w:rPr>
        <w:t xml:space="preserve">Clause </w:t>
      </w:r>
      <w:r w:rsidR="00D935A6" w:rsidRPr="00B5176F">
        <w:rPr>
          <w:b/>
          <w:bCs/>
          <w:color w:val="000000"/>
        </w:rPr>
        <w:t>5</w:t>
      </w:r>
      <w:r w:rsidRPr="00B5176F">
        <w:rPr>
          <w:b/>
          <w:bCs/>
          <w:color w:val="000000"/>
        </w:rPr>
        <w:t> </w:t>
      </w:r>
      <w:r w:rsidRPr="00B5176F">
        <w:rPr>
          <w:b/>
          <w:bCs/>
          <w:color w:val="000000"/>
        </w:rPr>
        <w:tab/>
      </w:r>
      <w:r w:rsidR="00D935A6" w:rsidRPr="00B5176F">
        <w:rPr>
          <w:b/>
          <w:bCs/>
          <w:color w:val="000000"/>
        </w:rPr>
        <w:t>Registration term</w:t>
      </w:r>
      <w:r w:rsidR="00D935A6" w:rsidRPr="00B5176F">
        <w:rPr>
          <w:b/>
          <w:bCs/>
        </w:rPr>
        <w:t>—</w:t>
      </w:r>
      <w:r w:rsidR="00D935A6" w:rsidRPr="00B5176F">
        <w:rPr>
          <w:b/>
          <w:bCs/>
          <w:color w:val="000000"/>
        </w:rPr>
        <w:t xml:space="preserve">registration period for additional area of </w:t>
      </w:r>
      <w:r w:rsidR="00D935A6" w:rsidRPr="00B5176F">
        <w:rPr>
          <w:b/>
          <w:bCs/>
          <w:color w:val="000000"/>
        </w:rPr>
        <w:tab/>
      </w:r>
      <w:r w:rsidR="00D935A6" w:rsidRPr="00B5176F">
        <w:rPr>
          <w:b/>
          <w:bCs/>
          <w:color w:val="000000"/>
        </w:rPr>
        <w:tab/>
      </w:r>
      <w:r w:rsidR="00C77097">
        <w:rPr>
          <w:b/>
          <w:bCs/>
          <w:color w:val="000000"/>
        </w:rPr>
        <w:tab/>
      </w:r>
      <w:r w:rsidR="00D935A6" w:rsidRPr="00B5176F">
        <w:rPr>
          <w:b/>
          <w:bCs/>
          <w:color w:val="000000"/>
        </w:rPr>
        <w:t>engineering</w:t>
      </w:r>
      <w:r w:rsidR="00D935A6" w:rsidRPr="00B5176F">
        <w:rPr>
          <w:b/>
          <w:bCs/>
        </w:rPr>
        <w:t>—</w:t>
      </w:r>
      <w:r w:rsidR="00D935A6" w:rsidRPr="00B5176F">
        <w:rPr>
          <w:b/>
          <w:bCs/>
          <w:color w:val="000000"/>
        </w:rPr>
        <w:t>Act, s 25 (b) (ii)</w:t>
      </w:r>
    </w:p>
    <w:p w14:paraId="406E8ABE" w14:textId="4698F574" w:rsidR="0089786C" w:rsidRPr="00AE405D" w:rsidRDefault="0089786C" w:rsidP="0089786C">
      <w:pPr>
        <w:pStyle w:val="NormalWeb"/>
        <w:shd w:val="clear" w:color="auto" w:fill="FFFFFF"/>
        <w:spacing w:before="0" w:beforeAutospacing="0" w:after="120" w:afterAutospacing="0"/>
        <w:rPr>
          <w:color w:val="000000"/>
        </w:rPr>
      </w:pPr>
      <w:r w:rsidRPr="00AE405D">
        <w:rPr>
          <w:color w:val="000000"/>
        </w:rPr>
        <w:t xml:space="preserve">This clause provides </w:t>
      </w:r>
      <w:r w:rsidR="00AE405D" w:rsidRPr="00AE405D">
        <w:rPr>
          <w:color w:val="000000"/>
        </w:rPr>
        <w:t>for how the term of a registration will be calculated in the circumstances where registration in an additional area (s) of engineering</w:t>
      </w:r>
      <w:r w:rsidR="0027076D">
        <w:rPr>
          <w:color w:val="000000"/>
        </w:rPr>
        <w:t xml:space="preserve"> is granted</w:t>
      </w:r>
      <w:r w:rsidR="00AE405D" w:rsidRPr="00AE405D">
        <w:rPr>
          <w:color w:val="000000"/>
        </w:rPr>
        <w:t>. In instances where an area of engineering is added to an existing registration, the term of the registration for that additional area will end at the same time as the initial registration.</w:t>
      </w:r>
    </w:p>
    <w:p w14:paraId="510A6D51" w14:textId="7D5A0A21" w:rsidR="00AE405D" w:rsidRPr="00AE405D" w:rsidRDefault="00AE405D" w:rsidP="0089786C">
      <w:pPr>
        <w:pStyle w:val="NormalWeb"/>
        <w:shd w:val="clear" w:color="auto" w:fill="FFFFFF"/>
        <w:spacing w:before="0" w:beforeAutospacing="0" w:after="120" w:afterAutospacing="0"/>
        <w:rPr>
          <w:b/>
          <w:bCs/>
          <w:color w:val="000000"/>
        </w:rPr>
      </w:pPr>
      <w:r w:rsidRPr="00AE405D">
        <w:rPr>
          <w:color w:val="000000"/>
        </w:rPr>
        <w:t xml:space="preserve">For example, David is </w:t>
      </w:r>
      <w:r w:rsidR="0027076D">
        <w:rPr>
          <w:color w:val="000000"/>
        </w:rPr>
        <w:t>granted</w:t>
      </w:r>
      <w:r w:rsidRPr="00AE405D">
        <w:rPr>
          <w:color w:val="000000"/>
        </w:rPr>
        <w:t xml:space="preserve"> registration in the area of civil engineering </w:t>
      </w:r>
      <w:r w:rsidR="002B504F">
        <w:rPr>
          <w:color w:val="000000"/>
        </w:rPr>
        <w:t xml:space="preserve">on </w:t>
      </w:r>
      <w:r w:rsidR="004E2FA3">
        <w:rPr>
          <w:color w:val="000000"/>
        </w:rPr>
        <w:t>6</w:t>
      </w:r>
      <w:r w:rsidR="002B504F" w:rsidRPr="00AE405D">
        <w:rPr>
          <w:color w:val="000000"/>
        </w:rPr>
        <w:t xml:space="preserve"> </w:t>
      </w:r>
      <w:r w:rsidRPr="00AE405D">
        <w:rPr>
          <w:color w:val="000000"/>
        </w:rPr>
        <w:t>April 202</w:t>
      </w:r>
      <w:r w:rsidR="002B504F">
        <w:rPr>
          <w:color w:val="000000"/>
        </w:rPr>
        <w:t>5</w:t>
      </w:r>
      <w:r w:rsidRPr="00AE405D">
        <w:rPr>
          <w:color w:val="000000"/>
        </w:rPr>
        <w:t xml:space="preserve"> and then applies for registration in the area of electrical engineering in November 2025 and is granted registration in that additional area of engineering. David’s registration term for civil and electrical engineering will expire on 5 </w:t>
      </w:r>
      <w:r w:rsidR="002B504F">
        <w:rPr>
          <w:color w:val="000000"/>
        </w:rPr>
        <w:t>April</w:t>
      </w:r>
      <w:r w:rsidR="002B504F" w:rsidRPr="00AE405D">
        <w:rPr>
          <w:color w:val="000000"/>
        </w:rPr>
        <w:t xml:space="preserve"> </w:t>
      </w:r>
      <w:r w:rsidRPr="00AE405D">
        <w:rPr>
          <w:color w:val="000000"/>
        </w:rPr>
        <w:t>2028.</w:t>
      </w:r>
    </w:p>
    <w:p w14:paraId="6BCD8066" w14:textId="5FB760DC" w:rsidR="0089786C" w:rsidRPr="00B5176F" w:rsidRDefault="0089786C" w:rsidP="0089786C">
      <w:pPr>
        <w:pStyle w:val="NormalWeb"/>
        <w:shd w:val="clear" w:color="auto" w:fill="FFFFFF"/>
        <w:spacing w:before="360" w:beforeAutospacing="0" w:after="120" w:afterAutospacing="0"/>
        <w:rPr>
          <w:b/>
          <w:bCs/>
          <w:color w:val="000000"/>
        </w:rPr>
      </w:pPr>
      <w:r w:rsidRPr="00B5176F">
        <w:rPr>
          <w:b/>
          <w:bCs/>
          <w:color w:val="000000"/>
        </w:rPr>
        <w:t xml:space="preserve">Clause </w:t>
      </w:r>
      <w:r w:rsidR="00D935A6" w:rsidRPr="00B5176F">
        <w:rPr>
          <w:b/>
          <w:bCs/>
          <w:color w:val="000000"/>
        </w:rPr>
        <w:t>6</w:t>
      </w:r>
      <w:r w:rsidRPr="00B5176F">
        <w:rPr>
          <w:b/>
          <w:bCs/>
          <w:color w:val="000000"/>
        </w:rPr>
        <w:t> </w:t>
      </w:r>
      <w:r w:rsidRPr="00B5176F">
        <w:rPr>
          <w:b/>
          <w:bCs/>
          <w:color w:val="000000"/>
        </w:rPr>
        <w:tab/>
      </w:r>
      <w:r w:rsidR="00D935A6" w:rsidRPr="00B5176F">
        <w:rPr>
          <w:b/>
          <w:bCs/>
          <w:color w:val="000000"/>
        </w:rPr>
        <w:t>Registration term</w:t>
      </w:r>
      <w:r w:rsidR="00D935A6" w:rsidRPr="00B5176F">
        <w:rPr>
          <w:b/>
          <w:bCs/>
        </w:rPr>
        <w:t>—</w:t>
      </w:r>
      <w:r w:rsidR="002B504F" w:rsidRPr="002B504F">
        <w:rPr>
          <w:b/>
          <w:bCs/>
          <w:color w:val="000000"/>
        </w:rPr>
        <w:t xml:space="preserve">applications for registration decided before </w:t>
      </w:r>
      <w:r w:rsidR="0027076D">
        <w:rPr>
          <w:b/>
          <w:bCs/>
          <w:color w:val="000000"/>
        </w:rPr>
        <w:tab/>
      </w:r>
      <w:r w:rsidR="0027076D">
        <w:rPr>
          <w:b/>
          <w:bCs/>
          <w:color w:val="000000"/>
        </w:rPr>
        <w:tab/>
      </w:r>
      <w:r w:rsidR="002B504F" w:rsidRPr="002B504F">
        <w:rPr>
          <w:b/>
          <w:bCs/>
          <w:color w:val="000000"/>
        </w:rPr>
        <w:t>commencement day</w:t>
      </w:r>
      <w:r w:rsidR="00D935A6" w:rsidRPr="00B5176F">
        <w:rPr>
          <w:b/>
          <w:bCs/>
        </w:rPr>
        <w:t>—</w:t>
      </w:r>
      <w:r w:rsidR="00D935A6" w:rsidRPr="00B5176F">
        <w:rPr>
          <w:b/>
          <w:bCs/>
          <w:color w:val="000000"/>
        </w:rPr>
        <w:t>Act, s 25 (b) (ii)</w:t>
      </w:r>
    </w:p>
    <w:p w14:paraId="01AB2A8F" w14:textId="4E627C8E" w:rsidR="0089786C" w:rsidRPr="00AE405D" w:rsidRDefault="0089786C" w:rsidP="0089786C">
      <w:pPr>
        <w:pStyle w:val="NormalWeb"/>
        <w:shd w:val="clear" w:color="auto" w:fill="FFFFFF"/>
        <w:spacing w:after="120"/>
        <w:rPr>
          <w:color w:val="000000"/>
        </w:rPr>
      </w:pPr>
      <w:r w:rsidRPr="00AE405D">
        <w:rPr>
          <w:color w:val="000000"/>
        </w:rPr>
        <w:t>This clause provides</w:t>
      </w:r>
      <w:r w:rsidR="00AE405D" w:rsidRPr="00AE405D">
        <w:rPr>
          <w:color w:val="000000"/>
        </w:rPr>
        <w:t xml:space="preserve"> for how the term of a registration will be calculated in</w:t>
      </w:r>
      <w:r w:rsidR="00C574F7">
        <w:rPr>
          <w:color w:val="000000"/>
        </w:rPr>
        <w:t xml:space="preserve"> the</w:t>
      </w:r>
      <w:r w:rsidR="00AE405D" w:rsidRPr="00AE405D">
        <w:rPr>
          <w:color w:val="000000"/>
        </w:rPr>
        <w:t xml:space="preserve"> period from when the scheme opens for applications on 6 March 2024 and when it becomes mandatory to be registered on 6 March 2025.</w:t>
      </w:r>
    </w:p>
    <w:p w14:paraId="4C50D70B" w14:textId="121667CC" w:rsidR="00AE405D" w:rsidRPr="00AE405D" w:rsidRDefault="00AE405D" w:rsidP="0089786C">
      <w:pPr>
        <w:pStyle w:val="NormalWeb"/>
        <w:shd w:val="clear" w:color="auto" w:fill="FFFFFF"/>
        <w:spacing w:after="120"/>
        <w:rPr>
          <w:color w:val="000000"/>
        </w:rPr>
      </w:pPr>
      <w:r w:rsidRPr="00AE405D">
        <w:rPr>
          <w:color w:val="000000"/>
        </w:rPr>
        <w:t xml:space="preserve">All registrations issued prior to 6 March 2025 will begin their registration on 6 March 2025. To enable expiry of registrations to be staggered and administratively managed, registrations issued prior to 6 March 2025 will have an end date based on </w:t>
      </w:r>
      <w:r w:rsidR="00C574F7">
        <w:rPr>
          <w:color w:val="000000"/>
        </w:rPr>
        <w:t xml:space="preserve">the </w:t>
      </w:r>
      <w:r w:rsidRPr="00AE405D">
        <w:rPr>
          <w:color w:val="000000"/>
        </w:rPr>
        <w:t>date the decision to register them is made.</w:t>
      </w:r>
    </w:p>
    <w:p w14:paraId="63F0589E" w14:textId="742D4F4A" w:rsidR="00AE405D" w:rsidRDefault="00AE405D" w:rsidP="0089786C">
      <w:pPr>
        <w:pStyle w:val="NormalWeb"/>
        <w:shd w:val="clear" w:color="auto" w:fill="FFFFFF"/>
        <w:spacing w:after="120"/>
        <w:rPr>
          <w:color w:val="000000"/>
        </w:rPr>
      </w:pPr>
      <w:r w:rsidRPr="00AE405D">
        <w:rPr>
          <w:color w:val="000000"/>
        </w:rPr>
        <w:t xml:space="preserve">For example, Kym applies for registration in the areas of civil and mechanical engineering on 12 April 2024 and is granted registration on 6 June 2024. Her registration term will commence on 6 March 2025 and her term will end </w:t>
      </w:r>
      <w:r w:rsidR="0027076D">
        <w:rPr>
          <w:color w:val="000000"/>
        </w:rPr>
        <w:t>5</w:t>
      </w:r>
      <w:r w:rsidRPr="00AE405D">
        <w:rPr>
          <w:color w:val="000000"/>
        </w:rPr>
        <w:t xml:space="preserve"> June 2027.</w:t>
      </w:r>
    </w:p>
    <w:p w14:paraId="574904EC" w14:textId="69FF0372" w:rsidR="00AE405D" w:rsidRDefault="00AE405D" w:rsidP="0089786C">
      <w:pPr>
        <w:pStyle w:val="NormalWeb"/>
        <w:shd w:val="clear" w:color="auto" w:fill="FFFFFF"/>
        <w:spacing w:after="120"/>
        <w:rPr>
          <w:color w:val="000000"/>
        </w:rPr>
      </w:pPr>
      <w:r>
        <w:rPr>
          <w:color w:val="000000"/>
        </w:rPr>
        <w:t>If an applicant adds an area of engineering to their registration prior to 6 March 2025, their registration term for the additional area of engineering will end at the same time as their initial registration</w:t>
      </w:r>
      <w:r w:rsidR="0027076D">
        <w:rPr>
          <w:color w:val="000000"/>
        </w:rPr>
        <w:t xml:space="preserve"> (see clause 5)</w:t>
      </w:r>
      <w:r>
        <w:rPr>
          <w:color w:val="000000"/>
        </w:rPr>
        <w:t>.</w:t>
      </w:r>
    </w:p>
    <w:p w14:paraId="2E8FF3D7" w14:textId="6013CF36" w:rsidR="000440F8" w:rsidRPr="00B5176F" w:rsidRDefault="000440F8" w:rsidP="0089786C">
      <w:pPr>
        <w:pStyle w:val="NormalWeb"/>
        <w:shd w:val="clear" w:color="auto" w:fill="FFFFFF"/>
        <w:spacing w:after="120"/>
        <w:rPr>
          <w:color w:val="000000"/>
        </w:rPr>
      </w:pPr>
      <w:r>
        <w:rPr>
          <w:color w:val="000000"/>
        </w:rPr>
        <w:t>This clause expires 3 years after it commences as is a transitional provision for the first 3 years of the scheme.</w:t>
      </w:r>
    </w:p>
    <w:sectPr w:rsidR="000440F8" w:rsidRPr="00B5176F" w:rsidSect="00C1618B">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5B2E" w14:textId="77777777" w:rsidR="00446B1D" w:rsidRDefault="00446B1D" w:rsidP="006815C9">
      <w:r>
        <w:separator/>
      </w:r>
    </w:p>
  </w:endnote>
  <w:endnote w:type="continuationSeparator" w:id="0">
    <w:p w14:paraId="52612B94" w14:textId="77777777" w:rsidR="00446B1D" w:rsidRDefault="00446B1D"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8E72"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76B4" w14:textId="3EDC9BA4" w:rsidR="00091D34" w:rsidRPr="0070738A" w:rsidRDefault="0070738A" w:rsidP="0070738A">
    <w:pPr>
      <w:pStyle w:val="Footer"/>
      <w:jc w:val="center"/>
      <w:rPr>
        <w:rFonts w:cs="Arial"/>
        <w:sz w:val="14"/>
      </w:rPr>
    </w:pPr>
    <w:r w:rsidRPr="0070738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A3D0"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AF39" w14:textId="77777777" w:rsidR="00446B1D" w:rsidRDefault="00446B1D" w:rsidP="006815C9">
      <w:r>
        <w:separator/>
      </w:r>
    </w:p>
  </w:footnote>
  <w:footnote w:type="continuationSeparator" w:id="0">
    <w:p w14:paraId="6E7FBE5D" w14:textId="77777777" w:rsidR="00446B1D" w:rsidRDefault="00446B1D"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A341"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6866" w14:textId="77777777"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E13F"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A7C55E5"/>
    <w:multiLevelType w:val="hybridMultilevel"/>
    <w:tmpl w:val="D5B888E8"/>
    <w:lvl w:ilvl="0" w:tplc="9A6484B0">
      <w:numFmt w:val="bullet"/>
      <w:lvlText w:val=""/>
      <w:lvlJc w:val="left"/>
      <w:pPr>
        <w:ind w:left="477" w:hanging="358"/>
      </w:pPr>
      <w:rPr>
        <w:rFonts w:ascii="Symbol" w:eastAsia="Symbol" w:hAnsi="Symbol" w:cs="Symbol" w:hint="default"/>
        <w:b w:val="0"/>
        <w:bCs w:val="0"/>
        <w:i w:val="0"/>
        <w:iCs w:val="0"/>
        <w:w w:val="100"/>
        <w:sz w:val="24"/>
        <w:szCs w:val="24"/>
        <w:lang w:val="en-AU" w:eastAsia="en-US" w:bidi="ar-SA"/>
      </w:rPr>
    </w:lvl>
    <w:lvl w:ilvl="1" w:tplc="ECC4C692">
      <w:numFmt w:val="bullet"/>
      <w:lvlText w:val=""/>
      <w:lvlJc w:val="left"/>
      <w:pPr>
        <w:ind w:left="832" w:hanging="356"/>
      </w:pPr>
      <w:rPr>
        <w:rFonts w:ascii="Symbol" w:eastAsia="Symbol" w:hAnsi="Symbol" w:cs="Symbol" w:hint="default"/>
        <w:b w:val="0"/>
        <w:bCs w:val="0"/>
        <w:i w:val="0"/>
        <w:iCs w:val="0"/>
        <w:w w:val="100"/>
        <w:sz w:val="24"/>
        <w:szCs w:val="24"/>
        <w:lang w:val="en-AU" w:eastAsia="en-US" w:bidi="ar-SA"/>
      </w:rPr>
    </w:lvl>
    <w:lvl w:ilvl="2" w:tplc="4434F874">
      <w:numFmt w:val="bullet"/>
      <w:lvlText w:val="o"/>
      <w:lvlJc w:val="left"/>
      <w:pPr>
        <w:ind w:left="1560" w:hanging="358"/>
      </w:pPr>
      <w:rPr>
        <w:rFonts w:ascii="Courier New" w:eastAsia="Courier New" w:hAnsi="Courier New" w:cs="Courier New" w:hint="default"/>
        <w:b w:val="0"/>
        <w:bCs w:val="0"/>
        <w:i w:val="0"/>
        <w:iCs w:val="0"/>
        <w:w w:val="100"/>
        <w:sz w:val="24"/>
        <w:szCs w:val="24"/>
        <w:lang w:val="en-AU" w:eastAsia="en-US" w:bidi="ar-SA"/>
      </w:rPr>
    </w:lvl>
    <w:lvl w:ilvl="3" w:tplc="3F02B6E2">
      <w:numFmt w:val="bullet"/>
      <w:lvlText w:val="•"/>
      <w:lvlJc w:val="left"/>
      <w:pPr>
        <w:ind w:left="2525" w:hanging="358"/>
      </w:pPr>
      <w:rPr>
        <w:rFonts w:hint="default"/>
        <w:lang w:val="en-AU" w:eastAsia="en-US" w:bidi="ar-SA"/>
      </w:rPr>
    </w:lvl>
    <w:lvl w:ilvl="4" w:tplc="B4B86498">
      <w:numFmt w:val="bullet"/>
      <w:lvlText w:val="•"/>
      <w:lvlJc w:val="left"/>
      <w:pPr>
        <w:ind w:left="3491" w:hanging="358"/>
      </w:pPr>
      <w:rPr>
        <w:rFonts w:hint="default"/>
        <w:lang w:val="en-AU" w:eastAsia="en-US" w:bidi="ar-SA"/>
      </w:rPr>
    </w:lvl>
    <w:lvl w:ilvl="5" w:tplc="8B7C99E8">
      <w:numFmt w:val="bullet"/>
      <w:lvlText w:val="•"/>
      <w:lvlJc w:val="left"/>
      <w:pPr>
        <w:ind w:left="4457" w:hanging="358"/>
      </w:pPr>
      <w:rPr>
        <w:rFonts w:hint="default"/>
        <w:lang w:val="en-AU" w:eastAsia="en-US" w:bidi="ar-SA"/>
      </w:rPr>
    </w:lvl>
    <w:lvl w:ilvl="6" w:tplc="FB6E40A8">
      <w:numFmt w:val="bullet"/>
      <w:lvlText w:val="•"/>
      <w:lvlJc w:val="left"/>
      <w:pPr>
        <w:ind w:left="5423" w:hanging="358"/>
      </w:pPr>
      <w:rPr>
        <w:rFonts w:hint="default"/>
        <w:lang w:val="en-AU" w:eastAsia="en-US" w:bidi="ar-SA"/>
      </w:rPr>
    </w:lvl>
    <w:lvl w:ilvl="7" w:tplc="BBD8E5A6">
      <w:numFmt w:val="bullet"/>
      <w:lvlText w:val="•"/>
      <w:lvlJc w:val="left"/>
      <w:pPr>
        <w:ind w:left="6389" w:hanging="358"/>
      </w:pPr>
      <w:rPr>
        <w:rFonts w:hint="default"/>
        <w:lang w:val="en-AU" w:eastAsia="en-US" w:bidi="ar-SA"/>
      </w:rPr>
    </w:lvl>
    <w:lvl w:ilvl="8" w:tplc="9A82012A">
      <w:numFmt w:val="bullet"/>
      <w:lvlText w:val="•"/>
      <w:lvlJc w:val="left"/>
      <w:pPr>
        <w:ind w:left="7354" w:hanging="358"/>
      </w:pPr>
      <w:rPr>
        <w:rFonts w:hint="default"/>
        <w:lang w:val="en-AU" w:eastAsia="en-US" w:bidi="ar-SA"/>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1A10FF"/>
    <w:multiLevelType w:val="hybridMultilevel"/>
    <w:tmpl w:val="AB265670"/>
    <w:lvl w:ilvl="0" w:tplc="0C090019">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66D5EF5"/>
    <w:multiLevelType w:val="hybridMultilevel"/>
    <w:tmpl w:val="AB265670"/>
    <w:lvl w:ilvl="0" w:tplc="FFFFFFFF">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4555B73"/>
    <w:multiLevelType w:val="hybridMultilevel"/>
    <w:tmpl w:val="25EAFD3E"/>
    <w:lvl w:ilvl="0" w:tplc="C0982C78">
      <w:start w:val="1"/>
      <w:numFmt w:val="decimal"/>
      <w:lvlText w:val="%1."/>
      <w:lvlJc w:val="left"/>
      <w:pPr>
        <w:ind w:left="832" w:hanging="356"/>
      </w:pPr>
      <w:rPr>
        <w:rFonts w:ascii="Arial" w:eastAsia="Arial" w:hAnsi="Arial" w:cs="Arial" w:hint="default"/>
        <w:b w:val="0"/>
        <w:bCs w:val="0"/>
        <w:i w:val="0"/>
        <w:iCs w:val="0"/>
        <w:w w:val="100"/>
        <w:sz w:val="24"/>
        <w:szCs w:val="24"/>
        <w:lang w:val="en-AU" w:eastAsia="en-US" w:bidi="ar-SA"/>
      </w:rPr>
    </w:lvl>
    <w:lvl w:ilvl="1" w:tplc="5A6AFA48">
      <w:start w:val="1"/>
      <w:numFmt w:val="lowerLetter"/>
      <w:lvlText w:val="%2."/>
      <w:lvlJc w:val="left"/>
      <w:pPr>
        <w:ind w:left="904" w:hanging="360"/>
      </w:pPr>
      <w:rPr>
        <w:rFonts w:ascii="Arial" w:eastAsia="Arial" w:hAnsi="Arial" w:cs="Arial" w:hint="default"/>
        <w:b w:val="0"/>
        <w:bCs w:val="0"/>
        <w:i w:val="0"/>
        <w:iCs w:val="0"/>
        <w:w w:val="100"/>
        <w:sz w:val="24"/>
        <w:szCs w:val="24"/>
        <w:lang w:val="en-AU" w:eastAsia="en-US" w:bidi="ar-SA"/>
      </w:rPr>
    </w:lvl>
    <w:lvl w:ilvl="2" w:tplc="37621F30">
      <w:numFmt w:val="bullet"/>
      <w:lvlText w:val="•"/>
      <w:lvlJc w:val="left"/>
      <w:pPr>
        <w:ind w:left="1831" w:hanging="360"/>
      </w:pPr>
      <w:rPr>
        <w:rFonts w:hint="default"/>
        <w:lang w:val="en-AU" w:eastAsia="en-US" w:bidi="ar-SA"/>
      </w:rPr>
    </w:lvl>
    <w:lvl w:ilvl="3" w:tplc="FB0A47CE">
      <w:numFmt w:val="bullet"/>
      <w:lvlText w:val="•"/>
      <w:lvlJc w:val="left"/>
      <w:pPr>
        <w:ind w:left="2763" w:hanging="360"/>
      </w:pPr>
      <w:rPr>
        <w:rFonts w:hint="default"/>
        <w:lang w:val="en-AU" w:eastAsia="en-US" w:bidi="ar-SA"/>
      </w:rPr>
    </w:lvl>
    <w:lvl w:ilvl="4" w:tplc="FB0C9D5E">
      <w:numFmt w:val="bullet"/>
      <w:lvlText w:val="•"/>
      <w:lvlJc w:val="left"/>
      <w:pPr>
        <w:ind w:left="3695" w:hanging="360"/>
      </w:pPr>
      <w:rPr>
        <w:rFonts w:hint="default"/>
        <w:lang w:val="en-AU" w:eastAsia="en-US" w:bidi="ar-SA"/>
      </w:rPr>
    </w:lvl>
    <w:lvl w:ilvl="5" w:tplc="B3BCAF98">
      <w:numFmt w:val="bullet"/>
      <w:lvlText w:val="•"/>
      <w:lvlJc w:val="left"/>
      <w:pPr>
        <w:ind w:left="4627" w:hanging="360"/>
      </w:pPr>
      <w:rPr>
        <w:rFonts w:hint="default"/>
        <w:lang w:val="en-AU" w:eastAsia="en-US" w:bidi="ar-SA"/>
      </w:rPr>
    </w:lvl>
    <w:lvl w:ilvl="6" w:tplc="D13EF0C2">
      <w:numFmt w:val="bullet"/>
      <w:lvlText w:val="•"/>
      <w:lvlJc w:val="left"/>
      <w:pPr>
        <w:ind w:left="5559" w:hanging="360"/>
      </w:pPr>
      <w:rPr>
        <w:rFonts w:hint="default"/>
        <w:lang w:val="en-AU" w:eastAsia="en-US" w:bidi="ar-SA"/>
      </w:rPr>
    </w:lvl>
    <w:lvl w:ilvl="7" w:tplc="E35863AE">
      <w:numFmt w:val="bullet"/>
      <w:lvlText w:val="•"/>
      <w:lvlJc w:val="left"/>
      <w:pPr>
        <w:ind w:left="6490" w:hanging="360"/>
      </w:pPr>
      <w:rPr>
        <w:rFonts w:hint="default"/>
        <w:lang w:val="en-AU" w:eastAsia="en-US" w:bidi="ar-SA"/>
      </w:rPr>
    </w:lvl>
    <w:lvl w:ilvl="8" w:tplc="70E0A724">
      <w:numFmt w:val="bullet"/>
      <w:lvlText w:val="•"/>
      <w:lvlJc w:val="left"/>
      <w:pPr>
        <w:ind w:left="7422" w:hanging="360"/>
      </w:pPr>
      <w:rPr>
        <w:rFonts w:hint="default"/>
        <w:lang w:val="en-AU" w:eastAsia="en-US" w:bidi="ar-SA"/>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9885083"/>
    <w:multiLevelType w:val="hybridMultilevel"/>
    <w:tmpl w:val="F586A2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94036A"/>
    <w:multiLevelType w:val="hybridMultilevel"/>
    <w:tmpl w:val="4000B5AC"/>
    <w:lvl w:ilvl="0" w:tplc="267E124C">
      <w:start w:val="1"/>
      <w:numFmt w:val="lowerLetter"/>
      <w:lvlText w:val="%1."/>
      <w:lvlJc w:val="left"/>
      <w:pPr>
        <w:ind w:left="904" w:hanging="360"/>
      </w:pPr>
      <w:rPr>
        <w:rFonts w:ascii="Arial" w:eastAsia="Arial" w:hAnsi="Arial" w:cs="Arial" w:hint="default"/>
        <w:b w:val="0"/>
        <w:bCs w:val="0"/>
        <w:i w:val="0"/>
        <w:iCs w:val="0"/>
        <w:w w:val="100"/>
        <w:sz w:val="24"/>
        <w:szCs w:val="24"/>
        <w:lang w:val="en-AU" w:eastAsia="en-US" w:bidi="ar-SA"/>
      </w:rPr>
    </w:lvl>
    <w:lvl w:ilvl="1" w:tplc="3C86409C">
      <w:numFmt w:val="bullet"/>
      <w:lvlText w:val="•"/>
      <w:lvlJc w:val="left"/>
      <w:pPr>
        <w:ind w:left="1738" w:hanging="360"/>
      </w:pPr>
      <w:rPr>
        <w:rFonts w:hint="default"/>
        <w:lang w:val="en-AU" w:eastAsia="en-US" w:bidi="ar-SA"/>
      </w:rPr>
    </w:lvl>
    <w:lvl w:ilvl="2" w:tplc="263A094C">
      <w:numFmt w:val="bullet"/>
      <w:lvlText w:val="•"/>
      <w:lvlJc w:val="left"/>
      <w:pPr>
        <w:ind w:left="2577" w:hanging="360"/>
      </w:pPr>
      <w:rPr>
        <w:rFonts w:hint="default"/>
        <w:lang w:val="en-AU" w:eastAsia="en-US" w:bidi="ar-SA"/>
      </w:rPr>
    </w:lvl>
    <w:lvl w:ilvl="3" w:tplc="EFD0B7E2">
      <w:numFmt w:val="bullet"/>
      <w:lvlText w:val="•"/>
      <w:lvlJc w:val="left"/>
      <w:pPr>
        <w:ind w:left="3415" w:hanging="360"/>
      </w:pPr>
      <w:rPr>
        <w:rFonts w:hint="default"/>
        <w:lang w:val="en-AU" w:eastAsia="en-US" w:bidi="ar-SA"/>
      </w:rPr>
    </w:lvl>
    <w:lvl w:ilvl="4" w:tplc="E2383532">
      <w:numFmt w:val="bullet"/>
      <w:lvlText w:val="•"/>
      <w:lvlJc w:val="left"/>
      <w:pPr>
        <w:ind w:left="4254" w:hanging="360"/>
      </w:pPr>
      <w:rPr>
        <w:rFonts w:hint="default"/>
        <w:lang w:val="en-AU" w:eastAsia="en-US" w:bidi="ar-SA"/>
      </w:rPr>
    </w:lvl>
    <w:lvl w:ilvl="5" w:tplc="1EB8BAA4">
      <w:numFmt w:val="bullet"/>
      <w:lvlText w:val="•"/>
      <w:lvlJc w:val="left"/>
      <w:pPr>
        <w:ind w:left="5093" w:hanging="360"/>
      </w:pPr>
      <w:rPr>
        <w:rFonts w:hint="default"/>
        <w:lang w:val="en-AU" w:eastAsia="en-US" w:bidi="ar-SA"/>
      </w:rPr>
    </w:lvl>
    <w:lvl w:ilvl="6" w:tplc="B928CEE4">
      <w:numFmt w:val="bullet"/>
      <w:lvlText w:val="•"/>
      <w:lvlJc w:val="left"/>
      <w:pPr>
        <w:ind w:left="5931" w:hanging="360"/>
      </w:pPr>
      <w:rPr>
        <w:rFonts w:hint="default"/>
        <w:lang w:val="en-AU" w:eastAsia="en-US" w:bidi="ar-SA"/>
      </w:rPr>
    </w:lvl>
    <w:lvl w:ilvl="7" w:tplc="ADEA54BA">
      <w:numFmt w:val="bullet"/>
      <w:lvlText w:val="•"/>
      <w:lvlJc w:val="left"/>
      <w:pPr>
        <w:ind w:left="6770" w:hanging="360"/>
      </w:pPr>
      <w:rPr>
        <w:rFonts w:hint="default"/>
        <w:lang w:val="en-AU" w:eastAsia="en-US" w:bidi="ar-SA"/>
      </w:rPr>
    </w:lvl>
    <w:lvl w:ilvl="8" w:tplc="E7F41D04">
      <w:numFmt w:val="bullet"/>
      <w:lvlText w:val="•"/>
      <w:lvlJc w:val="left"/>
      <w:pPr>
        <w:ind w:left="7609" w:hanging="360"/>
      </w:pPr>
      <w:rPr>
        <w:rFonts w:hint="default"/>
        <w:lang w:val="en-AU" w:eastAsia="en-US" w:bidi="ar-SA"/>
      </w:rPr>
    </w:lvl>
  </w:abstractNum>
  <w:abstractNum w:abstractNumId="13" w15:restartNumberingAfterBreak="0">
    <w:nsid w:val="55A84E20"/>
    <w:multiLevelType w:val="hybridMultilevel"/>
    <w:tmpl w:val="D458DEA2"/>
    <w:lvl w:ilvl="0" w:tplc="8BBE69FE">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5" w15:restartNumberingAfterBreak="0">
    <w:nsid w:val="5A6945DC"/>
    <w:multiLevelType w:val="hybridMultilevel"/>
    <w:tmpl w:val="AB6E0DDE"/>
    <w:lvl w:ilvl="0" w:tplc="673264FE">
      <w:numFmt w:val="bullet"/>
      <w:lvlText w:val=""/>
      <w:lvlJc w:val="left"/>
      <w:pPr>
        <w:ind w:left="840" w:hanging="360"/>
      </w:pPr>
      <w:rPr>
        <w:rFonts w:ascii="Symbol" w:eastAsia="Symbol" w:hAnsi="Symbol" w:cs="Symbol" w:hint="default"/>
        <w:b w:val="0"/>
        <w:bCs w:val="0"/>
        <w:i w:val="0"/>
        <w:iCs w:val="0"/>
        <w:w w:val="100"/>
        <w:sz w:val="24"/>
        <w:szCs w:val="24"/>
        <w:lang w:val="en-AU" w:eastAsia="en-US" w:bidi="ar-SA"/>
      </w:rPr>
    </w:lvl>
    <w:lvl w:ilvl="1" w:tplc="031A4F38">
      <w:numFmt w:val="bullet"/>
      <w:lvlText w:val="•"/>
      <w:lvlJc w:val="left"/>
      <w:pPr>
        <w:ind w:left="1684" w:hanging="360"/>
      </w:pPr>
      <w:rPr>
        <w:rFonts w:hint="default"/>
        <w:lang w:val="en-AU" w:eastAsia="en-US" w:bidi="ar-SA"/>
      </w:rPr>
    </w:lvl>
    <w:lvl w:ilvl="2" w:tplc="87068A38">
      <w:numFmt w:val="bullet"/>
      <w:lvlText w:val="•"/>
      <w:lvlJc w:val="left"/>
      <w:pPr>
        <w:ind w:left="2529" w:hanging="360"/>
      </w:pPr>
      <w:rPr>
        <w:rFonts w:hint="default"/>
        <w:lang w:val="en-AU" w:eastAsia="en-US" w:bidi="ar-SA"/>
      </w:rPr>
    </w:lvl>
    <w:lvl w:ilvl="3" w:tplc="23C0EA34">
      <w:numFmt w:val="bullet"/>
      <w:lvlText w:val="•"/>
      <w:lvlJc w:val="left"/>
      <w:pPr>
        <w:ind w:left="3373" w:hanging="360"/>
      </w:pPr>
      <w:rPr>
        <w:rFonts w:hint="default"/>
        <w:lang w:val="en-AU" w:eastAsia="en-US" w:bidi="ar-SA"/>
      </w:rPr>
    </w:lvl>
    <w:lvl w:ilvl="4" w:tplc="6EE6CAAC">
      <w:numFmt w:val="bullet"/>
      <w:lvlText w:val="•"/>
      <w:lvlJc w:val="left"/>
      <w:pPr>
        <w:ind w:left="4218" w:hanging="360"/>
      </w:pPr>
      <w:rPr>
        <w:rFonts w:hint="default"/>
        <w:lang w:val="en-AU" w:eastAsia="en-US" w:bidi="ar-SA"/>
      </w:rPr>
    </w:lvl>
    <w:lvl w:ilvl="5" w:tplc="A4A83D66">
      <w:numFmt w:val="bullet"/>
      <w:lvlText w:val="•"/>
      <w:lvlJc w:val="left"/>
      <w:pPr>
        <w:ind w:left="5063" w:hanging="360"/>
      </w:pPr>
      <w:rPr>
        <w:rFonts w:hint="default"/>
        <w:lang w:val="en-AU" w:eastAsia="en-US" w:bidi="ar-SA"/>
      </w:rPr>
    </w:lvl>
    <w:lvl w:ilvl="6" w:tplc="DE40C372">
      <w:numFmt w:val="bullet"/>
      <w:lvlText w:val="•"/>
      <w:lvlJc w:val="left"/>
      <w:pPr>
        <w:ind w:left="5907" w:hanging="360"/>
      </w:pPr>
      <w:rPr>
        <w:rFonts w:hint="default"/>
        <w:lang w:val="en-AU" w:eastAsia="en-US" w:bidi="ar-SA"/>
      </w:rPr>
    </w:lvl>
    <w:lvl w:ilvl="7" w:tplc="672212DE">
      <w:numFmt w:val="bullet"/>
      <w:lvlText w:val="•"/>
      <w:lvlJc w:val="left"/>
      <w:pPr>
        <w:ind w:left="6752" w:hanging="360"/>
      </w:pPr>
      <w:rPr>
        <w:rFonts w:hint="default"/>
        <w:lang w:val="en-AU" w:eastAsia="en-US" w:bidi="ar-SA"/>
      </w:rPr>
    </w:lvl>
    <w:lvl w:ilvl="8" w:tplc="3944453C">
      <w:numFmt w:val="bullet"/>
      <w:lvlText w:val="•"/>
      <w:lvlJc w:val="left"/>
      <w:pPr>
        <w:ind w:left="7597" w:hanging="360"/>
      </w:pPr>
      <w:rPr>
        <w:rFonts w:hint="default"/>
        <w:lang w:val="en-AU" w:eastAsia="en-US" w:bidi="ar-SA"/>
      </w:rPr>
    </w:lvl>
  </w:abstractNum>
  <w:abstractNum w:abstractNumId="16" w15:restartNumberingAfterBreak="0">
    <w:nsid w:val="5B00638E"/>
    <w:multiLevelType w:val="hybridMultilevel"/>
    <w:tmpl w:val="18E8F6EE"/>
    <w:lvl w:ilvl="0" w:tplc="CFB28628">
      <w:start w:val="1"/>
      <w:numFmt w:val="lowerLetter"/>
      <w:lvlText w:val="%1."/>
      <w:lvlJc w:val="left"/>
      <w:pPr>
        <w:ind w:left="904" w:hanging="360"/>
      </w:pPr>
      <w:rPr>
        <w:rFonts w:ascii="Times New Roman" w:eastAsia="Arial" w:hAnsi="Times New Roman" w:cs="Times New Roman" w:hint="default"/>
        <w:b w:val="0"/>
        <w:bCs w:val="0"/>
        <w:i w:val="0"/>
        <w:iCs w:val="0"/>
        <w:w w:val="100"/>
        <w:sz w:val="24"/>
        <w:szCs w:val="24"/>
        <w:lang w:val="en-AU" w:eastAsia="en-US" w:bidi="ar-SA"/>
      </w:rPr>
    </w:lvl>
    <w:lvl w:ilvl="1" w:tplc="31CCD440">
      <w:numFmt w:val="bullet"/>
      <w:lvlText w:val="•"/>
      <w:lvlJc w:val="left"/>
      <w:pPr>
        <w:ind w:left="1738" w:hanging="360"/>
      </w:pPr>
      <w:rPr>
        <w:rFonts w:hint="default"/>
        <w:lang w:val="en-AU" w:eastAsia="en-US" w:bidi="ar-SA"/>
      </w:rPr>
    </w:lvl>
    <w:lvl w:ilvl="2" w:tplc="54E2F600">
      <w:numFmt w:val="bullet"/>
      <w:lvlText w:val="•"/>
      <w:lvlJc w:val="left"/>
      <w:pPr>
        <w:ind w:left="2577" w:hanging="360"/>
      </w:pPr>
      <w:rPr>
        <w:rFonts w:hint="default"/>
        <w:lang w:val="en-AU" w:eastAsia="en-US" w:bidi="ar-SA"/>
      </w:rPr>
    </w:lvl>
    <w:lvl w:ilvl="3" w:tplc="FF2A8686">
      <w:numFmt w:val="bullet"/>
      <w:lvlText w:val="•"/>
      <w:lvlJc w:val="left"/>
      <w:pPr>
        <w:ind w:left="3415" w:hanging="360"/>
      </w:pPr>
      <w:rPr>
        <w:rFonts w:hint="default"/>
        <w:lang w:val="en-AU" w:eastAsia="en-US" w:bidi="ar-SA"/>
      </w:rPr>
    </w:lvl>
    <w:lvl w:ilvl="4" w:tplc="3B245610">
      <w:numFmt w:val="bullet"/>
      <w:lvlText w:val="•"/>
      <w:lvlJc w:val="left"/>
      <w:pPr>
        <w:ind w:left="4254" w:hanging="360"/>
      </w:pPr>
      <w:rPr>
        <w:rFonts w:hint="default"/>
        <w:lang w:val="en-AU" w:eastAsia="en-US" w:bidi="ar-SA"/>
      </w:rPr>
    </w:lvl>
    <w:lvl w:ilvl="5" w:tplc="17686156">
      <w:numFmt w:val="bullet"/>
      <w:lvlText w:val="•"/>
      <w:lvlJc w:val="left"/>
      <w:pPr>
        <w:ind w:left="5093" w:hanging="360"/>
      </w:pPr>
      <w:rPr>
        <w:rFonts w:hint="default"/>
        <w:lang w:val="en-AU" w:eastAsia="en-US" w:bidi="ar-SA"/>
      </w:rPr>
    </w:lvl>
    <w:lvl w:ilvl="6" w:tplc="B55E7CBC">
      <w:numFmt w:val="bullet"/>
      <w:lvlText w:val="•"/>
      <w:lvlJc w:val="left"/>
      <w:pPr>
        <w:ind w:left="5931" w:hanging="360"/>
      </w:pPr>
      <w:rPr>
        <w:rFonts w:hint="default"/>
        <w:lang w:val="en-AU" w:eastAsia="en-US" w:bidi="ar-SA"/>
      </w:rPr>
    </w:lvl>
    <w:lvl w:ilvl="7" w:tplc="AD9A653E">
      <w:numFmt w:val="bullet"/>
      <w:lvlText w:val="•"/>
      <w:lvlJc w:val="left"/>
      <w:pPr>
        <w:ind w:left="6770" w:hanging="360"/>
      </w:pPr>
      <w:rPr>
        <w:rFonts w:hint="default"/>
        <w:lang w:val="en-AU" w:eastAsia="en-US" w:bidi="ar-SA"/>
      </w:rPr>
    </w:lvl>
    <w:lvl w:ilvl="8" w:tplc="5D7A78C0">
      <w:numFmt w:val="bullet"/>
      <w:lvlText w:val="•"/>
      <w:lvlJc w:val="left"/>
      <w:pPr>
        <w:ind w:left="7609" w:hanging="360"/>
      </w:pPr>
      <w:rPr>
        <w:rFonts w:hint="default"/>
        <w:lang w:val="en-AU" w:eastAsia="en-US" w:bidi="ar-SA"/>
      </w:rPr>
    </w:lvl>
  </w:abstractNum>
  <w:abstractNum w:abstractNumId="17" w15:restartNumberingAfterBreak="0">
    <w:nsid w:val="5D554D87"/>
    <w:multiLevelType w:val="hybridMultilevel"/>
    <w:tmpl w:val="4F2E0782"/>
    <w:lvl w:ilvl="0" w:tplc="2BB2B854">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10D7394"/>
    <w:multiLevelType w:val="hybridMultilevel"/>
    <w:tmpl w:val="A4E46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FD66C1"/>
    <w:multiLevelType w:val="hybridMultilevel"/>
    <w:tmpl w:val="3B04568A"/>
    <w:lvl w:ilvl="0" w:tplc="FFFFFFFF">
      <w:start w:val="1"/>
      <w:numFmt w:val="lowerLetter"/>
      <w:lvlText w:val="%1."/>
      <w:lvlJc w:val="left"/>
      <w:pPr>
        <w:ind w:left="1440" w:hanging="720"/>
      </w:pPr>
      <w:rPr>
        <w:rFonts w:hint="default"/>
      </w:rPr>
    </w:lvl>
    <w:lvl w:ilvl="1" w:tplc="0C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255020478">
    <w:abstractNumId w:val="2"/>
  </w:num>
  <w:num w:numId="2" w16cid:durableId="2106882723">
    <w:abstractNumId w:val="0"/>
  </w:num>
  <w:num w:numId="3" w16cid:durableId="747579944">
    <w:abstractNumId w:val="4"/>
  </w:num>
  <w:num w:numId="4" w16cid:durableId="1337804231">
    <w:abstractNumId w:val="10"/>
  </w:num>
  <w:num w:numId="5" w16cid:durableId="576747935">
    <w:abstractNumId w:val="20"/>
  </w:num>
  <w:num w:numId="6" w16cid:durableId="2001494507">
    <w:abstractNumId w:val="1"/>
  </w:num>
  <w:num w:numId="7" w16cid:durableId="670568196">
    <w:abstractNumId w:val="7"/>
  </w:num>
  <w:num w:numId="8" w16cid:durableId="1782456229">
    <w:abstractNumId w:val="9"/>
  </w:num>
  <w:num w:numId="9" w16cid:durableId="371270287">
    <w:abstractNumId w:val="14"/>
  </w:num>
  <w:num w:numId="10" w16cid:durableId="2077313484">
    <w:abstractNumId w:val="13"/>
  </w:num>
  <w:num w:numId="11" w16cid:durableId="714231735">
    <w:abstractNumId w:val="18"/>
  </w:num>
  <w:num w:numId="12" w16cid:durableId="347558798">
    <w:abstractNumId w:val="15"/>
  </w:num>
  <w:num w:numId="13" w16cid:durableId="896941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6802801">
    <w:abstractNumId w:val="17"/>
  </w:num>
  <w:num w:numId="15" w16cid:durableId="1957171012">
    <w:abstractNumId w:val="16"/>
  </w:num>
  <w:num w:numId="16" w16cid:durableId="1818959204">
    <w:abstractNumId w:val="11"/>
  </w:num>
  <w:num w:numId="17" w16cid:durableId="1157303498">
    <w:abstractNumId w:val="5"/>
  </w:num>
  <w:num w:numId="18" w16cid:durableId="1765347249">
    <w:abstractNumId w:val="3"/>
  </w:num>
  <w:num w:numId="19" w16cid:durableId="978725052">
    <w:abstractNumId w:val="12"/>
  </w:num>
  <w:num w:numId="20" w16cid:durableId="2089616082">
    <w:abstractNumId w:val="8"/>
  </w:num>
  <w:num w:numId="21" w16cid:durableId="438835667">
    <w:abstractNumId w:val="6"/>
  </w:num>
  <w:num w:numId="22" w16cid:durableId="929848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40E22"/>
    <w:rsid w:val="000440F8"/>
    <w:rsid w:val="00067667"/>
    <w:rsid w:val="000753CD"/>
    <w:rsid w:val="00091D34"/>
    <w:rsid w:val="00142DE2"/>
    <w:rsid w:val="0015155C"/>
    <w:rsid w:val="0027076D"/>
    <w:rsid w:val="00287405"/>
    <w:rsid w:val="002B504F"/>
    <w:rsid w:val="0031124F"/>
    <w:rsid w:val="00376329"/>
    <w:rsid w:val="003A3CDA"/>
    <w:rsid w:val="00421332"/>
    <w:rsid w:val="004229A6"/>
    <w:rsid w:val="00446B1D"/>
    <w:rsid w:val="004B73FB"/>
    <w:rsid w:val="004C3922"/>
    <w:rsid w:val="004E2FA3"/>
    <w:rsid w:val="00577FE5"/>
    <w:rsid w:val="005E3194"/>
    <w:rsid w:val="00602ADC"/>
    <w:rsid w:val="006815C9"/>
    <w:rsid w:val="006E7046"/>
    <w:rsid w:val="0070738A"/>
    <w:rsid w:val="00727BE6"/>
    <w:rsid w:val="00771199"/>
    <w:rsid w:val="007A6EF0"/>
    <w:rsid w:val="007E5303"/>
    <w:rsid w:val="008511EC"/>
    <w:rsid w:val="00853EA3"/>
    <w:rsid w:val="0089786C"/>
    <w:rsid w:val="008A30EF"/>
    <w:rsid w:val="00957776"/>
    <w:rsid w:val="009A005E"/>
    <w:rsid w:val="009B2D9B"/>
    <w:rsid w:val="009F19B2"/>
    <w:rsid w:val="009F4D6D"/>
    <w:rsid w:val="00A42221"/>
    <w:rsid w:val="00AE405D"/>
    <w:rsid w:val="00B40734"/>
    <w:rsid w:val="00B5176F"/>
    <w:rsid w:val="00B85DC5"/>
    <w:rsid w:val="00C1618B"/>
    <w:rsid w:val="00C2307D"/>
    <w:rsid w:val="00C574F7"/>
    <w:rsid w:val="00C63C59"/>
    <w:rsid w:val="00C77097"/>
    <w:rsid w:val="00CA5A1D"/>
    <w:rsid w:val="00D935A6"/>
    <w:rsid w:val="00EE6849"/>
    <w:rsid w:val="00F5371D"/>
    <w:rsid w:val="00F71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60497"/>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character" w:customStyle="1" w:styleId="ui-provider">
    <w:name w:val="ui-provider"/>
    <w:basedOn w:val="DefaultParagraphFont"/>
    <w:rsid w:val="00C63C59"/>
  </w:style>
  <w:style w:type="paragraph" w:styleId="NormalWeb">
    <w:name w:val="Normal (Web)"/>
    <w:basedOn w:val="Normal"/>
    <w:uiPriority w:val="99"/>
    <w:unhideWhenUsed/>
    <w:rsid w:val="0031124F"/>
    <w:pPr>
      <w:spacing w:before="100" w:beforeAutospacing="1" w:after="100" w:afterAutospacing="1"/>
    </w:pPr>
    <w:rPr>
      <w:szCs w:val="24"/>
      <w:lang w:eastAsia="en-AU"/>
    </w:rPr>
  </w:style>
  <w:style w:type="paragraph" w:styleId="ListParagraph">
    <w:name w:val="List Paragraph"/>
    <w:basedOn w:val="Normal"/>
    <w:uiPriority w:val="1"/>
    <w:qFormat/>
    <w:rsid w:val="0015155C"/>
    <w:pPr>
      <w:ind w:left="720"/>
      <w:contextualSpacing/>
    </w:pPr>
  </w:style>
  <w:style w:type="paragraph" w:styleId="BodyText">
    <w:name w:val="Body Text"/>
    <w:basedOn w:val="Normal"/>
    <w:link w:val="BodyTextChar"/>
    <w:uiPriority w:val="99"/>
    <w:semiHidden/>
    <w:unhideWhenUsed/>
    <w:rsid w:val="005E3194"/>
    <w:pPr>
      <w:spacing w:after="120"/>
    </w:pPr>
  </w:style>
  <w:style w:type="character" w:customStyle="1" w:styleId="BodyTextChar">
    <w:name w:val="Body Text Char"/>
    <w:basedOn w:val="DefaultParagraphFont"/>
    <w:link w:val="BodyText"/>
    <w:uiPriority w:val="99"/>
    <w:semiHidden/>
    <w:rsid w:val="005E3194"/>
    <w:rPr>
      <w:sz w:val="24"/>
      <w:lang w:eastAsia="en-US"/>
    </w:rPr>
  </w:style>
  <w:style w:type="character" w:customStyle="1" w:styleId="Calibri12">
    <w:name w:val="Calibri 12"/>
    <w:basedOn w:val="DefaultParagraphFont"/>
    <w:uiPriority w:val="1"/>
    <w:qFormat/>
    <w:rsid w:val="004B73FB"/>
    <w:rPr>
      <w:rFonts w:ascii="Calibri" w:hAnsi="Calibri"/>
      <w:sz w:val="24"/>
    </w:rPr>
  </w:style>
  <w:style w:type="character" w:styleId="CommentReference">
    <w:name w:val="annotation reference"/>
    <w:basedOn w:val="DefaultParagraphFont"/>
    <w:uiPriority w:val="99"/>
    <w:semiHidden/>
    <w:unhideWhenUsed/>
    <w:rsid w:val="008A30EF"/>
    <w:rPr>
      <w:sz w:val="16"/>
      <w:szCs w:val="16"/>
    </w:rPr>
  </w:style>
  <w:style w:type="paragraph" w:styleId="CommentText">
    <w:name w:val="annotation text"/>
    <w:basedOn w:val="Normal"/>
    <w:link w:val="CommentTextChar"/>
    <w:uiPriority w:val="99"/>
    <w:unhideWhenUsed/>
    <w:rsid w:val="008A30EF"/>
    <w:rPr>
      <w:sz w:val="20"/>
    </w:rPr>
  </w:style>
  <w:style w:type="character" w:customStyle="1" w:styleId="CommentTextChar">
    <w:name w:val="Comment Text Char"/>
    <w:basedOn w:val="DefaultParagraphFont"/>
    <w:link w:val="CommentText"/>
    <w:uiPriority w:val="99"/>
    <w:rsid w:val="008A30EF"/>
    <w:rPr>
      <w:lang w:eastAsia="en-US"/>
    </w:rPr>
  </w:style>
  <w:style w:type="paragraph" w:styleId="CommentSubject">
    <w:name w:val="annotation subject"/>
    <w:basedOn w:val="CommentText"/>
    <w:next w:val="CommentText"/>
    <w:link w:val="CommentSubjectChar"/>
    <w:uiPriority w:val="99"/>
    <w:semiHidden/>
    <w:unhideWhenUsed/>
    <w:rsid w:val="008A30EF"/>
    <w:rPr>
      <w:b/>
      <w:bCs/>
    </w:rPr>
  </w:style>
  <w:style w:type="character" w:customStyle="1" w:styleId="CommentSubjectChar">
    <w:name w:val="Comment Subject Char"/>
    <w:basedOn w:val="CommentTextChar"/>
    <w:link w:val="CommentSubject"/>
    <w:uiPriority w:val="99"/>
    <w:semiHidden/>
    <w:rsid w:val="008A30EF"/>
    <w:rPr>
      <w:b/>
      <w:bCs/>
      <w:lang w:eastAsia="en-US"/>
    </w:rPr>
  </w:style>
  <w:style w:type="paragraph" w:styleId="Revision">
    <w:name w:val="Revision"/>
    <w:hidden/>
    <w:uiPriority w:val="99"/>
    <w:semiHidden/>
    <w:rsid w:val="002B504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8910">
      <w:bodyDiv w:val="1"/>
      <w:marLeft w:val="0"/>
      <w:marRight w:val="0"/>
      <w:marTop w:val="0"/>
      <w:marBottom w:val="0"/>
      <w:divBdr>
        <w:top w:val="none" w:sz="0" w:space="0" w:color="auto"/>
        <w:left w:val="none" w:sz="0" w:space="0" w:color="auto"/>
        <w:bottom w:val="none" w:sz="0" w:space="0" w:color="auto"/>
        <w:right w:val="none" w:sz="0" w:space="0" w:color="auto"/>
      </w:divBdr>
    </w:div>
    <w:div w:id="944578181">
      <w:bodyDiv w:val="1"/>
      <w:marLeft w:val="0"/>
      <w:marRight w:val="0"/>
      <w:marTop w:val="0"/>
      <w:marBottom w:val="0"/>
      <w:divBdr>
        <w:top w:val="none" w:sz="0" w:space="0" w:color="auto"/>
        <w:left w:val="none" w:sz="0" w:space="0" w:color="auto"/>
        <w:bottom w:val="none" w:sz="0" w:space="0" w:color="auto"/>
        <w:right w:val="none" w:sz="0" w:space="0" w:color="auto"/>
      </w:divBdr>
    </w:div>
    <w:div w:id="1135292910">
      <w:bodyDiv w:val="1"/>
      <w:marLeft w:val="0"/>
      <w:marRight w:val="0"/>
      <w:marTop w:val="0"/>
      <w:marBottom w:val="0"/>
      <w:divBdr>
        <w:top w:val="none" w:sz="0" w:space="0" w:color="auto"/>
        <w:left w:val="none" w:sz="0" w:space="0" w:color="auto"/>
        <w:bottom w:val="none" w:sz="0" w:space="0" w:color="auto"/>
        <w:right w:val="none" w:sz="0" w:space="0" w:color="auto"/>
      </w:divBdr>
    </w:div>
    <w:div w:id="15167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act.gov.au/View/es/db_66967/20230323-80626/html/db_66967.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A45736351</value>
    </field>
    <field name="Objective-Title">
      <value order="0">Attach G - Explanatory Statement - Professional Engineers Regulation 2024</value>
    </field>
    <field name="Objective-Description">
      <value order="0"/>
    </field>
    <field name="Objective-CreationStamp">
      <value order="0">2024-02-28T23:08:33Z</value>
    </field>
    <field name="Objective-IsApproved">
      <value order="0">false</value>
    </field>
    <field name="Objective-IsPublished">
      <value order="0">true</value>
    </field>
    <field name="Objective-DatePublished">
      <value order="0">2024-03-01T03:31:00Z</value>
    </field>
    <field name="Objective-ModificationStamp">
      <value order="0">2024-03-01T03:31:00Z</value>
    </field>
    <field name="Objective-Owner">
      <value order="0">Alison Kemp</value>
    </field>
    <field name="Objective-Path">
      <value order="0">Whole of ACT Government:EPSDD - Environment Planning and Sustainable Development Directorate:07. Ministerial, Cabinet and Government Relations:06. Ministerials:z. 2013 - 2023 Ministerial and Chief Ministerial Correspondence:2023 - Ministerial and Chief Ministerial Briefs / Correspondence:Planning and Urban Policy:2023:23/118790 Ministerial-Information Brief - Vassarotti - Professional Engineers Registration Scheme - Implementation Instruments</value>
    </field>
    <field name="Objective-Parent">
      <value order="0">23/118790 Ministerial-Information Brief - Vassarotti - Professional Engineers Registration Scheme - Implementation Instruments</value>
    </field>
    <field name="Objective-State">
      <value order="0">Published</value>
    </field>
    <field name="Objective-VersionId">
      <value order="0">vA57290844</value>
    </field>
    <field name="Objective-Version">
      <value order="0">7.0</value>
    </field>
    <field name="Objective-VersionNumber">
      <value order="0">9</value>
    </field>
    <field name="Objective-VersionComment">
      <value order="0"/>
    </field>
    <field name="Objective-FileNumber">
      <value order="0">1-2023/118790</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1834</Words>
  <Characters>10330</Characters>
  <Application>Microsoft Office Word</Application>
  <DocSecurity>0</DocSecurity>
  <Lines>209</Lines>
  <Paragraphs>69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2024-03-03T23:19:00Z</dcterms:created>
  <dcterms:modified xsi:type="dcterms:W3CDTF">2024-03-03T23:19:00Z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A45736351</vt:lpwstr>
  </property>
  <property fmtid="{D5CDD505-2E9C-101B-9397-08002B2CF9AE}" pid="4" name="Objective-Title">
    <vt:lpwstr>Attach G - Explanatory Statement - Professional Engineers Regulation 2024</vt:lpwstr>
  </property>
  <property fmtid="{D5CDD505-2E9C-101B-9397-08002B2CF9AE}" pid="5" name="Objective-Description">
    <vt:lpwstr/>
  </property>
  <property fmtid="{D5CDD505-2E9C-101B-9397-08002B2CF9AE}" pid="6" name="Objective-CreationStamp">
    <vt:filetime>2024-02-28T23:08:33Z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2024-03-01T03:31:00Z</vt:filetime>
  </property>
  <property fmtid="{D5CDD505-2E9C-101B-9397-08002B2CF9AE}" pid="10" name="Objective-ModificationStamp">
    <vt:filetime>2024-03-01T03:31:00Z</vt:filetime>
  </property>
  <property fmtid="{D5CDD505-2E9C-101B-9397-08002B2CF9AE}" pid="11" name="Objective-Owner">
    <vt:lpwstr>Alison Kemp</vt:lpwstr>
  </property>
  <property fmtid="{D5CDD505-2E9C-101B-9397-08002B2CF9AE}" pid="12" name="Objective-Path">
    <vt:lpwstr>Whole of ACT Government:EPSDD - Environment Planning and Sustainable Development Directorate:07. Ministerial, Cabinet and Government Relations:06. Ministerials:z. 2013 - 2023 Ministerial and Chief Ministerial Correspondence:2023 - Ministerial and Chief Ministerial Briefs / Correspondence:Planning and Urban Policy:2023:23/118790 Ministerial-Information Brief - Vassarotti - Professional Engineers Registration Scheme - Implementation Instruments:</vt:lpwstr>
  </property>
  <property fmtid="{D5CDD505-2E9C-101B-9397-08002B2CF9AE}" pid="13" name="Objective-Parent">
    <vt:lpwstr>23/118790 Ministerial-Information Brief - Vassarotti - Professional Engineers Registration Scheme - Implementation Instruments</vt:lpwstr>
  </property>
  <property fmtid="{D5CDD505-2E9C-101B-9397-08002B2CF9AE}" pid="14" name="Objective-State">
    <vt:lpwstr>Published</vt:lpwstr>
  </property>
  <property fmtid="{D5CDD505-2E9C-101B-9397-08002B2CF9AE}" pid="15" name="Objective-VersionId">
    <vt:lpwstr>vA57290844</vt:lpwstr>
  </property>
  <property fmtid="{D5CDD505-2E9C-101B-9397-08002B2CF9AE}" pid="16" name="Objective-Version">
    <vt:lpwstr>7.0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1-2023/118790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ies>
</file>