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88AB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4CCB7B" w14:textId="6A868AAA" w:rsidR="00C17FAB" w:rsidRDefault="00807B1E">
      <w:pPr>
        <w:pStyle w:val="Billname"/>
        <w:spacing w:before="700"/>
      </w:pPr>
      <w:r>
        <w:t>Construction Occupations (Licensing)</w:t>
      </w:r>
      <w:r w:rsidR="00B03BE2">
        <w:t xml:space="preserve"> </w:t>
      </w:r>
      <w:r>
        <w:t xml:space="preserve">(Qualifications) Declaration </w:t>
      </w:r>
      <w:r w:rsidR="00EC1967">
        <w:t>202</w:t>
      </w:r>
      <w:r w:rsidR="00FD364D">
        <w:t>4</w:t>
      </w:r>
      <w:r w:rsidR="00EC1967">
        <w:t xml:space="preserve"> </w:t>
      </w:r>
      <w:r w:rsidR="00D363D1">
        <w:t>(No 2)</w:t>
      </w:r>
    </w:p>
    <w:p w14:paraId="172712D7" w14:textId="32DF5C6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EC1967">
        <w:rPr>
          <w:rFonts w:ascii="Arial" w:hAnsi="Arial" w:cs="Arial"/>
          <w:b/>
          <w:bCs/>
        </w:rPr>
        <w:t>202</w:t>
      </w:r>
      <w:r w:rsidR="00FD364D">
        <w:rPr>
          <w:rFonts w:ascii="Arial" w:hAnsi="Arial" w:cs="Arial"/>
          <w:b/>
          <w:bCs/>
        </w:rPr>
        <w:t>4</w:t>
      </w:r>
      <w:r w:rsidR="00EC1967">
        <w:rPr>
          <w:rFonts w:ascii="Arial" w:hAnsi="Arial" w:cs="Arial"/>
          <w:b/>
          <w:bCs/>
        </w:rPr>
        <w:t>-</w:t>
      </w:r>
      <w:r w:rsidR="00804010">
        <w:rPr>
          <w:rFonts w:ascii="Arial" w:hAnsi="Arial" w:cs="Arial"/>
          <w:b/>
          <w:bCs/>
        </w:rPr>
        <w:t>41</w:t>
      </w:r>
    </w:p>
    <w:p w14:paraId="510A7DD3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01B1FA83" w14:textId="6D2CE224" w:rsidR="00EC1967" w:rsidRDefault="00EC1967" w:rsidP="00DA3B00">
      <w:pPr>
        <w:pStyle w:val="CoverActName"/>
        <w:spacing w:before="320" w:after="0"/>
        <w:rPr>
          <w:rFonts w:cs="Arial"/>
          <w:sz w:val="20"/>
        </w:rPr>
      </w:pPr>
      <w:r w:rsidRPr="00EC1967">
        <w:rPr>
          <w:rFonts w:cs="Arial"/>
          <w:sz w:val="20"/>
        </w:rPr>
        <w:t>Construction Occupations (Licensing) Regulation 2004, s 13 (Eligibility for licence—</w:t>
      </w:r>
      <w:r w:rsidR="004131A7">
        <w:rPr>
          <w:rFonts w:cs="Arial"/>
          <w:sz w:val="20"/>
        </w:rPr>
        <w:t>suitability</w:t>
      </w:r>
      <w:r w:rsidR="004131A7" w:rsidRPr="00EC1967">
        <w:rPr>
          <w:rFonts w:cs="Arial"/>
          <w:sz w:val="20"/>
        </w:rPr>
        <w:t xml:space="preserve"> </w:t>
      </w:r>
      <w:r w:rsidRPr="00EC1967">
        <w:rPr>
          <w:rFonts w:cs="Arial"/>
          <w:sz w:val="20"/>
        </w:rPr>
        <w:t xml:space="preserve">and financial requirements—Act, s 18 and s 24A) </w:t>
      </w:r>
    </w:p>
    <w:p w14:paraId="35465FD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7D765D0" w14:textId="77777777" w:rsidR="00C17FAB" w:rsidRDefault="00C17FAB">
      <w:pPr>
        <w:pStyle w:val="N-line3"/>
        <w:pBdr>
          <w:bottom w:val="none" w:sz="0" w:space="0" w:color="auto"/>
        </w:pBdr>
      </w:pPr>
    </w:p>
    <w:p w14:paraId="4D69CAEE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302978F" w14:textId="2E24AF03" w:rsidR="00EC1967" w:rsidRDefault="00EC1967" w:rsidP="00EC1967">
      <w:r>
        <w:t xml:space="preserve">Section 13 of the </w:t>
      </w:r>
      <w:r w:rsidRPr="00EC1967">
        <w:rPr>
          <w:i/>
          <w:iCs/>
        </w:rPr>
        <w:t>Construction Occupations (Licensing) Regulation 2004</w:t>
      </w:r>
      <w:r>
        <w:t xml:space="preserve"> (the Regulation) permits the Minister to declare the qualifications requirements necessary for an entity to be eligible to be licensed in a construction occupation or occupation class.</w:t>
      </w:r>
    </w:p>
    <w:p w14:paraId="26E479B2" w14:textId="77777777" w:rsidR="00EC1967" w:rsidRDefault="00EC1967" w:rsidP="00EC1967"/>
    <w:p w14:paraId="0F4833A8" w14:textId="7840A7F1" w:rsidR="00AE30B5" w:rsidRDefault="000C3164" w:rsidP="00EC1967">
      <w:r>
        <w:t>This</w:t>
      </w:r>
      <w:r w:rsidR="00EC1967">
        <w:t xml:space="preserve"> instrument declare</w:t>
      </w:r>
      <w:r>
        <w:t>s</w:t>
      </w:r>
      <w:r w:rsidR="00EC1967">
        <w:t xml:space="preserve"> the qualifications necessary for an individual to be eligible to be licensed in the construction occupations and associated occupation classes of</w:t>
      </w:r>
      <w:r w:rsidR="00AE30B5">
        <w:t>:</w:t>
      </w:r>
    </w:p>
    <w:p w14:paraId="3785CC41" w14:textId="77777777" w:rsidR="009352D4" w:rsidRDefault="009352D4" w:rsidP="00EC1967"/>
    <w:p w14:paraId="47D419D1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Building Assessor, </w:t>
      </w:r>
    </w:p>
    <w:p w14:paraId="2C9CE4FA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Drainer, </w:t>
      </w:r>
    </w:p>
    <w:p w14:paraId="6C6B7215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Electrician, </w:t>
      </w:r>
    </w:p>
    <w:p w14:paraId="5262E5ED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Gasfitter, </w:t>
      </w:r>
    </w:p>
    <w:p w14:paraId="3678682C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Gas Appliance Worker, </w:t>
      </w:r>
    </w:p>
    <w:p w14:paraId="13BBF7B1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Plumber, </w:t>
      </w:r>
    </w:p>
    <w:p w14:paraId="5934B7ED" w14:textId="77777777" w:rsidR="00AE30B5" w:rsidRDefault="00EC1967" w:rsidP="00AE30B5">
      <w:pPr>
        <w:pStyle w:val="ListParagraph"/>
        <w:numPr>
          <w:ilvl w:val="0"/>
          <w:numId w:val="10"/>
        </w:numPr>
      </w:pPr>
      <w:r>
        <w:t xml:space="preserve">Plumbing Plan Certifier, </w:t>
      </w:r>
    </w:p>
    <w:p w14:paraId="0985208C" w14:textId="47DC1798" w:rsidR="00AE30B5" w:rsidRDefault="00EC1967" w:rsidP="00AE30B5">
      <w:pPr>
        <w:pStyle w:val="ListParagraph"/>
        <w:numPr>
          <w:ilvl w:val="0"/>
          <w:numId w:val="10"/>
        </w:numPr>
      </w:pPr>
      <w:r>
        <w:t>Works Assessor</w:t>
      </w:r>
      <w:r w:rsidR="00AE30B5">
        <w:t>;</w:t>
      </w:r>
    </w:p>
    <w:p w14:paraId="1CDB50BA" w14:textId="6181EDD2" w:rsidR="00AE30B5" w:rsidRDefault="00AE30B5" w:rsidP="00AE30B5">
      <w:pPr>
        <w:pStyle w:val="ListParagraph"/>
        <w:numPr>
          <w:ilvl w:val="0"/>
          <w:numId w:val="10"/>
        </w:numPr>
      </w:pPr>
      <w:r>
        <w:t>Builder; and</w:t>
      </w:r>
    </w:p>
    <w:p w14:paraId="07ADB2D6" w14:textId="508D75B1" w:rsidR="00AE30B5" w:rsidRDefault="00AE30B5" w:rsidP="00AE30B5">
      <w:pPr>
        <w:pStyle w:val="ListParagraph"/>
        <w:numPr>
          <w:ilvl w:val="0"/>
          <w:numId w:val="10"/>
        </w:numPr>
      </w:pPr>
      <w:r>
        <w:t>Building Surveyor</w:t>
      </w:r>
      <w:r w:rsidR="00EC1967">
        <w:t>.</w:t>
      </w:r>
    </w:p>
    <w:p w14:paraId="3113EC82" w14:textId="77777777" w:rsidR="00AE30B5" w:rsidRDefault="00AE30B5" w:rsidP="00AE30B5">
      <w:pPr>
        <w:pStyle w:val="ListParagraph"/>
      </w:pPr>
    </w:p>
    <w:p w14:paraId="6E9AFBA7" w14:textId="64650CCB" w:rsidR="00C17FAB" w:rsidRDefault="00EC1967" w:rsidP="00AE30B5">
      <w:pPr>
        <w:pStyle w:val="ListParagraph"/>
        <w:ind w:left="0"/>
      </w:pPr>
      <w:r>
        <w:t>It prescribes qualifications for particular applicants for new licences. It does not prescribe general requirements for renewing licensees or financial requirements.</w:t>
      </w:r>
    </w:p>
    <w:p w14:paraId="4D2B8174" w14:textId="77CD4CDF" w:rsidR="00EC1967" w:rsidRDefault="00EC1967" w:rsidP="00EC1967"/>
    <w:p w14:paraId="301E68F9" w14:textId="77777777" w:rsidR="00AE30B5" w:rsidRDefault="00AE30B5" w:rsidP="00AE30B5">
      <w:r>
        <w:t xml:space="preserve">This declaration is a disallowable instrument and must be presented to the Legislative Assembly within 6 sitting days after its notification pursuant to section 64 of the </w:t>
      </w:r>
      <w:r w:rsidRPr="00EC1967">
        <w:rPr>
          <w:i/>
          <w:iCs/>
        </w:rPr>
        <w:t>Legislation Act 2001</w:t>
      </w:r>
      <w:r>
        <w:t>.</w:t>
      </w:r>
    </w:p>
    <w:p w14:paraId="2DCE412C" w14:textId="77777777" w:rsidR="008E5EAB" w:rsidRDefault="008E5EAB" w:rsidP="008E5EAB"/>
    <w:p w14:paraId="5CA6FEA3" w14:textId="77777777" w:rsidR="008E5EAB" w:rsidRPr="00EC1967" w:rsidRDefault="008E5EAB" w:rsidP="008E5EAB">
      <w:pPr>
        <w:rPr>
          <w:b/>
          <w:bCs/>
        </w:rPr>
      </w:pPr>
      <w:r w:rsidRPr="00EC1967">
        <w:rPr>
          <w:b/>
          <w:bCs/>
        </w:rPr>
        <w:t>Regulatory Impact Statement (RIS)</w:t>
      </w:r>
    </w:p>
    <w:p w14:paraId="0D83A243" w14:textId="77777777" w:rsidR="008E5EAB" w:rsidRDefault="008E5EAB" w:rsidP="008E5EAB">
      <w:r>
        <w:t xml:space="preserve">Section 34 of the </w:t>
      </w:r>
      <w:r w:rsidRPr="00EC1967">
        <w:rPr>
          <w:i/>
          <w:iCs/>
        </w:rPr>
        <w:t>Legislation Act 2001</w:t>
      </w:r>
      <w:r>
        <w:t xml:space="preserve"> provides that if a proposed subordinate law or disallowable instrument (the proposed law) is likely to impose appreciable costs on the community, or a part of the community, then, before the proposed law is made, </w:t>
      </w:r>
      <w:r>
        <w:lastRenderedPageBreak/>
        <w:t>the Minister administering the authorising law must arrange for a RIS to be prepared for the proposed law.</w:t>
      </w:r>
    </w:p>
    <w:p w14:paraId="0DF49F29" w14:textId="77777777" w:rsidR="008E5EAB" w:rsidRDefault="008E5EAB" w:rsidP="008E5EAB"/>
    <w:p w14:paraId="7C8AB1EC" w14:textId="77777777" w:rsidR="008E5EAB" w:rsidRDefault="008E5EAB" w:rsidP="008E5EAB">
      <w:r>
        <w:t>A RIS is not required as this instrument is not expected to impose appreciable costs on the community or part of the community.</w:t>
      </w:r>
    </w:p>
    <w:p w14:paraId="6FD89641" w14:textId="77777777" w:rsidR="008E5EAB" w:rsidRDefault="008E5EAB" w:rsidP="008E5EAB"/>
    <w:p w14:paraId="63092EA0" w14:textId="77777777" w:rsidR="008E5EAB" w:rsidRPr="00EC1967" w:rsidRDefault="008E5EAB" w:rsidP="008E5EAB">
      <w:pPr>
        <w:rPr>
          <w:b/>
          <w:bCs/>
        </w:rPr>
      </w:pPr>
      <w:r w:rsidRPr="00EC1967">
        <w:rPr>
          <w:b/>
          <w:bCs/>
        </w:rPr>
        <w:t>Human Rights</w:t>
      </w:r>
    </w:p>
    <w:p w14:paraId="724EA96E" w14:textId="77777777" w:rsidR="008E5EAB" w:rsidRDefault="008E5EAB" w:rsidP="008E5EA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  <w:lang w:eastAsia="en-AU"/>
        </w:rPr>
      </w:pPr>
      <w:r>
        <w:rPr>
          <w:rFonts w:ascii="TimesNewRomanPSMT" w:hAnsi="TimesNewRomanPSMT" w:cs="TimesNewRomanPSMT"/>
          <w:szCs w:val="24"/>
          <w:lang w:eastAsia="en-AU"/>
        </w:rPr>
        <w:t>The Standing Committee on Justice and Community Safety (Legislative Scrutiny</w:t>
      </w:r>
    </w:p>
    <w:p w14:paraId="4EC6E416" w14:textId="45FFF12B" w:rsidR="008E5EAB" w:rsidRDefault="008E5EAB" w:rsidP="008E5EAB">
      <w:pPr>
        <w:rPr>
          <w:rFonts w:ascii="TimesNewRomanPSMT" w:hAnsi="TimesNewRomanPSMT" w:cs="TimesNewRomanPSMT"/>
          <w:szCs w:val="24"/>
          <w:lang w:eastAsia="en-AU"/>
        </w:rPr>
      </w:pPr>
      <w:r>
        <w:rPr>
          <w:rFonts w:ascii="TimesNewRomanPSMT" w:hAnsi="TimesNewRomanPSMT" w:cs="TimesNewRomanPSMT"/>
          <w:szCs w:val="24"/>
          <w:lang w:eastAsia="en-AU"/>
        </w:rPr>
        <w:t xml:space="preserve">Role) terms of reference require consideration of human rights impacts of subordinate legislation, among other matters. </w:t>
      </w:r>
    </w:p>
    <w:p w14:paraId="0591B629" w14:textId="77777777" w:rsidR="00CD36F3" w:rsidRDefault="00CD36F3" w:rsidP="008E5EAB">
      <w:pPr>
        <w:rPr>
          <w:rFonts w:ascii="TimesNewRomanPSMT" w:hAnsi="TimesNewRomanPSMT" w:cs="TimesNewRomanPSMT"/>
          <w:szCs w:val="24"/>
          <w:lang w:eastAsia="en-AU"/>
        </w:rPr>
      </w:pPr>
    </w:p>
    <w:p w14:paraId="776AE778" w14:textId="314ADC2A" w:rsidR="00CD36F3" w:rsidRDefault="00CD36F3" w:rsidP="008E5EAB">
      <w:r>
        <w:rPr>
          <w:color w:val="000000"/>
          <w:shd w:val="clear" w:color="auto" w:fill="FFFFFF"/>
        </w:rPr>
        <w:t>Section 27B (1) of the </w:t>
      </w:r>
      <w:r>
        <w:rPr>
          <w:i/>
          <w:iCs/>
          <w:color w:val="000000"/>
          <w:shd w:val="clear" w:color="auto" w:fill="FFFFFF"/>
        </w:rPr>
        <w:t>Human Rights Act 2004</w:t>
      </w:r>
      <w:r>
        <w:rPr>
          <w:color w:val="000000"/>
          <w:shd w:val="clear" w:color="auto" w:fill="FFFFFF"/>
        </w:rPr>
        <w:t> (HRA) expressly provides that the practice of a trade, occupation or professional may be regulated by law. Determining eligibility criteria such as qualifications, experience and competencies is common practice in occupational registration schemes.</w:t>
      </w:r>
    </w:p>
    <w:p w14:paraId="3F28F509" w14:textId="77777777" w:rsidR="008E5EAB" w:rsidRDefault="008E5EAB" w:rsidP="008E5EAB"/>
    <w:p w14:paraId="6F4F5C30" w14:textId="77777777" w:rsidR="00CD36F3" w:rsidRDefault="00CD36F3" w:rsidP="00CD36F3">
      <w:r>
        <w:t xml:space="preserve">A detailed assessment of the human rights implications of the addition of a licence endorsement requirement for electricians to undertake work on certain distributed energy resources was contained in the </w:t>
      </w:r>
      <w:hyperlink r:id="rId9" w:history="1">
        <w:r w:rsidRPr="001633DD">
          <w:rPr>
            <w:rStyle w:val="Hyperlink"/>
          </w:rPr>
          <w:t>explanatory statement</w:t>
        </w:r>
      </w:hyperlink>
      <w:r>
        <w:t xml:space="preserve"> to the </w:t>
      </w:r>
      <w:r w:rsidRPr="001633DD">
        <w:rPr>
          <w:i/>
          <w:iCs/>
        </w:rPr>
        <w:t>Building and Construction Legislation Amendment Act 2023</w:t>
      </w:r>
      <w:r>
        <w:t xml:space="preserve">. </w:t>
      </w:r>
    </w:p>
    <w:p w14:paraId="52908DAE" w14:textId="77777777" w:rsidR="00CD36F3" w:rsidRDefault="00CD36F3" w:rsidP="00CD36F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23720FB" w14:textId="77777777" w:rsidR="008E5EAB" w:rsidRDefault="008E5EAB" w:rsidP="008E5EAB"/>
    <w:p w14:paraId="55581CCE" w14:textId="22CD83FC" w:rsidR="00AE30B5" w:rsidRPr="002831BF" w:rsidRDefault="008E5EAB" w:rsidP="00EC1967">
      <w:pPr>
        <w:rPr>
          <w:b/>
          <w:bCs/>
        </w:rPr>
      </w:pPr>
      <w:r>
        <w:rPr>
          <w:b/>
          <w:bCs/>
        </w:rPr>
        <w:t xml:space="preserve">2024 </w:t>
      </w:r>
      <w:r w:rsidR="00CD36F3">
        <w:rPr>
          <w:b/>
          <w:bCs/>
        </w:rPr>
        <w:t xml:space="preserve">Declaration </w:t>
      </w:r>
      <w:r>
        <w:rPr>
          <w:b/>
          <w:bCs/>
        </w:rPr>
        <w:t>Updates</w:t>
      </w:r>
    </w:p>
    <w:p w14:paraId="2FB62ABE" w14:textId="77777777" w:rsidR="008E17FF" w:rsidRDefault="008E17FF" w:rsidP="00EC1967"/>
    <w:p w14:paraId="4EF3AE42" w14:textId="24742704" w:rsidR="008E5EAB" w:rsidRDefault="00AE30B5" w:rsidP="009F49E5">
      <w:r>
        <w:t xml:space="preserve">This </w:t>
      </w:r>
      <w:r w:rsidR="000C3164">
        <w:t xml:space="preserve">updated </w:t>
      </w:r>
      <w:r>
        <w:t>instrument</w:t>
      </w:r>
      <w:r w:rsidR="008E17FF">
        <w:t xml:space="preserve"> makes minor and technical updates to assist with operational requirements</w:t>
      </w:r>
      <w:r w:rsidR="00D363D1">
        <w:t xml:space="preserve"> relating to the new licensing endorsement for electricians undertaking work on distributed energy resources. </w:t>
      </w:r>
      <w:r w:rsidR="008E17FF">
        <w:t>There are no additional changes to the instrument</w:t>
      </w:r>
      <w:r w:rsidR="00D363D1">
        <w:t xml:space="preserve">. The </w:t>
      </w:r>
      <w:hyperlink r:id="rId10" w:history="1">
        <w:r w:rsidR="008E17FF" w:rsidRPr="00D363D1">
          <w:rPr>
            <w:rStyle w:val="Hyperlink"/>
          </w:rPr>
          <w:t>Explanatory Statement</w:t>
        </w:r>
      </w:hyperlink>
      <w:r w:rsidR="008E17FF">
        <w:t xml:space="preserve"> for</w:t>
      </w:r>
      <w:r w:rsidR="00D363D1">
        <w:t xml:space="preserve"> the </w:t>
      </w:r>
      <w:hyperlink r:id="rId11" w:history="1">
        <w:r w:rsidR="00D363D1" w:rsidRPr="00D363D1">
          <w:rPr>
            <w:rStyle w:val="Hyperlink"/>
            <w:i/>
            <w:iCs/>
          </w:rPr>
          <w:t>Construction Occupations (Licensing) (Qualifications) Declaration 2024</w:t>
        </w:r>
      </w:hyperlink>
      <w:r w:rsidR="00D363D1">
        <w:t xml:space="preserve"> (</w:t>
      </w:r>
      <w:r w:rsidR="008E17FF">
        <w:t>DI2024-35</w:t>
      </w:r>
      <w:r w:rsidR="00D363D1">
        <w:t>)</w:t>
      </w:r>
      <w:r w:rsidR="008E17FF">
        <w:t xml:space="preserve"> </w:t>
      </w:r>
      <w:r w:rsidR="00D363D1">
        <w:t>provides information on the changes made in that instrument</w:t>
      </w:r>
      <w:r w:rsidR="008E17FF">
        <w:t>.</w:t>
      </w:r>
    </w:p>
    <w:p w14:paraId="16AB50D7" w14:textId="77777777" w:rsidR="008E5EAB" w:rsidRDefault="008E5EAB" w:rsidP="00EC1967"/>
    <w:p w14:paraId="1C0AD340" w14:textId="1A01061A" w:rsidR="008E5EAB" w:rsidRPr="008E5EAB" w:rsidRDefault="008E5EAB" w:rsidP="00EC1967">
      <w:pPr>
        <w:rPr>
          <w:b/>
          <w:bCs/>
        </w:rPr>
      </w:pPr>
      <w:r w:rsidRPr="008E5EAB">
        <w:rPr>
          <w:b/>
          <w:bCs/>
        </w:rPr>
        <w:t>Clause Notes</w:t>
      </w:r>
    </w:p>
    <w:p w14:paraId="1743CE1E" w14:textId="1F470322" w:rsidR="00EC1967" w:rsidRDefault="00EC1967" w:rsidP="00EC1967"/>
    <w:p w14:paraId="5E256717" w14:textId="089A0E85" w:rsidR="00AE30B5" w:rsidRDefault="00AE30B5" w:rsidP="00AE30B5">
      <w:pPr>
        <w:tabs>
          <w:tab w:val="left" w:pos="2600"/>
        </w:tabs>
        <w:autoSpaceDE w:val="0"/>
        <w:autoSpaceDN w:val="0"/>
        <w:adjustRightInd w:val="0"/>
      </w:pPr>
      <w:r>
        <w:rPr>
          <w:b/>
          <w:bCs/>
          <w:szCs w:val="24"/>
          <w:lang w:eastAsia="en-AU"/>
        </w:rPr>
        <w:t>Clauses 1 and 2</w:t>
      </w:r>
      <w:r>
        <w:rPr>
          <w:szCs w:val="24"/>
          <w:lang w:eastAsia="en-AU"/>
        </w:rPr>
        <w:t xml:space="preserve"> are formal provisions that deal with the name and commencement of the instrument. </w:t>
      </w:r>
      <w:r>
        <w:t xml:space="preserve">The instrument commences </w:t>
      </w:r>
      <w:r w:rsidR="00D33B59">
        <w:t xml:space="preserve">on </w:t>
      </w:r>
      <w:r w:rsidR="00D363D1">
        <w:t>the day after notification.</w:t>
      </w:r>
    </w:p>
    <w:p w14:paraId="5BF0D0AB" w14:textId="77777777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40821EDE" w14:textId="5C27A611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>
        <w:rPr>
          <w:b/>
          <w:bCs/>
          <w:szCs w:val="24"/>
          <w:lang w:eastAsia="en-AU"/>
        </w:rPr>
        <w:t>Clause 3</w:t>
      </w:r>
      <w:r>
        <w:rPr>
          <w:szCs w:val="24"/>
          <w:lang w:eastAsia="en-AU"/>
        </w:rPr>
        <w:t xml:space="preserve"> declares that schedule 1 contains the qualification requirements </w:t>
      </w:r>
      <w:r>
        <w:t>necessary for an entity to be eligible to be licensed</w:t>
      </w:r>
      <w:r w:rsidR="00F24EC7">
        <w:t>, or obtain an endorsement,</w:t>
      </w:r>
      <w:r>
        <w:t xml:space="preserve"> in a construction occupation or occupation class</w:t>
      </w:r>
      <w:r w:rsidR="00B03BE2">
        <w:t>.</w:t>
      </w:r>
    </w:p>
    <w:p w14:paraId="5AE6EFF5" w14:textId="77777777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68906484" w14:textId="514E0F2F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>
        <w:rPr>
          <w:b/>
          <w:bCs/>
          <w:szCs w:val="24"/>
          <w:lang w:eastAsia="en-AU"/>
        </w:rPr>
        <w:t>Clause 4</w:t>
      </w:r>
      <w:r>
        <w:rPr>
          <w:szCs w:val="24"/>
          <w:lang w:eastAsia="en-AU"/>
        </w:rPr>
        <w:t xml:space="preserve"> </w:t>
      </w:r>
      <w:r w:rsidR="00860D34">
        <w:rPr>
          <w:szCs w:val="24"/>
          <w:lang w:eastAsia="en-AU"/>
        </w:rPr>
        <w:t xml:space="preserve">provides that where more than one method of eligibility is described, an applicant only needs to demonstrate </w:t>
      </w:r>
      <w:r w:rsidR="00860D34" w:rsidRPr="00860D34">
        <w:rPr>
          <w:szCs w:val="24"/>
          <w:lang w:eastAsia="en-AU"/>
        </w:rPr>
        <w:t>eligibility in accordance with one of the methods.</w:t>
      </w:r>
    </w:p>
    <w:p w14:paraId="066D05FB" w14:textId="77777777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1F8B227C" w14:textId="5657EF2C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 w:rsidRPr="00AE30B5">
        <w:rPr>
          <w:b/>
          <w:bCs/>
          <w:szCs w:val="24"/>
          <w:lang w:eastAsia="en-AU"/>
        </w:rPr>
        <w:t>Clause 5</w:t>
      </w:r>
      <w:r>
        <w:rPr>
          <w:szCs w:val="24"/>
          <w:lang w:eastAsia="en-AU"/>
        </w:rPr>
        <w:t xml:space="preserve"> revokes the current declaration.</w:t>
      </w:r>
    </w:p>
    <w:p w14:paraId="37B6C0A5" w14:textId="77777777" w:rsidR="00AE30B5" w:rsidRDefault="00AE30B5" w:rsidP="00AE30B5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79094C5C" w14:textId="51B3E567" w:rsidR="00AE30B5" w:rsidRDefault="00AE30B5" w:rsidP="00AE30B5">
      <w:pPr>
        <w:tabs>
          <w:tab w:val="left" w:pos="2600"/>
        </w:tabs>
        <w:autoSpaceDE w:val="0"/>
        <w:autoSpaceDN w:val="0"/>
        <w:adjustRightInd w:val="0"/>
      </w:pPr>
      <w:r w:rsidRPr="00AE1A31">
        <w:rPr>
          <w:b/>
          <w:bCs/>
          <w:szCs w:val="24"/>
          <w:lang w:eastAsia="en-AU"/>
        </w:rPr>
        <w:t>Schedule 1</w:t>
      </w:r>
      <w:r>
        <w:rPr>
          <w:szCs w:val="24"/>
          <w:lang w:eastAsia="en-AU"/>
        </w:rPr>
        <w:t xml:space="preserve"> contains the qualification requirements </w:t>
      </w:r>
      <w:r>
        <w:t>necessary for an entity to be eligible to be licensed in a construction occupation or occupation class. It contains separate parts of occupations as follows:</w:t>
      </w:r>
    </w:p>
    <w:p w14:paraId="396106C5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7" w:lineRule="auto"/>
        <w:ind w:left="714" w:hanging="357"/>
        <w:contextualSpacing w:val="0"/>
        <w:rPr>
          <w:sz w:val="22"/>
        </w:rPr>
      </w:pPr>
      <w:r>
        <w:t>Part 1 – Building Assessors</w:t>
      </w:r>
    </w:p>
    <w:p w14:paraId="5A4D75BA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lastRenderedPageBreak/>
        <w:t>Part 2 – Drainer</w:t>
      </w:r>
    </w:p>
    <w:p w14:paraId="68AA4951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3 - Electrician</w:t>
      </w:r>
    </w:p>
    <w:p w14:paraId="67CBA614" w14:textId="59EC0531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4 – Gasfitter and Gas Appliance</w:t>
      </w:r>
      <w:r w:rsidR="00BC1860">
        <w:t xml:space="preserve"> Worker</w:t>
      </w:r>
    </w:p>
    <w:p w14:paraId="0AAF3E90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5 – Plumber and Plumbing Plan Certifier</w:t>
      </w:r>
    </w:p>
    <w:p w14:paraId="7FFFBFFF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6 – Works Assessor</w:t>
      </w:r>
    </w:p>
    <w:p w14:paraId="1175A7DB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7 - Builder</w:t>
      </w:r>
    </w:p>
    <w:p w14:paraId="69B526BE" w14:textId="77777777" w:rsidR="00AE30B5" w:rsidRDefault="00AE30B5" w:rsidP="00CD36F3">
      <w:pPr>
        <w:pStyle w:val="ListParagraph"/>
        <w:numPr>
          <w:ilvl w:val="1"/>
          <w:numId w:val="12"/>
        </w:numPr>
        <w:spacing w:before="120" w:after="120" w:line="256" w:lineRule="auto"/>
        <w:contextualSpacing w:val="0"/>
      </w:pPr>
      <w:r>
        <w:t>Section 1 – Qualification requirements</w:t>
      </w:r>
    </w:p>
    <w:p w14:paraId="659C2AFA" w14:textId="77777777" w:rsidR="00AE30B5" w:rsidRDefault="00AE30B5" w:rsidP="00CD36F3">
      <w:pPr>
        <w:pStyle w:val="ListParagraph"/>
        <w:numPr>
          <w:ilvl w:val="1"/>
          <w:numId w:val="12"/>
        </w:numPr>
        <w:spacing w:before="120" w:after="120" w:line="256" w:lineRule="auto"/>
        <w:contextualSpacing w:val="0"/>
      </w:pPr>
      <w:r>
        <w:t>Section 2 – Mandatory building work experience requirements</w:t>
      </w:r>
    </w:p>
    <w:p w14:paraId="33299E80" w14:textId="77777777" w:rsidR="00AE30B5" w:rsidRDefault="00AE30B5" w:rsidP="00CD36F3">
      <w:pPr>
        <w:pStyle w:val="ListParagraph"/>
        <w:numPr>
          <w:ilvl w:val="1"/>
          <w:numId w:val="12"/>
        </w:numPr>
        <w:spacing w:before="120" w:after="120" w:line="256" w:lineRule="auto"/>
        <w:contextualSpacing w:val="0"/>
      </w:pPr>
      <w:r>
        <w:t>Section 3 – Building technology</w:t>
      </w:r>
    </w:p>
    <w:p w14:paraId="5EB25AA2" w14:textId="77777777" w:rsidR="00AE30B5" w:rsidRDefault="00AE30B5" w:rsidP="00CD36F3">
      <w:pPr>
        <w:pStyle w:val="ListParagraph"/>
        <w:numPr>
          <w:ilvl w:val="0"/>
          <w:numId w:val="12"/>
        </w:numPr>
        <w:spacing w:before="120" w:after="120" w:line="256" w:lineRule="auto"/>
        <w:contextualSpacing w:val="0"/>
      </w:pPr>
      <w:r>
        <w:t>Part 8 – Building surveyor</w:t>
      </w:r>
    </w:p>
    <w:p w14:paraId="1D8E5AC5" w14:textId="77777777" w:rsidR="00D91467" w:rsidRDefault="00D91467" w:rsidP="00EC1967"/>
    <w:p w14:paraId="2CD54765" w14:textId="77777777" w:rsidR="00860D34" w:rsidRDefault="00860D34" w:rsidP="00EC1967"/>
    <w:sectPr w:rsidR="00860D34" w:rsidSect="007346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DE355" w14:textId="77777777" w:rsidR="001E3511" w:rsidRDefault="001E3511" w:rsidP="00C17FAB">
      <w:r>
        <w:separator/>
      </w:r>
    </w:p>
  </w:endnote>
  <w:endnote w:type="continuationSeparator" w:id="0">
    <w:p w14:paraId="5D243667" w14:textId="77777777" w:rsidR="001E3511" w:rsidRDefault="001E351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23FC" w14:textId="77777777" w:rsidR="00643CAA" w:rsidRDefault="00643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9F6A" w14:textId="1191C3F8" w:rsidR="001152AE" w:rsidRPr="00643CAA" w:rsidRDefault="00643CAA" w:rsidP="00643CAA">
    <w:pPr>
      <w:pStyle w:val="Footer"/>
      <w:jc w:val="center"/>
      <w:rPr>
        <w:rFonts w:cs="Arial"/>
        <w:sz w:val="14"/>
      </w:rPr>
    </w:pPr>
    <w:r w:rsidRPr="00643CA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34B5" w14:textId="77777777" w:rsidR="00643CAA" w:rsidRDefault="00643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4312" w14:textId="77777777" w:rsidR="001E3511" w:rsidRDefault="001E3511" w:rsidP="00C17FAB">
      <w:r>
        <w:separator/>
      </w:r>
    </w:p>
  </w:footnote>
  <w:footnote w:type="continuationSeparator" w:id="0">
    <w:p w14:paraId="20A9C44B" w14:textId="77777777" w:rsidR="001E3511" w:rsidRDefault="001E351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6FBD" w14:textId="77777777" w:rsidR="00643CAA" w:rsidRDefault="00643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6141" w14:textId="77777777" w:rsidR="00643CAA" w:rsidRDefault="00643C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5A4E" w14:textId="77777777" w:rsidR="00643CAA" w:rsidRDefault="00643C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E35219"/>
    <w:multiLevelType w:val="hybridMultilevel"/>
    <w:tmpl w:val="B792C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E7C"/>
    <w:multiLevelType w:val="hybridMultilevel"/>
    <w:tmpl w:val="7D966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55782F"/>
    <w:multiLevelType w:val="hybridMultilevel"/>
    <w:tmpl w:val="D87A4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1783F"/>
    <w:multiLevelType w:val="hybridMultilevel"/>
    <w:tmpl w:val="BF3E544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5FF17322"/>
    <w:multiLevelType w:val="hybridMultilevel"/>
    <w:tmpl w:val="4C8AC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54879831">
    <w:abstractNumId w:val="4"/>
  </w:num>
  <w:num w:numId="2" w16cid:durableId="2119788758">
    <w:abstractNumId w:val="0"/>
  </w:num>
  <w:num w:numId="3" w16cid:durableId="1108349647">
    <w:abstractNumId w:val="5"/>
  </w:num>
  <w:num w:numId="4" w16cid:durableId="837111810">
    <w:abstractNumId w:val="8"/>
  </w:num>
  <w:num w:numId="5" w16cid:durableId="1759709091">
    <w:abstractNumId w:val="12"/>
  </w:num>
  <w:num w:numId="6" w16cid:durableId="578826805">
    <w:abstractNumId w:val="3"/>
  </w:num>
  <w:num w:numId="7" w16cid:durableId="1547327730">
    <w:abstractNumId w:val="6"/>
  </w:num>
  <w:num w:numId="8" w16cid:durableId="70468004">
    <w:abstractNumId w:val="7"/>
  </w:num>
  <w:num w:numId="9" w16cid:durableId="1997149249">
    <w:abstractNumId w:val="13"/>
  </w:num>
  <w:num w:numId="10" w16cid:durableId="665939030">
    <w:abstractNumId w:val="11"/>
  </w:num>
  <w:num w:numId="11" w16cid:durableId="473988828">
    <w:abstractNumId w:val="1"/>
  </w:num>
  <w:num w:numId="12" w16cid:durableId="1511678967">
    <w:abstractNumId w:val="2"/>
  </w:num>
  <w:num w:numId="13" w16cid:durableId="574323575">
    <w:abstractNumId w:val="9"/>
  </w:num>
  <w:num w:numId="14" w16cid:durableId="12016233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2214"/>
    <w:rsid w:val="000252C1"/>
    <w:rsid w:val="00042636"/>
    <w:rsid w:val="00055DDB"/>
    <w:rsid w:val="000C3164"/>
    <w:rsid w:val="001117B6"/>
    <w:rsid w:val="001152AE"/>
    <w:rsid w:val="00147491"/>
    <w:rsid w:val="001836E8"/>
    <w:rsid w:val="001B746D"/>
    <w:rsid w:val="001E3511"/>
    <w:rsid w:val="002831BF"/>
    <w:rsid w:val="002D7C60"/>
    <w:rsid w:val="004131A7"/>
    <w:rsid w:val="0045568E"/>
    <w:rsid w:val="004E081A"/>
    <w:rsid w:val="004F7AFA"/>
    <w:rsid w:val="00564569"/>
    <w:rsid w:val="00594F66"/>
    <w:rsid w:val="005D14CD"/>
    <w:rsid w:val="00614645"/>
    <w:rsid w:val="00643CAA"/>
    <w:rsid w:val="006456F5"/>
    <w:rsid w:val="00687484"/>
    <w:rsid w:val="006E022B"/>
    <w:rsid w:val="007346AC"/>
    <w:rsid w:val="0076515A"/>
    <w:rsid w:val="007701C4"/>
    <w:rsid w:val="00782D9E"/>
    <w:rsid w:val="007A1161"/>
    <w:rsid w:val="007E6453"/>
    <w:rsid w:val="00804010"/>
    <w:rsid w:val="00807B1E"/>
    <w:rsid w:val="00855518"/>
    <w:rsid w:val="00860D34"/>
    <w:rsid w:val="008E17FF"/>
    <w:rsid w:val="008E569F"/>
    <w:rsid w:val="008E5EAB"/>
    <w:rsid w:val="009352D4"/>
    <w:rsid w:val="009508A5"/>
    <w:rsid w:val="009A1B2B"/>
    <w:rsid w:val="009B306D"/>
    <w:rsid w:val="009D4E18"/>
    <w:rsid w:val="009F1C56"/>
    <w:rsid w:val="009F49E5"/>
    <w:rsid w:val="00A15765"/>
    <w:rsid w:val="00A36594"/>
    <w:rsid w:val="00A636D8"/>
    <w:rsid w:val="00AA6BE9"/>
    <w:rsid w:val="00AB0EF8"/>
    <w:rsid w:val="00AB5574"/>
    <w:rsid w:val="00AE1A31"/>
    <w:rsid w:val="00AE30B5"/>
    <w:rsid w:val="00B03BE2"/>
    <w:rsid w:val="00B77DEE"/>
    <w:rsid w:val="00B957B3"/>
    <w:rsid w:val="00BC1860"/>
    <w:rsid w:val="00C17FAB"/>
    <w:rsid w:val="00C42B24"/>
    <w:rsid w:val="00CD36F3"/>
    <w:rsid w:val="00CE599C"/>
    <w:rsid w:val="00D33B59"/>
    <w:rsid w:val="00D363D1"/>
    <w:rsid w:val="00D56245"/>
    <w:rsid w:val="00D74495"/>
    <w:rsid w:val="00D83AD3"/>
    <w:rsid w:val="00D91467"/>
    <w:rsid w:val="00DA3B00"/>
    <w:rsid w:val="00E0148F"/>
    <w:rsid w:val="00E377A5"/>
    <w:rsid w:val="00E44DEE"/>
    <w:rsid w:val="00E95226"/>
    <w:rsid w:val="00EC1967"/>
    <w:rsid w:val="00F21025"/>
    <w:rsid w:val="00F24EC7"/>
    <w:rsid w:val="00F45CF5"/>
    <w:rsid w:val="00F66B94"/>
    <w:rsid w:val="00F94A0E"/>
    <w:rsid w:val="00FD364D"/>
    <w:rsid w:val="00FD75C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D4581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NormalWeb">
    <w:name w:val="Normal (Web)"/>
    <w:basedOn w:val="Normal"/>
    <w:uiPriority w:val="99"/>
    <w:semiHidden/>
    <w:unhideWhenUsed/>
    <w:rsid w:val="007E6453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bodytext">
    <w:name w:val="bodytext"/>
    <w:basedOn w:val="Normal"/>
    <w:rsid w:val="007E6453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E30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E2"/>
    <w:rPr>
      <w:b/>
      <w:bCs/>
      <w:lang w:eastAsia="en-US"/>
    </w:rPr>
  </w:style>
  <w:style w:type="paragraph" w:styleId="Revision">
    <w:name w:val="Revision"/>
    <w:hidden/>
    <w:uiPriority w:val="99"/>
    <w:semiHidden/>
    <w:rsid w:val="00FD364D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0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act.gov.au/di/2024-35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act.gov.au/View/es/db_69374/current/html/db_69374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legislation.act.gov.au/b/db_6840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4FEB93B0D38B3BDFE05400144FFB2061" version="1.0.0">
  <systemFields>
    <field name="Objective-Id">
      <value order="0">A45930380</value>
    </field>
    <field name="Objective-Title">
      <value order="0">UPDATED - ES - Construction Occupations (Licensing) (Qualifications) Declaration 2024 (No 2)</value>
    </field>
    <field name="Objective-Description">
      <value order="0"/>
    </field>
    <field name="Objective-CreationStamp">
      <value order="0">2024-03-20T00:56:40Z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2024-03-20T01:40:59Z</value>
    </field>
    <field name="Objective-Owner">
      <value order="0">Ray Ren</value>
    </field>
    <field name="Objective-Path">
      <value order="0">Whole of ACT Government:EPSDD - Environment Planning and Sustainable Development Directorate:Files - Digitised Archives:07.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</value>
    </field>
    <field name="Objective-Parent">
      <value order="0">24/13338 Ministerial - Information Brief - Vassarotti - Implementation of Distributed Energy Resource Endorsement for Electricians</value>
    </field>
    <field name="Objective-State">
      <value order="0">Being Edited</value>
    </field>
    <field name="Objective-VersionId">
      <value order="0">vA57555083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1-2024/13338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DD91627-E9F9-44B4-B1B8-4815961D4C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3603</Characters>
  <Application>Microsoft Office Word</Application>
  <DocSecurity>0</DocSecurity>
  <Lines>100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2006-03-31T04:28:00Z</cp:lastPrinted>
  <dcterms:created xsi:type="dcterms:W3CDTF">2024-03-20T01:44:00Z</dcterms:created>
  <dcterms:modified xsi:type="dcterms:W3CDTF">2024-03-20T01:44:00Z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A45930380</vt:lpwstr>
  </property>
  <property fmtid="{D5CDD505-2E9C-101B-9397-08002B2CF9AE}" pid="4" name="Objective-Title">
    <vt:lpwstr>UPDATED - ES - Construction Occupations (Licensing) (Qualifications) Declaration 2024 (No 2)</vt:lpwstr>
  </property>
  <property fmtid="{D5CDD505-2E9C-101B-9397-08002B2CF9AE}" pid="5" name="Objective-Comment">
    <vt:lpwstr/>
  </property>
  <property fmtid="{D5CDD505-2E9C-101B-9397-08002B2CF9AE}" pid="6" name="Objective-CreationStamp">
    <vt:filetime>2024-03-20T00:56:40Z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2024-03-20T01:40:59Z</vt:filetime>
  </property>
  <property fmtid="{D5CDD505-2E9C-101B-9397-08002B2CF9AE}" pid="11" name="Objective-Owner">
    <vt:lpwstr>Ray Ren</vt:lpwstr>
  </property>
  <property fmtid="{D5CDD505-2E9C-101B-9397-08002B2CF9AE}" pid="12" name="Objective-Path">
    <vt:lpwstr>Whole of ACT Government:EPSDD - Environment Planning and Sustainable Development Directorate:Files - Digitised Archives:07. Ministerial, Cabinet and Government Relations:06. Ministerials:z. 2013 - 2023 Ministerial and Chief Ministerial Correspondence:2023 - Ministerial and Chief Ministerial Briefs / Correspondence:Planning and Urban Policy:2024:COMPLETED:24/13338 Ministerial - Information Brief - Vassarotti - Implementation of Distributed Energy Resource Endorsement for Electricians:</vt:lpwstr>
  </property>
  <property fmtid="{D5CDD505-2E9C-101B-9397-08002B2CF9AE}" pid="13" name="Objective-Parent">
    <vt:lpwstr>24/13338 Ministerial - Information Brief - Vassarotti - Implementation of Distributed Energy Resource Endorsement for Electricians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1-2024/13338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10102945</vt:lpwstr>
  </property>
  <property fmtid="{D5CDD505-2E9C-101B-9397-08002B2CF9AE}" pid="34" name="JMSREQUIREDCHECKIN">
    <vt:lpwstr/>
  </property>
  <property fmtid="{D5CDD505-2E9C-101B-9397-08002B2CF9AE}" pid="35" name="Objective-Description">
    <vt:lpwstr/>
  </property>
  <property fmtid="{D5CDD505-2E9C-101B-9397-08002B2CF9AE}" pid="36" name="Objective-VersionId">
    <vt:lpwstr>vA57555083</vt:lpwstr>
  </property>
</Properties>
</file>