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B239"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32D71DC2" w14:textId="5E456382" w:rsidR="00C17FAB" w:rsidRDefault="006402CE">
      <w:pPr>
        <w:pStyle w:val="Billname"/>
        <w:spacing w:before="700"/>
      </w:pPr>
      <w:r w:rsidRPr="00217757">
        <w:t>Children and Young People</w:t>
      </w:r>
      <w:r>
        <w:t xml:space="preserve"> (</w:t>
      </w:r>
      <w:r>
        <w:rPr>
          <w:color w:val="000000"/>
          <w:shd w:val="clear" w:color="auto" w:fill="FFFFFF"/>
        </w:rPr>
        <w:t>Therapeutic Support Panel) Appointment 2024</w:t>
      </w:r>
      <w:r w:rsidR="009C6941">
        <w:t xml:space="preserve"> (No </w:t>
      </w:r>
      <w:r w:rsidR="00452DF1">
        <w:t>1</w:t>
      </w:r>
      <w:r w:rsidR="00AF75FC">
        <w:t>0</w:t>
      </w:r>
      <w:r w:rsidR="009C6941">
        <w:t>)</w:t>
      </w:r>
    </w:p>
    <w:p w14:paraId="019D6848" w14:textId="20BAA2DF" w:rsidR="00C17FAB" w:rsidRDefault="002D7C60" w:rsidP="00DA3B00">
      <w:pPr>
        <w:spacing w:before="340"/>
        <w:rPr>
          <w:rFonts w:ascii="Arial" w:hAnsi="Arial" w:cs="Arial"/>
          <w:b/>
          <w:bCs/>
        </w:rPr>
      </w:pPr>
      <w:r>
        <w:rPr>
          <w:rFonts w:ascii="Arial" w:hAnsi="Arial" w:cs="Arial"/>
          <w:b/>
          <w:bCs/>
        </w:rPr>
        <w:t>Disallowable instrument DI</w:t>
      </w:r>
      <w:r w:rsidR="009C6941">
        <w:rPr>
          <w:rFonts w:ascii="Arial" w:hAnsi="Arial" w:cs="Arial"/>
          <w:b/>
          <w:bCs/>
        </w:rPr>
        <w:t>2024</w:t>
      </w:r>
      <w:r w:rsidR="00C17FAB">
        <w:rPr>
          <w:rFonts w:ascii="Arial" w:hAnsi="Arial" w:cs="Arial"/>
          <w:b/>
          <w:bCs/>
        </w:rPr>
        <w:t>–</w:t>
      </w:r>
      <w:r w:rsidR="00E87220">
        <w:rPr>
          <w:rFonts w:ascii="Arial" w:hAnsi="Arial" w:cs="Arial"/>
          <w:b/>
          <w:bCs/>
        </w:rPr>
        <w:t>52</w:t>
      </w:r>
    </w:p>
    <w:p w14:paraId="0EB64C9B" w14:textId="77777777" w:rsidR="00C17FAB" w:rsidRDefault="00C17FAB" w:rsidP="00DA3B00">
      <w:pPr>
        <w:pStyle w:val="madeunder"/>
        <w:spacing w:before="300" w:after="0"/>
      </w:pPr>
      <w:r>
        <w:t xml:space="preserve">made under the  </w:t>
      </w:r>
    </w:p>
    <w:p w14:paraId="02A57D80" w14:textId="27075DD3" w:rsidR="00C17FAB" w:rsidRDefault="009A46B7" w:rsidP="00DA3B00">
      <w:pPr>
        <w:pStyle w:val="CoverActName"/>
        <w:spacing w:before="320" w:after="0"/>
        <w:rPr>
          <w:rFonts w:cs="Arial"/>
          <w:sz w:val="20"/>
        </w:rPr>
      </w:pPr>
      <w:r>
        <w:rPr>
          <w:rFonts w:cs="Arial"/>
          <w:sz w:val="20"/>
        </w:rPr>
        <w:t>Children and Young People Act 2008, Section 501</w:t>
      </w:r>
      <w:r w:rsidR="00AF75FC">
        <w:rPr>
          <w:rFonts w:cs="Arial"/>
          <w:sz w:val="20"/>
        </w:rPr>
        <w:t>E</w:t>
      </w:r>
      <w:r>
        <w:rPr>
          <w:rFonts w:cs="Arial"/>
          <w:sz w:val="20"/>
        </w:rPr>
        <w:t xml:space="preserve"> (Appointment of panel</w:t>
      </w:r>
      <w:r w:rsidR="00AE25B6">
        <w:rPr>
          <w:rFonts w:cs="Arial"/>
          <w:sz w:val="20"/>
        </w:rPr>
        <w:t xml:space="preserve"> members</w:t>
      </w:r>
      <w:r>
        <w:rPr>
          <w:rFonts w:cs="Arial"/>
          <w:sz w:val="20"/>
        </w:rPr>
        <w:t>)</w:t>
      </w:r>
    </w:p>
    <w:p w14:paraId="21CC566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371B86C6" w14:textId="77777777" w:rsidR="00C17FAB" w:rsidRDefault="00C17FAB">
      <w:pPr>
        <w:pStyle w:val="N-line3"/>
        <w:pBdr>
          <w:bottom w:val="none" w:sz="0" w:space="0" w:color="auto"/>
        </w:pBdr>
      </w:pPr>
    </w:p>
    <w:p w14:paraId="360E287E" w14:textId="77777777" w:rsidR="00C17FAB" w:rsidRDefault="00C17FAB">
      <w:pPr>
        <w:pStyle w:val="N-line3"/>
        <w:pBdr>
          <w:top w:val="single" w:sz="12" w:space="1" w:color="auto"/>
          <w:bottom w:val="none" w:sz="0" w:space="0" w:color="auto"/>
        </w:pBdr>
      </w:pPr>
    </w:p>
    <w:bookmarkEnd w:id="0"/>
    <w:p w14:paraId="62AB0CF5" w14:textId="795B6EB1" w:rsidR="009A46B7" w:rsidRDefault="009A46B7">
      <w:r>
        <w:t xml:space="preserve">This explanatory statement relates to the </w:t>
      </w:r>
      <w:r w:rsidR="006402CE" w:rsidRPr="00C56771">
        <w:rPr>
          <w:i/>
          <w:iCs/>
        </w:rPr>
        <w:t>Children and Young People (</w:t>
      </w:r>
      <w:r w:rsidR="006402CE" w:rsidRPr="00C56771">
        <w:rPr>
          <w:i/>
          <w:iCs/>
          <w:color w:val="000000"/>
          <w:shd w:val="clear" w:color="auto" w:fill="FFFFFF"/>
        </w:rPr>
        <w:t>Therapeutic Support Panel) Appointment 2024</w:t>
      </w:r>
      <w:r w:rsidRPr="006402CE">
        <w:rPr>
          <w:i/>
          <w:iCs/>
        </w:rPr>
        <w:t xml:space="preserve"> (No </w:t>
      </w:r>
      <w:r w:rsidR="00452DF1">
        <w:rPr>
          <w:i/>
          <w:iCs/>
        </w:rPr>
        <w:t>1</w:t>
      </w:r>
      <w:r w:rsidR="00AF75FC">
        <w:rPr>
          <w:i/>
          <w:iCs/>
        </w:rPr>
        <w:t>0</w:t>
      </w:r>
      <w:r w:rsidRPr="006402CE">
        <w:rPr>
          <w:i/>
          <w:iCs/>
        </w:rPr>
        <w:t>)</w:t>
      </w:r>
      <w:r>
        <w:t xml:space="preserve"> as made by the </w:t>
      </w:r>
      <w:r w:rsidR="00543716">
        <w:t>Minister for Children, Youth and Family Services</w:t>
      </w:r>
      <w:r>
        <w:t>.</w:t>
      </w:r>
    </w:p>
    <w:p w14:paraId="7AFC54CF" w14:textId="77777777" w:rsidR="009A46B7" w:rsidRDefault="009A46B7"/>
    <w:p w14:paraId="07A6D56E" w14:textId="376D9202" w:rsidR="009A46B7" w:rsidRPr="009A46B7" w:rsidRDefault="009A46B7">
      <w:pPr>
        <w:rPr>
          <w:b/>
          <w:bCs/>
        </w:rPr>
      </w:pPr>
      <w:r w:rsidRPr="009A46B7">
        <w:rPr>
          <w:b/>
          <w:bCs/>
        </w:rPr>
        <w:t>Overview</w:t>
      </w:r>
    </w:p>
    <w:p w14:paraId="10FB0F7D" w14:textId="77777777" w:rsidR="009A46B7" w:rsidRDefault="009A46B7"/>
    <w:p w14:paraId="3D82AB7B" w14:textId="72661903" w:rsidR="009A46B7" w:rsidRDefault="009C6941">
      <w:r>
        <w:t xml:space="preserve">The </w:t>
      </w:r>
      <w:r w:rsidRPr="009A46B7">
        <w:rPr>
          <w:i/>
          <w:iCs/>
        </w:rPr>
        <w:t>Children and Young People Act 2008</w:t>
      </w:r>
      <w:r>
        <w:t xml:space="preserve"> </w:t>
      </w:r>
      <w:r w:rsidR="00114E55">
        <w:t xml:space="preserve">(the </w:t>
      </w:r>
      <w:r w:rsidR="00114E55" w:rsidRPr="00117D2F">
        <w:rPr>
          <w:b/>
          <w:bCs/>
          <w:i/>
          <w:iCs/>
        </w:rPr>
        <w:t>Act</w:t>
      </w:r>
      <w:r w:rsidR="00114E55">
        <w:t xml:space="preserve">) </w:t>
      </w:r>
      <w:r w:rsidR="009A46B7">
        <w:t>among other things, g</w:t>
      </w:r>
      <w:r>
        <w:t>overns the establishment, functions and membership of the Therapeutic Support Panel for Children and Young People</w:t>
      </w:r>
      <w:r w:rsidR="008C0142">
        <w:t xml:space="preserve"> (the Panel)</w:t>
      </w:r>
      <w:r>
        <w:t>.</w:t>
      </w:r>
    </w:p>
    <w:p w14:paraId="42E29904" w14:textId="77777777" w:rsidR="00114E55" w:rsidRDefault="00114E55"/>
    <w:p w14:paraId="3C32A907" w14:textId="2DDF9BC7" w:rsidR="00AE25B6" w:rsidRDefault="00114E55" w:rsidP="00114E55">
      <w:r>
        <w:t xml:space="preserve">Under </w:t>
      </w:r>
      <w:r w:rsidR="00851A01">
        <w:t>s</w:t>
      </w:r>
      <w:r>
        <w:t>ection 501</w:t>
      </w:r>
      <w:r w:rsidR="00AE25B6">
        <w:t>E</w:t>
      </w:r>
      <w:r>
        <w:t xml:space="preserve"> of the </w:t>
      </w:r>
      <w:r w:rsidRPr="00114E55">
        <w:rPr>
          <w:i/>
          <w:iCs/>
        </w:rPr>
        <w:t>Act</w:t>
      </w:r>
      <w:r>
        <w:t xml:space="preserve">, the Minister </w:t>
      </w:r>
      <w:r w:rsidR="00AE25B6">
        <w:t>must appoint at least 10, but not more than 12, members to the Panel.</w:t>
      </w:r>
    </w:p>
    <w:p w14:paraId="2C8F06BB" w14:textId="77777777" w:rsidR="00114E55" w:rsidRDefault="00114E55" w:rsidP="00114E55"/>
    <w:p w14:paraId="15A272B1" w14:textId="77777777" w:rsidR="00C56771" w:rsidRDefault="00C56771" w:rsidP="00C56771">
      <w:r w:rsidRPr="00522C89">
        <w:t xml:space="preserve">In appointing </w:t>
      </w:r>
      <w:r>
        <w:t>a Member</w:t>
      </w:r>
      <w:r w:rsidRPr="00522C89">
        <w:t xml:space="preserve">, the Minister </w:t>
      </w:r>
      <w:r>
        <w:t>must be</w:t>
      </w:r>
      <w:r w:rsidRPr="00522C89">
        <w:t xml:space="preserve"> satisfied of their relevant expertise or experience</w:t>
      </w:r>
      <w:r>
        <w:t xml:space="preserve"> and must ensure the Panel membership represents a diversity of experience and expertise.</w:t>
      </w:r>
    </w:p>
    <w:p w14:paraId="1416BD8E" w14:textId="77777777" w:rsidR="00C56771" w:rsidRDefault="00C56771" w:rsidP="00C56771"/>
    <w:p w14:paraId="4772AE7A" w14:textId="77777777" w:rsidR="00C56771" w:rsidRDefault="00C56771" w:rsidP="00C56771">
      <w:r>
        <w:t xml:space="preserve">The Minister must also be satisfied of their suitability to be a Member, including considering relevant information of the kind mentioned in the </w:t>
      </w:r>
      <w:r w:rsidRPr="00036027">
        <w:rPr>
          <w:i/>
          <w:iCs/>
        </w:rPr>
        <w:t>Act</w:t>
      </w:r>
      <w:r>
        <w:t xml:space="preserve"> in section 65 (1), definition of suitability information, paragraphs (a), (b) and (c) about the person.</w:t>
      </w:r>
    </w:p>
    <w:p w14:paraId="6656270C" w14:textId="77777777" w:rsidR="009C6941" w:rsidRDefault="009C6941"/>
    <w:p w14:paraId="6AE591DB" w14:textId="092D30B5" w:rsidR="00114E55" w:rsidRPr="00114E55" w:rsidRDefault="00114E55">
      <w:pPr>
        <w:rPr>
          <w:b/>
          <w:bCs/>
        </w:rPr>
      </w:pPr>
      <w:r w:rsidRPr="00114E55">
        <w:rPr>
          <w:b/>
          <w:bCs/>
        </w:rPr>
        <w:t>Appointment</w:t>
      </w:r>
    </w:p>
    <w:p w14:paraId="420F2883" w14:textId="77777777" w:rsidR="00114E55" w:rsidRDefault="00114E55"/>
    <w:p w14:paraId="69500BE0" w14:textId="2DE1A63D" w:rsidR="006D0BEB" w:rsidRDefault="009A46B7" w:rsidP="009A46B7">
      <w:r>
        <w:t>In accordance with section 501</w:t>
      </w:r>
      <w:r w:rsidR="00395A84">
        <w:t>E</w:t>
      </w:r>
      <w:r>
        <w:t xml:space="preserve"> of the </w:t>
      </w:r>
      <w:r w:rsidRPr="00851A01">
        <w:rPr>
          <w:i/>
          <w:iCs/>
        </w:rPr>
        <w:t>Act</w:t>
      </w:r>
      <w:r>
        <w:t xml:space="preserve">, this instrument appoints </w:t>
      </w:r>
      <w:r w:rsidR="00492AB7">
        <w:t>Dr</w:t>
      </w:r>
      <w:r w:rsidR="00FB709F">
        <w:t> </w:t>
      </w:r>
      <w:r w:rsidR="00492AB7">
        <w:t>Hayley</w:t>
      </w:r>
      <w:r w:rsidR="00FB709F">
        <w:t> </w:t>
      </w:r>
      <w:r w:rsidR="00492AB7">
        <w:t>Passmore</w:t>
      </w:r>
      <w:r w:rsidR="00C56771">
        <w:t xml:space="preserve"> </w:t>
      </w:r>
      <w:r>
        <w:t xml:space="preserve">as </w:t>
      </w:r>
      <w:r w:rsidR="00395A84">
        <w:t xml:space="preserve">Member </w:t>
      </w:r>
      <w:r>
        <w:t xml:space="preserve">of the </w:t>
      </w:r>
      <w:r w:rsidR="00114E55">
        <w:t>Panel</w:t>
      </w:r>
      <w:r w:rsidR="006D0BEB" w:rsidRPr="006D0BEB">
        <w:t>.</w:t>
      </w:r>
    </w:p>
    <w:p w14:paraId="6F7C4E44" w14:textId="253440D3" w:rsidR="009A46B7" w:rsidRDefault="009A46B7"/>
    <w:p w14:paraId="2581E7F5" w14:textId="01636C27" w:rsidR="00492AB7" w:rsidRDefault="00492AB7" w:rsidP="00114E55">
      <w:bookmarkStart w:id="1" w:name="_Hlk151451843"/>
      <w:r w:rsidRPr="00492AB7">
        <w:t xml:space="preserve">Dr Hayley Passmore, Lecturer at the Law School UWA and Honorary Research Associate at the Telethon Kids Institute, is a criminologist and justice health researcher based in Boorloo (Perth). Dr Passmore’s research focuses on new ways of supporting young people with neurodisabilities such as Fetal Alcohol Spectrum Disorder (FASD). Dr Passmore has worked within prisons and youth detention centres in a variety of frontline and research positions for 12 years. Dr Passmore was </w:t>
      </w:r>
      <w:r w:rsidRPr="00492AB7">
        <w:lastRenderedPageBreak/>
        <w:t>part of the research team responsible for the Banksia Hill study, which looked at the prevalence of FASD and other neurodisabilities among youth in the WA detention centre. Dr Passmore has a PhD in Paediatrics and Child Health, a Bachelor of Criminology, and a Bachelor of Arts in Psychology (Hons).</w:t>
      </w:r>
    </w:p>
    <w:p w14:paraId="4380B46A" w14:textId="77777777" w:rsidR="00492AB7" w:rsidRDefault="00492AB7" w:rsidP="00114E55"/>
    <w:p w14:paraId="73871B76" w14:textId="1E816CFD" w:rsidR="00036027" w:rsidRDefault="00036027" w:rsidP="00114E55">
      <w:r>
        <w:t xml:space="preserve">The </w:t>
      </w:r>
      <w:r w:rsidR="00543716">
        <w:t xml:space="preserve">Minister for Children, Youth and Family Services </w:t>
      </w:r>
      <w:r>
        <w:t xml:space="preserve">is satisfied that </w:t>
      </w:r>
      <w:r w:rsidR="00492AB7">
        <w:t>Dr</w:t>
      </w:r>
      <w:r w:rsidR="00FB709F">
        <w:t> </w:t>
      </w:r>
      <w:r w:rsidR="00492AB7">
        <w:t>Hayley</w:t>
      </w:r>
      <w:r w:rsidR="00FB709F">
        <w:t> </w:t>
      </w:r>
      <w:r w:rsidR="00492AB7">
        <w:t>Passmore</w:t>
      </w:r>
      <w:r w:rsidR="00F1477F">
        <w:t xml:space="preserve"> </w:t>
      </w:r>
      <w:r>
        <w:t xml:space="preserve">has relevant expertise and experience </w:t>
      </w:r>
      <w:r w:rsidR="00492AB7">
        <w:t>in paediatrics</w:t>
      </w:r>
      <w:r w:rsidR="00FB709F">
        <w:t>,</w:t>
      </w:r>
      <w:r w:rsidR="00650CE6">
        <w:t xml:space="preserve"> disability</w:t>
      </w:r>
      <w:r w:rsidR="00492AB7">
        <w:t xml:space="preserve"> and </w:t>
      </w:r>
      <w:r w:rsidR="00A3451B">
        <w:t>criminolog</w:t>
      </w:r>
      <w:r w:rsidR="00492AB7">
        <w:t>y</w:t>
      </w:r>
      <w:r w:rsidR="00A3451B">
        <w:t xml:space="preserve"> </w:t>
      </w:r>
      <w:r>
        <w:t>and is suitable for appointment.</w:t>
      </w:r>
    </w:p>
    <w:bookmarkEnd w:id="1"/>
    <w:p w14:paraId="4A34E082" w14:textId="77777777" w:rsidR="00114E55" w:rsidRDefault="00114E55" w:rsidP="00114E55"/>
    <w:p w14:paraId="1D0D0F12" w14:textId="79A1EAB9" w:rsidR="009A46B7" w:rsidRDefault="00492AB7">
      <w:r>
        <w:t>Dr Hayley Passmore</w:t>
      </w:r>
      <w:r w:rsidR="009A46B7">
        <w:t xml:space="preserve"> is appointed for a period of </w:t>
      </w:r>
      <w:r w:rsidR="00A63CE8">
        <w:t>4 years</w:t>
      </w:r>
      <w:r w:rsidR="00114E55">
        <w:t>.</w:t>
      </w:r>
    </w:p>
    <w:p w14:paraId="6A5F7886" w14:textId="77777777" w:rsidR="00114E55" w:rsidRDefault="00114E55"/>
    <w:p w14:paraId="67ACAC4A" w14:textId="776182BB" w:rsidR="00114E55" w:rsidRPr="00114E55" w:rsidRDefault="00114E55">
      <w:pPr>
        <w:rPr>
          <w:b/>
          <w:bCs/>
        </w:rPr>
      </w:pPr>
      <w:r w:rsidRPr="00114E55">
        <w:rPr>
          <w:b/>
          <w:bCs/>
        </w:rPr>
        <w:t>Consultation</w:t>
      </w:r>
    </w:p>
    <w:p w14:paraId="047BD9C5" w14:textId="77777777" w:rsidR="009A46B7" w:rsidRDefault="009A46B7"/>
    <w:p w14:paraId="0C60F9B4" w14:textId="73A42C8A" w:rsidR="00114E55" w:rsidRDefault="00114E55">
      <w:r w:rsidRPr="00114E55">
        <w:t xml:space="preserve">Division 19.3.3 of the </w:t>
      </w:r>
      <w:r w:rsidRPr="00114E55">
        <w:rPr>
          <w:i/>
          <w:iCs/>
        </w:rPr>
        <w:t>Legislation Act 2001</w:t>
      </w:r>
      <w:r w:rsidRPr="00114E55">
        <w:t xml:space="preserve"> (the </w:t>
      </w:r>
      <w:r w:rsidRPr="00117D2F">
        <w:rPr>
          <w:b/>
          <w:bCs/>
          <w:i/>
          <w:iCs/>
        </w:rPr>
        <w:t>Legislation Act</w:t>
      </w:r>
      <w:r w:rsidRPr="00114E55">
        <w:t>) applies as</w:t>
      </w:r>
      <w:r>
        <w:t xml:space="preserve"> </w:t>
      </w:r>
      <w:r w:rsidR="00492AB7">
        <w:t>Dr</w:t>
      </w:r>
      <w:r w:rsidR="00FB709F">
        <w:t> </w:t>
      </w:r>
      <w:r w:rsidR="00492AB7">
        <w:t>Hayley</w:t>
      </w:r>
      <w:r w:rsidR="00FB709F">
        <w:t> </w:t>
      </w:r>
      <w:r w:rsidR="00492AB7">
        <w:t>Passmore</w:t>
      </w:r>
      <w:r w:rsidR="00A3451B">
        <w:t xml:space="preserve"> </w:t>
      </w:r>
      <w:r w:rsidRPr="00114E55">
        <w:t xml:space="preserve">is not a public servant, is appointed for longer than 6 months, and will have functions beyond advising the Minister. </w:t>
      </w:r>
    </w:p>
    <w:p w14:paraId="2D2A2B3D" w14:textId="77777777" w:rsidR="00117D2F" w:rsidRDefault="00117D2F"/>
    <w:p w14:paraId="56F6C03E" w14:textId="217C2950" w:rsidR="00117D2F" w:rsidRDefault="00114E55">
      <w:r w:rsidRPr="00114E55">
        <w:t xml:space="preserve">In accordance with section 228 of the </w:t>
      </w:r>
      <w:r w:rsidRPr="00851A01">
        <w:rPr>
          <w:i/>
          <w:iCs/>
        </w:rPr>
        <w:t>Legislation Act</w:t>
      </w:r>
      <w:r w:rsidRPr="00114E55">
        <w:t xml:space="preserve">, the Standing Committee on </w:t>
      </w:r>
      <w:r w:rsidR="008C0142">
        <w:t xml:space="preserve">Health and Community Wellbeing </w:t>
      </w:r>
      <w:r w:rsidRPr="00114E55">
        <w:t xml:space="preserve">has been consulted and noted the appointment. </w:t>
      </w:r>
    </w:p>
    <w:p w14:paraId="13E5A687" w14:textId="77777777" w:rsidR="00117D2F" w:rsidRDefault="00117D2F"/>
    <w:p w14:paraId="181FBB40" w14:textId="571853A6" w:rsidR="009A46B7" w:rsidRDefault="009A46B7">
      <w:r>
        <w:t xml:space="preserve">Section 229 </w:t>
      </w:r>
      <w:r w:rsidR="00117D2F" w:rsidRPr="00114E55">
        <w:t xml:space="preserve">of the </w:t>
      </w:r>
      <w:r w:rsidR="00117D2F" w:rsidRPr="00851A01">
        <w:rPr>
          <w:i/>
          <w:iCs/>
        </w:rPr>
        <w:t>Legislation Act</w:t>
      </w:r>
      <w:r w:rsidR="00117D2F">
        <w:t xml:space="preserve"> </w:t>
      </w:r>
      <w:r>
        <w:t>states that the instrument making an appointment to which division 19.3.3 applies is a disallowable instrument.</w:t>
      </w:r>
    </w:p>
    <w:p w14:paraId="5D813E49" w14:textId="77777777" w:rsidR="009A46B7" w:rsidRDefault="009A46B7"/>
    <w:p w14:paraId="7F56053B" w14:textId="77777777" w:rsidR="009C6941" w:rsidRDefault="009C6941"/>
    <w:p w14:paraId="7AB3BE1B" w14:textId="77777777" w:rsidR="009A46B7" w:rsidRDefault="009A46B7"/>
    <w:p w14:paraId="0E8C5BE2" w14:textId="77777777" w:rsidR="009C6941" w:rsidRDefault="009C6941"/>
    <w:p w14:paraId="29329153" w14:textId="77777777" w:rsidR="009C6941" w:rsidRDefault="009C6941"/>
    <w:p w14:paraId="7E11C3CD" w14:textId="6C324AD4" w:rsidR="009C6941" w:rsidRDefault="009C6941"/>
    <w:sectPr w:rsidR="009C6941"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3090" w14:textId="77777777" w:rsidR="00C17FAB" w:rsidRDefault="00C17FAB" w:rsidP="00C17FAB">
      <w:r>
        <w:separator/>
      </w:r>
    </w:p>
  </w:endnote>
  <w:endnote w:type="continuationSeparator" w:id="0">
    <w:p w14:paraId="59615926"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CD25"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737D" w14:textId="4A7B3E00" w:rsidR="00DA3B00" w:rsidRPr="00992042" w:rsidRDefault="00992042" w:rsidP="00992042">
    <w:pPr>
      <w:pStyle w:val="Footer"/>
      <w:jc w:val="center"/>
      <w:rPr>
        <w:rFonts w:cs="Arial"/>
        <w:sz w:val="14"/>
      </w:rPr>
    </w:pPr>
    <w:r w:rsidRPr="0099204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4197"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D2F0" w14:textId="77777777" w:rsidR="00C17FAB" w:rsidRDefault="00C17FAB" w:rsidP="00C17FAB">
      <w:r>
        <w:separator/>
      </w:r>
    </w:p>
  </w:footnote>
  <w:footnote w:type="continuationSeparator" w:id="0">
    <w:p w14:paraId="27F86099"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7BC4"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71D9"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8525"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B74134"/>
    <w:multiLevelType w:val="hybridMultilevel"/>
    <w:tmpl w:val="30441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7FDD0558"/>
    <w:multiLevelType w:val="hybridMultilevel"/>
    <w:tmpl w:val="41723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1369905">
    <w:abstractNumId w:val="2"/>
  </w:num>
  <w:num w:numId="2" w16cid:durableId="487788230">
    <w:abstractNumId w:val="0"/>
  </w:num>
  <w:num w:numId="3" w16cid:durableId="165753891">
    <w:abstractNumId w:val="3"/>
  </w:num>
  <w:num w:numId="4" w16cid:durableId="1330522345">
    <w:abstractNumId w:val="7"/>
  </w:num>
  <w:num w:numId="5" w16cid:durableId="1865247239">
    <w:abstractNumId w:val="8"/>
  </w:num>
  <w:num w:numId="6" w16cid:durableId="1220676280">
    <w:abstractNumId w:val="1"/>
  </w:num>
  <w:num w:numId="7" w16cid:durableId="2001034182">
    <w:abstractNumId w:val="5"/>
  </w:num>
  <w:num w:numId="8" w16cid:durableId="66609964">
    <w:abstractNumId w:val="6"/>
  </w:num>
  <w:num w:numId="9" w16cid:durableId="1637760421">
    <w:abstractNumId w:val="9"/>
  </w:num>
  <w:num w:numId="10" w16cid:durableId="300429145">
    <w:abstractNumId w:val="4"/>
  </w:num>
  <w:num w:numId="11" w16cid:durableId="1532257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36027"/>
    <w:rsid w:val="00081716"/>
    <w:rsid w:val="000B7B03"/>
    <w:rsid w:val="000F1F05"/>
    <w:rsid w:val="00103C9E"/>
    <w:rsid w:val="00114E55"/>
    <w:rsid w:val="00117D2F"/>
    <w:rsid w:val="00200F3D"/>
    <w:rsid w:val="00237F60"/>
    <w:rsid w:val="002D7C60"/>
    <w:rsid w:val="00326091"/>
    <w:rsid w:val="00346635"/>
    <w:rsid w:val="00395A84"/>
    <w:rsid w:val="00452DF1"/>
    <w:rsid w:val="00492AB7"/>
    <w:rsid w:val="00522C89"/>
    <w:rsid w:val="005426EA"/>
    <w:rsid w:val="00543716"/>
    <w:rsid w:val="005A735B"/>
    <w:rsid w:val="006134DF"/>
    <w:rsid w:val="006402CE"/>
    <w:rsid w:val="00650CE6"/>
    <w:rsid w:val="006D0BEB"/>
    <w:rsid w:val="007346AC"/>
    <w:rsid w:val="00757030"/>
    <w:rsid w:val="007F265B"/>
    <w:rsid w:val="00801D12"/>
    <w:rsid w:val="00851A01"/>
    <w:rsid w:val="00897A64"/>
    <w:rsid w:val="008C0142"/>
    <w:rsid w:val="009508A5"/>
    <w:rsid w:val="00992042"/>
    <w:rsid w:val="009A46B7"/>
    <w:rsid w:val="009B5084"/>
    <w:rsid w:val="009C6941"/>
    <w:rsid w:val="00A3451B"/>
    <w:rsid w:val="00A63CE8"/>
    <w:rsid w:val="00AE25B6"/>
    <w:rsid w:val="00AF3C45"/>
    <w:rsid w:val="00AF75FC"/>
    <w:rsid w:val="00BC4D44"/>
    <w:rsid w:val="00C17FAB"/>
    <w:rsid w:val="00C56771"/>
    <w:rsid w:val="00CE599C"/>
    <w:rsid w:val="00D41DC7"/>
    <w:rsid w:val="00DA3B00"/>
    <w:rsid w:val="00E03910"/>
    <w:rsid w:val="00E87220"/>
    <w:rsid w:val="00F1477F"/>
    <w:rsid w:val="00FB709F"/>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4E74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AE25B6"/>
    <w:pPr>
      <w:ind w:left="720"/>
      <w:contextualSpacing/>
    </w:pPr>
  </w:style>
  <w:style w:type="paragraph" w:styleId="Revision">
    <w:name w:val="Revision"/>
    <w:hidden/>
    <w:uiPriority w:val="99"/>
    <w:semiHidden/>
    <w:rsid w:val="006402C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2449</Characters>
  <Application>Microsoft Office Word</Application>
  <DocSecurity>0</DocSecurity>
  <Lines>68</Lines>
  <Paragraphs>21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2024-03-25T01:09:00Z</dcterms:created>
  <dcterms:modified xsi:type="dcterms:W3CDTF">2024-03-25T01:09:00Z</dcterms:modified>
</cp:coreProperties>
</file>