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F90F" w14:textId="77777777" w:rsidR="006815C9" w:rsidRDefault="006815C9">
      <w:pPr>
        <w:spacing w:before="120"/>
        <w:rPr>
          <w:rFonts w:ascii="Arial" w:hAnsi="Arial" w:cs="Arial"/>
        </w:rPr>
      </w:pPr>
      <w:bookmarkStart w:id="0" w:name="_Toc44738651"/>
      <w:r>
        <w:rPr>
          <w:rFonts w:ascii="Arial" w:hAnsi="Arial" w:cs="Arial"/>
        </w:rPr>
        <w:t>Australian Capital Territory</w:t>
      </w:r>
    </w:p>
    <w:p w14:paraId="0AF47ED6" w14:textId="3B8608D1" w:rsidR="00903E5D" w:rsidRDefault="00903E5D" w:rsidP="00091D34">
      <w:pPr>
        <w:spacing w:before="340"/>
        <w:rPr>
          <w:rFonts w:ascii="Arial" w:hAnsi="Arial"/>
          <w:b/>
          <w:sz w:val="40"/>
        </w:rPr>
      </w:pPr>
      <w:r w:rsidRPr="00903E5D">
        <w:rPr>
          <w:rFonts w:ascii="Arial" w:hAnsi="Arial"/>
          <w:b/>
          <w:sz w:val="40"/>
        </w:rPr>
        <w:t>Education Amendment Regulation 2024 (No</w:t>
      </w:r>
      <w:r w:rsidR="0026401C">
        <w:rPr>
          <w:rFonts w:ascii="Arial" w:hAnsi="Arial"/>
          <w:b/>
          <w:sz w:val="40"/>
        </w:rPr>
        <w:t xml:space="preserve"> 1</w:t>
      </w:r>
      <w:r w:rsidRPr="00903E5D">
        <w:rPr>
          <w:rFonts w:ascii="Arial" w:hAnsi="Arial"/>
          <w:b/>
          <w:sz w:val="40"/>
        </w:rPr>
        <w:t>)</w:t>
      </w:r>
    </w:p>
    <w:p w14:paraId="6FB4C958" w14:textId="05727375" w:rsidR="006815C9" w:rsidRDefault="00F5371D" w:rsidP="00091D34">
      <w:pPr>
        <w:spacing w:before="340"/>
        <w:rPr>
          <w:rFonts w:ascii="Arial" w:hAnsi="Arial" w:cs="Arial"/>
          <w:b/>
          <w:bCs/>
        </w:rPr>
      </w:pPr>
      <w:r>
        <w:rPr>
          <w:rFonts w:ascii="Arial" w:hAnsi="Arial" w:cs="Arial"/>
          <w:b/>
          <w:bCs/>
        </w:rPr>
        <w:t xml:space="preserve">Subordinate law </w:t>
      </w:r>
      <w:r w:rsidR="00F760C8">
        <w:rPr>
          <w:rFonts w:ascii="Arial" w:hAnsi="Arial" w:cs="Arial"/>
          <w:b/>
          <w:bCs/>
        </w:rPr>
        <w:t>SL2024-</w:t>
      </w:r>
      <w:r w:rsidR="005178D3">
        <w:rPr>
          <w:rFonts w:ascii="Arial" w:hAnsi="Arial" w:cs="Arial"/>
          <w:b/>
          <w:bCs/>
        </w:rPr>
        <w:t>4</w:t>
      </w:r>
    </w:p>
    <w:p w14:paraId="059D31E1" w14:textId="32DBE61B" w:rsidR="006815C9" w:rsidRDefault="006815C9" w:rsidP="00091D34">
      <w:pPr>
        <w:pStyle w:val="madeunder"/>
        <w:spacing w:before="300" w:after="0"/>
      </w:pPr>
      <w:r>
        <w:t xml:space="preserve">made under the </w:t>
      </w:r>
      <w:r w:rsidR="00095E68" w:rsidRPr="00095E68">
        <w:rPr>
          <w:rFonts w:ascii="Arial" w:hAnsi="Arial" w:cs="Arial"/>
          <w:b/>
          <w:bCs/>
          <w:sz w:val="22"/>
          <w:szCs w:val="22"/>
        </w:rPr>
        <w:t>Education Act 2004</w:t>
      </w:r>
    </w:p>
    <w:p w14:paraId="6241751A" w14:textId="2137F9DE" w:rsidR="006815C9" w:rsidRDefault="00F56A07">
      <w:pPr>
        <w:spacing w:before="360"/>
        <w:ind w:right="565"/>
        <w:rPr>
          <w:rFonts w:ascii="Arial" w:hAnsi="Arial" w:cs="Arial"/>
          <w:b/>
          <w:bCs/>
          <w:sz w:val="28"/>
          <w:szCs w:val="28"/>
        </w:rPr>
      </w:pPr>
      <w:r>
        <w:rPr>
          <w:rFonts w:ascii="Arial" w:hAnsi="Arial" w:cs="Arial"/>
          <w:b/>
          <w:bCs/>
          <w:sz w:val="28"/>
          <w:szCs w:val="28"/>
        </w:rPr>
        <w:t xml:space="preserve">REVISED </w:t>
      </w:r>
      <w:r w:rsidR="006815C9">
        <w:rPr>
          <w:rFonts w:ascii="Arial" w:hAnsi="Arial" w:cs="Arial"/>
          <w:b/>
          <w:bCs/>
          <w:sz w:val="28"/>
          <w:szCs w:val="28"/>
        </w:rPr>
        <w:t>EXPLANATORY STATEMENT</w:t>
      </w:r>
    </w:p>
    <w:p w14:paraId="04364695" w14:textId="77777777" w:rsidR="006815C9" w:rsidRDefault="006815C9">
      <w:pPr>
        <w:pStyle w:val="N-line3"/>
        <w:pBdr>
          <w:bottom w:val="none" w:sz="0" w:space="0" w:color="auto"/>
        </w:pBdr>
      </w:pPr>
    </w:p>
    <w:p w14:paraId="313E7754" w14:textId="77777777" w:rsidR="006815C9" w:rsidRDefault="006815C9">
      <w:pPr>
        <w:pStyle w:val="N-line3"/>
        <w:pBdr>
          <w:top w:val="single" w:sz="12" w:space="1" w:color="auto"/>
          <w:bottom w:val="none" w:sz="0" w:space="0" w:color="auto"/>
        </w:pBdr>
      </w:pPr>
    </w:p>
    <w:bookmarkEnd w:id="0"/>
    <w:p w14:paraId="48AEF83A" w14:textId="77777777" w:rsidR="00903E5D" w:rsidRPr="00903E5D" w:rsidRDefault="00903E5D" w:rsidP="00903E5D">
      <w:pPr>
        <w:keepNext/>
        <w:keepLines/>
        <w:spacing w:before="120" w:after="120"/>
        <w:outlineLvl w:val="1"/>
        <w:rPr>
          <w:rFonts w:ascii="Arial" w:hAnsi="Arial"/>
          <w:b/>
          <w:szCs w:val="26"/>
        </w:rPr>
      </w:pPr>
      <w:r w:rsidRPr="00903E5D">
        <w:rPr>
          <w:rFonts w:ascii="Arial" w:hAnsi="Arial"/>
          <w:b/>
          <w:szCs w:val="26"/>
        </w:rPr>
        <w:t>OVERVIEW OF THE REGULATION AMENDMENT</w:t>
      </w:r>
    </w:p>
    <w:p w14:paraId="7B75A946" w14:textId="09108E38"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The Education Directorate’s (the Directorate) </w:t>
      </w:r>
      <w:r w:rsidRPr="00903E5D">
        <w:rPr>
          <w:rFonts w:ascii="Arial" w:hAnsi="Arial" w:cs="Arial"/>
          <w:i/>
          <w:iCs/>
          <w:szCs w:val="24"/>
        </w:rPr>
        <w:t>Education Amendment Regulation 2024</w:t>
      </w:r>
      <w:r w:rsidRPr="00903E5D">
        <w:rPr>
          <w:rFonts w:ascii="Arial" w:hAnsi="Arial" w:cs="Arial"/>
          <w:szCs w:val="24"/>
        </w:rPr>
        <w:t xml:space="preserve"> </w:t>
      </w:r>
      <w:r w:rsidR="00D03D6A" w:rsidRPr="00D03D6A">
        <w:rPr>
          <w:rFonts w:ascii="Arial" w:hAnsi="Arial" w:cs="Arial"/>
          <w:i/>
          <w:iCs/>
          <w:szCs w:val="24"/>
        </w:rPr>
        <w:t xml:space="preserve">(No </w:t>
      </w:r>
      <w:r w:rsidR="00DF5CAC">
        <w:rPr>
          <w:rFonts w:ascii="Arial" w:hAnsi="Arial" w:cs="Arial"/>
          <w:i/>
          <w:iCs/>
          <w:szCs w:val="24"/>
        </w:rPr>
        <w:t>1</w:t>
      </w:r>
      <w:r w:rsidR="00D03D6A" w:rsidRPr="00D03D6A">
        <w:rPr>
          <w:rFonts w:ascii="Arial" w:hAnsi="Arial" w:cs="Arial"/>
          <w:i/>
          <w:iCs/>
          <w:szCs w:val="24"/>
        </w:rPr>
        <w:t>)</w:t>
      </w:r>
      <w:r w:rsidR="00D03D6A">
        <w:rPr>
          <w:rFonts w:ascii="Arial" w:hAnsi="Arial" w:cs="Arial"/>
          <w:szCs w:val="24"/>
        </w:rPr>
        <w:t xml:space="preserve"> </w:t>
      </w:r>
      <w:r w:rsidRPr="00903E5D">
        <w:rPr>
          <w:rFonts w:ascii="Arial" w:hAnsi="Arial" w:cs="Arial"/>
          <w:szCs w:val="24"/>
        </w:rPr>
        <w:t xml:space="preserve">will amend the </w:t>
      </w:r>
      <w:r w:rsidRPr="00903E5D">
        <w:rPr>
          <w:rFonts w:ascii="Arial" w:hAnsi="Arial" w:cs="Arial"/>
          <w:i/>
          <w:iCs/>
          <w:szCs w:val="24"/>
        </w:rPr>
        <w:t>Education Regulation 2005 (the Regulation),</w:t>
      </w:r>
      <w:r w:rsidRPr="00903E5D">
        <w:rPr>
          <w:rFonts w:ascii="Arial" w:hAnsi="Arial" w:cs="Arial"/>
          <w:szCs w:val="24"/>
        </w:rPr>
        <w:t xml:space="preserve"> a subordinate law under the </w:t>
      </w:r>
      <w:r w:rsidRPr="00903E5D">
        <w:rPr>
          <w:rFonts w:ascii="Arial" w:hAnsi="Arial" w:cs="Arial"/>
          <w:i/>
          <w:iCs/>
          <w:szCs w:val="24"/>
        </w:rPr>
        <w:t xml:space="preserve">Education Act 2004. </w:t>
      </w:r>
      <w:r w:rsidRPr="00903E5D">
        <w:rPr>
          <w:rFonts w:ascii="Arial" w:hAnsi="Arial" w:cs="Arial"/>
          <w:szCs w:val="24"/>
        </w:rPr>
        <w:t xml:space="preserve">The Regulation was last updated on 20 December 2022 through the </w:t>
      </w:r>
      <w:r w:rsidRPr="00903E5D">
        <w:rPr>
          <w:rFonts w:ascii="Arial" w:hAnsi="Arial" w:cs="Arial"/>
          <w:i/>
          <w:iCs/>
          <w:szCs w:val="24"/>
        </w:rPr>
        <w:t>Education Amendment Bill 2022</w:t>
      </w:r>
      <w:r w:rsidRPr="00903E5D">
        <w:rPr>
          <w:rFonts w:ascii="Arial" w:hAnsi="Arial" w:cs="Arial"/>
          <w:szCs w:val="24"/>
        </w:rPr>
        <w:t xml:space="preserve">. </w:t>
      </w:r>
    </w:p>
    <w:p w14:paraId="6BEBEB52"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Since its last update, it has been identified that two minor amendments are required. Firstly, Schedule 1 must be amended to include Evelyn Scott School and Shirley Smith High School, as the ACT’s two newest high schools, and Section 96 must be amended to resolve a drafting error following amendments passed through the </w:t>
      </w:r>
      <w:r w:rsidRPr="00903E5D">
        <w:rPr>
          <w:rFonts w:ascii="Arial" w:hAnsi="Arial" w:cs="Arial"/>
          <w:i/>
          <w:iCs/>
          <w:szCs w:val="24"/>
        </w:rPr>
        <w:t>Education Amendment Bill 2022</w:t>
      </w:r>
      <w:r w:rsidRPr="00903E5D">
        <w:rPr>
          <w:rFonts w:ascii="Arial" w:hAnsi="Arial" w:cs="Arial"/>
          <w:szCs w:val="24"/>
        </w:rPr>
        <w:t xml:space="preserve">. </w:t>
      </w:r>
    </w:p>
    <w:p w14:paraId="54AFA398" w14:textId="77777777" w:rsidR="00903E5D" w:rsidRDefault="00903E5D" w:rsidP="00903E5D">
      <w:pPr>
        <w:spacing w:after="200" w:line="276" w:lineRule="auto"/>
        <w:rPr>
          <w:rFonts w:ascii="Arial" w:hAnsi="Arial" w:cs="Arial"/>
          <w:szCs w:val="24"/>
        </w:rPr>
      </w:pPr>
      <w:r w:rsidRPr="00903E5D">
        <w:rPr>
          <w:rFonts w:ascii="Arial" w:hAnsi="Arial" w:cs="Arial"/>
          <w:szCs w:val="24"/>
        </w:rPr>
        <w:t xml:space="preserve">Schedule 1 must be updated to include the two new schools, as they are currently unable to appoint student members to their school board. Section 96 must be updated to clarify notifiable changes. </w:t>
      </w:r>
    </w:p>
    <w:p w14:paraId="092D338C" w14:textId="30B7CC2E" w:rsidR="00F56A07" w:rsidRPr="00903E5D" w:rsidRDefault="00F56A07" w:rsidP="00903E5D">
      <w:pPr>
        <w:spacing w:after="200" w:line="276" w:lineRule="auto"/>
        <w:rPr>
          <w:rFonts w:ascii="Arial" w:hAnsi="Arial" w:cs="Arial"/>
          <w:szCs w:val="24"/>
        </w:rPr>
      </w:pPr>
      <w:r>
        <w:rPr>
          <w:rFonts w:ascii="Arial" w:hAnsi="Arial" w:cs="Arial"/>
          <w:szCs w:val="24"/>
        </w:rPr>
        <w:t>The original version of the explanatory statement did not include a statement regarding human rights. This version has been amended to include such a statement.</w:t>
      </w:r>
    </w:p>
    <w:p w14:paraId="7123F354" w14:textId="77777777" w:rsidR="00903E5D" w:rsidRPr="00903E5D" w:rsidRDefault="00903E5D" w:rsidP="00903E5D">
      <w:pPr>
        <w:spacing w:after="200" w:line="276" w:lineRule="auto"/>
        <w:rPr>
          <w:rFonts w:ascii="Arial" w:hAnsi="Arial" w:cs="Arial"/>
          <w:b/>
          <w:szCs w:val="24"/>
        </w:rPr>
      </w:pPr>
      <w:r w:rsidRPr="00903E5D">
        <w:rPr>
          <w:rFonts w:ascii="Arial" w:hAnsi="Arial" w:cs="Arial"/>
          <w:b/>
          <w:szCs w:val="24"/>
        </w:rPr>
        <w:t>CONSULTATION ON THE PROPOSED APPROACH</w:t>
      </w:r>
    </w:p>
    <w:p w14:paraId="0B3ADA0D" w14:textId="5B2CB623" w:rsidR="00903E5D" w:rsidRPr="00903E5D" w:rsidRDefault="00903E5D" w:rsidP="00903E5D">
      <w:pPr>
        <w:spacing w:after="200" w:line="276" w:lineRule="auto"/>
        <w:rPr>
          <w:rFonts w:ascii="Arial" w:hAnsi="Arial" w:cs="Arial"/>
          <w:color w:val="FF0000"/>
          <w:szCs w:val="24"/>
        </w:rPr>
      </w:pPr>
      <w:r w:rsidRPr="00903E5D">
        <w:rPr>
          <w:rFonts w:ascii="Arial" w:hAnsi="Arial" w:cs="Arial"/>
          <w:szCs w:val="24"/>
        </w:rPr>
        <w:t xml:space="preserve">In developing the </w:t>
      </w:r>
      <w:r w:rsidRPr="00903E5D">
        <w:rPr>
          <w:rFonts w:ascii="Arial" w:hAnsi="Arial" w:cs="Arial"/>
          <w:i/>
          <w:iCs/>
          <w:szCs w:val="24"/>
        </w:rPr>
        <w:t>Education Amendment Regulation 202</w:t>
      </w:r>
      <w:r w:rsidR="00D03D6A">
        <w:rPr>
          <w:rFonts w:ascii="Arial" w:hAnsi="Arial" w:cs="Arial"/>
          <w:i/>
          <w:iCs/>
          <w:szCs w:val="24"/>
        </w:rPr>
        <w:t xml:space="preserve">4 (No </w:t>
      </w:r>
      <w:r w:rsidR="00DF5CAC">
        <w:rPr>
          <w:rFonts w:ascii="Arial" w:hAnsi="Arial" w:cs="Arial"/>
          <w:i/>
          <w:iCs/>
          <w:szCs w:val="24"/>
        </w:rPr>
        <w:t>1</w:t>
      </w:r>
      <w:r w:rsidR="00D03D6A">
        <w:rPr>
          <w:rFonts w:ascii="Arial" w:hAnsi="Arial" w:cs="Arial"/>
          <w:i/>
          <w:iCs/>
          <w:szCs w:val="24"/>
        </w:rPr>
        <w:t>)</w:t>
      </w:r>
      <w:r w:rsidRPr="00903E5D">
        <w:rPr>
          <w:rFonts w:ascii="Arial" w:hAnsi="Arial" w:cs="Arial"/>
          <w:szCs w:val="24"/>
        </w:rPr>
        <w:t xml:space="preserve">, the Directorate consulted with PCO, Education and Care Regulation Support (ECRS) within the Directorate, and Evelyn Scott School.  </w:t>
      </w:r>
    </w:p>
    <w:p w14:paraId="48F491BD" w14:textId="77777777" w:rsidR="00876635" w:rsidRDefault="00876635" w:rsidP="00876635">
      <w:pPr>
        <w:autoSpaceDE w:val="0"/>
        <w:autoSpaceDN w:val="0"/>
        <w:adjustRightInd w:val="0"/>
        <w:rPr>
          <w:rFonts w:ascii="Arial-BoldMT" w:hAnsi="Arial-BoldMT" w:cs="Arial-BoldMT"/>
          <w:b/>
          <w:bCs/>
          <w:szCs w:val="24"/>
          <w:lang w:eastAsia="en-AU"/>
        </w:rPr>
      </w:pPr>
      <w:r>
        <w:rPr>
          <w:rFonts w:ascii="Arial-BoldMT" w:hAnsi="Arial-BoldMT" w:cs="Arial-BoldMT"/>
          <w:b/>
          <w:bCs/>
          <w:szCs w:val="24"/>
          <w:lang w:eastAsia="en-AU"/>
        </w:rPr>
        <w:t>CONSISTENCY WITH HUMAN RIGHTS</w:t>
      </w:r>
    </w:p>
    <w:p w14:paraId="623C9323" w14:textId="77777777" w:rsidR="00876635" w:rsidRDefault="00876635" w:rsidP="00876635">
      <w:pPr>
        <w:autoSpaceDE w:val="0"/>
        <w:autoSpaceDN w:val="0"/>
        <w:adjustRightInd w:val="0"/>
        <w:rPr>
          <w:rFonts w:ascii="Arial-BoldMT" w:hAnsi="Arial-BoldMT" w:cs="Arial-BoldMT"/>
          <w:b/>
          <w:bCs/>
          <w:szCs w:val="24"/>
          <w:lang w:eastAsia="en-AU"/>
        </w:rPr>
      </w:pPr>
    </w:p>
    <w:p w14:paraId="2524CA31" w14:textId="5DBAA51F" w:rsidR="00903E5D" w:rsidRPr="00876635" w:rsidRDefault="00876635" w:rsidP="00876635">
      <w:pPr>
        <w:spacing w:after="200" w:line="276" w:lineRule="auto"/>
        <w:rPr>
          <w:rFonts w:ascii="Arial" w:hAnsi="Arial" w:cs="Arial"/>
          <w:iCs/>
          <w:color w:val="FF0000"/>
          <w:szCs w:val="24"/>
        </w:rPr>
      </w:pPr>
      <w:r>
        <w:rPr>
          <w:rFonts w:ascii="ArialMT" w:hAnsi="ArialMT" w:cs="ArialMT"/>
          <w:szCs w:val="24"/>
          <w:lang w:eastAsia="en-AU"/>
        </w:rPr>
        <w:t>The amendment to the Regulation does not engage human rights.</w:t>
      </w:r>
    </w:p>
    <w:p w14:paraId="0F6D80FC" w14:textId="77777777" w:rsidR="00903E5D" w:rsidRPr="00903E5D" w:rsidRDefault="00903E5D" w:rsidP="00903E5D">
      <w:pPr>
        <w:rPr>
          <w:rFonts w:ascii="Calibri" w:hAnsi="Calibri" w:cs="Arial"/>
          <w:sz w:val="28"/>
          <w:szCs w:val="28"/>
          <w:lang w:eastAsia="en-AU"/>
        </w:rPr>
      </w:pPr>
      <w:bookmarkStart w:id="1" w:name="OLE_LINK1"/>
      <w:r w:rsidRPr="00903E5D">
        <w:rPr>
          <w:rFonts w:ascii="Calibri" w:hAnsi="Calibri" w:cs="Arial"/>
          <w:b/>
          <w:sz w:val="28"/>
          <w:szCs w:val="28"/>
          <w:lang w:eastAsia="en-AU"/>
        </w:rPr>
        <w:br w:type="page"/>
      </w:r>
    </w:p>
    <w:bookmarkEnd w:id="1"/>
    <w:p w14:paraId="76FA0C73" w14:textId="77777777" w:rsidR="00903E5D" w:rsidRPr="00903E5D" w:rsidRDefault="00903E5D" w:rsidP="00903E5D">
      <w:pPr>
        <w:keepNext/>
        <w:keepLines/>
        <w:pageBreakBefore/>
        <w:spacing w:before="240" w:after="240"/>
        <w:outlineLvl w:val="1"/>
        <w:rPr>
          <w:rFonts w:ascii="Arial" w:hAnsi="Arial"/>
          <w:b/>
          <w:szCs w:val="26"/>
        </w:rPr>
      </w:pPr>
      <w:r w:rsidRPr="00903E5D">
        <w:rPr>
          <w:rFonts w:ascii="Arial" w:hAnsi="Arial"/>
          <w:b/>
          <w:szCs w:val="26"/>
        </w:rPr>
        <w:lastRenderedPageBreak/>
        <w:t>CLAUSE NOTES</w:t>
      </w:r>
    </w:p>
    <w:p w14:paraId="71BC8DDD" w14:textId="77777777" w:rsidR="00903E5D" w:rsidRPr="00903E5D" w:rsidRDefault="00903E5D" w:rsidP="00903E5D">
      <w:pPr>
        <w:spacing w:after="200" w:line="276" w:lineRule="auto"/>
        <w:rPr>
          <w:rFonts w:ascii="Calibri" w:hAnsi="Calibri"/>
          <w:sz w:val="22"/>
          <w:szCs w:val="22"/>
        </w:rPr>
      </w:pPr>
    </w:p>
    <w:p w14:paraId="699B3B50" w14:textId="77777777" w:rsidR="00903E5D" w:rsidRPr="00903E5D" w:rsidRDefault="00903E5D" w:rsidP="00903E5D">
      <w:pPr>
        <w:keepNext/>
        <w:keepLines/>
        <w:spacing w:before="240" w:after="240"/>
        <w:outlineLvl w:val="2"/>
        <w:rPr>
          <w:rFonts w:ascii="Arial" w:hAnsi="Arial"/>
          <w:b/>
          <w:szCs w:val="24"/>
        </w:rPr>
      </w:pPr>
      <w:r w:rsidRPr="00903E5D">
        <w:rPr>
          <w:rFonts w:ascii="Arial" w:hAnsi="Arial"/>
          <w:b/>
          <w:szCs w:val="24"/>
        </w:rPr>
        <w:t>Clause 1</w:t>
      </w:r>
      <w:r w:rsidRPr="00903E5D">
        <w:rPr>
          <w:rFonts w:ascii="Arial" w:hAnsi="Arial"/>
          <w:b/>
          <w:szCs w:val="24"/>
        </w:rPr>
        <w:tab/>
        <w:t>Name of Regulation</w:t>
      </w:r>
    </w:p>
    <w:p w14:paraId="033F58CA" w14:textId="5D54349B"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regulation is the </w:t>
      </w:r>
      <w:r w:rsidRPr="00903E5D">
        <w:rPr>
          <w:rFonts w:ascii="Arial" w:hAnsi="Arial" w:cs="Arial"/>
          <w:i/>
          <w:iCs/>
          <w:szCs w:val="24"/>
        </w:rPr>
        <w:t>Education Amendment Regulation 202</w:t>
      </w:r>
      <w:r w:rsidR="00D03D6A" w:rsidRPr="00D03D6A">
        <w:rPr>
          <w:rFonts w:ascii="Arial" w:hAnsi="Arial" w:cs="Arial"/>
          <w:i/>
          <w:iCs/>
          <w:szCs w:val="24"/>
        </w:rPr>
        <w:t>4</w:t>
      </w:r>
      <w:r w:rsidRPr="00903E5D">
        <w:rPr>
          <w:rFonts w:ascii="Arial" w:hAnsi="Arial" w:cs="Arial"/>
          <w:i/>
          <w:iCs/>
          <w:szCs w:val="24"/>
        </w:rPr>
        <w:t xml:space="preserve"> (No </w:t>
      </w:r>
      <w:r w:rsidR="00DF5CAC">
        <w:rPr>
          <w:rFonts w:ascii="Arial" w:hAnsi="Arial" w:cs="Arial"/>
          <w:i/>
          <w:iCs/>
          <w:szCs w:val="24"/>
        </w:rPr>
        <w:t>1</w:t>
      </w:r>
      <w:r w:rsidRPr="00903E5D">
        <w:rPr>
          <w:rFonts w:ascii="Arial" w:hAnsi="Arial" w:cs="Arial"/>
          <w:i/>
          <w:iCs/>
          <w:szCs w:val="24"/>
        </w:rPr>
        <w:t>)</w:t>
      </w:r>
      <w:r w:rsidRPr="00903E5D">
        <w:rPr>
          <w:rFonts w:ascii="Arial" w:hAnsi="Arial" w:cs="Arial"/>
          <w:szCs w:val="24"/>
        </w:rPr>
        <w:t xml:space="preserve">. </w:t>
      </w:r>
    </w:p>
    <w:p w14:paraId="303DE000" w14:textId="77777777" w:rsidR="00903E5D" w:rsidRPr="00903E5D" w:rsidRDefault="00903E5D" w:rsidP="00903E5D">
      <w:pPr>
        <w:keepNext/>
        <w:keepLines/>
        <w:spacing w:before="240" w:after="240"/>
        <w:outlineLvl w:val="2"/>
        <w:rPr>
          <w:rFonts w:ascii="Arial" w:hAnsi="Arial"/>
          <w:b/>
          <w:szCs w:val="24"/>
        </w:rPr>
      </w:pPr>
      <w:r w:rsidRPr="00903E5D">
        <w:rPr>
          <w:rFonts w:ascii="Arial" w:hAnsi="Arial"/>
          <w:b/>
          <w:szCs w:val="24"/>
        </w:rPr>
        <w:t>Clause 2</w:t>
      </w:r>
      <w:r w:rsidRPr="00903E5D">
        <w:rPr>
          <w:rFonts w:ascii="Arial" w:hAnsi="Arial"/>
          <w:b/>
          <w:szCs w:val="24"/>
        </w:rPr>
        <w:tab/>
        <w:t>Commencement</w:t>
      </w:r>
    </w:p>
    <w:p w14:paraId="50C736B2" w14:textId="0272FAA0"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clause enables the </w:t>
      </w:r>
      <w:r w:rsidR="00D03D6A" w:rsidRPr="00903E5D">
        <w:rPr>
          <w:rFonts w:ascii="Arial" w:hAnsi="Arial" w:cs="Arial"/>
          <w:i/>
          <w:iCs/>
          <w:szCs w:val="24"/>
        </w:rPr>
        <w:t>Education Amendment Regulation 202</w:t>
      </w:r>
      <w:r w:rsidR="00D03D6A" w:rsidRPr="00D03D6A">
        <w:rPr>
          <w:rFonts w:ascii="Arial" w:hAnsi="Arial" w:cs="Arial"/>
          <w:i/>
          <w:iCs/>
          <w:szCs w:val="24"/>
        </w:rPr>
        <w:t>4</w:t>
      </w:r>
      <w:r w:rsidR="00D03D6A" w:rsidRPr="00903E5D">
        <w:rPr>
          <w:rFonts w:ascii="Arial" w:hAnsi="Arial" w:cs="Arial"/>
          <w:i/>
          <w:iCs/>
          <w:szCs w:val="24"/>
        </w:rPr>
        <w:t xml:space="preserve"> (No </w:t>
      </w:r>
      <w:r w:rsidR="00DF5CAC">
        <w:rPr>
          <w:rFonts w:ascii="Arial" w:hAnsi="Arial" w:cs="Arial"/>
          <w:i/>
          <w:iCs/>
          <w:szCs w:val="24"/>
        </w:rPr>
        <w:t>1</w:t>
      </w:r>
      <w:r w:rsidR="00D03D6A" w:rsidRPr="00903E5D">
        <w:rPr>
          <w:rFonts w:ascii="Arial" w:hAnsi="Arial" w:cs="Arial"/>
          <w:i/>
          <w:iCs/>
          <w:szCs w:val="24"/>
        </w:rPr>
        <w:t>)</w:t>
      </w:r>
      <w:r w:rsidRPr="00903E5D">
        <w:rPr>
          <w:rFonts w:ascii="Arial" w:hAnsi="Arial" w:cs="Arial"/>
          <w:szCs w:val="24"/>
        </w:rPr>
        <w:t xml:space="preserve"> to commence on the day after its notification day. </w:t>
      </w:r>
    </w:p>
    <w:p w14:paraId="058A1B37" w14:textId="77777777" w:rsidR="00903E5D" w:rsidRPr="00903E5D" w:rsidRDefault="00903E5D" w:rsidP="00903E5D">
      <w:pPr>
        <w:keepNext/>
        <w:keepLines/>
        <w:spacing w:before="240" w:after="240"/>
        <w:outlineLvl w:val="2"/>
        <w:rPr>
          <w:rFonts w:ascii="Arial" w:hAnsi="Arial"/>
          <w:szCs w:val="24"/>
        </w:rPr>
      </w:pPr>
      <w:r w:rsidRPr="00903E5D">
        <w:rPr>
          <w:rFonts w:ascii="Arial" w:hAnsi="Arial"/>
          <w:b/>
          <w:szCs w:val="24"/>
        </w:rPr>
        <w:t>Clause 3</w:t>
      </w:r>
      <w:r w:rsidRPr="00903E5D">
        <w:rPr>
          <w:rFonts w:ascii="Arial" w:hAnsi="Arial"/>
          <w:b/>
          <w:szCs w:val="24"/>
        </w:rPr>
        <w:tab/>
        <w:t>Legislation amended</w:t>
      </w:r>
    </w:p>
    <w:p w14:paraId="1E42CA93" w14:textId="10057736" w:rsidR="00903E5D" w:rsidRPr="00903E5D" w:rsidRDefault="00903E5D" w:rsidP="00903E5D">
      <w:pPr>
        <w:spacing w:after="200" w:line="276" w:lineRule="auto"/>
        <w:rPr>
          <w:rFonts w:ascii="Arial" w:hAnsi="Arial" w:cs="Arial"/>
          <w:i/>
          <w:iCs/>
          <w:szCs w:val="24"/>
        </w:rPr>
      </w:pPr>
      <w:r w:rsidRPr="00903E5D">
        <w:rPr>
          <w:rFonts w:ascii="Arial" w:hAnsi="Arial" w:cs="Arial"/>
          <w:szCs w:val="24"/>
        </w:rPr>
        <w:t xml:space="preserve">This clause identifies that the </w:t>
      </w:r>
      <w:r w:rsidR="00D03D6A" w:rsidRPr="00903E5D">
        <w:rPr>
          <w:rFonts w:ascii="Arial" w:hAnsi="Arial" w:cs="Arial"/>
          <w:i/>
          <w:iCs/>
          <w:szCs w:val="24"/>
        </w:rPr>
        <w:t>Education Amendment Regulation 202</w:t>
      </w:r>
      <w:r w:rsidR="00D03D6A" w:rsidRPr="00D03D6A">
        <w:rPr>
          <w:rFonts w:ascii="Arial" w:hAnsi="Arial" w:cs="Arial"/>
          <w:i/>
          <w:iCs/>
          <w:szCs w:val="24"/>
        </w:rPr>
        <w:t>4</w:t>
      </w:r>
      <w:r w:rsidR="00D03D6A" w:rsidRPr="00903E5D">
        <w:rPr>
          <w:rFonts w:ascii="Arial" w:hAnsi="Arial" w:cs="Arial"/>
          <w:i/>
          <w:iCs/>
          <w:szCs w:val="24"/>
        </w:rPr>
        <w:t xml:space="preserve"> (No </w:t>
      </w:r>
      <w:r w:rsidR="00DF5CAC">
        <w:rPr>
          <w:rFonts w:ascii="Arial" w:hAnsi="Arial" w:cs="Arial"/>
          <w:i/>
          <w:iCs/>
          <w:szCs w:val="24"/>
        </w:rPr>
        <w:t>1</w:t>
      </w:r>
      <w:r w:rsidR="00D03D6A" w:rsidRPr="00903E5D">
        <w:rPr>
          <w:rFonts w:ascii="Arial" w:hAnsi="Arial" w:cs="Arial"/>
          <w:i/>
          <w:iCs/>
          <w:szCs w:val="24"/>
        </w:rPr>
        <w:t>)</w:t>
      </w:r>
      <w:r w:rsidRPr="00903E5D">
        <w:rPr>
          <w:rFonts w:ascii="Arial" w:hAnsi="Arial" w:cs="Arial"/>
          <w:szCs w:val="24"/>
        </w:rPr>
        <w:t xml:space="preserve"> amends the </w:t>
      </w:r>
      <w:r w:rsidRPr="00903E5D">
        <w:rPr>
          <w:rFonts w:ascii="Arial" w:hAnsi="Arial" w:cs="Arial"/>
          <w:i/>
          <w:iCs/>
          <w:szCs w:val="24"/>
        </w:rPr>
        <w:t xml:space="preserve">Education Regulation 2005. </w:t>
      </w:r>
    </w:p>
    <w:p w14:paraId="036228B9"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 xml:space="preserve">Clause 4 </w:t>
      </w:r>
      <w:r w:rsidRPr="00903E5D">
        <w:rPr>
          <w:rFonts w:ascii="Arial" w:hAnsi="Arial" w:cs="Arial"/>
          <w:b/>
          <w:bCs/>
          <w:szCs w:val="24"/>
        </w:rPr>
        <w:tab/>
        <w:t>Sections 6B (b) etc</w:t>
      </w:r>
    </w:p>
    <w:p w14:paraId="67C0E0F9"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clause clarifies the location of the campus. </w:t>
      </w:r>
    </w:p>
    <w:p w14:paraId="6D83B142"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Clause 5</w:t>
      </w:r>
      <w:r w:rsidRPr="00903E5D">
        <w:rPr>
          <w:rFonts w:ascii="Arial" w:hAnsi="Arial" w:cs="Arial"/>
          <w:b/>
          <w:bCs/>
          <w:szCs w:val="24"/>
        </w:rPr>
        <w:tab/>
        <w:t>Section 6C (d) and (e)</w:t>
      </w:r>
    </w:p>
    <w:p w14:paraId="70341407"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Omit. </w:t>
      </w:r>
    </w:p>
    <w:p w14:paraId="18F155D8"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Clause 6</w:t>
      </w:r>
      <w:r w:rsidRPr="00903E5D">
        <w:rPr>
          <w:rFonts w:ascii="Arial" w:hAnsi="Arial" w:cs="Arial"/>
          <w:b/>
          <w:bCs/>
          <w:szCs w:val="24"/>
        </w:rPr>
        <w:tab/>
        <w:t>Schedule 1, part 1.1, new item 8A</w:t>
      </w:r>
    </w:p>
    <w:p w14:paraId="7D76F856" w14:textId="77777777" w:rsidR="00903E5D" w:rsidRPr="00903E5D" w:rsidRDefault="00903E5D" w:rsidP="00903E5D">
      <w:pPr>
        <w:spacing w:after="200" w:line="276" w:lineRule="auto"/>
        <w:rPr>
          <w:rFonts w:ascii="Arial" w:hAnsi="Arial" w:cs="Arial"/>
          <w:szCs w:val="24"/>
        </w:rPr>
      </w:pPr>
      <w:r w:rsidRPr="00903E5D">
        <w:rPr>
          <w:rFonts w:ascii="Arial" w:hAnsi="Arial" w:cs="Arial"/>
          <w:szCs w:val="24"/>
        </w:rPr>
        <w:t xml:space="preserve">This clause inserts the new Evelyn Scott School to Schedule 1. </w:t>
      </w:r>
    </w:p>
    <w:p w14:paraId="5821F646" w14:textId="77777777" w:rsidR="00903E5D" w:rsidRPr="00903E5D" w:rsidRDefault="00903E5D" w:rsidP="00903E5D">
      <w:pPr>
        <w:spacing w:after="200" w:line="276" w:lineRule="auto"/>
        <w:rPr>
          <w:rFonts w:ascii="Arial" w:hAnsi="Arial" w:cs="Arial"/>
          <w:b/>
          <w:bCs/>
          <w:szCs w:val="24"/>
        </w:rPr>
      </w:pPr>
      <w:r w:rsidRPr="00903E5D">
        <w:rPr>
          <w:rFonts w:ascii="Arial" w:hAnsi="Arial" w:cs="Arial"/>
          <w:b/>
          <w:bCs/>
          <w:szCs w:val="24"/>
        </w:rPr>
        <w:t>Clause 7</w:t>
      </w:r>
      <w:r w:rsidRPr="00903E5D">
        <w:rPr>
          <w:rFonts w:ascii="Arial" w:hAnsi="Arial" w:cs="Arial"/>
          <w:b/>
          <w:bCs/>
          <w:szCs w:val="24"/>
        </w:rPr>
        <w:tab/>
        <w:t>Schedule 1, part 1.1, new item 16A</w:t>
      </w:r>
    </w:p>
    <w:p w14:paraId="29F1BF29" w14:textId="6B272931" w:rsidR="00903E5D" w:rsidRPr="00903E5D" w:rsidRDefault="00903E5D" w:rsidP="00903E5D">
      <w:pPr>
        <w:spacing w:after="200" w:line="276" w:lineRule="auto"/>
        <w:rPr>
          <w:rFonts w:ascii="Arial" w:hAnsi="Arial" w:cs="Arial"/>
          <w:szCs w:val="24"/>
        </w:rPr>
      </w:pPr>
      <w:r w:rsidRPr="00903E5D">
        <w:rPr>
          <w:rFonts w:ascii="Arial" w:hAnsi="Arial" w:cs="Arial"/>
          <w:szCs w:val="24"/>
        </w:rPr>
        <w:t>This clause inserts the new Shirley Smith High School to Schedule 1.</w:t>
      </w:r>
    </w:p>
    <w:sectPr w:rsidR="00903E5D" w:rsidRPr="00903E5D"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B7EF" w14:textId="77777777" w:rsidR="006815C9" w:rsidRDefault="006815C9" w:rsidP="006815C9">
      <w:r>
        <w:separator/>
      </w:r>
    </w:p>
  </w:endnote>
  <w:endnote w:type="continuationSeparator" w:id="0">
    <w:p w14:paraId="71C92841" w14:textId="77777777" w:rsidR="006815C9" w:rsidRDefault="006815C9"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9198" w14:textId="77777777" w:rsidR="003B6D26" w:rsidRDefault="003B6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A6B3" w14:textId="4DB9865E" w:rsidR="000600E2" w:rsidRPr="003B6D26" w:rsidRDefault="003B6D26" w:rsidP="003B6D26">
    <w:pPr>
      <w:pStyle w:val="Footer"/>
      <w:jc w:val="center"/>
      <w:rPr>
        <w:rFonts w:cs="Arial"/>
        <w:sz w:val="14"/>
      </w:rPr>
    </w:pPr>
    <w:r w:rsidRPr="003B6D2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107F" w14:textId="77777777" w:rsidR="003B6D26" w:rsidRDefault="003B6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AD60F" w14:textId="77777777" w:rsidR="006815C9" w:rsidRDefault="006815C9" w:rsidP="006815C9">
      <w:r>
        <w:separator/>
      </w:r>
    </w:p>
  </w:footnote>
  <w:footnote w:type="continuationSeparator" w:id="0">
    <w:p w14:paraId="16F708BB" w14:textId="77777777" w:rsidR="006815C9" w:rsidRDefault="006815C9"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8258" w14:textId="77777777" w:rsidR="003B6D26" w:rsidRDefault="003B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785C" w14:textId="77777777" w:rsidR="003B6D26" w:rsidRDefault="003B6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D5F0" w14:textId="77777777" w:rsidR="003B6D26" w:rsidRDefault="003B6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2062632340">
    <w:abstractNumId w:val="2"/>
  </w:num>
  <w:num w:numId="2" w16cid:durableId="1933467711">
    <w:abstractNumId w:val="0"/>
  </w:num>
  <w:num w:numId="3" w16cid:durableId="1774322453">
    <w:abstractNumId w:val="3"/>
  </w:num>
  <w:num w:numId="4" w16cid:durableId="1565870550">
    <w:abstractNumId w:val="6"/>
  </w:num>
  <w:num w:numId="5" w16cid:durableId="1520116863">
    <w:abstractNumId w:val="8"/>
  </w:num>
  <w:num w:numId="6" w16cid:durableId="1934896885">
    <w:abstractNumId w:val="1"/>
  </w:num>
  <w:num w:numId="7" w16cid:durableId="697245833">
    <w:abstractNumId w:val="4"/>
  </w:num>
  <w:num w:numId="8" w16cid:durableId="2130272633">
    <w:abstractNumId w:val="5"/>
  </w:num>
  <w:num w:numId="9" w16cid:durableId="1219393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40E22"/>
    <w:rsid w:val="000600E2"/>
    <w:rsid w:val="00091D34"/>
    <w:rsid w:val="00095E68"/>
    <w:rsid w:val="001028D9"/>
    <w:rsid w:val="001C195D"/>
    <w:rsid w:val="0022069E"/>
    <w:rsid w:val="0026401C"/>
    <w:rsid w:val="003B6D26"/>
    <w:rsid w:val="003E03F6"/>
    <w:rsid w:val="0040100C"/>
    <w:rsid w:val="005178D3"/>
    <w:rsid w:val="006815C9"/>
    <w:rsid w:val="006E7046"/>
    <w:rsid w:val="008511EC"/>
    <w:rsid w:val="00876635"/>
    <w:rsid w:val="00881840"/>
    <w:rsid w:val="008F1DE1"/>
    <w:rsid w:val="00903E5D"/>
    <w:rsid w:val="009C0F26"/>
    <w:rsid w:val="00AD55E3"/>
    <w:rsid w:val="00B1512B"/>
    <w:rsid w:val="00C1618B"/>
    <w:rsid w:val="00C5259A"/>
    <w:rsid w:val="00D03D6A"/>
    <w:rsid w:val="00DF5CAC"/>
    <w:rsid w:val="00E9128E"/>
    <w:rsid w:val="00F5371D"/>
    <w:rsid w:val="00F56A07"/>
    <w:rsid w:val="00F760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CB6B2"/>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1895</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2024-06-04T23:04:00Z</dcterms:created>
  <dcterms:modified xsi:type="dcterms:W3CDTF">2024-06-04T23:04:00Z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12470461</vt:lpwstr>
  </property>
  <property fmtid="{D5CDD505-2E9C-101B-9397-08002B2CF9AE}" pid="4" name="JMSREQUIREDCHECKIN">
    <vt:lpwstr/>
  </property>
  <property fmtid="{D5CDD505-2E9C-101B-9397-08002B2CF9AE}" pid="5" name="MSIP_Label_69af8531-eb46-4968-8cb3-105d2f5ea87e_Enabled">
    <vt:lpwstr>true</vt:lpwstr>
  </property>
  <property fmtid="{D5CDD505-2E9C-101B-9397-08002B2CF9AE}" pid="6" name="MSIP_Label_69af8531-eb46-4968-8cb3-105d2f5ea87e_SetDate">
    <vt:lpwstr>2024-05-30T06:32:38Z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e31a51f3-6364-4c9e-9c88-afd179da2262</vt:lpwstr>
  </property>
  <property fmtid="{D5CDD505-2E9C-101B-9397-08002B2CF9AE}" pid="11" name="MSIP_Label_69af8531-eb46-4968-8cb3-105d2f5ea87e_ContentBits">
    <vt:lpwstr>0</vt:lpwstr>
  </property>
</Properties>
</file>