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651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379E30C" w14:textId="77777777" w:rsidR="00721788" w:rsidRDefault="00721788" w:rsidP="00721788">
      <w:pPr>
        <w:pStyle w:val="Billname"/>
        <w:spacing w:before="700"/>
      </w:pPr>
      <w:bookmarkStart w:id="1" w:name="_Hlk160797348"/>
      <w:r w:rsidRPr="00217D99">
        <w:t>Casino Control (Licence Fee) Determination 2024 (No 1)</w:t>
      </w:r>
      <w:bookmarkEnd w:id="1"/>
    </w:p>
    <w:p w14:paraId="16080A18" w14:textId="217771D5" w:rsidR="00721788" w:rsidRDefault="00721788" w:rsidP="00721788">
      <w:pPr>
        <w:spacing w:before="340"/>
        <w:rPr>
          <w:rFonts w:ascii="Arial" w:hAnsi="Arial" w:cs="Arial"/>
          <w:b/>
          <w:bCs/>
        </w:rPr>
      </w:pPr>
      <w:r>
        <w:rPr>
          <w:rFonts w:ascii="Arial" w:hAnsi="Arial" w:cs="Arial"/>
          <w:b/>
          <w:bCs/>
        </w:rPr>
        <w:t>Notifiable instrument NI2024–</w:t>
      </w:r>
      <w:r w:rsidR="00D711B2">
        <w:rPr>
          <w:rFonts w:ascii="Arial" w:hAnsi="Arial" w:cs="Arial"/>
          <w:b/>
          <w:bCs/>
        </w:rPr>
        <w:t>203</w:t>
      </w:r>
    </w:p>
    <w:p w14:paraId="4D78002D" w14:textId="77777777" w:rsidR="00721788" w:rsidRDefault="00721788" w:rsidP="00721788">
      <w:pPr>
        <w:pStyle w:val="madeunder"/>
        <w:spacing w:before="300" w:after="0"/>
      </w:pPr>
      <w:r>
        <w:t xml:space="preserve">made under the  </w:t>
      </w:r>
    </w:p>
    <w:p w14:paraId="0FABA6CD" w14:textId="77777777" w:rsidR="00721788" w:rsidRDefault="00721788" w:rsidP="00721788">
      <w:pPr>
        <w:pStyle w:val="CoverActName"/>
        <w:spacing w:before="320" w:after="0"/>
        <w:rPr>
          <w:rFonts w:cs="Arial"/>
          <w:sz w:val="20"/>
        </w:rPr>
      </w:pPr>
      <w:r w:rsidRPr="00217D99">
        <w:rPr>
          <w:rFonts w:cs="Arial"/>
          <w:sz w:val="20"/>
        </w:rPr>
        <w:t>Casino Control Act 2006, s 26 (Determination of casino licence fee)</w:t>
      </w:r>
    </w:p>
    <w:p w14:paraId="3BC7395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4EFBAAF" w14:textId="77777777" w:rsidR="00C17FAB" w:rsidRDefault="00C17FAB">
      <w:pPr>
        <w:pStyle w:val="N-line3"/>
        <w:pBdr>
          <w:bottom w:val="none" w:sz="0" w:space="0" w:color="auto"/>
        </w:pBdr>
      </w:pPr>
    </w:p>
    <w:p w14:paraId="5BD9C3FC" w14:textId="77777777" w:rsidR="00C17FAB" w:rsidRDefault="00C17FAB">
      <w:pPr>
        <w:pStyle w:val="N-line3"/>
        <w:pBdr>
          <w:top w:val="single" w:sz="12" w:space="1" w:color="auto"/>
          <w:bottom w:val="none" w:sz="0" w:space="0" w:color="auto"/>
        </w:pBdr>
      </w:pPr>
    </w:p>
    <w:bookmarkEnd w:id="0"/>
    <w:p w14:paraId="5A8ED083" w14:textId="77777777" w:rsidR="00721788" w:rsidRDefault="00721788" w:rsidP="00721788">
      <w:pPr>
        <w:spacing w:after="240"/>
      </w:pPr>
      <w:r w:rsidRPr="00721788">
        <w:t>The</w:t>
      </w:r>
      <w:r w:rsidRPr="00721788">
        <w:rPr>
          <w:i/>
          <w:iCs/>
        </w:rPr>
        <w:t xml:space="preserve"> Casino Control Act 2006</w:t>
      </w:r>
      <w:r>
        <w:t xml:space="preserve"> (the Act) regulates the operation of the casino in the Territory. </w:t>
      </w:r>
    </w:p>
    <w:p w14:paraId="515795F2" w14:textId="415ADE33" w:rsidR="00721788" w:rsidRDefault="00721788" w:rsidP="00721788">
      <w:pPr>
        <w:spacing w:after="240"/>
      </w:pPr>
      <w:r>
        <w:t>Section 26 of the Act provides for the Minister to determine a casino licence fee. The Minister must not determine a casino licence fee more than once in any 12-month period. The casino licensee must pay the casino licence fee to the ACT Gambling and Racing Commission</w:t>
      </w:r>
      <w:r w:rsidR="00A1167C">
        <w:t xml:space="preserve"> (the Commission)</w:t>
      </w:r>
      <w:r>
        <w:t xml:space="preserve"> at the times and in the way provided in the determination. A determination under section 26 of the Act is a notifiable instrument.</w:t>
      </w:r>
    </w:p>
    <w:p w14:paraId="4C40706A" w14:textId="5D23E6BD" w:rsidR="00C17FAB" w:rsidRDefault="00721788" w:rsidP="00721788">
      <w:pPr>
        <w:spacing w:after="240"/>
      </w:pPr>
      <w:r>
        <w:t xml:space="preserve">This instrument </w:t>
      </w:r>
      <w:r w:rsidR="00E157F7">
        <w:t>re</w:t>
      </w:r>
      <w:r w:rsidR="0028218D">
        <w:t>vokes</w:t>
      </w:r>
      <w:r w:rsidR="00E157F7">
        <w:t xml:space="preserve"> and remakes</w:t>
      </w:r>
      <w:r>
        <w:t xml:space="preserve"> the previous determination </w:t>
      </w:r>
      <w:r w:rsidRPr="00721788">
        <w:rPr>
          <w:i/>
          <w:iCs/>
        </w:rPr>
        <w:t>Casino Control (Licence Fee) Determination 2015 (No 1)</w:t>
      </w:r>
      <w:r w:rsidRPr="00721788">
        <w:t xml:space="preserve"> [NI2015-1]</w:t>
      </w:r>
      <w:r w:rsidR="00E157F7">
        <w:t xml:space="preserve"> to allow time for payment of the casino licence fee in quarterly instalments</w:t>
      </w:r>
      <w:r>
        <w:t>.</w:t>
      </w:r>
    </w:p>
    <w:p w14:paraId="5E8860BB" w14:textId="0D0A6F9B" w:rsidR="007A0F6B" w:rsidRDefault="007A0F6B" w:rsidP="00721788">
      <w:pPr>
        <w:spacing w:after="240"/>
      </w:pPr>
      <w:r>
        <w:t>The casino licence fee may be paid quarterly in four equal instalments.</w:t>
      </w:r>
    </w:p>
    <w:p w14:paraId="1FF2685F" w14:textId="535A1610" w:rsidR="007A0F6B" w:rsidRDefault="007A0F6B" w:rsidP="00721788">
      <w:pPr>
        <w:spacing w:after="240"/>
      </w:pPr>
      <w:r>
        <w:t>The first quarter for each period begins on 7 February of each year. The subsequent quarters for each period begin on 7 May, 7 August and 7 November.</w:t>
      </w:r>
    </w:p>
    <w:p w14:paraId="5FC15472" w14:textId="5C8158BC" w:rsidR="007A0F6B" w:rsidRDefault="007A0F6B" w:rsidP="00721788">
      <w:pPr>
        <w:spacing w:after="240"/>
      </w:pPr>
      <w:r>
        <w:t>A</w:t>
      </w:r>
      <w:r w:rsidR="005D0901">
        <w:t xml:space="preserve">n </w:t>
      </w:r>
      <w:r>
        <w:t xml:space="preserve">instalment for a quarter must be </w:t>
      </w:r>
      <w:r w:rsidR="0028218D">
        <w:t>paid on or before the beginning of the quarter or not later than any other date the Commission allows.</w:t>
      </w:r>
    </w:p>
    <w:p w14:paraId="5D04C1A9" w14:textId="77777777" w:rsidR="005D0901" w:rsidRDefault="0028218D" w:rsidP="00A1167C">
      <w:pPr>
        <w:spacing w:after="240"/>
      </w:pPr>
      <w:r>
        <w:t xml:space="preserve">When paid in quarterly instalments, the casino licence fee for the 12-month period beginning on 7 February each year remains owing to the Territory in full in advance. </w:t>
      </w:r>
    </w:p>
    <w:p w14:paraId="201299D6" w14:textId="12CD9446" w:rsidR="0028218D" w:rsidRDefault="005D0901" w:rsidP="00A1167C">
      <w:pPr>
        <w:spacing w:after="240"/>
      </w:pPr>
      <w:r>
        <w:t>The</w:t>
      </w:r>
      <w:r w:rsidR="0028218D">
        <w:t xml:space="preserve"> casino licensee will become liable for a late payment penalty </w:t>
      </w:r>
      <w:r>
        <w:t>under</w:t>
      </w:r>
      <w:r w:rsidR="0028218D">
        <w:t xml:space="preserve"> section 27 of the Act</w:t>
      </w:r>
      <w:r>
        <w:t xml:space="preserve"> on any unpaid amount of an instalment not paid within 14 days after the day the instalment was payable.</w:t>
      </w:r>
    </w:p>
    <w:p w14:paraId="7B7F018C" w14:textId="76B8E8D4" w:rsidR="00A1167C" w:rsidRDefault="00A1167C" w:rsidP="00A1167C">
      <w:pPr>
        <w:spacing w:after="240"/>
      </w:pPr>
      <w:r>
        <w:t xml:space="preserve">In line with </w:t>
      </w:r>
      <w:r w:rsidR="0028218D">
        <w:t>prior</w:t>
      </w:r>
      <w:r>
        <w:t xml:space="preserve"> determinations, the casino licence fee payable in advance is determined by </w:t>
      </w:r>
      <w:r w:rsidR="00AA75BD">
        <w:t>adjusting the amount of the casino licence fee for the immediate preceding year by movements in the Consumer Price Index weighted average of Eight Capital Cities All Groups (published by the Australian Bureau of Statistics) for the period of twelve months to 31 December for that preceding year.</w:t>
      </w:r>
    </w:p>
    <w:p w14:paraId="3413CDED" w14:textId="269C2B8D" w:rsidR="00461065" w:rsidRDefault="00A1167C" w:rsidP="00A1167C">
      <w:pPr>
        <w:spacing w:after="240"/>
      </w:pPr>
      <w:r>
        <w:lastRenderedPageBreak/>
        <w:t xml:space="preserve">The casino licence fee payable </w:t>
      </w:r>
      <w:r w:rsidR="0028218D">
        <w:t>for the period beginning</w:t>
      </w:r>
      <w:r>
        <w:t xml:space="preserve"> 7 February 2023 was $</w:t>
      </w:r>
      <w:r w:rsidRPr="00A1167C">
        <w:t>1</w:t>
      </w:r>
      <w:r>
        <w:t>,</w:t>
      </w:r>
      <w:r w:rsidRPr="00A1167C">
        <w:t>094</w:t>
      </w:r>
      <w:r>
        <w:t>,</w:t>
      </w:r>
      <w:r w:rsidRPr="00A1167C">
        <w:t>348.14</w:t>
      </w:r>
      <w:r>
        <w:t>.</w:t>
      </w:r>
    </w:p>
    <w:p w14:paraId="7AD372EB" w14:textId="422B981B" w:rsidR="00A1167C" w:rsidRDefault="00A1167C" w:rsidP="00A1167C">
      <w:pPr>
        <w:spacing w:after="240"/>
      </w:pPr>
      <w:r>
        <w:t>The casino licence fee</w:t>
      </w:r>
      <w:r w:rsidR="00AA75BD">
        <w:t xml:space="preserve"> payable</w:t>
      </w:r>
      <w:r>
        <w:t xml:space="preserve"> for </w:t>
      </w:r>
      <w:r w:rsidR="0028218D">
        <w:t>the period beginning</w:t>
      </w:r>
      <w:r>
        <w:t xml:space="preserve"> 7 February 2024 is </w:t>
      </w:r>
      <w:r w:rsidRPr="00A1167C">
        <w:t>$1,138,690.99</w:t>
      </w:r>
      <w:r>
        <w:t>.</w:t>
      </w:r>
      <w:r w:rsidR="00461065">
        <w:t xml:space="preserve"> </w:t>
      </w:r>
      <w:r w:rsidR="0028218D">
        <w:t>This is an existing amount payable by the</w:t>
      </w:r>
      <w:r w:rsidR="00461065">
        <w:t xml:space="preserve"> casino licensee</w:t>
      </w:r>
      <w:r w:rsidR="0028218D">
        <w:t xml:space="preserve"> to</w:t>
      </w:r>
      <w:r w:rsidR="00461065">
        <w:t xml:space="preserve"> the Commission.</w:t>
      </w:r>
      <w:r w:rsidR="0028218D">
        <w:t xml:space="preserve"> The casino licensee may pay the casino licence fee for the period beginning 7 February 2024 in quarterly instalments </w:t>
      </w:r>
      <w:r w:rsidR="00AA75BD">
        <w:t>in accordance with</w:t>
      </w:r>
      <w:r w:rsidR="0028218D">
        <w:t xml:space="preserve"> this instrument.</w:t>
      </w:r>
    </w:p>
    <w:p w14:paraId="5DC5C598" w14:textId="29B7FAE6" w:rsidR="00F47661" w:rsidRDefault="00F47661" w:rsidP="00A1167C">
      <w:pPr>
        <w:spacing w:after="240"/>
      </w:pPr>
      <w:r>
        <w:t xml:space="preserve">The timing of a request for the option to pay in quarterly instalments and time required for consideration of this request did not allow for the instrument to be made before the casino licence fee became payable on 7 February 2024. The instrument does not alter the existing amount payable and beneficially allows the casino licensee to pay this and future amounts, when these become payable, in quarterly instalments. </w:t>
      </w:r>
    </w:p>
    <w:p w14:paraId="1FA4BE32" w14:textId="68FDFB7F" w:rsidR="00C91285" w:rsidRDefault="006808DA" w:rsidP="00721788">
      <w:pPr>
        <w:spacing w:after="240"/>
      </w:pPr>
      <w:r>
        <w:t xml:space="preserve">This instrument </w:t>
      </w:r>
      <w:r w:rsidR="00C91285">
        <w:t>commences</w:t>
      </w:r>
      <w:r>
        <w:t xml:space="preserve"> on the day </w:t>
      </w:r>
      <w:r w:rsidR="00C91285">
        <w:t xml:space="preserve">after </w:t>
      </w:r>
      <w:r>
        <w:t>it is notified.</w:t>
      </w:r>
    </w:p>
    <w:sectPr w:rsidR="00C91285" w:rsidSect="00F9587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BED8" w14:textId="77777777" w:rsidR="00F9587C" w:rsidRDefault="00F9587C" w:rsidP="00C17FAB">
      <w:r>
        <w:separator/>
      </w:r>
    </w:p>
  </w:endnote>
  <w:endnote w:type="continuationSeparator" w:id="0">
    <w:p w14:paraId="684B0F29" w14:textId="77777777" w:rsidR="00F9587C" w:rsidRDefault="00F9587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576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F7BC" w14:textId="6FF44899" w:rsidR="00DA3B00" w:rsidRPr="008E6A54" w:rsidRDefault="008E6A54" w:rsidP="008E6A54">
    <w:pPr>
      <w:pStyle w:val="Footer"/>
      <w:jc w:val="center"/>
      <w:rPr>
        <w:rFonts w:cs="Arial"/>
        <w:sz w:val="14"/>
      </w:rPr>
    </w:pPr>
    <w:r w:rsidRPr="008E6A5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E9D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1FF9" w14:textId="77777777" w:rsidR="00F9587C" w:rsidRDefault="00F9587C" w:rsidP="00C17FAB">
      <w:r>
        <w:separator/>
      </w:r>
    </w:p>
  </w:footnote>
  <w:footnote w:type="continuationSeparator" w:id="0">
    <w:p w14:paraId="04B10C6B" w14:textId="77777777" w:rsidR="00F9587C" w:rsidRDefault="00F9587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EC07"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37E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F36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846095538">
    <w:abstractNumId w:val="2"/>
  </w:num>
  <w:num w:numId="2" w16cid:durableId="1913806102">
    <w:abstractNumId w:val="0"/>
  </w:num>
  <w:num w:numId="3" w16cid:durableId="1023633582">
    <w:abstractNumId w:val="3"/>
  </w:num>
  <w:num w:numId="4" w16cid:durableId="1174800543">
    <w:abstractNumId w:val="6"/>
  </w:num>
  <w:num w:numId="5" w16cid:durableId="452408106">
    <w:abstractNumId w:val="7"/>
  </w:num>
  <w:num w:numId="6" w16cid:durableId="436028189">
    <w:abstractNumId w:val="1"/>
  </w:num>
  <w:num w:numId="7" w16cid:durableId="485055191">
    <w:abstractNumId w:val="4"/>
  </w:num>
  <w:num w:numId="8" w16cid:durableId="396590760">
    <w:abstractNumId w:val="5"/>
  </w:num>
  <w:num w:numId="9" w16cid:durableId="185961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062F4"/>
    <w:rsid w:val="0028218D"/>
    <w:rsid w:val="00286890"/>
    <w:rsid w:val="002D7C60"/>
    <w:rsid w:val="003F736C"/>
    <w:rsid w:val="00461065"/>
    <w:rsid w:val="005442F9"/>
    <w:rsid w:val="005D0901"/>
    <w:rsid w:val="006645DD"/>
    <w:rsid w:val="006808DA"/>
    <w:rsid w:val="006B18AC"/>
    <w:rsid w:val="00721788"/>
    <w:rsid w:val="007346AC"/>
    <w:rsid w:val="007A0F6B"/>
    <w:rsid w:val="00831BC5"/>
    <w:rsid w:val="008E6A54"/>
    <w:rsid w:val="009508A5"/>
    <w:rsid w:val="00A1167C"/>
    <w:rsid w:val="00A94E3F"/>
    <w:rsid w:val="00AA75BD"/>
    <w:rsid w:val="00BB093C"/>
    <w:rsid w:val="00C17FAB"/>
    <w:rsid w:val="00C91285"/>
    <w:rsid w:val="00CE599C"/>
    <w:rsid w:val="00D46965"/>
    <w:rsid w:val="00D711B2"/>
    <w:rsid w:val="00DA3B00"/>
    <w:rsid w:val="00E00391"/>
    <w:rsid w:val="00E157F7"/>
    <w:rsid w:val="00EB5AEF"/>
    <w:rsid w:val="00F47661"/>
    <w:rsid w:val="00F5065E"/>
    <w:rsid w:val="00F9587C"/>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6496B"/>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6808DA"/>
    <w:rPr>
      <w:sz w:val="24"/>
      <w:lang w:eastAsia="en-US"/>
    </w:rPr>
  </w:style>
  <w:style w:type="character" w:styleId="CommentReference">
    <w:name w:val="annotation reference"/>
    <w:basedOn w:val="DefaultParagraphFont"/>
    <w:uiPriority w:val="99"/>
    <w:semiHidden/>
    <w:unhideWhenUsed/>
    <w:rsid w:val="006808DA"/>
    <w:rPr>
      <w:sz w:val="16"/>
      <w:szCs w:val="16"/>
    </w:rPr>
  </w:style>
  <w:style w:type="paragraph" w:styleId="CommentText">
    <w:name w:val="annotation text"/>
    <w:basedOn w:val="Normal"/>
    <w:link w:val="CommentTextChar"/>
    <w:uiPriority w:val="99"/>
    <w:unhideWhenUsed/>
    <w:rsid w:val="006808DA"/>
    <w:rPr>
      <w:sz w:val="20"/>
    </w:rPr>
  </w:style>
  <w:style w:type="character" w:customStyle="1" w:styleId="CommentTextChar">
    <w:name w:val="Comment Text Char"/>
    <w:basedOn w:val="DefaultParagraphFont"/>
    <w:link w:val="CommentText"/>
    <w:uiPriority w:val="99"/>
    <w:rsid w:val="006808DA"/>
    <w:rPr>
      <w:lang w:eastAsia="en-US"/>
    </w:rPr>
  </w:style>
  <w:style w:type="paragraph" w:styleId="CommentSubject">
    <w:name w:val="annotation subject"/>
    <w:basedOn w:val="CommentText"/>
    <w:next w:val="CommentText"/>
    <w:link w:val="CommentSubjectChar"/>
    <w:uiPriority w:val="99"/>
    <w:semiHidden/>
    <w:unhideWhenUsed/>
    <w:rsid w:val="006808DA"/>
    <w:rPr>
      <w:b/>
      <w:bCs/>
    </w:rPr>
  </w:style>
  <w:style w:type="character" w:customStyle="1" w:styleId="CommentSubjectChar">
    <w:name w:val="Comment Subject Char"/>
    <w:basedOn w:val="CommentTextChar"/>
    <w:link w:val="CommentSubject"/>
    <w:uiPriority w:val="99"/>
    <w:semiHidden/>
    <w:rsid w:val="006808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2461</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2024-04-23T05:45:00Z</dcterms:created>
  <dcterms:modified xsi:type="dcterms:W3CDTF">2024-04-23T05:45:00Z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2024-04-23T05:42:07Z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e1f686f3-5565-43af-a7a0-501933016e0d</vt:lpwstr>
  </property>
  <property fmtid="{D5CDD505-2E9C-101B-9397-08002B2CF9AE}" pid="8" name="MSIP_Label_69af8531-eb46-4968-8cb3-105d2f5ea87e_ContentBits">
    <vt:lpwstr>0</vt:lpwstr>
  </property>
</Properties>
</file>